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153035</wp:posOffset>
            </wp:positionH>
            <wp:positionV relativeFrom="page">
              <wp:posOffset>281305</wp:posOffset>
            </wp:positionV>
            <wp:extent cx="72555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5510" cy="8255"/>
                    </a:xfrm>
                    <a:prstGeom prst="rect">
                      <a:avLst/>
                    </a:prstGeom>
                    <a:noFill/>
                  </pic:spPr>
                </pic:pic>
              </a:graphicData>
            </a:graphic>
          </wp:anchor>
        </w:drawing>
        <w:drawing>
          <wp:anchor simplePos="0" relativeHeight="251657728" behindDoc="1" locked="0" layoutInCell="0" allowOverlap="1">
            <wp:simplePos x="0" y="0"/>
            <wp:positionH relativeFrom="page">
              <wp:posOffset>153035</wp:posOffset>
            </wp:positionH>
            <wp:positionV relativeFrom="page">
              <wp:posOffset>305435</wp:posOffset>
            </wp:positionV>
            <wp:extent cx="72555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5510" cy="8255"/>
                    </a:xfrm>
                    <a:prstGeom prst="rect">
                      <a:avLst/>
                    </a:prstGeom>
                    <a:noFill/>
                  </pic:spPr>
                </pic:pic>
              </a:graphicData>
            </a:graphic>
          </wp:anchor>
        </w:drawing>
        <w:t>SECURITIES AND EXCHANGE COMMISSION</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7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2899410</wp:posOffset>
            </wp:positionH>
            <wp:positionV relativeFrom="paragraph">
              <wp:posOffset>-122555</wp:posOffset>
            </wp:positionV>
            <wp:extent cx="14573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2899410</wp:posOffset>
            </wp:positionH>
            <wp:positionV relativeFrom="paragraph">
              <wp:posOffset>-122555</wp:posOffset>
            </wp:positionV>
            <wp:extent cx="14573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ind w:left="4000" w:right="1960" w:hanging="3999"/>
        <w:spacing w:after="0" w:line="238" w:lineRule="auto"/>
        <w:tabs>
          <w:tab w:leader="none" w:pos="511" w:val="left"/>
        </w:tabs>
        <w:numPr>
          <w:ilvl w:val="0"/>
          <w:numId w:val="1"/>
        </w:numPr>
        <w:rPr>
          <w:rFonts w:ascii="MS PGothic" w:cs="MS PGothic" w:eastAsia="MS PGothic" w:hAnsi="MS PGothic"/>
          <w:sz w:val="17"/>
          <w:szCs w:val="17"/>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2016</w:t>
      </w:r>
    </w:p>
    <w:p>
      <w:pPr>
        <w:spacing w:after="0" w:line="175" w:lineRule="exact"/>
        <w:rPr>
          <w:sz w:val="24"/>
          <w:szCs w:val="24"/>
          <w:color w:val="auto"/>
        </w:rPr>
      </w:pPr>
    </w:p>
    <w:p>
      <w:pPr>
        <w:ind w:left="520" w:hanging="519"/>
        <w:spacing w:after="0"/>
        <w:tabs>
          <w:tab w:leader="none" w:pos="520" w:val="left"/>
        </w:tabs>
        <w:numPr>
          <w:ilvl w:val="0"/>
          <w:numId w:val="2"/>
        </w:numPr>
        <w:rPr>
          <w:rFonts w:ascii="Arial" w:cs="Arial" w:eastAsia="Arial" w:hAnsi="Arial"/>
          <w:sz w:val="16"/>
          <w:szCs w:val="16"/>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60"/>
          </w:cols>
          <w:pgMar w:left="240" w:top="568" w:right="199" w:bottom="1440" w:gutter="0" w:footer="0" w:header="0"/>
        </w:sectPr>
      </w:pPr>
    </w:p>
    <w:p>
      <w:pPr>
        <w:spacing w:after="0" w:line="21" w:lineRule="exact"/>
        <w:rPr>
          <w:sz w:val="24"/>
          <w:szCs w:val="24"/>
          <w:color w:val="auto"/>
        </w:rPr>
      </w:pPr>
    </w:p>
    <w:p>
      <w:pPr>
        <w:jc w:val="right"/>
        <w:ind w:right="4500"/>
        <w:spacing w:after="0"/>
        <w:tabs>
          <w:tab w:leader="none" w:pos="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jc w:val="right"/>
        <w:ind w:right="4460"/>
        <w:spacing w:after="0"/>
        <w:rPr>
          <w:sz w:val="20"/>
          <w:szCs w:val="20"/>
          <w:color w:val="auto"/>
        </w:rPr>
      </w:pPr>
      <w:r>
        <w:rPr>
          <w:rFonts w:ascii="Arial" w:cs="Arial" w:eastAsia="Arial" w:hAnsi="Arial"/>
          <w:sz w:val="18"/>
          <w:szCs w:val="18"/>
          <w:b w:val="1"/>
          <w:bCs w:val="1"/>
          <w:color w:val="auto"/>
        </w:rPr>
        <w:t>Commission File Number 1-12744</w:t>
      </w:r>
    </w:p>
    <w:p>
      <w:pPr>
        <w:sectPr>
          <w:pgSz w:w="11900" w:h="16838" w:orient="portrait"/>
          <w:cols w:equalWidth="0" w:num="1">
            <w:col w:w="11460"/>
          </w:cols>
          <w:pgMar w:left="240" w:top="568" w:right="199" w:bottom="1440" w:gutter="0" w:footer="0" w:header="0"/>
          <w:type w:val="continuous"/>
        </w:sectPr>
      </w:pPr>
    </w:p>
    <w:p>
      <w:pPr>
        <w:spacing w:after="0" w:line="6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2899410</wp:posOffset>
            </wp:positionH>
            <wp:positionV relativeFrom="paragraph">
              <wp:posOffset>-122555</wp:posOffset>
            </wp:positionV>
            <wp:extent cx="14573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9" w:lineRule="exact"/>
        <w:rPr>
          <w:sz w:val="24"/>
          <w:szCs w:val="24"/>
          <w:color w:val="auto"/>
        </w:rPr>
      </w:pPr>
    </w:p>
    <w:tbl>
      <w:tblPr>
        <w:tblLayout w:type="fixed"/>
        <w:tblInd w:w="1340" w:type="dxa"/>
        <w:tblCellMar>
          <w:top w:w="0" w:type="dxa"/>
          <w:left w:w="0" w:type="dxa"/>
          <w:bottom w:w="0" w:type="dxa"/>
          <w:right w:w="0" w:type="dxa"/>
        </w:tblCellMar>
      </w:tblPr>
      <w:tr>
        <w:trPr>
          <w:trHeight w:val="188"/>
        </w:trPr>
        <w:tc>
          <w:tcPr>
            <w:tcW w:w="3220" w:type="dxa"/>
            <w:vAlign w:val="bottom"/>
          </w:tcPr>
          <w:p>
            <w:pPr>
              <w:jc w:val="center"/>
              <w:ind w:right="172"/>
              <w:spacing w:after="0" w:line="189" w:lineRule="exact"/>
              <w:rPr>
                <w:sz w:val="20"/>
                <w:szCs w:val="20"/>
                <w:color w:val="auto"/>
              </w:rPr>
            </w:pPr>
            <w:r>
              <w:rPr>
                <w:rFonts w:ascii="Arial" w:cs="Arial" w:eastAsia="Arial" w:hAnsi="Arial"/>
                <w:sz w:val="18"/>
                <w:szCs w:val="18"/>
                <w:b w:val="1"/>
                <w:bCs w:val="1"/>
                <w:color w:val="auto"/>
                <w:w w:val="92"/>
              </w:rPr>
              <w:t>North Carolina</w:t>
            </w:r>
          </w:p>
        </w:tc>
        <w:tc>
          <w:tcPr>
            <w:tcW w:w="2300" w:type="dxa"/>
            <w:vAlign w:val="bottom"/>
            <w:tcBorders>
              <w:top w:val="single" w:sz="8" w:color="auto"/>
            </w:tcBorders>
          </w:tcPr>
          <w:p>
            <w:pPr>
              <w:spacing w:after="0"/>
              <w:rPr>
                <w:sz w:val="16"/>
                <w:szCs w:val="16"/>
                <w:color w:val="auto"/>
              </w:rPr>
            </w:pPr>
          </w:p>
        </w:tc>
        <w:tc>
          <w:tcPr>
            <w:tcW w:w="2640" w:type="dxa"/>
            <w:vAlign w:val="bottom"/>
          </w:tcPr>
          <w:p>
            <w:pPr>
              <w:jc w:val="center"/>
              <w:ind w:left="812"/>
              <w:spacing w:after="0" w:line="189" w:lineRule="exact"/>
              <w:rPr>
                <w:sz w:val="20"/>
                <w:szCs w:val="20"/>
                <w:color w:val="auto"/>
              </w:rPr>
            </w:pPr>
            <w:r>
              <w:rPr>
                <w:rFonts w:ascii="Arial" w:cs="Arial" w:eastAsia="Arial" w:hAnsi="Arial"/>
                <w:sz w:val="18"/>
                <w:szCs w:val="18"/>
                <w:b w:val="1"/>
                <w:bCs w:val="1"/>
                <w:color w:val="auto"/>
                <w:w w:val="89"/>
              </w:rPr>
              <w:t>56-1848578</w:t>
            </w:r>
          </w:p>
        </w:tc>
      </w:tr>
      <w:tr>
        <w:trPr>
          <w:trHeight w:val="202"/>
        </w:trPr>
        <w:tc>
          <w:tcPr>
            <w:tcW w:w="3220" w:type="dxa"/>
            <w:vAlign w:val="bottom"/>
          </w:tcPr>
          <w:p>
            <w:pPr>
              <w:jc w:val="center"/>
              <w:ind w:right="212"/>
              <w:spacing w:after="0" w:line="201" w:lineRule="exact"/>
              <w:rPr>
                <w:sz w:val="20"/>
                <w:szCs w:val="20"/>
                <w:color w:val="auto"/>
              </w:rPr>
            </w:pPr>
            <w:r>
              <w:rPr>
                <w:rFonts w:ascii="Arial" w:cs="Arial" w:eastAsia="Arial" w:hAnsi="Arial"/>
                <w:sz w:val="18"/>
                <w:szCs w:val="18"/>
                <w:b w:val="1"/>
                <w:bCs w:val="1"/>
                <w:color w:val="auto"/>
                <w:w w:val="89"/>
              </w:rPr>
              <w:t>(State or other jurisdiction of</w:t>
            </w:r>
          </w:p>
        </w:tc>
        <w:tc>
          <w:tcPr>
            <w:tcW w:w="2300" w:type="dxa"/>
            <w:vAlign w:val="bottom"/>
          </w:tcPr>
          <w:p>
            <w:pPr>
              <w:spacing w:after="0"/>
              <w:rPr>
                <w:sz w:val="17"/>
                <w:szCs w:val="17"/>
                <w:color w:val="auto"/>
              </w:rPr>
            </w:pPr>
          </w:p>
        </w:tc>
        <w:tc>
          <w:tcPr>
            <w:tcW w:w="2640" w:type="dxa"/>
            <w:vAlign w:val="bottom"/>
          </w:tcPr>
          <w:p>
            <w:pPr>
              <w:jc w:val="center"/>
              <w:ind w:left="832"/>
              <w:spacing w:after="0" w:line="201" w:lineRule="exact"/>
              <w:rPr>
                <w:sz w:val="20"/>
                <w:szCs w:val="20"/>
                <w:color w:val="auto"/>
              </w:rPr>
            </w:pPr>
            <w:r>
              <w:rPr>
                <w:rFonts w:ascii="Arial" w:cs="Arial" w:eastAsia="Arial" w:hAnsi="Arial"/>
                <w:sz w:val="18"/>
                <w:szCs w:val="18"/>
                <w:b w:val="1"/>
                <w:bCs w:val="1"/>
                <w:color w:val="auto"/>
                <w:w w:val="92"/>
              </w:rPr>
              <w:t>(I.R.S. Employer</w:t>
            </w:r>
          </w:p>
        </w:tc>
      </w:tr>
      <w:tr>
        <w:trPr>
          <w:trHeight w:val="229"/>
        </w:trPr>
        <w:tc>
          <w:tcPr>
            <w:tcW w:w="3220" w:type="dxa"/>
            <w:vAlign w:val="bottom"/>
          </w:tcPr>
          <w:p>
            <w:pPr>
              <w:jc w:val="center"/>
              <w:ind w:right="212"/>
              <w:spacing w:after="0"/>
              <w:rPr>
                <w:sz w:val="20"/>
                <w:szCs w:val="20"/>
                <w:color w:val="auto"/>
              </w:rPr>
            </w:pPr>
            <w:r>
              <w:rPr>
                <w:rFonts w:ascii="Arial" w:cs="Arial" w:eastAsia="Arial" w:hAnsi="Arial"/>
                <w:sz w:val="18"/>
                <w:szCs w:val="18"/>
                <w:b w:val="1"/>
                <w:bCs w:val="1"/>
                <w:color w:val="auto"/>
                <w:w w:val="90"/>
              </w:rPr>
              <w:t>incorporation or organization)</w:t>
            </w:r>
          </w:p>
        </w:tc>
        <w:tc>
          <w:tcPr>
            <w:tcW w:w="2300" w:type="dxa"/>
            <w:vAlign w:val="bottom"/>
          </w:tcPr>
          <w:p>
            <w:pPr>
              <w:spacing w:after="0"/>
              <w:rPr>
                <w:sz w:val="19"/>
                <w:szCs w:val="19"/>
                <w:color w:val="auto"/>
              </w:rPr>
            </w:pPr>
          </w:p>
        </w:tc>
        <w:tc>
          <w:tcPr>
            <w:tcW w:w="2640" w:type="dxa"/>
            <w:vAlign w:val="bottom"/>
          </w:tcPr>
          <w:p>
            <w:pPr>
              <w:jc w:val="center"/>
              <w:ind w:left="812"/>
              <w:spacing w:after="0"/>
              <w:rPr>
                <w:sz w:val="20"/>
                <w:szCs w:val="20"/>
                <w:color w:val="auto"/>
              </w:rPr>
            </w:pPr>
            <w:r>
              <w:rPr>
                <w:rFonts w:ascii="Arial" w:cs="Arial" w:eastAsia="Arial" w:hAnsi="Arial"/>
                <w:sz w:val="18"/>
                <w:szCs w:val="18"/>
                <w:b w:val="1"/>
                <w:bCs w:val="1"/>
                <w:color w:val="auto"/>
                <w:w w:val="91"/>
              </w:rPr>
              <w:t>Identification Number)</w:t>
            </w:r>
          </w:p>
        </w:tc>
      </w:tr>
      <w:tr>
        <w:trPr>
          <w:trHeight w:val="389"/>
        </w:trPr>
        <w:tc>
          <w:tcPr>
            <w:tcW w:w="3220" w:type="dxa"/>
            <w:vAlign w:val="bottom"/>
          </w:tcPr>
          <w:p>
            <w:pPr>
              <w:jc w:val="center"/>
              <w:ind w:right="212"/>
              <w:spacing w:after="0"/>
              <w:rPr>
                <w:sz w:val="20"/>
                <w:szCs w:val="20"/>
                <w:color w:val="auto"/>
              </w:rPr>
            </w:pPr>
            <w:r>
              <w:rPr>
                <w:rFonts w:ascii="Arial" w:cs="Arial" w:eastAsia="Arial" w:hAnsi="Arial"/>
                <w:sz w:val="18"/>
                <w:szCs w:val="18"/>
                <w:b w:val="1"/>
                <w:bCs w:val="1"/>
                <w:color w:val="auto"/>
                <w:w w:val="90"/>
              </w:rPr>
              <w:t>2710 Wycliff Road, Raleigh, NC</w:t>
            </w:r>
          </w:p>
        </w:tc>
        <w:tc>
          <w:tcPr>
            <w:tcW w:w="4940" w:type="dxa"/>
            <w:vAlign w:val="bottom"/>
            <w:gridSpan w:val="2"/>
          </w:tcPr>
          <w:p>
            <w:pPr>
              <w:jc w:val="center"/>
              <w:ind w:left="3112"/>
              <w:spacing w:after="0"/>
              <w:rPr>
                <w:sz w:val="20"/>
                <w:szCs w:val="20"/>
                <w:color w:val="auto"/>
              </w:rPr>
            </w:pPr>
            <w:r>
              <w:rPr>
                <w:rFonts w:ascii="Arial" w:cs="Arial" w:eastAsia="Arial" w:hAnsi="Arial"/>
                <w:sz w:val="18"/>
                <w:szCs w:val="18"/>
                <w:b w:val="1"/>
                <w:bCs w:val="1"/>
                <w:color w:val="auto"/>
                <w:w w:val="89"/>
              </w:rPr>
              <w:t>27607-3033</w:t>
            </w:r>
          </w:p>
        </w:tc>
      </w:tr>
      <w:tr>
        <w:trPr>
          <w:trHeight w:val="222"/>
        </w:trPr>
        <w:tc>
          <w:tcPr>
            <w:tcW w:w="3220" w:type="dxa"/>
            <w:vAlign w:val="bottom"/>
          </w:tcPr>
          <w:p>
            <w:pPr>
              <w:jc w:val="center"/>
              <w:ind w:right="212"/>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300" w:type="dxa"/>
            <w:vAlign w:val="bottom"/>
          </w:tcPr>
          <w:p>
            <w:pPr>
              <w:spacing w:after="0"/>
              <w:rPr>
                <w:sz w:val="19"/>
                <w:szCs w:val="19"/>
                <w:color w:val="auto"/>
              </w:rPr>
            </w:pPr>
          </w:p>
        </w:tc>
        <w:tc>
          <w:tcPr>
            <w:tcW w:w="2640" w:type="dxa"/>
            <w:vAlign w:val="bottom"/>
          </w:tcPr>
          <w:p>
            <w:pPr>
              <w:jc w:val="center"/>
              <w:ind w:left="812"/>
              <w:spacing w:after="0"/>
              <w:rPr>
                <w:sz w:val="20"/>
                <w:szCs w:val="20"/>
                <w:color w:val="auto"/>
              </w:rPr>
            </w:pPr>
            <w:r>
              <w:rPr>
                <w:rFonts w:ascii="Arial" w:cs="Arial" w:eastAsia="Arial" w:hAnsi="Arial"/>
                <w:sz w:val="18"/>
                <w:szCs w:val="18"/>
                <w:b w:val="1"/>
                <w:bCs w:val="1"/>
                <w:color w:val="auto"/>
                <w:w w:val="92"/>
              </w:rPr>
              <w:t>(Zip Code)</w:t>
            </w:r>
          </w:p>
        </w:tc>
      </w:tr>
    </w:tbl>
    <w:p>
      <w:pPr>
        <w:jc w:val="center"/>
        <w:ind w:right="40"/>
        <w:spacing w:after="0" w:line="233" w:lineRule="auto"/>
        <w:rPr>
          <w:sz w:val="20"/>
          <w:szCs w:val="20"/>
          <w:color w:val="auto"/>
        </w:rPr>
      </w:pPr>
      <w:r>
        <w:rPr>
          <w:rFonts w:ascii="Arial" w:cs="Arial" w:eastAsia="Arial" w:hAnsi="Arial"/>
          <w:sz w:val="18"/>
          <w:szCs w:val="18"/>
          <w:b w:val="1"/>
          <w:bCs w:val="1"/>
          <w:color w:val="auto"/>
        </w:rPr>
        <w:t>Registrant’s telephone number, including area code 919-781-4550</w:t>
      </w:r>
    </w:p>
    <w:p>
      <w:pPr>
        <w:jc w:val="center"/>
        <w:ind w:right="40"/>
        <w:spacing w:after="0" w:line="234" w:lineRule="auto"/>
        <w:rPr>
          <w:sz w:val="20"/>
          <w:szCs w:val="20"/>
          <w:color w:val="auto"/>
        </w:rPr>
      </w:pPr>
      <w:r>
        <w:rPr>
          <w:rFonts w:ascii="Arial" w:cs="Arial" w:eastAsia="Arial" w:hAnsi="Arial"/>
          <w:sz w:val="18"/>
          <w:szCs w:val="18"/>
          <w:b w:val="1"/>
          <w:bCs w:val="1"/>
          <w:color w:val="auto"/>
        </w:rPr>
        <w:t>Former name: None</w:t>
      </w:r>
    </w:p>
    <w:p>
      <w:pPr>
        <w:jc w:val="center"/>
        <w:ind w:right="40"/>
        <w:spacing w:after="0" w:line="234" w:lineRule="auto"/>
        <w:rPr>
          <w:sz w:val="20"/>
          <w:szCs w:val="20"/>
          <w:color w:val="auto"/>
        </w:rPr>
      </w:pPr>
      <w:r>
        <w:rPr>
          <w:rFonts w:ascii="Arial" w:cs="Arial" w:eastAsia="Arial" w:hAnsi="Arial"/>
          <w:sz w:val="18"/>
          <w:szCs w:val="18"/>
          <w:b w:val="1"/>
          <w:bCs w:val="1"/>
          <w:color w:val="auto"/>
        </w:rPr>
        <w:t>Former name, former address and former fiscal year, if changes since last report.</w:t>
      </w:r>
    </w:p>
    <w:p>
      <w:pPr>
        <w:spacing w:after="0" w:line="1" w:lineRule="exact"/>
        <w:rPr>
          <w:sz w:val="24"/>
          <w:szCs w:val="24"/>
          <w:color w:val="auto"/>
        </w:rPr>
      </w:pPr>
    </w:p>
    <w:p>
      <w:pPr>
        <w:jc w:val="both"/>
        <w:ind w:right="40"/>
        <w:spacing w:after="0" w:line="23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40"/>
        <w:spacing w:after="0" w:line="204"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6"/>
          <w:szCs w:val="16"/>
          <w:color w:val="auto"/>
        </w:rPr>
        <w:t>☑</w:t>
      </w:r>
      <w:r>
        <w:rPr>
          <w:rFonts w:ascii="Arial" w:cs="Arial" w:eastAsia="Arial" w:hAnsi="Arial"/>
          <w:sz w:val="18"/>
          <w:szCs w:val="18"/>
          <w:color w:val="auto"/>
        </w:rPr>
        <w:tab/>
        <w:t xml:space="preserve">No </w:t>
      </w:r>
      <w:r>
        <w:rPr>
          <w:rFonts w:ascii="Arial" w:cs="Arial" w:eastAsia="Arial" w:hAnsi="Arial"/>
          <w:sz w:val="16"/>
          <w:szCs w:val="16"/>
          <w:color w:val="auto"/>
        </w:rPr>
        <w:t>o</w:t>
      </w:r>
    </w:p>
    <w:p>
      <w:pPr>
        <w:spacing w:after="0" w:line="1" w:lineRule="exact"/>
        <w:rPr>
          <w:sz w:val="24"/>
          <w:szCs w:val="24"/>
          <w:color w:val="auto"/>
        </w:rPr>
      </w:pPr>
    </w:p>
    <w:p>
      <w:pPr>
        <w:jc w:val="both"/>
        <w:ind w:right="40"/>
        <w:spacing w:after="0" w:line="23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jc w:val="center"/>
        <w:ind w:right="40"/>
        <w:spacing w:after="0" w:line="204"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6"/>
          <w:szCs w:val="16"/>
          <w:color w:val="auto"/>
        </w:rPr>
        <w:t>☑</w:t>
      </w:r>
      <w:r>
        <w:rPr>
          <w:rFonts w:ascii="Arial" w:cs="Arial" w:eastAsia="Arial" w:hAnsi="Arial"/>
          <w:sz w:val="18"/>
          <w:szCs w:val="18"/>
          <w:color w:val="auto"/>
        </w:rPr>
        <w:tab/>
        <w:t xml:space="preserve">No </w:t>
      </w:r>
      <w:r>
        <w:rPr>
          <w:rFonts w:ascii="Arial" w:cs="Arial" w:eastAsia="Arial" w:hAnsi="Arial"/>
          <w:sz w:val="16"/>
          <w:szCs w:val="16"/>
          <w:color w:val="auto"/>
        </w:rPr>
        <w:t>o</w:t>
      </w:r>
    </w:p>
    <w:p>
      <w:pPr>
        <w:spacing w:after="0" w:line="1" w:lineRule="exact"/>
        <w:rPr>
          <w:sz w:val="24"/>
          <w:szCs w:val="24"/>
          <w:color w:val="auto"/>
        </w:rPr>
      </w:pPr>
    </w:p>
    <w:p>
      <w:pPr>
        <w:jc w:val="both"/>
        <w:ind w:right="40"/>
        <w:spacing w:after="0" w:line="23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64"/>
        </w:trPr>
        <w:tc>
          <w:tcPr>
            <w:tcW w:w="1640" w:type="dxa"/>
            <w:vAlign w:val="bottom"/>
          </w:tcPr>
          <w:p>
            <w:pPr>
              <w:ind w:left="40"/>
              <w:spacing w:after="0"/>
              <w:rPr>
                <w:sz w:val="20"/>
                <w:szCs w:val="20"/>
                <w:color w:val="auto"/>
              </w:rPr>
            </w:pPr>
            <w:r>
              <w:rPr>
                <w:rFonts w:ascii="Arial" w:cs="Arial" w:eastAsia="Arial" w:hAnsi="Arial"/>
                <w:sz w:val="18"/>
                <w:szCs w:val="18"/>
                <w:color w:val="auto"/>
                <w:w w:val="88"/>
              </w:rPr>
              <w:t>Large accelerated filer</w:t>
            </w:r>
          </w:p>
        </w:tc>
        <w:tc>
          <w:tcPr>
            <w:tcW w:w="3960" w:type="dxa"/>
            <w:vAlign w:val="bottom"/>
          </w:tcPr>
          <w:p>
            <w:pPr>
              <w:ind w:left="1920"/>
              <w:spacing w:after="0" w:line="171" w:lineRule="exact"/>
              <w:rPr>
                <w:sz w:val="20"/>
                <w:szCs w:val="20"/>
                <w:color w:val="auto"/>
              </w:rPr>
            </w:pPr>
            <w:r>
              <w:rPr>
                <w:rFonts w:ascii="MS PGothic" w:cs="MS PGothic" w:eastAsia="MS PGothic" w:hAnsi="MS PGothic"/>
                <w:sz w:val="17"/>
                <w:szCs w:val="17"/>
                <w:color w:val="auto"/>
              </w:rPr>
              <w:t>☑</w:t>
            </w:r>
          </w:p>
        </w:tc>
        <w:tc>
          <w:tcPr>
            <w:tcW w:w="240" w:type="dxa"/>
            <w:vAlign w:val="bottom"/>
          </w:tcPr>
          <w:p>
            <w:pPr>
              <w:spacing w:after="0"/>
              <w:rPr>
                <w:sz w:val="22"/>
                <w:szCs w:val="22"/>
                <w:color w:val="auto"/>
              </w:rPr>
            </w:pPr>
          </w:p>
        </w:tc>
        <w:tc>
          <w:tcPr>
            <w:tcW w:w="4700" w:type="dxa"/>
            <w:vAlign w:val="bottom"/>
          </w:tcPr>
          <w:p>
            <w:pPr>
              <w:ind w:left="182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660"/>
              <w:spacing w:after="0"/>
              <w:rPr>
                <w:sz w:val="20"/>
                <w:szCs w:val="20"/>
                <w:color w:val="auto"/>
              </w:rPr>
            </w:pPr>
            <w:r>
              <w:rPr>
                <w:rFonts w:ascii="Arial" w:cs="Arial" w:eastAsia="Arial" w:hAnsi="Arial"/>
                <w:sz w:val="17"/>
                <w:szCs w:val="17"/>
                <w:color w:val="auto"/>
              </w:rPr>
              <w:t>o</w:t>
            </w:r>
          </w:p>
        </w:tc>
        <w:tc>
          <w:tcPr>
            <w:tcW w:w="40" w:type="dxa"/>
            <w:vAlign w:val="bottom"/>
          </w:tcPr>
          <w:p>
            <w:pPr>
              <w:spacing w:after="0"/>
              <w:rPr>
                <w:sz w:val="22"/>
                <w:szCs w:val="22"/>
                <w:color w:val="auto"/>
              </w:rPr>
            </w:pPr>
          </w:p>
        </w:tc>
      </w:tr>
      <w:tr>
        <w:trPr>
          <w:trHeight w:val="366"/>
        </w:trPr>
        <w:tc>
          <w:tcPr>
            <w:tcW w:w="1640" w:type="dxa"/>
            <w:vAlign w:val="bottom"/>
          </w:tcPr>
          <w:p>
            <w:pPr>
              <w:spacing w:after="0"/>
              <w:rPr>
                <w:sz w:val="20"/>
                <w:szCs w:val="20"/>
                <w:color w:val="auto"/>
              </w:rPr>
            </w:pPr>
            <w:r>
              <w:rPr>
                <w:rFonts w:ascii="Arial" w:cs="Arial" w:eastAsia="Arial" w:hAnsi="Arial"/>
                <w:sz w:val="18"/>
                <w:szCs w:val="18"/>
                <w:color w:val="auto"/>
                <w:w w:val="97"/>
              </w:rPr>
              <w:t>Non-accelerated filer</w:t>
            </w:r>
          </w:p>
        </w:tc>
        <w:tc>
          <w:tcPr>
            <w:tcW w:w="3960" w:type="dxa"/>
            <w:vAlign w:val="bottom"/>
          </w:tcPr>
          <w:p>
            <w:pPr>
              <w:ind w:left="1920"/>
              <w:spacing w:after="0"/>
              <w:rPr>
                <w:sz w:val="20"/>
                <w:szCs w:val="20"/>
                <w:color w:val="auto"/>
              </w:rPr>
            </w:pPr>
            <w:r>
              <w:rPr>
                <w:rFonts w:ascii="Arial" w:cs="Arial" w:eastAsia="Arial" w:hAnsi="Arial"/>
                <w:sz w:val="17"/>
                <w:szCs w:val="17"/>
                <w:color w:val="auto"/>
              </w:rPr>
              <w:t>o</w:t>
            </w:r>
          </w:p>
        </w:tc>
        <w:tc>
          <w:tcPr>
            <w:tcW w:w="240" w:type="dxa"/>
            <w:vAlign w:val="bottom"/>
          </w:tcPr>
          <w:p>
            <w:pPr>
              <w:spacing w:after="0"/>
              <w:rPr>
                <w:sz w:val="24"/>
                <w:szCs w:val="24"/>
                <w:color w:val="auto"/>
              </w:rPr>
            </w:pPr>
          </w:p>
        </w:tc>
        <w:tc>
          <w:tcPr>
            <w:tcW w:w="4700" w:type="dxa"/>
            <w:vAlign w:val="bottom"/>
          </w:tcPr>
          <w:p>
            <w:pPr>
              <w:jc w:val="center"/>
              <w:ind w:left="792"/>
              <w:spacing w:after="0"/>
              <w:rPr>
                <w:sz w:val="20"/>
                <w:szCs w:val="20"/>
                <w:color w:val="auto"/>
              </w:rPr>
            </w:pPr>
            <w:r>
              <w:rPr>
                <w:rFonts w:ascii="Arial" w:cs="Arial" w:eastAsia="Arial" w:hAnsi="Arial"/>
                <w:sz w:val="18"/>
                <w:szCs w:val="18"/>
                <w:color w:val="auto"/>
                <w:w w:val="90"/>
              </w:rPr>
              <w:t>Smaller reporting company</w:t>
            </w:r>
          </w:p>
        </w:tc>
        <w:tc>
          <w:tcPr>
            <w:tcW w:w="880" w:type="dxa"/>
            <w:vAlign w:val="bottom"/>
          </w:tcPr>
          <w:p>
            <w:pPr>
              <w:ind w:left="660"/>
              <w:spacing w:after="0"/>
              <w:rPr>
                <w:sz w:val="20"/>
                <w:szCs w:val="20"/>
                <w:color w:val="auto"/>
              </w:rPr>
            </w:pPr>
            <w:r>
              <w:rPr>
                <w:rFonts w:ascii="Arial" w:cs="Arial" w:eastAsia="Arial" w:hAnsi="Arial"/>
                <w:sz w:val="17"/>
                <w:szCs w:val="17"/>
                <w:color w:val="auto"/>
              </w:rPr>
              <w:t>o</w:t>
            </w:r>
          </w:p>
        </w:tc>
        <w:tc>
          <w:tcPr>
            <w:tcW w:w="40" w:type="dxa"/>
            <w:vAlign w:val="bottom"/>
          </w:tcPr>
          <w:p>
            <w:pPr>
              <w:spacing w:after="0"/>
              <w:rPr>
                <w:sz w:val="24"/>
                <w:szCs w:val="24"/>
                <w:color w:val="auto"/>
              </w:rPr>
            </w:pPr>
          </w:p>
        </w:tc>
      </w:tr>
      <w:tr>
        <w:trPr>
          <w:trHeight w:val="177"/>
        </w:trPr>
        <w:tc>
          <w:tcPr>
            <w:tcW w:w="10540" w:type="dxa"/>
            <w:vAlign w:val="bottom"/>
            <w:gridSpan w:val="4"/>
          </w:tcPr>
          <w:p>
            <w:pPr>
              <w:spacing w:after="0" w:line="177"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6"/>
        </w:trPr>
        <w:tc>
          <w:tcPr>
            <w:tcW w:w="1640" w:type="dxa"/>
            <w:vAlign w:val="bottom"/>
          </w:tcPr>
          <w:p>
            <w:pPr>
              <w:spacing w:after="0"/>
              <w:rPr>
                <w:sz w:val="19"/>
                <w:szCs w:val="19"/>
                <w:color w:val="auto"/>
              </w:rPr>
            </w:pPr>
          </w:p>
        </w:tc>
        <w:tc>
          <w:tcPr>
            <w:tcW w:w="3960" w:type="dxa"/>
            <w:vAlign w:val="bottom"/>
          </w:tcPr>
          <w:p>
            <w:pPr>
              <w:ind w:left="3520"/>
              <w:spacing w:after="0"/>
              <w:rPr>
                <w:sz w:val="20"/>
                <w:szCs w:val="20"/>
                <w:color w:val="auto"/>
              </w:rPr>
            </w:pPr>
            <w:r>
              <w:rPr>
                <w:rFonts w:ascii="Arial" w:cs="Arial" w:eastAsia="Arial" w:hAnsi="Arial"/>
                <w:sz w:val="18"/>
                <w:szCs w:val="18"/>
                <w:color w:val="auto"/>
                <w:w w:val="93"/>
              </w:rPr>
              <w:t xml:space="preserve">Yes </w:t>
            </w:r>
            <w:r>
              <w:rPr>
                <w:rFonts w:ascii="Arial" w:cs="Arial" w:eastAsia="Arial" w:hAnsi="Arial"/>
                <w:sz w:val="16"/>
                <w:szCs w:val="16"/>
                <w:color w:val="auto"/>
                <w:w w:val="93"/>
              </w:rPr>
              <w:t>o</w:t>
            </w:r>
          </w:p>
        </w:tc>
        <w:tc>
          <w:tcPr>
            <w:tcW w:w="4940" w:type="dxa"/>
            <w:vAlign w:val="bottom"/>
            <w:gridSpan w:val="2"/>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6"/>
                <w:szCs w:val="16"/>
                <w:color w:val="auto"/>
              </w:rPr>
              <w:t>☑</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10540" w:type="dxa"/>
            <w:vAlign w:val="bottom"/>
            <w:gridSpan w:val="4"/>
          </w:tcPr>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5"/>
        </w:trPr>
        <w:tc>
          <w:tcPr>
            <w:tcW w:w="16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jc w:val="center"/>
              <w:ind w:right="1553"/>
              <w:spacing w:after="0"/>
              <w:rPr>
                <w:sz w:val="20"/>
                <w:szCs w:val="20"/>
                <w:color w:val="auto"/>
              </w:rPr>
            </w:pPr>
            <w:r>
              <w:rPr>
                <w:rFonts w:ascii="Arial" w:cs="Arial" w:eastAsia="Arial" w:hAnsi="Arial"/>
                <w:sz w:val="18"/>
                <w:szCs w:val="18"/>
                <w:b w:val="1"/>
                <w:bCs w:val="1"/>
                <w:color w:val="auto"/>
                <w:w w:val="83"/>
              </w:rPr>
              <w:t>Class</w:t>
            </w:r>
          </w:p>
        </w:tc>
        <w:tc>
          <w:tcPr>
            <w:tcW w:w="240" w:type="dxa"/>
            <w:vAlign w:val="bottom"/>
          </w:tcPr>
          <w:p>
            <w:pPr>
              <w:spacing w:after="0"/>
              <w:rPr>
                <w:sz w:val="24"/>
                <w:szCs w:val="24"/>
                <w:color w:val="auto"/>
              </w:rPr>
            </w:pPr>
          </w:p>
        </w:tc>
        <w:tc>
          <w:tcPr>
            <w:tcW w:w="4700" w:type="dxa"/>
            <w:vAlign w:val="bottom"/>
            <w:tcBorders>
              <w:bottom w:val="single" w:sz="8" w:color="auto"/>
            </w:tcBorders>
          </w:tcPr>
          <w:p>
            <w:pPr>
              <w:jc w:val="center"/>
              <w:ind w:left="792"/>
              <w:spacing w:after="0"/>
              <w:rPr>
                <w:sz w:val="20"/>
                <w:szCs w:val="20"/>
                <w:color w:val="auto"/>
              </w:rPr>
            </w:pPr>
            <w:r>
              <w:rPr>
                <w:rFonts w:ascii="Arial" w:cs="Arial" w:eastAsia="Arial" w:hAnsi="Arial"/>
                <w:sz w:val="18"/>
                <w:szCs w:val="18"/>
                <w:b w:val="1"/>
                <w:bCs w:val="1"/>
                <w:color w:val="auto"/>
                <w:w w:val="87"/>
              </w:rPr>
              <w:t>Outstanding as of August 2, 2016</w:t>
            </w: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640" w:type="dxa"/>
            <w:vAlign w:val="bottom"/>
          </w:tcPr>
          <w:p>
            <w:pPr>
              <w:spacing w:after="0"/>
              <w:rPr>
                <w:sz w:val="18"/>
                <w:szCs w:val="18"/>
                <w:color w:val="auto"/>
              </w:rPr>
            </w:pPr>
          </w:p>
        </w:tc>
        <w:tc>
          <w:tcPr>
            <w:tcW w:w="3960" w:type="dxa"/>
            <w:vAlign w:val="bottom"/>
          </w:tcPr>
          <w:p>
            <w:pPr>
              <w:jc w:val="center"/>
              <w:ind w:right="1553"/>
              <w:spacing w:after="0"/>
              <w:rPr>
                <w:sz w:val="20"/>
                <w:szCs w:val="20"/>
                <w:color w:val="auto"/>
              </w:rPr>
            </w:pPr>
            <w:r>
              <w:rPr>
                <w:rFonts w:ascii="Arial" w:cs="Arial" w:eastAsia="Arial" w:hAnsi="Arial"/>
                <w:sz w:val="18"/>
                <w:szCs w:val="18"/>
                <w:color w:val="auto"/>
                <w:w w:val="88"/>
              </w:rPr>
              <w:t>Common Stock, $0.01 par value</w:t>
            </w:r>
          </w:p>
        </w:tc>
        <w:tc>
          <w:tcPr>
            <w:tcW w:w="240" w:type="dxa"/>
            <w:vAlign w:val="bottom"/>
          </w:tcPr>
          <w:p>
            <w:pPr>
              <w:spacing w:after="0"/>
              <w:rPr>
                <w:sz w:val="18"/>
                <w:szCs w:val="18"/>
                <w:color w:val="auto"/>
              </w:rPr>
            </w:pPr>
          </w:p>
        </w:tc>
        <w:tc>
          <w:tcPr>
            <w:tcW w:w="4700" w:type="dxa"/>
            <w:vAlign w:val="bottom"/>
          </w:tcPr>
          <w:p>
            <w:pPr>
              <w:jc w:val="center"/>
              <w:ind w:left="812"/>
              <w:spacing w:after="0"/>
              <w:rPr>
                <w:sz w:val="20"/>
                <w:szCs w:val="20"/>
                <w:color w:val="auto"/>
              </w:rPr>
            </w:pPr>
            <w:r>
              <w:rPr>
                <w:rFonts w:ascii="Arial" w:cs="Arial" w:eastAsia="Arial" w:hAnsi="Arial"/>
                <w:sz w:val="18"/>
                <w:szCs w:val="18"/>
                <w:color w:val="auto"/>
                <w:w w:val="88"/>
              </w:rPr>
              <w:t>63,437,540</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42"/>
        </w:trPr>
        <w:tc>
          <w:tcPr>
            <w:tcW w:w="1640" w:type="dxa"/>
            <w:vAlign w:val="bottom"/>
            <w:tcBorders>
              <w:bottom w:val="single" w:sz="8" w:color="auto"/>
            </w:tcBorders>
          </w:tcPr>
          <w:p>
            <w:pPr>
              <w:spacing w:after="0"/>
              <w:rPr>
                <w:sz w:val="12"/>
                <w:szCs w:val="12"/>
                <w:color w:val="auto"/>
              </w:rPr>
            </w:pPr>
          </w:p>
        </w:tc>
        <w:tc>
          <w:tcPr>
            <w:tcW w:w="39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7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30"/>
        </w:trPr>
        <w:tc>
          <w:tcPr>
            <w:tcW w:w="164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045"/>
        </w:trPr>
        <w:tc>
          <w:tcPr>
            <w:tcW w:w="164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7251700</wp:posOffset>
            </wp:positionH>
            <wp:positionV relativeFrom="paragraph">
              <wp:posOffset>-27940</wp:posOffset>
            </wp:positionV>
            <wp:extent cx="3365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568" w:right="1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860" w:type="dxa"/>
            <w:vAlign w:val="bottom"/>
            <w:gridSpan w:val="19"/>
            <w:vMerge w:val="restart"/>
          </w:tcPr>
          <w:p>
            <w:pPr>
              <w:spacing w:after="0"/>
              <w:rPr>
                <w:sz w:val="20"/>
                <w:szCs w:val="20"/>
                <w:color w:val="auto"/>
              </w:rPr>
            </w:pPr>
            <w:r>
              <w:rPr>
                <w:rFonts w:ascii="Arial" w:cs="Arial" w:eastAsia="Arial" w:hAnsi="Arial"/>
                <w:sz w:val="18"/>
                <w:szCs w:val="18"/>
                <w:color w:val="auto"/>
              </w:rPr>
              <w:t>Part I. Financial Information:</w:t>
            </w: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211"/>
        </w:trPr>
        <w:tc>
          <w:tcPr>
            <w:tcW w:w="10860" w:type="dxa"/>
            <w:vAlign w:val="bottom"/>
            <w:gridSpan w:val="19"/>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200" w:type="dxa"/>
            <w:vAlign w:val="bottom"/>
          </w:tcPr>
          <w:p>
            <w:pPr>
              <w:spacing w:after="0"/>
              <w:rPr>
                <w:sz w:val="24"/>
                <w:szCs w:val="24"/>
                <w:color w:val="auto"/>
              </w:rPr>
            </w:pPr>
          </w:p>
        </w:tc>
        <w:tc>
          <w:tcPr>
            <w:tcW w:w="106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r>
              <w:rPr>
                <w:rFonts w:ascii="Arial" w:cs="Arial" w:eastAsia="Arial" w:hAnsi="Arial"/>
                <w:sz w:val="18"/>
                <w:szCs w:val="18"/>
                <w:color w:val="000000"/>
              </w:rPr>
              <w: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 June 30, 2016, December 31, 2015 and June 30, 2015</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3"/>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6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Earnings and Comprehensive Earnings – Three and Six Months Ended June 30, 2016 and 2015</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09"/>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Consolidated Statements of Cash Flows – Six Months Ended June 30, 2016 and 2015</w:t>
              </w:r>
            </w:hyperlink>
          </w:p>
        </w:tc>
        <w:tc>
          <w:tcPr>
            <w:tcW w:w="2800" w:type="dxa"/>
            <w:vAlign w:val="bottom"/>
            <w:tcBorders>
              <w:top w:val="single" w:sz="8" w:color="0000EE"/>
            </w:tcBorders>
            <w:gridSpan w:val="2"/>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09"/>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4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Consolidated Statement of Total Equity - Six Months Ended June 30, 2016</w:t>
              </w:r>
            </w:hyperlink>
          </w:p>
        </w:tc>
        <w:tc>
          <w:tcPr>
            <w:tcW w:w="492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09"/>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Notes to Consolidated Financial Statements</w:t>
              </w:r>
            </w:hyperlink>
          </w:p>
        </w:tc>
        <w:tc>
          <w:tcPr>
            <w:tcW w:w="722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09"/>
        </w:trPr>
        <w:tc>
          <w:tcPr>
            <w:tcW w:w="200" w:type="dxa"/>
            <w:vAlign w:val="bottom"/>
          </w:tcPr>
          <w:p>
            <w:pPr>
              <w:spacing w:after="0"/>
              <w:rPr>
                <w:sz w:val="24"/>
                <w:szCs w:val="24"/>
                <w:color w:val="auto"/>
              </w:rPr>
            </w:pPr>
          </w:p>
        </w:tc>
        <w:tc>
          <w:tcPr>
            <w:tcW w:w="1066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 Management’s Discussion and Analysis of Financial Condition and Results of Operations</w:t>
              </w:r>
            </w:hyperlink>
            <w:r>
              <w:rPr>
                <w:rFonts w:ascii="Arial" w:cs="Arial" w:eastAsia="Arial" w:hAnsi="Arial"/>
                <w:sz w:val="18"/>
                <w:szCs w:val="18"/>
                <w:color w:val="000000"/>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09"/>
        </w:trPr>
        <w:tc>
          <w:tcPr>
            <w:tcW w:w="200" w:type="dxa"/>
            <w:vAlign w:val="bottom"/>
          </w:tcPr>
          <w:p>
            <w:pPr>
              <w:spacing w:after="0"/>
              <w:rPr>
                <w:sz w:val="24"/>
                <w:szCs w:val="24"/>
                <w:color w:val="auto"/>
              </w:rPr>
            </w:pPr>
          </w:p>
        </w:tc>
        <w:tc>
          <w:tcPr>
            <w:tcW w:w="7200" w:type="dxa"/>
            <w:vAlign w:val="bottom"/>
            <w:tcBorders>
              <w:top w:val="single" w:sz="8" w:color="0000EE"/>
            </w:tcBorders>
            <w:gridSpan w:val="16"/>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3. Quantitative and Qualitative Disclosures About Market Risk</w:t>
              </w:r>
            </w:hyperlink>
            <w:r>
              <w:rPr>
                <w:rFonts w:ascii="Arial" w:cs="Arial" w:eastAsia="Arial" w:hAnsi="Arial"/>
                <w:sz w:val="18"/>
                <w:szCs w:val="18"/>
                <w:color w:val="000000"/>
              </w:rPr>
              <w:t>.</w:t>
            </w:r>
          </w:p>
        </w:tc>
        <w:tc>
          <w:tcPr>
            <w:tcW w:w="346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09"/>
        </w:trPr>
        <w:tc>
          <w:tcPr>
            <w:tcW w:w="200" w:type="dxa"/>
            <w:vAlign w:val="bottom"/>
          </w:tcPr>
          <w:p>
            <w:pPr>
              <w:spacing w:after="0"/>
              <w:rPr>
                <w:sz w:val="24"/>
                <w:szCs w:val="24"/>
                <w:color w:val="auto"/>
              </w:rPr>
            </w:pPr>
          </w:p>
        </w:tc>
        <w:tc>
          <w:tcPr>
            <w:tcW w:w="5040" w:type="dxa"/>
            <w:vAlign w:val="bottom"/>
            <w:tcBorders>
              <w:top w:val="single" w:sz="8" w:color="0000EE"/>
            </w:tcBorders>
            <w:gridSpan w:val="1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4. Controls and Procedures</w:t>
              </w:r>
            </w:hyperlink>
            <w:r>
              <w:rPr>
                <w:rFonts w:ascii="Arial" w:cs="Arial" w:eastAsia="Arial" w:hAnsi="Arial"/>
                <w:sz w:val="18"/>
                <w:szCs w:val="18"/>
                <w:color w:val="000000"/>
              </w:rPr>
              <w:t>.</w:t>
            </w:r>
          </w:p>
        </w:tc>
        <w:tc>
          <w:tcPr>
            <w:tcW w:w="562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10860" w:type="dxa"/>
            <w:vAlign w:val="bottom"/>
            <w:gridSpan w:val="19"/>
          </w:tcPr>
          <w:p>
            <w:pPr>
              <w:spacing w:after="0"/>
              <w:rPr>
                <w:sz w:val="20"/>
                <w:szCs w:val="20"/>
                <w:color w:val="auto"/>
              </w:rPr>
            </w:pPr>
            <w:r>
              <w:rPr>
                <w:rFonts w:ascii="Arial" w:cs="Arial" w:eastAsia="Arial" w:hAnsi="Arial"/>
                <w:sz w:val="18"/>
                <w:szCs w:val="18"/>
                <w:color w:val="auto"/>
              </w:rPr>
              <w:t>Part II. 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color w:val="0000EE"/>
                <w:w w:val="94"/>
              </w:rPr>
            </w:pPr>
            <w:hyperlink w:anchor="page58">
              <w:r>
                <w:rPr>
                  <w:rFonts w:ascii="Arial" w:cs="Arial" w:eastAsia="Arial" w:hAnsi="Arial"/>
                  <w:sz w:val="18"/>
                  <w:szCs w:val="18"/>
                  <w:color w:val="0000EE"/>
                  <w:w w:val="94"/>
                </w:rPr>
                <w:t>Item 1.</w:t>
              </w:r>
            </w:hyperlink>
          </w:p>
        </w:tc>
        <w:tc>
          <w:tcPr>
            <w:tcW w:w="10120" w:type="dxa"/>
            <w:vAlign w:val="bottom"/>
            <w:gridSpan w:val="16"/>
          </w:tcPr>
          <w:p>
            <w:pPr>
              <w:ind w:left="40"/>
              <w:spacing w:after="0"/>
              <w:rPr>
                <w:rFonts w:ascii="Arial" w:cs="Arial" w:eastAsia="Arial" w:hAnsi="Arial"/>
                <w:sz w:val="18"/>
                <w:szCs w:val="18"/>
                <w:color w:val="0000EE"/>
              </w:rPr>
            </w:pPr>
            <w:hyperlink w:anchor="page58">
              <w:r>
                <w:rPr>
                  <w:rFonts w:ascii="Arial" w:cs="Arial" w:eastAsia="Arial" w:hAnsi="Arial"/>
                  <w:sz w:val="18"/>
                  <w:szCs w:val="18"/>
                  <w:color w:val="0000EE"/>
                </w:rPr>
                <w:t>Legal Proceedings</w:t>
              </w:r>
            </w:hyperlink>
            <w:r>
              <w:rPr>
                <w:rFonts w:ascii="Arial" w:cs="Arial" w:eastAsia="Arial" w:hAnsi="Arial"/>
                <w:sz w:val="18"/>
                <w:szCs w:val="18"/>
                <w:color w:val="000000"/>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09"/>
        </w:trPr>
        <w:tc>
          <w:tcPr>
            <w:tcW w:w="200" w:type="dxa"/>
            <w:vAlign w:val="bottom"/>
          </w:tcPr>
          <w:p>
            <w:pPr>
              <w:spacing w:after="0"/>
              <w:rPr>
                <w:sz w:val="24"/>
                <w:szCs w:val="24"/>
                <w:color w:val="auto"/>
              </w:rPr>
            </w:pPr>
          </w:p>
        </w:tc>
        <w:tc>
          <w:tcPr>
            <w:tcW w:w="1940" w:type="dxa"/>
            <w:vAlign w:val="bottom"/>
            <w:tcBorders>
              <w:top w:val="single" w:sz="8" w:color="0000EE"/>
            </w:tcBorders>
            <w:gridSpan w:val="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1A. Risk Factors</w:t>
              </w:r>
            </w:hyperlink>
            <w:r>
              <w:rPr>
                <w:rFonts w:ascii="Arial" w:cs="Arial" w:eastAsia="Arial" w:hAnsi="Arial"/>
                <w:sz w:val="18"/>
                <w:szCs w:val="18"/>
                <w:color w:val="000000"/>
              </w:rPr>
              <w:t>.</w:t>
            </w:r>
          </w:p>
        </w:tc>
        <w:tc>
          <w:tcPr>
            <w:tcW w:w="872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color w:val="0000EE"/>
                <w:w w:val="94"/>
              </w:rPr>
            </w:pPr>
            <w:hyperlink w:anchor="page58">
              <w:r>
                <w:rPr>
                  <w:rFonts w:ascii="Arial" w:cs="Arial" w:eastAsia="Arial" w:hAnsi="Arial"/>
                  <w:sz w:val="18"/>
                  <w:szCs w:val="18"/>
                  <w:color w:val="0000EE"/>
                  <w:w w:val="94"/>
                </w:rPr>
                <w:t>Item 2.</w:t>
              </w:r>
            </w:hyperlink>
          </w:p>
        </w:tc>
        <w:tc>
          <w:tcPr>
            <w:tcW w:w="10120" w:type="dxa"/>
            <w:vAlign w:val="bottom"/>
            <w:gridSpan w:val="16"/>
          </w:tcPr>
          <w:p>
            <w:pPr>
              <w:ind w:left="40"/>
              <w:spacing w:after="0"/>
              <w:rPr>
                <w:rFonts w:ascii="Arial" w:cs="Arial" w:eastAsia="Arial" w:hAnsi="Arial"/>
                <w:sz w:val="18"/>
                <w:szCs w:val="18"/>
                <w:color w:val="0000EE"/>
              </w:rPr>
            </w:pPr>
            <w:hyperlink w:anchor="page58">
              <w:r>
                <w:rPr>
                  <w:rFonts w:ascii="Arial" w:cs="Arial" w:eastAsia="Arial" w:hAnsi="Arial"/>
                  <w:sz w:val="18"/>
                  <w:szCs w:val="18"/>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09"/>
        </w:trPr>
        <w:tc>
          <w:tcPr>
            <w:tcW w:w="200" w:type="dxa"/>
            <w:vAlign w:val="bottom"/>
          </w:tcPr>
          <w:p>
            <w:pPr>
              <w:spacing w:after="0"/>
              <w:rPr>
                <w:sz w:val="24"/>
                <w:szCs w:val="24"/>
                <w:color w:val="auto"/>
              </w:rPr>
            </w:pPr>
          </w:p>
        </w:tc>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58">
              <w:r>
                <w:rPr>
                  <w:rFonts w:ascii="Arial" w:cs="Arial" w:eastAsia="Arial" w:hAnsi="Arial"/>
                  <w:sz w:val="18"/>
                  <w:szCs w:val="18"/>
                  <w:color w:val="0000EE"/>
                  <w:w w:val="94"/>
                </w:rPr>
                <w:t>Item 4.</w:t>
              </w:r>
            </w:hyperlink>
          </w:p>
        </w:tc>
        <w:tc>
          <w:tcPr>
            <w:tcW w:w="4540" w:type="dxa"/>
            <w:vAlign w:val="bottom"/>
            <w:tcBorders>
              <w:top w:val="single" w:sz="8" w:color="0000EE"/>
            </w:tcBorders>
            <w:gridSpan w:val="10"/>
          </w:tcPr>
          <w:p>
            <w:pPr>
              <w:ind w:left="40"/>
              <w:spacing w:after="0"/>
              <w:rPr>
                <w:rFonts w:ascii="Arial" w:cs="Arial" w:eastAsia="Arial" w:hAnsi="Arial"/>
                <w:sz w:val="18"/>
                <w:szCs w:val="18"/>
                <w:color w:val="0000EE"/>
              </w:rPr>
            </w:pPr>
            <w:hyperlink w:anchor="page58">
              <w:r>
                <w:rPr>
                  <w:rFonts w:ascii="Arial" w:cs="Arial" w:eastAsia="Arial" w:hAnsi="Arial"/>
                  <w:sz w:val="18"/>
                  <w:szCs w:val="18"/>
                  <w:color w:val="0000EE"/>
                </w:rPr>
                <w:t>Mine Safety Disclosures</w:t>
              </w:r>
            </w:hyperlink>
            <w:r>
              <w:rPr>
                <w:rFonts w:ascii="Arial" w:cs="Arial" w:eastAsia="Arial" w:hAnsi="Arial"/>
                <w:sz w:val="18"/>
                <w:szCs w:val="18"/>
                <w:color w:val="000000"/>
              </w:rPr>
              <w:t>.</w:t>
            </w:r>
          </w:p>
        </w:tc>
        <w:tc>
          <w:tcPr>
            <w:tcW w:w="558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09"/>
        </w:trPr>
        <w:tc>
          <w:tcPr>
            <w:tcW w:w="200" w:type="dxa"/>
            <w:vAlign w:val="bottom"/>
          </w:tcPr>
          <w:p>
            <w:pPr>
              <w:spacing w:after="0"/>
              <w:rPr>
                <w:sz w:val="24"/>
                <w:szCs w:val="24"/>
                <w:color w:val="auto"/>
              </w:rPr>
            </w:pPr>
          </w:p>
        </w:tc>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59">
              <w:r>
                <w:rPr>
                  <w:rFonts w:ascii="Arial" w:cs="Arial" w:eastAsia="Arial" w:hAnsi="Arial"/>
                  <w:sz w:val="18"/>
                  <w:szCs w:val="18"/>
                  <w:color w:val="0000EE"/>
                  <w:w w:val="94"/>
                </w:rPr>
                <w:t>Item 6.</w:t>
              </w:r>
            </w:hyperlink>
          </w:p>
        </w:tc>
        <w:tc>
          <w:tcPr>
            <w:tcW w:w="1840" w:type="dxa"/>
            <w:vAlign w:val="bottom"/>
            <w:tcBorders>
              <w:top w:val="single" w:sz="8" w:color="0000EE"/>
            </w:tcBorders>
            <w:gridSpan w:val="7"/>
          </w:tcPr>
          <w:p>
            <w:pPr>
              <w:ind w:left="40"/>
              <w:spacing w:after="0"/>
              <w:rPr>
                <w:rFonts w:ascii="Arial" w:cs="Arial" w:eastAsia="Arial" w:hAnsi="Arial"/>
                <w:sz w:val="18"/>
                <w:szCs w:val="18"/>
                <w:color w:val="0000EE"/>
              </w:rPr>
            </w:pPr>
            <w:hyperlink w:anchor="page59">
              <w:r>
                <w:rPr>
                  <w:rFonts w:ascii="Arial" w:cs="Arial" w:eastAsia="Arial" w:hAnsi="Arial"/>
                  <w:sz w:val="18"/>
                  <w:szCs w:val="18"/>
                  <w:color w:val="0000EE"/>
                </w:rPr>
                <w:t>Exhibits</w:t>
              </w:r>
            </w:hyperlink>
            <w:r>
              <w:rPr>
                <w:rFonts w:ascii="Arial" w:cs="Arial" w:eastAsia="Arial" w:hAnsi="Arial"/>
                <w:sz w:val="18"/>
                <w:szCs w:val="18"/>
                <w:color w:val="000000"/>
              </w:rPr>
              <w:t>.</w:t>
            </w:r>
          </w:p>
        </w:tc>
        <w:tc>
          <w:tcPr>
            <w:tcW w:w="828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8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10860" w:type="dxa"/>
            <w:vAlign w:val="bottom"/>
            <w:gridSpan w:val="1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Signatures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78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40" w:type="dxa"/>
            <w:vAlign w:val="bottom"/>
            <w:gridSpan w:val="1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102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61">
              <w:r>
                <w:rPr>
                  <w:rFonts w:ascii="Arial" w:cs="Arial" w:eastAsia="Arial" w:hAnsi="Arial"/>
                  <w:sz w:val="18"/>
                  <w:szCs w:val="18"/>
                  <w:color w:val="0000EE"/>
                  <w:w w:val="96"/>
                </w:rPr>
                <w:t>Exhibit Index</w:t>
              </w:r>
            </w:hyperlink>
          </w:p>
        </w:tc>
        <w:tc>
          <w:tcPr>
            <w:tcW w:w="9840" w:type="dxa"/>
            <w:vAlign w:val="bottom"/>
            <w:gridSpan w:val="1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color w:val="auto"/>
        </w:rPr>
        <w:t>PART I. FINANCIAL INFOMRATION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Item 1.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 CONSOLIDATED BALANCE SHEETS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jc w:val="right"/>
              <w:ind w:right="840"/>
              <w:spacing w:after="0"/>
              <w:rPr>
                <w:sz w:val="20"/>
                <w:szCs w:val="20"/>
                <w:color w:val="auto"/>
              </w:rPr>
            </w:pPr>
            <w:r>
              <w:rPr>
                <w:rFonts w:ascii="Arial" w:cs="Arial" w:eastAsia="Arial" w:hAnsi="Arial"/>
                <w:sz w:val="15"/>
                <w:szCs w:val="15"/>
                <w:color w:val="auto"/>
              </w:rPr>
              <w:t>June 30,</w:t>
            </w:r>
          </w:p>
        </w:tc>
        <w:tc>
          <w:tcPr>
            <w:tcW w:w="240" w:type="dxa"/>
            <w:vAlign w:val="bottom"/>
          </w:tcPr>
          <w:p>
            <w:pPr>
              <w:spacing w:after="0"/>
              <w:rPr>
                <w:sz w:val="16"/>
                <w:szCs w:val="16"/>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5"/>
                <w:szCs w:val="15"/>
                <w:color w:val="auto"/>
                <w:w w:val="89"/>
              </w:rPr>
              <w:t>December 31,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5"/>
                <w:szCs w:val="15"/>
                <w:color w:val="auto"/>
              </w:rPr>
              <w:t>June 30,</w:t>
            </w:r>
          </w:p>
        </w:tc>
      </w:tr>
      <w:tr>
        <w:trPr>
          <w:trHeight w:val="205"/>
        </w:trPr>
        <w:tc>
          <w:tcPr>
            <w:tcW w:w="58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84"/>
              <w:spacing w:after="0"/>
              <w:rPr>
                <w:sz w:val="20"/>
                <w:szCs w:val="20"/>
                <w:color w:val="auto"/>
              </w:rPr>
            </w:pPr>
            <w:r>
              <w:rPr>
                <w:rFonts w:ascii="Arial" w:cs="Arial" w:eastAsia="Arial" w:hAnsi="Arial"/>
                <w:sz w:val="15"/>
                <w:szCs w:val="15"/>
                <w:color w:val="auto"/>
              </w:rPr>
              <w:t>2016</w:t>
            </w: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84"/>
              <w:spacing w:after="0"/>
              <w:rPr>
                <w:sz w:val="20"/>
                <w:szCs w:val="20"/>
                <w:color w:val="auto"/>
              </w:rPr>
            </w:pPr>
            <w:r>
              <w:rPr>
                <w:rFonts w:ascii="Arial" w:cs="Arial" w:eastAsia="Arial" w:hAnsi="Arial"/>
                <w:sz w:val="15"/>
                <w:szCs w:val="15"/>
                <w:color w:val="auto"/>
                <w:w w:val="89"/>
              </w:rPr>
              <w:t>2015</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color w:val="auto"/>
              </w:rPr>
              <w:t>2015</w:t>
            </w:r>
          </w:p>
        </w:tc>
        <w:tc>
          <w:tcPr>
            <w:tcW w:w="100" w:type="dxa"/>
            <w:vAlign w:val="bottom"/>
          </w:tcPr>
          <w:p>
            <w:pPr>
              <w:spacing w:after="0"/>
              <w:rPr>
                <w:sz w:val="17"/>
                <w:szCs w:val="17"/>
                <w:color w:val="auto"/>
              </w:rPr>
            </w:pPr>
          </w:p>
        </w:tc>
      </w:tr>
      <w:tr>
        <w:trPr>
          <w:trHeight w:val="191"/>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960" w:type="dxa"/>
            <w:vAlign w:val="bottom"/>
            <w:gridSpan w:val="7"/>
          </w:tcPr>
          <w:p>
            <w:pPr>
              <w:jc w:val="center"/>
              <w:ind w:left="764"/>
              <w:spacing w:after="0"/>
              <w:rPr>
                <w:sz w:val="20"/>
                <w:szCs w:val="20"/>
                <w:color w:val="auto"/>
              </w:rPr>
            </w:pPr>
            <w:r>
              <w:rPr>
                <w:rFonts w:ascii="Arial" w:cs="Arial" w:eastAsia="Arial" w:hAnsi="Arial"/>
                <w:sz w:val="15"/>
                <w:szCs w:val="15"/>
                <w:i w:val="1"/>
                <w:iCs w:val="1"/>
                <w:color w:val="auto"/>
                <w:w w:val="92"/>
              </w:rPr>
              <w:t>(Dollars in Thousands, Except Per Share Data)</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586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Current Assets:</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9"/>
        </w:trPr>
        <w:tc>
          <w:tcPr>
            <w:tcW w:w="586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28,596</w:t>
            </w:r>
          </w:p>
        </w:tc>
        <w:tc>
          <w:tcPr>
            <w:tcW w:w="28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168,409</w:t>
            </w:r>
          </w:p>
        </w:tc>
        <w:tc>
          <w:tcPr>
            <w:tcW w:w="160" w:type="dxa"/>
            <w:vAlign w:val="bottom"/>
          </w:tcPr>
          <w:p>
            <w:pPr>
              <w:spacing w:after="0"/>
              <w:rPr>
                <w:sz w:val="17"/>
                <w:szCs w:val="17"/>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44,169</w:t>
            </w:r>
          </w:p>
        </w:tc>
        <w:tc>
          <w:tcPr>
            <w:tcW w:w="100" w:type="dxa"/>
            <w:vAlign w:val="bottom"/>
          </w:tcPr>
          <w:p>
            <w:pPr>
              <w:spacing w:after="0"/>
              <w:rPr>
                <w:sz w:val="17"/>
                <w:szCs w:val="17"/>
                <w:color w:val="auto"/>
              </w:rPr>
            </w:pP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Accounts receivable, net</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534,459</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410,921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497,468</w:t>
            </w:r>
          </w:p>
        </w:tc>
        <w:tc>
          <w:tcPr>
            <w:tcW w:w="100" w:type="dxa"/>
            <w:vAlign w:val="bottom"/>
            <w:shd w:val="clear" w:color="auto" w:fill="CFF0FC"/>
          </w:tcPr>
          <w:p>
            <w:pPr>
              <w:spacing w:after="0"/>
              <w:rPr>
                <w:sz w:val="17"/>
                <w:szCs w:val="17"/>
                <w:color w:val="auto"/>
              </w:rPr>
            </w:pPr>
          </w:p>
        </w:tc>
      </w:tr>
      <w:tr>
        <w:trPr>
          <w:trHeight w:val="199"/>
        </w:trPr>
        <w:tc>
          <w:tcPr>
            <w:tcW w:w="5860" w:type="dxa"/>
            <w:vAlign w:val="bottom"/>
          </w:tcPr>
          <w:p>
            <w:pPr>
              <w:spacing w:after="0"/>
              <w:rPr>
                <w:sz w:val="20"/>
                <w:szCs w:val="20"/>
                <w:color w:val="auto"/>
              </w:rPr>
            </w:pPr>
            <w:r>
              <w:rPr>
                <w:rFonts w:ascii="Arial" w:cs="Arial" w:eastAsia="Arial" w:hAnsi="Arial"/>
                <w:sz w:val="15"/>
                <w:szCs w:val="15"/>
                <w:color w:val="auto"/>
              </w:rPr>
              <w:t>Inventories, net</w:t>
            </w: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504,877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469,141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479,856</w:t>
            </w:r>
          </w:p>
        </w:tc>
        <w:tc>
          <w:tcPr>
            <w:tcW w:w="100" w:type="dxa"/>
            <w:vAlign w:val="bottom"/>
          </w:tcPr>
          <w:p>
            <w:pPr>
              <w:spacing w:after="0"/>
              <w:rPr>
                <w:sz w:val="17"/>
                <w:szCs w:val="17"/>
                <w:color w:val="auto"/>
              </w:rPr>
            </w:pP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Assets held for sale</w:t>
            </w:r>
          </w:p>
        </w:tc>
        <w:tc>
          <w:tcPr>
            <w:tcW w:w="3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426,495</w:t>
            </w:r>
          </w:p>
        </w:tc>
        <w:tc>
          <w:tcPr>
            <w:tcW w:w="100" w:type="dxa"/>
            <w:vAlign w:val="bottom"/>
            <w:shd w:val="clear" w:color="auto" w:fill="CFF0FC"/>
          </w:tcPr>
          <w:p>
            <w:pPr>
              <w:spacing w:after="0"/>
              <w:rPr>
                <w:sz w:val="17"/>
                <w:szCs w:val="17"/>
                <w:color w:val="auto"/>
              </w:rPr>
            </w:pPr>
          </w:p>
        </w:tc>
      </w:tr>
      <w:tr>
        <w:trPr>
          <w:trHeight w:val="199"/>
        </w:trPr>
        <w:tc>
          <w:tcPr>
            <w:tcW w:w="58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 current assets</w:t>
            </w: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53,997</w:t>
            </w:r>
          </w:p>
        </w:tc>
        <w:tc>
          <w:tcPr>
            <w:tcW w:w="2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33,164</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82,134</w:t>
            </w:r>
          </w:p>
        </w:tc>
        <w:tc>
          <w:tcPr>
            <w:tcW w:w="100" w:type="dxa"/>
            <w:vAlign w:val="bottom"/>
            <w:tcBorders>
              <w:bottom w:val="single" w:sz="8" w:color="CFF0FC"/>
            </w:tcBorders>
          </w:tcPr>
          <w:p>
            <w:pPr>
              <w:spacing w:after="0"/>
              <w:rPr>
                <w:sz w:val="17"/>
                <w:szCs w:val="17"/>
                <w:color w:val="auto"/>
              </w:rPr>
            </w:pPr>
          </w:p>
        </w:tc>
      </w:tr>
      <w:tr>
        <w:trPr>
          <w:trHeight w:val="194"/>
        </w:trPr>
        <w:tc>
          <w:tcPr>
            <w:tcW w:w="5860" w:type="dxa"/>
            <w:vAlign w:val="bottom"/>
            <w:shd w:val="clear" w:color="auto" w:fill="CFF0FC"/>
          </w:tcPr>
          <w:p>
            <w:pPr>
              <w:ind w:left="240"/>
              <w:spacing w:after="0"/>
              <w:rPr>
                <w:sz w:val="20"/>
                <w:szCs w:val="20"/>
                <w:color w:val="auto"/>
              </w:rPr>
            </w:pPr>
            <w:r>
              <w:rPr>
                <w:rFonts w:ascii="Arial" w:cs="Arial" w:eastAsia="Arial" w:hAnsi="Arial"/>
                <w:sz w:val="15"/>
                <w:szCs w:val="15"/>
                <w:color w:val="auto"/>
              </w:rPr>
              <w:t>Total Current Assets</w:t>
            </w:r>
          </w:p>
        </w:tc>
        <w:tc>
          <w:tcPr>
            <w:tcW w:w="32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1,121,929</w:t>
            </w:r>
          </w:p>
        </w:tc>
        <w:tc>
          <w:tcPr>
            <w:tcW w:w="28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1,081,635</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1,530,122</w:t>
            </w:r>
          </w:p>
        </w:tc>
        <w:tc>
          <w:tcPr>
            <w:tcW w:w="100" w:type="dxa"/>
            <w:vAlign w:val="bottom"/>
            <w:shd w:val="clear" w:color="auto" w:fill="CFF0FC"/>
          </w:tcPr>
          <w:p>
            <w:pPr>
              <w:spacing w:after="0"/>
              <w:rPr>
                <w:sz w:val="16"/>
                <w:szCs w:val="16"/>
                <w:color w:val="auto"/>
              </w:rPr>
            </w:pPr>
          </w:p>
        </w:tc>
      </w:tr>
      <w:tr>
        <w:trPr>
          <w:trHeight w:val="198"/>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Property, plant and equipment</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5,896,512</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5,613,198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5,421,449</w:t>
            </w:r>
          </w:p>
        </w:tc>
        <w:tc>
          <w:tcPr>
            <w:tcW w:w="100" w:type="dxa"/>
            <w:vAlign w:val="bottom"/>
            <w:shd w:val="clear" w:color="auto" w:fill="CFF0FC"/>
          </w:tcPr>
          <w:p>
            <w:pPr>
              <w:spacing w:after="0"/>
              <w:rPr>
                <w:sz w:val="17"/>
                <w:szCs w:val="17"/>
                <w:color w:val="auto"/>
              </w:rPr>
            </w:pPr>
          </w:p>
        </w:tc>
      </w:tr>
      <w:tr>
        <w:trPr>
          <w:trHeight w:val="199"/>
        </w:trPr>
        <w:tc>
          <w:tcPr>
            <w:tcW w:w="5860" w:type="dxa"/>
            <w:vAlign w:val="bottom"/>
          </w:tcPr>
          <w:p>
            <w:pPr>
              <w:spacing w:after="0"/>
              <w:rPr>
                <w:sz w:val="20"/>
                <w:szCs w:val="20"/>
                <w:color w:val="auto"/>
              </w:rPr>
            </w:pPr>
            <w:r>
              <w:rPr>
                <w:rFonts w:ascii="Arial" w:cs="Arial" w:eastAsia="Arial" w:hAnsi="Arial"/>
                <w:sz w:val="15"/>
                <w:szCs w:val="15"/>
                <w:color w:val="auto"/>
              </w:rPr>
              <w:t>Allowances for depreciation, depletion and amortization</w:t>
            </w:r>
          </w:p>
        </w:tc>
        <w:tc>
          <w:tcPr>
            <w:tcW w:w="32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5"/>
                <w:szCs w:val="15"/>
                <w:color w:val="auto"/>
              </w:rPr>
              <w:t>(2,574,307)</w:t>
            </w:r>
          </w:p>
        </w:tc>
        <w:tc>
          <w:tcPr>
            <w:tcW w:w="24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5"/>
                <w:szCs w:val="15"/>
                <w:color w:val="auto"/>
              </w:rPr>
              <w:t>(2,457,198)</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5"/>
                <w:szCs w:val="15"/>
                <w:color w:val="auto"/>
              </w:rPr>
              <w:t>(2,371,926)</w:t>
            </w:r>
          </w:p>
        </w:tc>
      </w:tr>
      <w:tr>
        <w:trPr>
          <w:trHeight w:val="198"/>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Net property, plant and equipment</w:t>
            </w:r>
          </w:p>
        </w:tc>
        <w:tc>
          <w:tcPr>
            <w:tcW w:w="32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3,322,205</w:t>
            </w:r>
          </w:p>
        </w:tc>
        <w:tc>
          <w:tcPr>
            <w:tcW w:w="2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3,156,000</w:t>
            </w: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3,049,523</w:t>
            </w:r>
          </w:p>
        </w:tc>
        <w:tc>
          <w:tcPr>
            <w:tcW w:w="100" w:type="dxa"/>
            <w:vAlign w:val="bottom"/>
            <w:tcBorders>
              <w:top w:val="single" w:sz="8" w:color="CFF0FC"/>
            </w:tcBorders>
            <w:shd w:val="clear" w:color="auto" w:fill="CFF0FC"/>
          </w:tcPr>
          <w:p>
            <w:pPr>
              <w:spacing w:after="0"/>
              <w:rPr>
                <w:sz w:val="17"/>
                <w:szCs w:val="17"/>
                <w:color w:val="auto"/>
              </w:rPr>
            </w:pPr>
          </w:p>
        </w:tc>
      </w:tr>
      <w:tr>
        <w:trPr>
          <w:trHeight w:val="199"/>
        </w:trPr>
        <w:tc>
          <w:tcPr>
            <w:tcW w:w="5860" w:type="dxa"/>
            <w:vAlign w:val="bottom"/>
          </w:tcPr>
          <w:p>
            <w:pPr>
              <w:spacing w:after="0"/>
              <w:rPr>
                <w:sz w:val="20"/>
                <w:szCs w:val="20"/>
                <w:color w:val="auto"/>
              </w:rPr>
            </w:pPr>
            <w:r>
              <w:rPr>
                <w:rFonts w:ascii="Arial" w:cs="Arial" w:eastAsia="Arial" w:hAnsi="Arial"/>
                <w:sz w:val="15"/>
                <w:szCs w:val="15"/>
                <w:color w:val="auto"/>
              </w:rPr>
              <w:t>Goodwill</w:t>
            </w: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2,136,783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2,068,235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2,065,882</w:t>
            </w:r>
          </w:p>
        </w:tc>
        <w:tc>
          <w:tcPr>
            <w:tcW w:w="100" w:type="dxa"/>
            <w:vAlign w:val="bottom"/>
          </w:tcPr>
          <w:p>
            <w:pPr>
              <w:spacing w:after="0"/>
              <w:rPr>
                <w:sz w:val="17"/>
                <w:szCs w:val="17"/>
                <w:color w:val="auto"/>
              </w:rPr>
            </w:pP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Operating permits, net</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442,349</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444,725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447,702</w:t>
            </w:r>
          </w:p>
        </w:tc>
        <w:tc>
          <w:tcPr>
            <w:tcW w:w="100" w:type="dxa"/>
            <w:vAlign w:val="bottom"/>
            <w:shd w:val="clear" w:color="auto" w:fill="CFF0FC"/>
          </w:tcPr>
          <w:p>
            <w:pPr>
              <w:spacing w:after="0"/>
              <w:rPr>
                <w:sz w:val="17"/>
                <w:szCs w:val="17"/>
                <w:color w:val="auto"/>
              </w:rPr>
            </w:pPr>
          </w:p>
        </w:tc>
      </w:tr>
      <w:tr>
        <w:trPr>
          <w:trHeight w:val="199"/>
        </w:trPr>
        <w:tc>
          <w:tcPr>
            <w:tcW w:w="5860" w:type="dxa"/>
            <w:vAlign w:val="bottom"/>
          </w:tcPr>
          <w:p>
            <w:pPr>
              <w:spacing w:after="0"/>
              <w:rPr>
                <w:sz w:val="20"/>
                <w:szCs w:val="20"/>
                <w:color w:val="auto"/>
              </w:rPr>
            </w:pPr>
            <w:r>
              <w:rPr>
                <w:rFonts w:ascii="Arial" w:cs="Arial" w:eastAsia="Arial" w:hAnsi="Arial"/>
                <w:sz w:val="15"/>
                <w:szCs w:val="15"/>
                <w:color w:val="auto"/>
              </w:rPr>
              <w:t>Other intangibles, net</w:t>
            </w: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64,327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65,827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67,242</w:t>
            </w:r>
          </w:p>
        </w:tc>
        <w:tc>
          <w:tcPr>
            <w:tcW w:w="100" w:type="dxa"/>
            <w:vAlign w:val="bottom"/>
          </w:tcPr>
          <w:p>
            <w:pPr>
              <w:spacing w:after="0"/>
              <w:rPr>
                <w:sz w:val="17"/>
                <w:szCs w:val="17"/>
                <w:color w:val="auto"/>
              </w:rPr>
            </w:pP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Other noncurrent assets</w:t>
            </w:r>
          </w:p>
        </w:tc>
        <w:tc>
          <w:tcPr>
            <w:tcW w:w="3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145,712</w:t>
            </w:r>
          </w:p>
        </w:tc>
        <w:tc>
          <w:tcPr>
            <w:tcW w:w="28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141,189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99,926</w:t>
            </w:r>
          </w:p>
        </w:tc>
        <w:tc>
          <w:tcPr>
            <w:tcW w:w="100" w:type="dxa"/>
            <w:vAlign w:val="bottom"/>
            <w:shd w:val="clear" w:color="auto" w:fill="CFF0FC"/>
          </w:tcPr>
          <w:p>
            <w:pPr>
              <w:spacing w:after="0"/>
              <w:rPr>
                <w:sz w:val="17"/>
                <w:szCs w:val="17"/>
                <w:color w:val="auto"/>
              </w:rPr>
            </w:pPr>
          </w:p>
        </w:tc>
      </w:tr>
      <w:tr>
        <w:trPr>
          <w:trHeight w:val="231"/>
        </w:trPr>
        <w:tc>
          <w:tcPr>
            <w:tcW w:w="5860" w:type="dxa"/>
            <w:vAlign w:val="bottom"/>
          </w:tcPr>
          <w:p>
            <w:pPr>
              <w:ind w:left="240"/>
              <w:spacing w:after="0"/>
              <w:rPr>
                <w:sz w:val="20"/>
                <w:szCs w:val="20"/>
                <w:color w:val="auto"/>
              </w:rPr>
            </w:pPr>
            <w:r>
              <w:rPr>
                <w:rFonts w:ascii="Arial" w:cs="Arial" w:eastAsia="Arial" w:hAnsi="Arial"/>
                <w:sz w:val="15"/>
                <w:szCs w:val="15"/>
                <w:color w:val="auto"/>
              </w:rPr>
              <w:t>Total Assets</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7,233,305</w:t>
            </w:r>
          </w:p>
        </w:tc>
        <w:tc>
          <w:tcPr>
            <w:tcW w:w="280" w:type="dxa"/>
            <w:vAlign w:val="bottom"/>
          </w:tcPr>
          <w:p>
            <w:pPr>
              <w:spacing w:after="0"/>
              <w:rPr>
                <w:sz w:val="20"/>
                <w:szCs w:val="20"/>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6,957,611</w:t>
            </w:r>
          </w:p>
        </w:tc>
        <w:tc>
          <w:tcPr>
            <w:tcW w:w="160" w:type="dxa"/>
            <w:vAlign w:val="bottom"/>
          </w:tcPr>
          <w:p>
            <w:pPr>
              <w:spacing w:after="0"/>
              <w:rPr>
                <w:sz w:val="20"/>
                <w:szCs w:val="20"/>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7,260,397</w:t>
            </w:r>
          </w:p>
        </w:tc>
        <w:tc>
          <w:tcPr>
            <w:tcW w:w="100" w:type="dxa"/>
            <w:vAlign w:val="bottom"/>
          </w:tcPr>
          <w:p>
            <w:pPr>
              <w:spacing w:after="0"/>
              <w:rPr>
                <w:sz w:val="20"/>
                <w:szCs w:val="20"/>
                <w:color w:val="auto"/>
              </w:rPr>
            </w:pPr>
          </w:p>
        </w:tc>
      </w:tr>
      <w:tr>
        <w:trPr>
          <w:trHeight w:val="183"/>
        </w:trPr>
        <w:tc>
          <w:tcPr>
            <w:tcW w:w="586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40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r>
      <w:tr>
        <w:trPr>
          <w:trHeight w:val="199"/>
        </w:trPr>
        <w:tc>
          <w:tcPr>
            <w:tcW w:w="5860" w:type="dxa"/>
            <w:vAlign w:val="bottom"/>
          </w:tcPr>
          <w:p>
            <w:pPr>
              <w:spacing w:after="0"/>
              <w:rPr>
                <w:sz w:val="20"/>
                <w:szCs w:val="20"/>
                <w:color w:val="auto"/>
              </w:rPr>
            </w:pPr>
            <w:r>
              <w:rPr>
                <w:rFonts w:ascii="Arial" w:cs="Arial" w:eastAsia="Arial" w:hAnsi="Arial"/>
                <w:sz w:val="15"/>
                <w:szCs w:val="15"/>
                <w:b w:val="1"/>
                <w:bCs w:val="1"/>
                <w:color w:val="auto"/>
              </w:rPr>
              <w:t>LIABILITIES AND EQUITY</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Current Liabilities:</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9"/>
        </w:trPr>
        <w:tc>
          <w:tcPr>
            <w:tcW w:w="5860" w:type="dxa"/>
            <w:vAlign w:val="bottom"/>
          </w:tcPr>
          <w:p>
            <w:pPr>
              <w:spacing w:after="0"/>
              <w:rPr>
                <w:sz w:val="20"/>
                <w:szCs w:val="20"/>
                <w:color w:val="auto"/>
              </w:rPr>
            </w:pPr>
            <w:r>
              <w:rPr>
                <w:rFonts w:ascii="Arial" w:cs="Arial" w:eastAsia="Arial" w:hAnsi="Arial"/>
                <w:sz w:val="15"/>
                <w:szCs w:val="15"/>
                <w:color w:val="auto"/>
              </w:rPr>
              <w:t>Bank overdraft</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7,143</w:t>
            </w:r>
          </w:p>
        </w:tc>
        <w:tc>
          <w:tcPr>
            <w:tcW w:w="28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10,235</w:t>
            </w:r>
          </w:p>
        </w:tc>
        <w:tc>
          <w:tcPr>
            <w:tcW w:w="160" w:type="dxa"/>
            <w:vAlign w:val="bottom"/>
          </w:tcPr>
          <w:p>
            <w:pPr>
              <w:spacing w:after="0"/>
              <w:rPr>
                <w:sz w:val="17"/>
                <w:szCs w:val="17"/>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Accounts payable</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197,733</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164,718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201,235</w:t>
            </w:r>
          </w:p>
        </w:tc>
        <w:tc>
          <w:tcPr>
            <w:tcW w:w="100" w:type="dxa"/>
            <w:vAlign w:val="bottom"/>
            <w:shd w:val="clear" w:color="auto" w:fill="CFF0FC"/>
          </w:tcPr>
          <w:p>
            <w:pPr>
              <w:spacing w:after="0"/>
              <w:rPr>
                <w:sz w:val="17"/>
                <w:szCs w:val="17"/>
                <w:color w:val="auto"/>
              </w:rPr>
            </w:pPr>
          </w:p>
        </w:tc>
      </w:tr>
      <w:tr>
        <w:trPr>
          <w:trHeight w:val="199"/>
        </w:trPr>
        <w:tc>
          <w:tcPr>
            <w:tcW w:w="5860" w:type="dxa"/>
            <w:vAlign w:val="bottom"/>
          </w:tcPr>
          <w:p>
            <w:pPr>
              <w:spacing w:after="0"/>
              <w:rPr>
                <w:sz w:val="20"/>
                <w:szCs w:val="20"/>
                <w:color w:val="auto"/>
              </w:rPr>
            </w:pPr>
            <w:r>
              <w:rPr>
                <w:rFonts w:ascii="Arial" w:cs="Arial" w:eastAsia="Arial" w:hAnsi="Arial"/>
                <w:sz w:val="15"/>
                <w:szCs w:val="15"/>
                <w:color w:val="auto"/>
              </w:rPr>
              <w:t>Accrued salaries, benefits and payroll taxes</w:t>
            </w: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24,864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30,939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27,590</w:t>
            </w:r>
          </w:p>
        </w:tc>
        <w:tc>
          <w:tcPr>
            <w:tcW w:w="100" w:type="dxa"/>
            <w:vAlign w:val="bottom"/>
          </w:tcPr>
          <w:p>
            <w:pPr>
              <w:spacing w:after="0"/>
              <w:rPr>
                <w:sz w:val="17"/>
                <w:szCs w:val="17"/>
                <w:color w:val="auto"/>
              </w:rPr>
            </w:pP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Pension and postretirement benefits</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9,120</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8,168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8,133</w:t>
            </w:r>
          </w:p>
        </w:tc>
        <w:tc>
          <w:tcPr>
            <w:tcW w:w="100" w:type="dxa"/>
            <w:vAlign w:val="bottom"/>
            <w:shd w:val="clear" w:color="auto" w:fill="CFF0FC"/>
          </w:tcPr>
          <w:p>
            <w:pPr>
              <w:spacing w:after="0"/>
              <w:rPr>
                <w:sz w:val="17"/>
                <w:szCs w:val="17"/>
                <w:color w:val="auto"/>
              </w:rPr>
            </w:pPr>
          </w:p>
        </w:tc>
      </w:tr>
      <w:tr>
        <w:trPr>
          <w:trHeight w:val="199"/>
        </w:trPr>
        <w:tc>
          <w:tcPr>
            <w:tcW w:w="5860" w:type="dxa"/>
            <w:vAlign w:val="bottom"/>
          </w:tcPr>
          <w:p>
            <w:pPr>
              <w:spacing w:after="0"/>
              <w:rPr>
                <w:sz w:val="20"/>
                <w:szCs w:val="20"/>
                <w:color w:val="auto"/>
              </w:rPr>
            </w:pPr>
            <w:r>
              <w:rPr>
                <w:rFonts w:ascii="Arial" w:cs="Arial" w:eastAsia="Arial" w:hAnsi="Arial"/>
                <w:sz w:val="15"/>
                <w:szCs w:val="15"/>
                <w:color w:val="auto"/>
              </w:rPr>
              <w:t>Accrued insurance and other taxes</w:t>
            </w: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62,525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62,781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57,078</w:t>
            </w:r>
          </w:p>
        </w:tc>
        <w:tc>
          <w:tcPr>
            <w:tcW w:w="100" w:type="dxa"/>
            <w:vAlign w:val="bottom"/>
          </w:tcPr>
          <w:p>
            <w:pPr>
              <w:spacing w:after="0"/>
              <w:rPr>
                <w:sz w:val="17"/>
                <w:szCs w:val="17"/>
                <w:color w:val="auto"/>
              </w:rPr>
            </w:pP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Current maturities of long-term debt and short-term facilities</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238,155</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18,713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15,433</w:t>
            </w:r>
          </w:p>
        </w:tc>
        <w:tc>
          <w:tcPr>
            <w:tcW w:w="100" w:type="dxa"/>
            <w:vAlign w:val="bottom"/>
            <w:shd w:val="clear" w:color="auto" w:fill="CFF0FC"/>
          </w:tcPr>
          <w:p>
            <w:pPr>
              <w:spacing w:after="0"/>
              <w:rPr>
                <w:sz w:val="17"/>
                <w:szCs w:val="17"/>
                <w:color w:val="auto"/>
              </w:rPr>
            </w:pPr>
          </w:p>
        </w:tc>
      </w:tr>
      <w:tr>
        <w:trPr>
          <w:trHeight w:val="199"/>
        </w:trPr>
        <w:tc>
          <w:tcPr>
            <w:tcW w:w="5860" w:type="dxa"/>
            <w:vAlign w:val="bottom"/>
          </w:tcPr>
          <w:p>
            <w:pPr>
              <w:spacing w:after="0"/>
              <w:rPr>
                <w:sz w:val="20"/>
                <w:szCs w:val="20"/>
                <w:color w:val="auto"/>
              </w:rPr>
            </w:pPr>
            <w:r>
              <w:rPr>
                <w:rFonts w:ascii="Arial" w:cs="Arial" w:eastAsia="Arial" w:hAnsi="Arial"/>
                <w:sz w:val="15"/>
                <w:szCs w:val="15"/>
                <w:color w:val="auto"/>
              </w:rPr>
              <w:t>Accrued interest</w:t>
            </w: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16,573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16,156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16,165</w:t>
            </w:r>
          </w:p>
        </w:tc>
        <w:tc>
          <w:tcPr>
            <w:tcW w:w="100" w:type="dxa"/>
            <w:vAlign w:val="bottom"/>
          </w:tcPr>
          <w:p>
            <w:pPr>
              <w:spacing w:after="0"/>
              <w:rPr>
                <w:sz w:val="17"/>
                <w:szCs w:val="17"/>
                <w:color w:val="auto"/>
              </w:rPr>
            </w:pP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Other current liabilities</w:t>
            </w:r>
          </w:p>
        </w:tc>
        <w:tc>
          <w:tcPr>
            <w:tcW w:w="3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45,491</w:t>
            </w:r>
          </w:p>
        </w:tc>
        <w:tc>
          <w:tcPr>
            <w:tcW w:w="28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54,948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37,667</w:t>
            </w:r>
          </w:p>
        </w:tc>
        <w:tc>
          <w:tcPr>
            <w:tcW w:w="100" w:type="dxa"/>
            <w:vAlign w:val="bottom"/>
            <w:shd w:val="clear" w:color="auto" w:fill="CFF0FC"/>
          </w:tcPr>
          <w:p>
            <w:pPr>
              <w:spacing w:after="0"/>
              <w:rPr>
                <w:sz w:val="17"/>
                <w:szCs w:val="17"/>
                <w:color w:val="auto"/>
              </w:rPr>
            </w:pPr>
          </w:p>
        </w:tc>
      </w:tr>
      <w:tr>
        <w:trPr>
          <w:trHeight w:val="191"/>
        </w:trPr>
        <w:tc>
          <w:tcPr>
            <w:tcW w:w="5860" w:type="dxa"/>
            <w:vAlign w:val="bottom"/>
            <w:tcBorders>
              <w:bottom w:val="single" w:sz="8" w:color="CFF0FC"/>
            </w:tcBorders>
          </w:tcPr>
          <w:p>
            <w:pPr>
              <w:ind w:left="240"/>
              <w:spacing w:after="0"/>
              <w:rPr>
                <w:sz w:val="20"/>
                <w:szCs w:val="20"/>
                <w:color w:val="auto"/>
              </w:rPr>
            </w:pPr>
            <w:r>
              <w:rPr>
                <w:rFonts w:ascii="Arial" w:cs="Arial" w:eastAsia="Arial" w:hAnsi="Arial"/>
                <w:sz w:val="15"/>
                <w:szCs w:val="15"/>
                <w:color w:val="auto"/>
              </w:rPr>
              <w:t>Total Current Liabilities</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601,604</w:t>
            </w:r>
          </w:p>
        </w:tc>
        <w:tc>
          <w:tcPr>
            <w:tcW w:w="28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366,658</w:t>
            </w:r>
          </w:p>
        </w:tc>
        <w:tc>
          <w:tcPr>
            <w:tcW w:w="16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363,301</w:t>
            </w:r>
          </w:p>
        </w:tc>
        <w:tc>
          <w:tcPr>
            <w:tcW w:w="100" w:type="dxa"/>
            <w:vAlign w:val="bottom"/>
            <w:tcBorders>
              <w:bottom w:val="single" w:sz="8" w:color="CFF0FC"/>
            </w:tcBorders>
          </w:tcPr>
          <w:p>
            <w:pPr>
              <w:spacing w:after="0"/>
              <w:rPr>
                <w:sz w:val="16"/>
                <w:szCs w:val="16"/>
                <w:color w:val="auto"/>
              </w:rPr>
            </w:pPr>
          </w:p>
        </w:tc>
      </w:tr>
      <w:tr>
        <w:trPr>
          <w:trHeight w:val="198"/>
        </w:trPr>
        <w:tc>
          <w:tcPr>
            <w:tcW w:w="5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9"/>
        </w:trPr>
        <w:tc>
          <w:tcPr>
            <w:tcW w:w="5860" w:type="dxa"/>
            <w:vAlign w:val="bottom"/>
          </w:tcPr>
          <w:p>
            <w:pPr>
              <w:spacing w:after="0"/>
              <w:rPr>
                <w:sz w:val="20"/>
                <w:szCs w:val="20"/>
                <w:color w:val="auto"/>
              </w:rPr>
            </w:pPr>
            <w:r>
              <w:rPr>
                <w:rFonts w:ascii="Arial" w:cs="Arial" w:eastAsia="Arial" w:hAnsi="Arial"/>
                <w:sz w:val="15"/>
                <w:szCs w:val="15"/>
                <w:color w:val="auto"/>
              </w:rPr>
              <w:t>Long-term debt</w:t>
            </w: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1,541,062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1,550,061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1,637,905</w:t>
            </w:r>
          </w:p>
        </w:tc>
        <w:tc>
          <w:tcPr>
            <w:tcW w:w="100" w:type="dxa"/>
            <w:vAlign w:val="bottom"/>
          </w:tcPr>
          <w:p>
            <w:pPr>
              <w:spacing w:after="0"/>
              <w:rPr>
                <w:sz w:val="17"/>
                <w:szCs w:val="17"/>
                <w:color w:val="auto"/>
              </w:rPr>
            </w:pP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Pension, postretirement and postemployment benefits</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236,562</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224,538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272,461</w:t>
            </w:r>
          </w:p>
        </w:tc>
        <w:tc>
          <w:tcPr>
            <w:tcW w:w="100" w:type="dxa"/>
            <w:vAlign w:val="bottom"/>
            <w:shd w:val="clear" w:color="auto" w:fill="CFF0FC"/>
          </w:tcPr>
          <w:p>
            <w:pPr>
              <w:spacing w:after="0"/>
              <w:rPr>
                <w:sz w:val="17"/>
                <w:szCs w:val="17"/>
                <w:color w:val="auto"/>
              </w:rPr>
            </w:pPr>
          </w:p>
        </w:tc>
      </w:tr>
      <w:tr>
        <w:trPr>
          <w:trHeight w:val="199"/>
        </w:trPr>
        <w:tc>
          <w:tcPr>
            <w:tcW w:w="5860" w:type="dxa"/>
            <w:vAlign w:val="bottom"/>
          </w:tcPr>
          <w:p>
            <w:pPr>
              <w:spacing w:after="0"/>
              <w:rPr>
                <w:sz w:val="20"/>
                <w:szCs w:val="20"/>
                <w:color w:val="auto"/>
              </w:rPr>
            </w:pPr>
            <w:r>
              <w:rPr>
                <w:rFonts w:ascii="Arial" w:cs="Arial" w:eastAsia="Arial" w:hAnsi="Arial"/>
                <w:sz w:val="15"/>
                <w:szCs w:val="15"/>
                <w:color w:val="auto"/>
              </w:rPr>
              <w:t>Deferred income taxes, net</w:t>
            </w: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639,776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583,459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521,932</w:t>
            </w:r>
          </w:p>
        </w:tc>
        <w:tc>
          <w:tcPr>
            <w:tcW w:w="100" w:type="dxa"/>
            <w:vAlign w:val="bottom"/>
          </w:tcPr>
          <w:p>
            <w:pPr>
              <w:spacing w:after="0"/>
              <w:rPr>
                <w:sz w:val="17"/>
                <w:szCs w:val="17"/>
                <w:color w:val="auto"/>
              </w:rPr>
            </w:pP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Other noncurrent liabilities</w:t>
            </w:r>
          </w:p>
        </w:tc>
        <w:tc>
          <w:tcPr>
            <w:tcW w:w="3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197,801</w:t>
            </w:r>
          </w:p>
        </w:tc>
        <w:tc>
          <w:tcPr>
            <w:tcW w:w="28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172,718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154,365</w:t>
            </w:r>
          </w:p>
        </w:tc>
        <w:tc>
          <w:tcPr>
            <w:tcW w:w="100" w:type="dxa"/>
            <w:vAlign w:val="bottom"/>
            <w:shd w:val="clear" w:color="auto" w:fill="CFF0FC"/>
          </w:tcPr>
          <w:p>
            <w:pPr>
              <w:spacing w:after="0"/>
              <w:rPr>
                <w:sz w:val="17"/>
                <w:szCs w:val="17"/>
                <w:color w:val="auto"/>
              </w:rPr>
            </w:pPr>
          </w:p>
        </w:tc>
      </w:tr>
      <w:tr>
        <w:trPr>
          <w:trHeight w:val="191"/>
        </w:trPr>
        <w:tc>
          <w:tcPr>
            <w:tcW w:w="5860" w:type="dxa"/>
            <w:vAlign w:val="bottom"/>
            <w:tcBorders>
              <w:bottom w:val="single" w:sz="8" w:color="CFF0FC"/>
            </w:tcBorders>
          </w:tcPr>
          <w:p>
            <w:pPr>
              <w:ind w:left="240"/>
              <w:spacing w:after="0"/>
              <w:rPr>
                <w:sz w:val="20"/>
                <w:szCs w:val="20"/>
                <w:color w:val="auto"/>
              </w:rPr>
            </w:pPr>
            <w:r>
              <w:rPr>
                <w:rFonts w:ascii="Arial" w:cs="Arial" w:eastAsia="Arial" w:hAnsi="Arial"/>
                <w:sz w:val="15"/>
                <w:szCs w:val="15"/>
                <w:color w:val="auto"/>
              </w:rPr>
              <w:t>Total Liabilities</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3,216,805</w:t>
            </w:r>
          </w:p>
        </w:tc>
        <w:tc>
          <w:tcPr>
            <w:tcW w:w="28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2,897,434</w:t>
            </w:r>
          </w:p>
        </w:tc>
        <w:tc>
          <w:tcPr>
            <w:tcW w:w="16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2,949,964</w:t>
            </w:r>
          </w:p>
        </w:tc>
        <w:tc>
          <w:tcPr>
            <w:tcW w:w="100" w:type="dxa"/>
            <w:vAlign w:val="bottom"/>
            <w:tcBorders>
              <w:bottom w:val="single" w:sz="8" w:color="CFF0FC"/>
            </w:tcBorders>
          </w:tcPr>
          <w:p>
            <w:pPr>
              <w:spacing w:after="0"/>
              <w:rPr>
                <w:sz w:val="16"/>
                <w:szCs w:val="16"/>
                <w:color w:val="auto"/>
              </w:rPr>
            </w:pPr>
          </w:p>
        </w:tc>
      </w:tr>
      <w:tr>
        <w:trPr>
          <w:trHeight w:val="198"/>
        </w:trPr>
        <w:tc>
          <w:tcPr>
            <w:tcW w:w="5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9"/>
        </w:trPr>
        <w:tc>
          <w:tcPr>
            <w:tcW w:w="5860" w:type="dxa"/>
            <w:vAlign w:val="bottom"/>
          </w:tcPr>
          <w:p>
            <w:pPr>
              <w:spacing w:after="0"/>
              <w:rPr>
                <w:sz w:val="20"/>
                <w:szCs w:val="20"/>
                <w:color w:val="auto"/>
              </w:rPr>
            </w:pPr>
            <w:r>
              <w:rPr>
                <w:rFonts w:ascii="Arial" w:cs="Arial" w:eastAsia="Arial" w:hAnsi="Arial"/>
                <w:sz w:val="15"/>
                <w:szCs w:val="15"/>
                <w:color w:val="auto"/>
              </w:rPr>
              <w:t>Equity:</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Common stock, par value $0.01 per share</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633</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668</w:t>
            </w:r>
          </w:p>
        </w:tc>
        <w:tc>
          <w:tcPr>
            <w:tcW w:w="100" w:type="dxa"/>
            <w:vAlign w:val="bottom"/>
            <w:shd w:val="clear" w:color="auto" w:fill="CFF0FC"/>
          </w:tcPr>
          <w:p>
            <w:pPr>
              <w:spacing w:after="0"/>
              <w:rPr>
                <w:sz w:val="17"/>
                <w:szCs w:val="17"/>
                <w:color w:val="auto"/>
              </w:rPr>
            </w:pPr>
          </w:p>
        </w:tc>
      </w:tr>
      <w:tr>
        <w:trPr>
          <w:trHeight w:val="199"/>
        </w:trPr>
        <w:tc>
          <w:tcPr>
            <w:tcW w:w="5860" w:type="dxa"/>
            <w:vAlign w:val="bottom"/>
          </w:tcPr>
          <w:p>
            <w:pPr>
              <w:spacing w:after="0"/>
              <w:rPr>
                <w:sz w:val="20"/>
                <w:szCs w:val="20"/>
                <w:color w:val="auto"/>
              </w:rPr>
            </w:pPr>
            <w:r>
              <w:rPr>
                <w:rFonts w:ascii="Arial" w:cs="Arial" w:eastAsia="Arial" w:hAnsi="Arial"/>
                <w:sz w:val="15"/>
                <w:szCs w:val="15"/>
                <w:color w:val="auto"/>
              </w:rPr>
              <w:t>Preferred stock, par value $0.01 per share</w:t>
            </w:r>
          </w:p>
        </w:tc>
        <w:tc>
          <w:tcPr>
            <w:tcW w:w="320" w:type="dxa"/>
            <w:vAlign w:val="bottom"/>
          </w:tcPr>
          <w:p>
            <w:pPr>
              <w:spacing w:after="0"/>
              <w:rPr>
                <w:sz w:val="17"/>
                <w:szCs w:val="17"/>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Additional paid-in capital</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3,318,859</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3,287,827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3,274,098</w:t>
            </w:r>
          </w:p>
        </w:tc>
        <w:tc>
          <w:tcPr>
            <w:tcW w:w="100" w:type="dxa"/>
            <w:vAlign w:val="bottom"/>
            <w:shd w:val="clear" w:color="auto" w:fill="CFF0FC"/>
          </w:tcPr>
          <w:p>
            <w:pPr>
              <w:spacing w:after="0"/>
              <w:rPr>
                <w:sz w:val="17"/>
                <w:szCs w:val="17"/>
                <w:color w:val="auto"/>
              </w:rPr>
            </w:pPr>
          </w:p>
        </w:tc>
      </w:tr>
      <w:tr>
        <w:trPr>
          <w:trHeight w:val="199"/>
        </w:trPr>
        <w:tc>
          <w:tcPr>
            <w:tcW w:w="5860" w:type="dxa"/>
            <w:vAlign w:val="bottom"/>
          </w:tcPr>
          <w:p>
            <w:pPr>
              <w:spacing w:after="0"/>
              <w:rPr>
                <w:sz w:val="20"/>
                <w:szCs w:val="20"/>
                <w:color w:val="auto"/>
              </w:rPr>
            </w:pPr>
            <w:r>
              <w:rPr>
                <w:rFonts w:ascii="Arial" w:cs="Arial" w:eastAsia="Arial" w:hAnsi="Arial"/>
                <w:sz w:val="15"/>
                <w:szCs w:val="15"/>
                <w:color w:val="auto"/>
              </w:rPr>
              <w:t>Accumulated other comprehensive loss</w:t>
            </w:r>
          </w:p>
        </w:tc>
        <w:tc>
          <w:tcPr>
            <w:tcW w:w="32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5"/>
                <w:szCs w:val="15"/>
                <w:color w:val="auto"/>
              </w:rPr>
              <w:t>(106,068)</w:t>
            </w:r>
          </w:p>
        </w:tc>
        <w:tc>
          <w:tcPr>
            <w:tcW w:w="24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5"/>
                <w:szCs w:val="15"/>
                <w:color w:val="auto"/>
              </w:rPr>
              <w:t>(105,622)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5"/>
                <w:szCs w:val="15"/>
                <w:color w:val="auto"/>
              </w:rPr>
              <w:t>(112,814)</w:t>
            </w: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Retained earnings</w:t>
            </w:r>
          </w:p>
        </w:tc>
        <w:tc>
          <w:tcPr>
            <w:tcW w:w="3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800,028</w:t>
            </w:r>
          </w:p>
        </w:tc>
        <w:tc>
          <w:tcPr>
            <w:tcW w:w="28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874,436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1,146,821</w:t>
            </w:r>
          </w:p>
        </w:tc>
        <w:tc>
          <w:tcPr>
            <w:tcW w:w="100" w:type="dxa"/>
            <w:vAlign w:val="bottom"/>
            <w:shd w:val="clear" w:color="auto" w:fill="CFF0FC"/>
          </w:tcPr>
          <w:p>
            <w:pPr>
              <w:spacing w:after="0"/>
              <w:rPr>
                <w:sz w:val="17"/>
                <w:szCs w:val="17"/>
                <w:color w:val="auto"/>
              </w:rPr>
            </w:pPr>
          </w:p>
        </w:tc>
      </w:tr>
      <w:tr>
        <w:trPr>
          <w:trHeight w:val="191"/>
        </w:trPr>
        <w:tc>
          <w:tcPr>
            <w:tcW w:w="5860" w:type="dxa"/>
            <w:vAlign w:val="bottom"/>
          </w:tcPr>
          <w:p>
            <w:pPr>
              <w:ind w:left="240"/>
              <w:spacing w:after="0"/>
              <w:rPr>
                <w:sz w:val="20"/>
                <w:szCs w:val="20"/>
                <w:color w:val="auto"/>
              </w:rPr>
            </w:pPr>
            <w:r>
              <w:rPr>
                <w:rFonts w:ascii="Arial" w:cs="Arial" w:eastAsia="Arial" w:hAnsi="Arial"/>
                <w:sz w:val="15"/>
                <w:szCs w:val="15"/>
                <w:color w:val="auto"/>
              </w:rPr>
              <w:t>Total Shareholders' Equity</w:t>
            </w:r>
          </w:p>
        </w:tc>
        <w:tc>
          <w:tcPr>
            <w:tcW w:w="3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4,013,452</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4,057,284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4,308,773</w:t>
            </w:r>
          </w:p>
        </w:tc>
        <w:tc>
          <w:tcPr>
            <w:tcW w:w="100" w:type="dxa"/>
            <w:vAlign w:val="bottom"/>
          </w:tcPr>
          <w:p>
            <w:pPr>
              <w:spacing w:after="0"/>
              <w:rPr>
                <w:sz w:val="16"/>
                <w:szCs w:val="16"/>
                <w:color w:val="auto"/>
              </w:rPr>
            </w:pPr>
          </w:p>
        </w:tc>
      </w:tr>
      <w:tr>
        <w:trPr>
          <w:trHeight w:val="205"/>
        </w:trPr>
        <w:tc>
          <w:tcPr>
            <w:tcW w:w="5860" w:type="dxa"/>
            <w:vAlign w:val="bottom"/>
            <w:shd w:val="clear" w:color="auto" w:fill="CFF0FC"/>
          </w:tcPr>
          <w:p>
            <w:pPr>
              <w:spacing w:after="0"/>
              <w:rPr>
                <w:sz w:val="20"/>
                <w:szCs w:val="20"/>
                <w:color w:val="auto"/>
              </w:rPr>
            </w:pPr>
            <w:r>
              <w:rPr>
                <w:rFonts w:ascii="Arial" w:cs="Arial" w:eastAsia="Arial" w:hAnsi="Arial"/>
                <w:sz w:val="15"/>
                <w:szCs w:val="15"/>
                <w:color w:val="auto"/>
              </w:rPr>
              <w:t>Noncontrolling interests</w:t>
            </w:r>
          </w:p>
        </w:tc>
        <w:tc>
          <w:tcPr>
            <w:tcW w:w="3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3,048</w:t>
            </w:r>
          </w:p>
        </w:tc>
        <w:tc>
          <w:tcPr>
            <w:tcW w:w="28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2,893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1,660</w:t>
            </w:r>
          </w:p>
        </w:tc>
        <w:tc>
          <w:tcPr>
            <w:tcW w:w="100" w:type="dxa"/>
            <w:vAlign w:val="bottom"/>
            <w:shd w:val="clear" w:color="auto" w:fill="CFF0FC"/>
          </w:tcPr>
          <w:p>
            <w:pPr>
              <w:spacing w:after="0"/>
              <w:rPr>
                <w:sz w:val="17"/>
                <w:szCs w:val="17"/>
                <w:color w:val="auto"/>
              </w:rPr>
            </w:pPr>
          </w:p>
        </w:tc>
      </w:tr>
      <w:tr>
        <w:trPr>
          <w:trHeight w:val="191"/>
        </w:trPr>
        <w:tc>
          <w:tcPr>
            <w:tcW w:w="5860" w:type="dxa"/>
            <w:vAlign w:val="bottom"/>
            <w:tcBorders>
              <w:bottom w:val="single" w:sz="8" w:color="CFF0FC"/>
            </w:tcBorders>
          </w:tcPr>
          <w:p>
            <w:pPr>
              <w:ind w:left="240"/>
              <w:spacing w:after="0"/>
              <w:rPr>
                <w:sz w:val="20"/>
                <w:szCs w:val="20"/>
                <w:color w:val="auto"/>
              </w:rPr>
            </w:pPr>
            <w:r>
              <w:rPr>
                <w:rFonts w:ascii="Arial" w:cs="Arial" w:eastAsia="Arial" w:hAnsi="Arial"/>
                <w:sz w:val="15"/>
                <w:szCs w:val="15"/>
                <w:color w:val="auto"/>
              </w:rPr>
              <w:t>Total Equity</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4,016,500</w:t>
            </w:r>
          </w:p>
        </w:tc>
        <w:tc>
          <w:tcPr>
            <w:tcW w:w="28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4,060,177</w:t>
            </w:r>
          </w:p>
        </w:tc>
        <w:tc>
          <w:tcPr>
            <w:tcW w:w="16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4,310,433</w:t>
            </w:r>
          </w:p>
        </w:tc>
        <w:tc>
          <w:tcPr>
            <w:tcW w:w="100" w:type="dxa"/>
            <w:vAlign w:val="bottom"/>
            <w:tcBorders>
              <w:bottom w:val="single" w:sz="8" w:color="CFF0FC"/>
            </w:tcBorders>
          </w:tcPr>
          <w:p>
            <w:pPr>
              <w:spacing w:after="0"/>
              <w:rPr>
                <w:sz w:val="16"/>
                <w:szCs w:val="16"/>
                <w:color w:val="auto"/>
              </w:rPr>
            </w:pPr>
          </w:p>
        </w:tc>
      </w:tr>
      <w:tr>
        <w:trPr>
          <w:trHeight w:val="194"/>
        </w:trPr>
        <w:tc>
          <w:tcPr>
            <w:tcW w:w="5860" w:type="dxa"/>
            <w:vAlign w:val="bottom"/>
            <w:shd w:val="clear" w:color="auto" w:fill="CFF0FC"/>
          </w:tcPr>
          <w:p>
            <w:pPr>
              <w:ind w:left="240"/>
              <w:spacing w:after="0"/>
              <w:rPr>
                <w:sz w:val="20"/>
                <w:szCs w:val="20"/>
                <w:color w:val="auto"/>
              </w:rPr>
            </w:pPr>
            <w:r>
              <w:rPr>
                <w:rFonts w:ascii="Arial" w:cs="Arial" w:eastAsia="Arial" w:hAnsi="Arial"/>
                <w:sz w:val="15"/>
                <w:szCs w:val="15"/>
                <w:color w:val="auto"/>
              </w:rPr>
              <w:t>Total Liabilities and Equity</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7,233,305</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6,957,611</w:t>
            </w:r>
          </w:p>
        </w:tc>
        <w:tc>
          <w:tcPr>
            <w:tcW w:w="16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38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7,260,397</w:t>
            </w:r>
          </w:p>
        </w:tc>
        <w:tc>
          <w:tcPr>
            <w:tcW w:w="100" w:type="dxa"/>
            <w:vAlign w:val="bottom"/>
            <w:shd w:val="clear" w:color="auto" w:fill="CFF0FC"/>
          </w:tcPr>
          <w:p>
            <w:pPr>
              <w:spacing w:after="0"/>
              <w:rPr>
                <w:sz w:val="16"/>
                <w:szCs w:val="16"/>
                <w:color w:val="auto"/>
              </w:rPr>
            </w:pPr>
          </w:p>
        </w:tc>
      </w:tr>
      <w:tr>
        <w:trPr>
          <w:trHeight w:val="20"/>
        </w:trPr>
        <w:tc>
          <w:tcPr>
            <w:tcW w:w="58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 CONSOLIDATED STATEMENTS OF EARNINGS AND COMPREHENSIVE EARNINGS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6"/>
          </w:tcPr>
          <w:p>
            <w:pPr>
              <w:jc w:val="center"/>
              <w:ind w:right="440"/>
              <w:spacing w:after="0"/>
              <w:rPr>
                <w:sz w:val="20"/>
                <w:szCs w:val="20"/>
                <w:color w:val="auto"/>
              </w:rPr>
            </w:pPr>
            <w:r>
              <w:rPr>
                <w:rFonts w:ascii="Arial" w:cs="Arial" w:eastAsia="Arial" w:hAnsi="Arial"/>
                <w:sz w:val="17"/>
                <w:szCs w:val="17"/>
                <w:color w:val="auto"/>
                <w:w w:val="89"/>
              </w:rPr>
              <w:t>Three Months Ended</w:t>
            </w:r>
          </w:p>
        </w:tc>
        <w:tc>
          <w:tcPr>
            <w:tcW w:w="160" w:type="dxa"/>
            <w:vAlign w:val="bottom"/>
          </w:tcPr>
          <w:p>
            <w:pPr>
              <w:spacing w:after="0"/>
              <w:rPr>
                <w:sz w:val="18"/>
                <w:szCs w:val="18"/>
                <w:color w:val="auto"/>
              </w:rPr>
            </w:pPr>
          </w:p>
        </w:tc>
        <w:tc>
          <w:tcPr>
            <w:tcW w:w="2600" w:type="dxa"/>
            <w:vAlign w:val="bottom"/>
            <w:gridSpan w:val="5"/>
          </w:tcPr>
          <w:p>
            <w:pPr>
              <w:jc w:val="center"/>
              <w:ind w:right="280"/>
              <w:spacing w:after="0"/>
              <w:rPr>
                <w:sz w:val="20"/>
                <w:szCs w:val="20"/>
                <w:color w:val="auto"/>
              </w:rPr>
            </w:pPr>
            <w:r>
              <w:rPr>
                <w:rFonts w:ascii="Arial" w:cs="Arial" w:eastAsia="Arial" w:hAnsi="Arial"/>
                <w:sz w:val="17"/>
                <w:szCs w:val="17"/>
                <w:color w:val="auto"/>
                <w:w w:val="89"/>
              </w:rPr>
              <w:t>Six Months Ended</w:t>
            </w:r>
          </w:p>
        </w:tc>
        <w:tc>
          <w:tcPr>
            <w:tcW w:w="0" w:type="dxa"/>
            <w:vAlign w:val="bottom"/>
          </w:tcPr>
          <w:p>
            <w:pPr>
              <w:spacing w:after="0"/>
              <w:rPr>
                <w:sz w:val="1"/>
                <w:szCs w:val="1"/>
                <w:color w:val="auto"/>
              </w:rPr>
            </w:pPr>
          </w:p>
        </w:tc>
      </w:tr>
      <w:tr>
        <w:trPr>
          <w:trHeight w:val="215"/>
        </w:trPr>
        <w:tc>
          <w:tcPr>
            <w:tcW w:w="4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7"/>
                <w:szCs w:val="17"/>
                <w:color w:val="auto"/>
              </w:rPr>
              <w:t>June 30,</w:t>
            </w:r>
          </w:p>
        </w:tc>
        <w:tc>
          <w:tcPr>
            <w:tcW w:w="9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7"/>
                <w:szCs w:val="17"/>
                <w:color w:val="auto"/>
              </w:rPr>
              <w:t>June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rPr>
              <w:t>2016</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2015</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rPr>
              <w:t>2016</w:t>
            </w: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6"/>
          </w:tcPr>
          <w:p>
            <w:pPr>
              <w:jc w:val="center"/>
              <w:ind w:right="440"/>
              <w:spacing w:after="0"/>
              <w:rPr>
                <w:sz w:val="20"/>
                <w:szCs w:val="20"/>
                <w:color w:val="auto"/>
              </w:rPr>
            </w:pPr>
            <w:r>
              <w:rPr>
                <w:rFonts w:ascii="Arial" w:cs="Arial" w:eastAsia="Arial" w:hAnsi="Arial"/>
                <w:sz w:val="17"/>
                <w:szCs w:val="17"/>
                <w:i w:val="1"/>
                <w:iCs w:val="1"/>
                <w:color w:val="auto"/>
                <w:w w:val="88"/>
              </w:rPr>
              <w:t>(In Thousands, Except Per Share</w:t>
            </w:r>
          </w:p>
        </w:tc>
        <w:tc>
          <w:tcPr>
            <w:tcW w:w="160" w:type="dxa"/>
            <w:vAlign w:val="bottom"/>
          </w:tcPr>
          <w:p>
            <w:pPr>
              <w:spacing w:after="0"/>
              <w:rPr>
                <w:sz w:val="16"/>
                <w:szCs w:val="16"/>
                <w:color w:val="auto"/>
              </w:rPr>
            </w:pPr>
          </w:p>
        </w:tc>
        <w:tc>
          <w:tcPr>
            <w:tcW w:w="2600" w:type="dxa"/>
            <w:vAlign w:val="bottom"/>
            <w:gridSpan w:val="5"/>
          </w:tcPr>
          <w:p>
            <w:pPr>
              <w:jc w:val="center"/>
              <w:ind w:right="260"/>
              <w:spacing w:after="0"/>
              <w:rPr>
                <w:sz w:val="20"/>
                <w:szCs w:val="20"/>
                <w:color w:val="auto"/>
              </w:rPr>
            </w:pPr>
            <w:r>
              <w:rPr>
                <w:rFonts w:ascii="Arial" w:cs="Arial" w:eastAsia="Arial" w:hAnsi="Arial"/>
                <w:sz w:val="17"/>
                <w:szCs w:val="17"/>
                <w:i w:val="1"/>
                <w:iCs w:val="1"/>
                <w:color w:val="auto"/>
                <w:w w:val="88"/>
              </w:rPr>
              <w:t>(In Thousands, Except Per Share</w:t>
            </w:r>
          </w:p>
        </w:tc>
        <w:tc>
          <w:tcPr>
            <w:tcW w:w="0" w:type="dxa"/>
            <w:vAlign w:val="bottom"/>
          </w:tcPr>
          <w:p>
            <w:pPr>
              <w:spacing w:after="0"/>
              <w:rPr>
                <w:sz w:val="1"/>
                <w:szCs w:val="1"/>
                <w:color w:val="auto"/>
              </w:rPr>
            </w:pPr>
          </w:p>
        </w:tc>
      </w:tr>
      <w:tr>
        <w:trPr>
          <w:trHeight w:val="214"/>
        </w:trPr>
        <w:tc>
          <w:tcPr>
            <w:tcW w:w="4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4"/>
          </w:tcPr>
          <w:p>
            <w:pPr>
              <w:jc w:val="center"/>
              <w:ind w:left="656"/>
              <w:spacing w:after="0"/>
              <w:rPr>
                <w:sz w:val="20"/>
                <w:szCs w:val="20"/>
                <w:color w:val="auto"/>
              </w:rPr>
            </w:pPr>
            <w:r>
              <w:rPr>
                <w:rFonts w:ascii="Arial" w:cs="Arial" w:eastAsia="Arial" w:hAnsi="Arial"/>
                <w:sz w:val="17"/>
                <w:szCs w:val="17"/>
                <w:i w:val="1"/>
                <w:iCs w:val="1"/>
                <w:color w:val="auto"/>
                <w:w w:val="91"/>
              </w:rPr>
              <w:t>Data)</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left="876"/>
              <w:spacing w:after="0"/>
              <w:rPr>
                <w:sz w:val="20"/>
                <w:szCs w:val="20"/>
                <w:color w:val="auto"/>
              </w:rPr>
            </w:pPr>
            <w:r>
              <w:rPr>
                <w:rFonts w:ascii="Arial" w:cs="Arial" w:eastAsia="Arial" w:hAnsi="Arial"/>
                <w:sz w:val="17"/>
                <w:szCs w:val="17"/>
                <w:i w:val="1"/>
                <w:iCs w:val="1"/>
                <w:color w:val="auto"/>
                <w:w w:val="96"/>
              </w:rPr>
              <w:t>Data)</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7"/>
                <w:szCs w:val="17"/>
                <w:color w:val="auto"/>
              </w:rPr>
              <w:t>Net Sales</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915,436</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850,249</w:t>
            </w:r>
          </w:p>
        </w:tc>
        <w:tc>
          <w:tcPr>
            <w:tcW w:w="28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1,649,396</w:t>
            </w:r>
          </w:p>
        </w:tc>
        <w:tc>
          <w:tcPr>
            <w:tcW w:w="26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1,482,124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80" w:type="dxa"/>
            <w:vAlign w:val="bottom"/>
            <w:shd w:val="clear" w:color="auto" w:fill="CFF0FC"/>
          </w:tcPr>
          <w:p>
            <w:pPr>
              <w:spacing w:after="0"/>
              <w:rPr>
                <w:sz w:val="20"/>
                <w:szCs w:val="20"/>
                <w:color w:val="auto"/>
              </w:rPr>
            </w:pPr>
            <w:r>
              <w:rPr>
                <w:rFonts w:ascii="Arial" w:cs="Arial" w:eastAsia="Arial" w:hAnsi="Arial"/>
                <w:sz w:val="17"/>
                <w:szCs w:val="17"/>
                <w:color w:val="auto"/>
              </w:rPr>
              <w:t>Freight and delivery revenues</w:t>
            </w:r>
          </w:p>
        </w:tc>
        <w:tc>
          <w:tcPr>
            <w:tcW w:w="8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61,862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71,170</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116,636</w:t>
            </w:r>
          </w:p>
        </w:tc>
        <w:tc>
          <w:tcPr>
            <w:tcW w:w="2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130,641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Total revenues</w:t>
            </w:r>
          </w:p>
        </w:tc>
        <w:tc>
          <w:tcPr>
            <w:tcW w:w="8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977,298</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921,419</w:t>
            </w:r>
          </w:p>
        </w:tc>
        <w:tc>
          <w:tcPr>
            <w:tcW w:w="2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1,766,032</w:t>
            </w:r>
          </w:p>
        </w:tc>
        <w:tc>
          <w:tcPr>
            <w:tcW w:w="2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1,612,765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8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tcPr>
          <w:p>
            <w:pPr>
              <w:spacing w:after="0"/>
              <w:rPr>
                <w:sz w:val="20"/>
                <w:szCs w:val="20"/>
                <w:color w:val="auto"/>
              </w:rPr>
            </w:pPr>
            <w:r>
              <w:rPr>
                <w:rFonts w:ascii="Arial" w:cs="Arial" w:eastAsia="Arial" w:hAnsi="Arial"/>
                <w:sz w:val="17"/>
                <w:szCs w:val="17"/>
                <w:color w:val="auto"/>
              </w:rPr>
              <w:t>Cost of sales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668,735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650,096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1,258,061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1,207,710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80" w:type="dxa"/>
            <w:vAlign w:val="bottom"/>
            <w:shd w:val="clear" w:color="auto" w:fill="CFF0FC"/>
          </w:tcPr>
          <w:p>
            <w:pPr>
              <w:spacing w:after="0"/>
              <w:rPr>
                <w:sz w:val="20"/>
                <w:szCs w:val="20"/>
                <w:color w:val="auto"/>
              </w:rPr>
            </w:pPr>
            <w:r>
              <w:rPr>
                <w:rFonts w:ascii="Arial" w:cs="Arial" w:eastAsia="Arial" w:hAnsi="Arial"/>
                <w:sz w:val="17"/>
                <w:szCs w:val="17"/>
                <w:color w:val="auto"/>
              </w:rPr>
              <w:t>Freight and delivery costs</w:t>
            </w:r>
          </w:p>
        </w:tc>
        <w:tc>
          <w:tcPr>
            <w:tcW w:w="8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61,862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71,170</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116,636</w:t>
            </w:r>
          </w:p>
        </w:tc>
        <w:tc>
          <w:tcPr>
            <w:tcW w:w="2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130,641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Total cost of revenues</w:t>
            </w:r>
          </w:p>
        </w:tc>
        <w:tc>
          <w:tcPr>
            <w:tcW w:w="8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730,597</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721,266</w:t>
            </w:r>
          </w:p>
        </w:tc>
        <w:tc>
          <w:tcPr>
            <w:tcW w:w="2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1,374,697</w:t>
            </w:r>
          </w:p>
        </w:tc>
        <w:tc>
          <w:tcPr>
            <w:tcW w:w="2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1,338,351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8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tcPr>
          <w:p>
            <w:pPr>
              <w:spacing w:after="0"/>
              <w:rPr>
                <w:sz w:val="20"/>
                <w:szCs w:val="20"/>
                <w:color w:val="auto"/>
              </w:rPr>
            </w:pPr>
            <w:r>
              <w:rPr>
                <w:rFonts w:ascii="Arial" w:cs="Arial" w:eastAsia="Arial" w:hAnsi="Arial"/>
                <w:sz w:val="17"/>
                <w:szCs w:val="17"/>
                <w:color w:val="auto"/>
              </w:rPr>
              <w:t>Gross Profit</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246,701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200,153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391,335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274,414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tcPr>
          <w:p>
            <w:pPr>
              <w:spacing w:after="0"/>
              <w:rPr>
                <w:sz w:val="20"/>
                <w:szCs w:val="20"/>
                <w:color w:val="auto"/>
              </w:rPr>
            </w:pPr>
            <w:r>
              <w:rPr>
                <w:rFonts w:ascii="Arial" w:cs="Arial" w:eastAsia="Arial" w:hAnsi="Arial"/>
                <w:sz w:val="17"/>
                <w:szCs w:val="17"/>
                <w:color w:val="auto"/>
              </w:rPr>
              <w:t>Selling, general &amp; administrative expenses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61,509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56,783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121,370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106,233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80" w:type="dxa"/>
            <w:vAlign w:val="bottom"/>
            <w:shd w:val="clear" w:color="auto" w:fill="CFF0FC"/>
          </w:tcPr>
          <w:p>
            <w:pPr>
              <w:spacing w:after="0"/>
              <w:rPr>
                <w:sz w:val="20"/>
                <w:szCs w:val="20"/>
                <w:color w:val="auto"/>
              </w:rPr>
            </w:pPr>
            <w:r>
              <w:rPr>
                <w:rFonts w:ascii="Arial" w:cs="Arial" w:eastAsia="Arial" w:hAnsi="Arial"/>
                <w:sz w:val="17"/>
                <w:szCs w:val="17"/>
                <w:color w:val="auto"/>
              </w:rPr>
              <w:t>Acquisition-related expenses, net</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2,092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tcPr>
          <w:p>
            <w:pPr>
              <w:spacing w:after="0"/>
              <w:rPr>
                <w:sz w:val="20"/>
                <w:szCs w:val="20"/>
                <w:color w:val="auto"/>
              </w:rPr>
            </w:pPr>
            <w:r>
              <w:rPr>
                <w:rFonts w:ascii="Arial" w:cs="Arial" w:eastAsia="Arial" w:hAnsi="Arial"/>
                <w:sz w:val="17"/>
                <w:szCs w:val="17"/>
                <w:color w:val="auto"/>
              </w:rPr>
              <w:t>Other operating (income) and expenses, net</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(3,446)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4,294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(2,869)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Earnings from Operations</w:t>
            </w:r>
          </w:p>
        </w:tc>
        <w:tc>
          <w:tcPr>
            <w:tcW w:w="8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187,742</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136,984</w:t>
            </w: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271,512</w:t>
            </w:r>
          </w:p>
        </w:tc>
        <w:tc>
          <w:tcPr>
            <w:tcW w:w="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162,555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20,294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19,087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40,328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38,418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tcPr>
          <w:p>
            <w:pPr>
              <w:spacing w:after="0"/>
              <w:rPr>
                <w:sz w:val="20"/>
                <w:szCs w:val="20"/>
                <w:color w:val="auto"/>
              </w:rPr>
            </w:pPr>
            <w:r>
              <w:rPr>
                <w:rFonts w:ascii="Arial" w:cs="Arial" w:eastAsia="Arial" w:hAnsi="Arial"/>
                <w:sz w:val="17"/>
                <w:szCs w:val="17"/>
                <w:color w:val="auto"/>
              </w:rPr>
              <w:t>Other nonoperating (income) and expenses, net</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(8,100)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(3,011)</w:t>
            </w:r>
          </w:p>
        </w:tc>
        <w:tc>
          <w:tcPr>
            <w:tcW w:w="1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(9,130)</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(2,118)</w:t>
            </w:r>
          </w:p>
        </w:tc>
        <w:tc>
          <w:tcPr>
            <w:tcW w:w="0" w:type="dxa"/>
            <w:vAlign w:val="bottom"/>
          </w:tcPr>
          <w:p>
            <w:pPr>
              <w:spacing w:after="0"/>
              <w:rPr>
                <w:sz w:val="1"/>
                <w:szCs w:val="1"/>
                <w:color w:val="auto"/>
              </w:rPr>
            </w:pPr>
          </w:p>
        </w:tc>
      </w:tr>
      <w:tr>
        <w:trPr>
          <w:trHeight w:val="207"/>
        </w:trPr>
        <w:tc>
          <w:tcPr>
            <w:tcW w:w="48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Earnings before taxes on income</w:t>
            </w:r>
          </w:p>
        </w:tc>
        <w:tc>
          <w:tcPr>
            <w:tcW w:w="8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175,548</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120,908</w:t>
            </w: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240,314</w:t>
            </w:r>
          </w:p>
        </w:tc>
        <w:tc>
          <w:tcPr>
            <w:tcW w:w="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126,255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Taxes on income</w:t>
            </w:r>
          </w:p>
        </w:tc>
        <w:tc>
          <w:tcPr>
            <w:tcW w:w="8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53,435</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38,929</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73,145</w:t>
            </w: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38,117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80" w:type="dxa"/>
            <w:vAlign w:val="bottom"/>
            <w:shd w:val="clear" w:color="auto" w:fill="CFF0FC"/>
          </w:tcPr>
          <w:p>
            <w:pPr>
              <w:spacing w:after="0"/>
              <w:rPr>
                <w:sz w:val="20"/>
                <w:szCs w:val="20"/>
                <w:color w:val="auto"/>
              </w:rPr>
            </w:pPr>
            <w:r>
              <w:rPr>
                <w:rFonts w:ascii="Arial" w:cs="Arial" w:eastAsia="Arial" w:hAnsi="Arial"/>
                <w:sz w:val="17"/>
                <w:szCs w:val="17"/>
                <w:color w:val="auto"/>
              </w:rPr>
              <w:t>Consolidated net earnings</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122,113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81,979</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167,169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88,138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Less: Net earnings attributable to noncontrolling interests</w:t>
            </w:r>
          </w:p>
        </w:tc>
        <w:tc>
          <w:tcPr>
            <w:tcW w:w="8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w:t>
            </w: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80" w:type="dxa"/>
            <w:vAlign w:val="bottom"/>
            <w:shd w:val="clear" w:color="auto" w:fill="CFF0FC"/>
          </w:tcPr>
          <w:p>
            <w:pPr>
              <w:spacing w:after="0"/>
              <w:rPr>
                <w:sz w:val="20"/>
                <w:szCs w:val="20"/>
                <w:color w:val="auto"/>
              </w:rPr>
            </w:pPr>
            <w:r>
              <w:rPr>
                <w:rFonts w:ascii="Arial" w:cs="Arial" w:eastAsia="Arial" w:hAnsi="Arial"/>
                <w:sz w:val="17"/>
                <w:szCs w:val="17"/>
                <w:color w:val="auto"/>
              </w:rPr>
              <w:t>Net Earnings Attributable to Martin Marietta Materials, Inc.</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122,052</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81,938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167,047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88,065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80" w:type="dxa"/>
            <w:vAlign w:val="bottom"/>
            <w:shd w:val="clear" w:color="auto" w:fill="CFF0FC"/>
          </w:tcPr>
          <w:p>
            <w:pPr>
              <w:spacing w:after="0"/>
              <w:rPr>
                <w:sz w:val="20"/>
                <w:szCs w:val="20"/>
                <w:color w:val="auto"/>
              </w:rPr>
            </w:pPr>
            <w:r>
              <w:rPr>
                <w:rFonts w:ascii="Arial" w:cs="Arial" w:eastAsia="Arial" w:hAnsi="Arial"/>
                <w:sz w:val="17"/>
                <w:szCs w:val="17"/>
                <w:color w:val="auto"/>
              </w:rPr>
              <w:t>Consolidated Comprehensive Earnings: (See Note 1)</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tcPr>
          <w:p>
            <w:pPr>
              <w:ind w:left="240"/>
              <w:spacing w:after="0"/>
              <w:rPr>
                <w:sz w:val="20"/>
                <w:szCs w:val="20"/>
                <w:color w:val="auto"/>
              </w:rPr>
            </w:pPr>
            <w:r>
              <w:rPr>
                <w:rFonts w:ascii="Arial" w:cs="Arial" w:eastAsia="Arial" w:hAnsi="Arial"/>
                <w:sz w:val="17"/>
                <w:szCs w:val="17"/>
                <w:color w:val="auto"/>
              </w:rPr>
              <w:t>Earnings attributable to Martin Marietta Materials, Inc.</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119,817</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75,847</w:t>
            </w:r>
          </w:p>
        </w:tc>
        <w:tc>
          <w:tcPr>
            <w:tcW w:w="28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166,601</w:t>
            </w:r>
          </w:p>
        </w:tc>
        <w:tc>
          <w:tcPr>
            <w:tcW w:w="26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81,410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Earnings attributable to noncontrolling interests</w:t>
            </w:r>
          </w:p>
        </w:tc>
        <w:tc>
          <w:tcPr>
            <w:tcW w:w="8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155</w:t>
            </w:r>
          </w:p>
        </w:tc>
        <w:tc>
          <w:tcPr>
            <w:tcW w:w="2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88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119,880</w:t>
            </w:r>
          </w:p>
        </w:tc>
        <w:tc>
          <w:tcPr>
            <w:tcW w:w="160" w:type="dxa"/>
            <w:vAlign w:val="bottom"/>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75,890</w:t>
            </w:r>
          </w:p>
        </w:tc>
        <w:tc>
          <w:tcPr>
            <w:tcW w:w="280" w:type="dxa"/>
            <w:vAlign w:val="bottom"/>
          </w:tcPr>
          <w:p>
            <w:pPr>
              <w:spacing w:after="0"/>
              <w:rPr>
                <w:sz w:val="21"/>
                <w:szCs w:val="21"/>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166,756</w:t>
            </w:r>
          </w:p>
        </w:tc>
        <w:tc>
          <w:tcPr>
            <w:tcW w:w="260" w:type="dxa"/>
            <w:vAlign w:val="bottom"/>
          </w:tcPr>
          <w:p>
            <w:pPr>
              <w:spacing w:after="0"/>
              <w:rPr>
                <w:sz w:val="21"/>
                <w:szCs w:val="21"/>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81,488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4880" w:type="dxa"/>
            <w:vAlign w:val="bottom"/>
            <w:tcBorders>
              <w:top w:val="single" w:sz="8" w:color="CFF0FC"/>
            </w:tcBorders>
            <w:shd w:val="clear" w:color="auto" w:fill="CFF0FC"/>
          </w:tcPr>
          <w:p>
            <w:pPr>
              <w:spacing w:after="0" w:line="192" w:lineRule="exact"/>
              <w:rPr>
                <w:sz w:val="20"/>
                <w:szCs w:val="20"/>
                <w:color w:val="auto"/>
              </w:rPr>
            </w:pPr>
            <w:r>
              <w:rPr>
                <w:rFonts w:ascii="Arial" w:cs="Arial" w:eastAsia="Arial" w:hAnsi="Arial"/>
                <w:sz w:val="17"/>
                <w:szCs w:val="17"/>
                <w:color w:val="auto"/>
              </w:rPr>
              <w:t>Net Earnings Attributable to Martin Marietta Materials, Inc.</w:t>
            </w:r>
          </w:p>
        </w:tc>
        <w:tc>
          <w:tcPr>
            <w:tcW w:w="86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80" w:type="dxa"/>
            <w:vAlign w:val="bottom"/>
          </w:tcPr>
          <w:p>
            <w:pPr>
              <w:ind w:left="240"/>
              <w:spacing w:after="0"/>
              <w:rPr>
                <w:sz w:val="20"/>
                <w:szCs w:val="20"/>
                <w:color w:val="auto"/>
              </w:rPr>
            </w:pPr>
            <w:r>
              <w:rPr>
                <w:rFonts w:ascii="Arial" w:cs="Arial" w:eastAsia="Arial" w:hAnsi="Arial"/>
                <w:sz w:val="17"/>
                <w:szCs w:val="17"/>
                <w:color w:val="auto"/>
              </w:rPr>
              <w:t>Per Common Share:</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shd w:val="clear" w:color="auto" w:fill="CFF0FC"/>
          </w:tcPr>
          <w:p>
            <w:pPr>
              <w:ind w:left="460"/>
              <w:spacing w:after="0"/>
              <w:rPr>
                <w:sz w:val="20"/>
                <w:szCs w:val="20"/>
                <w:color w:val="auto"/>
              </w:rPr>
            </w:pPr>
            <w:r>
              <w:rPr>
                <w:rFonts w:ascii="Arial" w:cs="Arial" w:eastAsia="Arial" w:hAnsi="Arial"/>
                <w:sz w:val="17"/>
                <w:szCs w:val="17"/>
                <w:color w:val="auto"/>
              </w:rPr>
              <w:t>Basic attributable to common shareholders</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bottom w:val="single" w:sz="8" w:color="CFF0FC"/>
            </w:tcBorders>
            <w:vMerge w:val="restart"/>
          </w:tcPr>
          <w:p>
            <w:pPr>
              <w:ind w:left="460"/>
              <w:spacing w:after="0"/>
              <w:rPr>
                <w:sz w:val="20"/>
                <w:szCs w:val="20"/>
                <w:color w:val="auto"/>
              </w:rPr>
            </w:pPr>
            <w:r>
              <w:rPr>
                <w:rFonts w:ascii="Arial" w:cs="Arial" w:eastAsia="Arial" w:hAnsi="Arial"/>
                <w:sz w:val="17"/>
                <w:szCs w:val="17"/>
                <w:color w:val="auto"/>
              </w:rPr>
              <w:t>Diluted attributable to common shareholders</w:t>
            </w:r>
          </w:p>
        </w:tc>
        <w:tc>
          <w:tcPr>
            <w:tcW w:w="8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880" w:type="dxa"/>
            <w:vAlign w:val="bottom"/>
            <w:vMerge w:val="continue"/>
          </w:tcPr>
          <w:p>
            <w:pPr>
              <w:spacing w:after="0"/>
              <w:rPr>
                <w:sz w:val="20"/>
                <w:szCs w:val="20"/>
                <w:color w:val="auto"/>
              </w:rPr>
            </w:pPr>
          </w:p>
        </w:tc>
        <w:tc>
          <w:tcPr>
            <w:tcW w:w="1000" w:type="dxa"/>
            <w:vAlign w:val="bottom"/>
            <w:gridSpan w:val="2"/>
          </w:tcPr>
          <w:p>
            <w:pPr>
              <w:jc w:val="right"/>
              <w:ind w:right="60"/>
              <w:spacing w:after="0" w:line="193" w:lineRule="exact"/>
              <w:rPr>
                <w:sz w:val="20"/>
                <w:szCs w:val="20"/>
                <w:color w:val="auto"/>
              </w:rPr>
            </w:pPr>
            <w:r>
              <w:rPr>
                <w:rFonts w:ascii="Arial" w:cs="Arial" w:eastAsia="Arial" w:hAnsi="Arial"/>
                <w:sz w:val="17"/>
                <w:szCs w:val="17"/>
                <w:color w:val="auto"/>
              </w:rPr>
              <w:t>$</w:t>
            </w:r>
          </w:p>
        </w:tc>
        <w:tc>
          <w:tcPr>
            <w:tcW w:w="1100" w:type="dxa"/>
            <w:vAlign w:val="bottom"/>
          </w:tcPr>
          <w:p>
            <w:pPr>
              <w:jc w:val="right"/>
              <w:spacing w:after="0" w:line="193" w:lineRule="exact"/>
              <w:rPr>
                <w:sz w:val="20"/>
                <w:szCs w:val="20"/>
                <w:color w:val="auto"/>
              </w:rPr>
            </w:pPr>
            <w:r>
              <w:rPr>
                <w:rFonts w:ascii="Arial" w:cs="Arial" w:eastAsia="Arial" w:hAnsi="Arial"/>
                <w:sz w:val="17"/>
                <w:szCs w:val="17"/>
                <w:color w:val="auto"/>
              </w:rPr>
              <w:t>1.90</w:t>
            </w:r>
          </w:p>
        </w:tc>
        <w:tc>
          <w:tcPr>
            <w:tcW w:w="160" w:type="dxa"/>
            <w:vAlign w:val="bottom"/>
          </w:tcPr>
          <w:p>
            <w:pPr>
              <w:spacing w:after="0"/>
              <w:rPr>
                <w:sz w:val="20"/>
                <w:szCs w:val="20"/>
                <w:color w:val="auto"/>
              </w:rPr>
            </w:pPr>
          </w:p>
        </w:tc>
        <w:tc>
          <w:tcPr>
            <w:tcW w:w="340" w:type="dxa"/>
            <w:vAlign w:val="bottom"/>
            <w:gridSpan w:val="2"/>
          </w:tcPr>
          <w:p>
            <w:pPr>
              <w:jc w:val="right"/>
              <w:ind w:right="160"/>
              <w:spacing w:after="0" w:line="193" w:lineRule="exact"/>
              <w:rPr>
                <w:sz w:val="20"/>
                <w:szCs w:val="20"/>
                <w:color w:val="auto"/>
              </w:rPr>
            </w:pPr>
            <w:r>
              <w:rPr>
                <w:rFonts w:ascii="Arial" w:cs="Arial" w:eastAsia="Arial" w:hAnsi="Arial"/>
                <w:sz w:val="17"/>
                <w:szCs w:val="17"/>
                <w:color w:val="auto"/>
              </w:rPr>
              <w:t>$</w:t>
            </w:r>
          </w:p>
        </w:tc>
        <w:tc>
          <w:tcPr>
            <w:tcW w:w="900" w:type="dxa"/>
            <w:vAlign w:val="bottom"/>
          </w:tcPr>
          <w:p>
            <w:pPr>
              <w:jc w:val="right"/>
              <w:spacing w:after="0" w:line="193" w:lineRule="exact"/>
              <w:rPr>
                <w:sz w:val="20"/>
                <w:szCs w:val="20"/>
                <w:color w:val="auto"/>
              </w:rPr>
            </w:pPr>
            <w:r>
              <w:rPr>
                <w:rFonts w:ascii="Arial" w:cs="Arial" w:eastAsia="Arial" w:hAnsi="Arial"/>
                <w:sz w:val="17"/>
                <w:szCs w:val="17"/>
                <w:color w:val="auto"/>
              </w:rPr>
              <w:t>1.22</w:t>
            </w:r>
          </w:p>
        </w:tc>
        <w:tc>
          <w:tcPr>
            <w:tcW w:w="280" w:type="dxa"/>
            <w:vAlign w:val="bottom"/>
          </w:tcPr>
          <w:p>
            <w:pPr>
              <w:spacing w:after="0"/>
              <w:rPr>
                <w:sz w:val="20"/>
                <w:szCs w:val="20"/>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93" w:lineRule="exact"/>
              <w:rPr>
                <w:sz w:val="20"/>
                <w:szCs w:val="20"/>
                <w:color w:val="auto"/>
              </w:rPr>
            </w:pPr>
            <w:r>
              <w:rPr>
                <w:rFonts w:ascii="Arial" w:cs="Arial" w:eastAsia="Arial" w:hAnsi="Arial"/>
                <w:sz w:val="17"/>
                <w:szCs w:val="17"/>
                <w:color w:val="auto"/>
              </w:rPr>
              <w:t>2.60</w:t>
            </w:r>
          </w:p>
        </w:tc>
        <w:tc>
          <w:tcPr>
            <w:tcW w:w="260" w:type="dxa"/>
            <w:vAlign w:val="bottom"/>
          </w:tcPr>
          <w:p>
            <w:pPr>
              <w:spacing w:after="0"/>
              <w:rPr>
                <w:sz w:val="20"/>
                <w:szCs w:val="20"/>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3" w:lineRule="exact"/>
              <w:rPr>
                <w:sz w:val="20"/>
                <w:szCs w:val="20"/>
                <w:color w:val="auto"/>
              </w:rPr>
            </w:pPr>
            <w:r>
              <w:rPr>
                <w:rFonts w:ascii="Arial" w:cs="Arial" w:eastAsia="Arial" w:hAnsi="Arial"/>
                <w:sz w:val="17"/>
                <w:szCs w:val="17"/>
                <w:color w:val="auto"/>
              </w:rPr>
              <w:t>1.30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880" w:type="dxa"/>
            <w:vAlign w:val="bottom"/>
            <w:tcBorders>
              <w:top w:val="single" w:sz="8" w:color="CFF0FC"/>
            </w:tcBorders>
            <w:shd w:val="clear" w:color="auto" w:fill="CFF0FC"/>
          </w:tcPr>
          <w:p>
            <w:pPr>
              <w:spacing w:after="0"/>
              <w:rPr>
                <w:sz w:val="16"/>
                <w:szCs w:val="16"/>
                <w:color w:val="auto"/>
              </w:rPr>
            </w:pPr>
          </w:p>
        </w:tc>
        <w:tc>
          <w:tcPr>
            <w:tcW w:w="86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80" w:type="dxa"/>
            <w:vAlign w:val="bottom"/>
          </w:tcPr>
          <w:p>
            <w:pPr>
              <w:spacing w:after="0"/>
              <w:rPr>
                <w:sz w:val="20"/>
                <w:szCs w:val="20"/>
                <w:color w:val="auto"/>
              </w:rPr>
            </w:pPr>
            <w:r>
              <w:rPr>
                <w:rFonts w:ascii="Arial" w:cs="Arial" w:eastAsia="Arial" w:hAnsi="Arial"/>
                <w:sz w:val="17"/>
                <w:szCs w:val="17"/>
                <w:color w:val="auto"/>
              </w:rPr>
              <w:t>Weighted-Average Common Shares Outstanding:</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Basic</w:t>
            </w:r>
          </w:p>
        </w:tc>
        <w:tc>
          <w:tcPr>
            <w:tcW w:w="8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63,532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67,373</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63,845</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67,392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ind w:left="240"/>
              <w:spacing w:after="0"/>
              <w:rPr>
                <w:sz w:val="20"/>
                <w:szCs w:val="20"/>
                <w:color w:val="auto"/>
              </w:rPr>
            </w:pPr>
            <w:r>
              <w:rPr>
                <w:rFonts w:ascii="Arial" w:cs="Arial" w:eastAsia="Arial" w:hAnsi="Arial"/>
                <w:sz w:val="17"/>
                <w:szCs w:val="17"/>
                <w:color w:val="auto"/>
              </w:rPr>
              <w:t>Diluted</w:t>
            </w: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880" w:type="dxa"/>
            <w:vAlign w:val="bottom"/>
            <w:tcBorders>
              <w:bottom w:val="single" w:sz="8" w:color="CFF0FC"/>
            </w:tcBorders>
            <w:vMerge w:val="continue"/>
          </w:tcPr>
          <w:p>
            <w:pPr>
              <w:spacing w:after="0"/>
              <w:rPr>
                <w:sz w:val="20"/>
                <w:szCs w:val="20"/>
                <w:color w:val="auto"/>
              </w:rPr>
            </w:pPr>
          </w:p>
        </w:tc>
        <w:tc>
          <w:tcPr>
            <w:tcW w:w="8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63,802</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67,633</w:t>
            </w:r>
          </w:p>
        </w:tc>
        <w:tc>
          <w:tcPr>
            <w:tcW w:w="2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64,091</w:t>
            </w:r>
          </w:p>
        </w:tc>
        <w:tc>
          <w:tcPr>
            <w:tcW w:w="2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67,654</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8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80" w:type="dxa"/>
            <w:vAlign w:val="bottom"/>
          </w:tcPr>
          <w:p>
            <w:pPr>
              <w:spacing w:after="0"/>
              <w:rPr>
                <w:sz w:val="20"/>
                <w:szCs w:val="20"/>
                <w:color w:val="auto"/>
              </w:rPr>
            </w:pPr>
            <w:r>
              <w:rPr>
                <w:rFonts w:ascii="Arial" w:cs="Arial" w:eastAsia="Arial" w:hAnsi="Arial"/>
                <w:sz w:val="17"/>
                <w:szCs w:val="17"/>
                <w:color w:val="auto"/>
              </w:rPr>
              <w:t>Cash Dividends Per Common Share</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0.40</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0.40</w:t>
            </w:r>
          </w:p>
        </w:tc>
        <w:tc>
          <w:tcPr>
            <w:tcW w:w="28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0.80</w:t>
            </w:r>
          </w:p>
        </w:tc>
        <w:tc>
          <w:tcPr>
            <w:tcW w:w="26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color w:val="auto"/>
        </w:rPr>
        <w:t>MARTIN MARIETTA MATERIALS, INC. AND CONSOLIDATED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 CONSOLIDATED STATEMENTS OF CASH FLOWS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466"/>
              <w:spacing w:after="0"/>
              <w:rPr>
                <w:sz w:val="20"/>
                <w:szCs w:val="20"/>
                <w:color w:val="auto"/>
              </w:rPr>
            </w:pPr>
            <w:r>
              <w:rPr>
                <w:rFonts w:ascii="Arial" w:cs="Arial" w:eastAsia="Arial" w:hAnsi="Arial"/>
                <w:sz w:val="17"/>
                <w:szCs w:val="17"/>
                <w:color w:val="auto"/>
              </w:rPr>
              <w:t>June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80" w:type="dxa"/>
            <w:vAlign w:val="bottom"/>
          </w:tcPr>
          <w:p>
            <w:pPr>
              <w:spacing w:after="0"/>
              <w:rPr>
                <w:sz w:val="18"/>
                <w:szCs w:val="18"/>
                <w:color w:val="auto"/>
              </w:rPr>
            </w:pPr>
          </w:p>
        </w:tc>
        <w:tc>
          <w:tcPr>
            <w:tcW w:w="2320" w:type="dxa"/>
            <w:vAlign w:val="bottom"/>
            <w:gridSpan w:val="2"/>
          </w:tcPr>
          <w:p>
            <w:pPr>
              <w:jc w:val="right"/>
              <w:ind w:right="40"/>
              <w:spacing w:after="0"/>
              <w:rPr>
                <w:sz w:val="20"/>
                <w:szCs w:val="20"/>
                <w:color w:val="auto"/>
              </w:rPr>
            </w:pPr>
            <w:r>
              <w:rPr>
                <w:rFonts w:ascii="Arial" w:cs="Arial" w:eastAsia="Arial" w:hAnsi="Arial"/>
                <w:sz w:val="17"/>
                <w:szCs w:val="17"/>
                <w:color w:val="auto"/>
              </w:rPr>
              <w:t>2016</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ind w:right="636"/>
              <w:spacing w:after="0"/>
              <w:rPr>
                <w:sz w:val="20"/>
                <w:szCs w:val="20"/>
                <w:color w:val="auto"/>
              </w:rPr>
            </w:pPr>
            <w:r>
              <w:rPr>
                <w:rFonts w:ascii="Arial" w:cs="Arial" w:eastAsia="Arial" w:hAnsi="Arial"/>
                <w:sz w:val="17"/>
                <w:szCs w:val="17"/>
                <w:color w:val="auto"/>
                <w:w w:val="89"/>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i w:val="1"/>
                <w:iCs w:val="1"/>
                <w:color w:val="auto"/>
                <w:w w:val="92"/>
              </w:rPr>
              <w:t>(Dollars in Thousands)</w:t>
            </w: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80" w:type="dxa"/>
            <w:vAlign w:val="bottom"/>
            <w:shd w:val="clear" w:color="auto" w:fill="CFF0FC"/>
          </w:tcPr>
          <w:p>
            <w:pPr>
              <w:spacing w:after="0"/>
              <w:rPr>
                <w:sz w:val="20"/>
                <w:szCs w:val="20"/>
                <w:color w:val="auto"/>
              </w:rPr>
            </w:pPr>
            <w:r>
              <w:rPr>
                <w:rFonts w:ascii="Arial" w:cs="Arial" w:eastAsia="Arial" w:hAnsi="Arial"/>
                <w:sz w:val="17"/>
                <w:szCs w:val="17"/>
                <w:color w:val="auto"/>
              </w:rPr>
              <w:t>Cash Flows from Operating Activities:</w:t>
            </w:r>
          </w:p>
        </w:tc>
        <w:tc>
          <w:tcPr>
            <w:tcW w:w="1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80" w:type="dxa"/>
            <w:vAlign w:val="bottom"/>
          </w:tcPr>
          <w:p>
            <w:pPr>
              <w:spacing w:after="0"/>
              <w:rPr>
                <w:sz w:val="20"/>
                <w:szCs w:val="20"/>
                <w:color w:val="auto"/>
              </w:rPr>
            </w:pPr>
            <w:r>
              <w:rPr>
                <w:rFonts w:ascii="Arial" w:cs="Arial" w:eastAsia="Arial" w:hAnsi="Arial"/>
                <w:sz w:val="17"/>
                <w:szCs w:val="17"/>
                <w:color w:val="auto"/>
              </w:rPr>
              <w:t>Consolidated net earnings</w:t>
            </w:r>
          </w:p>
        </w:tc>
        <w:tc>
          <w:tcPr>
            <w:tcW w:w="2320" w:type="dxa"/>
            <w:vAlign w:val="bottom"/>
            <w:gridSpan w:val="2"/>
          </w:tcPr>
          <w:p>
            <w:pPr>
              <w:jc w:val="right"/>
              <w:ind w:right="9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167,169</w:t>
            </w:r>
          </w:p>
        </w:tc>
        <w:tc>
          <w:tcPr>
            <w:tcW w:w="300" w:type="dxa"/>
            <w:vAlign w:val="bottom"/>
          </w:tcPr>
          <w:p>
            <w:pPr>
              <w:spacing w:after="0"/>
              <w:rPr>
                <w:sz w:val="18"/>
                <w:szCs w:val="18"/>
                <w:color w:val="auto"/>
              </w:rPr>
            </w:pPr>
          </w:p>
        </w:tc>
        <w:tc>
          <w:tcPr>
            <w:tcW w:w="660" w:type="dxa"/>
            <w:vAlign w:val="bottom"/>
          </w:tcPr>
          <w:p>
            <w:pPr>
              <w:jc w:val="right"/>
              <w:ind w:right="506"/>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88,138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80" w:type="dxa"/>
            <w:vAlign w:val="bottom"/>
            <w:shd w:val="clear" w:color="auto" w:fill="CFF0FC"/>
          </w:tcPr>
          <w:p>
            <w:pPr>
              <w:spacing w:after="0"/>
              <w:rPr>
                <w:sz w:val="20"/>
                <w:szCs w:val="20"/>
                <w:color w:val="auto"/>
              </w:rPr>
            </w:pPr>
            <w:r>
              <w:rPr>
                <w:rFonts w:ascii="Arial" w:cs="Arial" w:eastAsia="Arial" w:hAnsi="Arial"/>
                <w:sz w:val="17"/>
                <w:szCs w:val="17"/>
                <w:color w:val="auto"/>
              </w:rPr>
              <w:t>Adjustments to reconcile consolidated net earnings to net cash</w:t>
            </w:r>
          </w:p>
        </w:tc>
        <w:tc>
          <w:tcPr>
            <w:tcW w:w="1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2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provided by operating activities:</w:t>
            </w:r>
          </w:p>
        </w:tc>
        <w:tc>
          <w:tcPr>
            <w:tcW w:w="1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80" w:type="dxa"/>
            <w:vAlign w:val="bottom"/>
          </w:tcPr>
          <w:p>
            <w:pPr>
              <w:ind w:left="240"/>
              <w:spacing w:after="0"/>
              <w:rPr>
                <w:sz w:val="20"/>
                <w:szCs w:val="20"/>
                <w:color w:val="auto"/>
              </w:rPr>
            </w:pPr>
            <w:r>
              <w:rPr>
                <w:rFonts w:ascii="Arial" w:cs="Arial" w:eastAsia="Arial" w:hAnsi="Arial"/>
                <w:sz w:val="17"/>
                <w:szCs w:val="17"/>
                <w:color w:val="auto"/>
              </w:rPr>
              <w:t>Depreciation, depletion and amortization</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139,617</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134,958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Stock-based compensation expense</w:t>
            </w:r>
          </w:p>
        </w:tc>
        <w:tc>
          <w:tcPr>
            <w:tcW w:w="1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12,801</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80" w:type="dxa"/>
            <w:vAlign w:val="bottom"/>
          </w:tcPr>
          <w:p>
            <w:pPr>
              <w:ind w:left="240"/>
              <w:spacing w:after="0"/>
              <w:rPr>
                <w:sz w:val="20"/>
                <w:szCs w:val="20"/>
                <w:color w:val="auto"/>
              </w:rPr>
            </w:pPr>
            <w:r>
              <w:rPr>
                <w:rFonts w:ascii="Arial" w:cs="Arial" w:eastAsia="Arial" w:hAnsi="Arial"/>
                <w:sz w:val="17"/>
                <w:szCs w:val="17"/>
                <w:color w:val="auto"/>
              </w:rPr>
              <w:t>Gain on divestitures and sales of assets</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(261)</w:t>
            </w:r>
          </w:p>
        </w:tc>
        <w:tc>
          <w:tcPr>
            <w:tcW w:w="6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(853)</w:t>
            </w:r>
          </w:p>
        </w:tc>
        <w:tc>
          <w:tcPr>
            <w:tcW w:w="0" w:type="dxa"/>
            <w:vAlign w:val="bottom"/>
          </w:tcPr>
          <w:p>
            <w:pPr>
              <w:spacing w:after="0"/>
              <w:rPr>
                <w:sz w:val="1"/>
                <w:szCs w:val="1"/>
                <w:color w:val="auto"/>
              </w:rPr>
            </w:pPr>
          </w:p>
        </w:tc>
      </w:tr>
      <w:tr>
        <w:trPr>
          <w:trHeight w:val="215"/>
        </w:trPr>
        <w:tc>
          <w:tcPr>
            <w:tcW w:w="6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Deferred income taxes</w:t>
            </w:r>
          </w:p>
        </w:tc>
        <w:tc>
          <w:tcPr>
            <w:tcW w:w="1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34,389</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33,906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80" w:type="dxa"/>
            <w:vAlign w:val="bottom"/>
          </w:tcPr>
          <w:p>
            <w:pPr>
              <w:ind w:left="240"/>
              <w:spacing w:after="0"/>
              <w:rPr>
                <w:sz w:val="20"/>
                <w:szCs w:val="20"/>
                <w:color w:val="auto"/>
              </w:rPr>
            </w:pPr>
            <w:r>
              <w:rPr>
                <w:rFonts w:ascii="Arial" w:cs="Arial" w:eastAsia="Arial" w:hAnsi="Arial"/>
                <w:sz w:val="17"/>
                <w:szCs w:val="17"/>
                <w:color w:val="auto"/>
              </w:rPr>
              <w:t>Excess tax benefits from stock-based compensation transactions</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(3,948)</w:t>
            </w:r>
          </w:p>
        </w:tc>
        <w:tc>
          <w:tcPr>
            <w:tcW w:w="6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15"/>
        </w:trPr>
        <w:tc>
          <w:tcPr>
            <w:tcW w:w="6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items, net</w:t>
            </w:r>
          </w:p>
        </w:tc>
        <w:tc>
          <w:tcPr>
            <w:tcW w:w="1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(5,767)</w:t>
            </w:r>
          </w:p>
        </w:tc>
        <w:tc>
          <w:tcPr>
            <w:tcW w:w="6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(341)</w:t>
            </w:r>
          </w:p>
        </w:tc>
        <w:tc>
          <w:tcPr>
            <w:tcW w:w="0" w:type="dxa"/>
            <w:vAlign w:val="bottom"/>
          </w:tcPr>
          <w:p>
            <w:pPr>
              <w:spacing w:after="0"/>
              <w:rPr>
                <w:sz w:val="1"/>
                <w:szCs w:val="1"/>
                <w:color w:val="auto"/>
              </w:rPr>
            </w:pPr>
          </w:p>
        </w:tc>
      </w:tr>
      <w:tr>
        <w:trPr>
          <w:trHeight w:val="202"/>
        </w:trPr>
        <w:tc>
          <w:tcPr>
            <w:tcW w:w="6280" w:type="dxa"/>
            <w:vAlign w:val="bottom"/>
          </w:tcPr>
          <w:p>
            <w:pPr>
              <w:ind w:left="240"/>
              <w:spacing w:after="0"/>
              <w:rPr>
                <w:sz w:val="20"/>
                <w:szCs w:val="20"/>
                <w:color w:val="auto"/>
              </w:rPr>
            </w:pPr>
            <w:r>
              <w:rPr>
                <w:rFonts w:ascii="Arial" w:cs="Arial" w:eastAsia="Arial" w:hAnsi="Arial"/>
                <w:sz w:val="17"/>
                <w:szCs w:val="17"/>
                <w:color w:val="auto"/>
              </w:rPr>
              <w:t>Changes in operating assets and liabilities, net of effects of acquisitions</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280" w:type="dxa"/>
            <w:vAlign w:val="bottom"/>
          </w:tcPr>
          <w:p>
            <w:pPr>
              <w:ind w:left="360"/>
              <w:spacing w:after="0"/>
              <w:rPr>
                <w:sz w:val="20"/>
                <w:szCs w:val="20"/>
                <w:color w:val="auto"/>
              </w:rPr>
            </w:pPr>
            <w:r>
              <w:rPr>
                <w:rFonts w:ascii="Arial" w:cs="Arial" w:eastAsia="Arial" w:hAnsi="Arial"/>
                <w:sz w:val="17"/>
                <w:szCs w:val="17"/>
                <w:color w:val="auto"/>
              </w:rPr>
              <w:t>and divestitures:</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80" w:type="dxa"/>
            <w:vAlign w:val="bottom"/>
            <w:shd w:val="clear" w:color="auto" w:fill="CFF0FC"/>
          </w:tcPr>
          <w:p>
            <w:pPr>
              <w:ind w:left="460"/>
              <w:spacing w:after="0"/>
              <w:rPr>
                <w:sz w:val="20"/>
                <w:szCs w:val="20"/>
                <w:color w:val="auto"/>
              </w:rPr>
            </w:pPr>
            <w:r>
              <w:rPr>
                <w:rFonts w:ascii="Arial" w:cs="Arial" w:eastAsia="Arial" w:hAnsi="Arial"/>
                <w:sz w:val="17"/>
                <w:szCs w:val="17"/>
                <w:color w:val="auto"/>
              </w:rPr>
              <w:t>Accounts receivable, net</w:t>
            </w:r>
          </w:p>
        </w:tc>
        <w:tc>
          <w:tcPr>
            <w:tcW w:w="1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w w:val="96"/>
              </w:rPr>
              <w:t>(117,524)</w:t>
            </w:r>
          </w:p>
        </w:tc>
        <w:tc>
          <w:tcPr>
            <w:tcW w:w="6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(76,061)</w:t>
            </w:r>
          </w:p>
        </w:tc>
        <w:tc>
          <w:tcPr>
            <w:tcW w:w="0" w:type="dxa"/>
            <w:vAlign w:val="bottom"/>
          </w:tcPr>
          <w:p>
            <w:pPr>
              <w:spacing w:after="0"/>
              <w:rPr>
                <w:sz w:val="1"/>
                <w:szCs w:val="1"/>
                <w:color w:val="auto"/>
              </w:rPr>
            </w:pPr>
          </w:p>
        </w:tc>
      </w:tr>
      <w:tr>
        <w:trPr>
          <w:trHeight w:val="214"/>
        </w:trPr>
        <w:tc>
          <w:tcPr>
            <w:tcW w:w="6280" w:type="dxa"/>
            <w:vAlign w:val="bottom"/>
          </w:tcPr>
          <w:p>
            <w:pPr>
              <w:ind w:left="460"/>
              <w:spacing w:after="0"/>
              <w:rPr>
                <w:sz w:val="20"/>
                <w:szCs w:val="20"/>
                <w:color w:val="auto"/>
              </w:rPr>
            </w:pPr>
            <w:r>
              <w:rPr>
                <w:rFonts w:ascii="Arial" w:cs="Arial" w:eastAsia="Arial" w:hAnsi="Arial"/>
                <w:sz w:val="17"/>
                <w:szCs w:val="17"/>
                <w:color w:val="auto"/>
              </w:rPr>
              <w:t>Inventories, net</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(33,131)</w:t>
            </w:r>
          </w:p>
        </w:tc>
        <w:tc>
          <w:tcPr>
            <w:tcW w:w="6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(27,661)</w:t>
            </w:r>
          </w:p>
        </w:tc>
        <w:tc>
          <w:tcPr>
            <w:tcW w:w="0" w:type="dxa"/>
            <w:vAlign w:val="bottom"/>
          </w:tcPr>
          <w:p>
            <w:pPr>
              <w:spacing w:after="0"/>
              <w:rPr>
                <w:sz w:val="1"/>
                <w:szCs w:val="1"/>
                <w:color w:val="auto"/>
              </w:rPr>
            </w:pPr>
          </w:p>
        </w:tc>
      </w:tr>
      <w:tr>
        <w:trPr>
          <w:trHeight w:val="215"/>
        </w:trPr>
        <w:tc>
          <w:tcPr>
            <w:tcW w:w="6280" w:type="dxa"/>
            <w:vAlign w:val="bottom"/>
            <w:shd w:val="clear" w:color="auto" w:fill="CFF0FC"/>
          </w:tcPr>
          <w:p>
            <w:pPr>
              <w:ind w:left="460"/>
              <w:spacing w:after="0"/>
              <w:rPr>
                <w:sz w:val="20"/>
                <w:szCs w:val="20"/>
                <w:color w:val="auto"/>
              </w:rPr>
            </w:pPr>
            <w:r>
              <w:rPr>
                <w:rFonts w:ascii="Arial" w:cs="Arial" w:eastAsia="Arial" w:hAnsi="Arial"/>
                <w:sz w:val="17"/>
                <w:szCs w:val="17"/>
                <w:color w:val="auto"/>
              </w:rPr>
              <w:t>Accounts payable</w:t>
            </w:r>
          </w:p>
        </w:tc>
        <w:tc>
          <w:tcPr>
            <w:tcW w:w="1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32,521</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(3,416)</w:t>
            </w:r>
          </w:p>
        </w:tc>
        <w:tc>
          <w:tcPr>
            <w:tcW w:w="0" w:type="dxa"/>
            <w:vAlign w:val="bottom"/>
          </w:tcPr>
          <w:p>
            <w:pPr>
              <w:spacing w:after="0"/>
              <w:rPr>
                <w:sz w:val="1"/>
                <w:szCs w:val="1"/>
                <w:color w:val="auto"/>
              </w:rPr>
            </w:pPr>
          </w:p>
        </w:tc>
      </w:tr>
      <w:tr>
        <w:trPr>
          <w:trHeight w:val="214"/>
        </w:trPr>
        <w:tc>
          <w:tcPr>
            <w:tcW w:w="6280" w:type="dxa"/>
            <w:vAlign w:val="bottom"/>
          </w:tcPr>
          <w:p>
            <w:pPr>
              <w:ind w:left="460"/>
              <w:spacing w:after="0"/>
              <w:rPr>
                <w:sz w:val="20"/>
                <w:szCs w:val="20"/>
                <w:color w:val="auto"/>
              </w:rPr>
            </w:pPr>
            <w:r>
              <w:rPr>
                <w:rFonts w:ascii="Arial" w:cs="Arial" w:eastAsia="Arial" w:hAnsi="Arial"/>
                <w:sz w:val="17"/>
                <w:szCs w:val="17"/>
                <w:color w:val="auto"/>
              </w:rPr>
              <w:t>Other assets and liabilities, net</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(22,495)</w:t>
            </w:r>
          </w:p>
        </w:tc>
        <w:tc>
          <w:tcPr>
            <w:tcW w:w="6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(29,070)</w:t>
            </w:r>
          </w:p>
        </w:tc>
        <w:tc>
          <w:tcPr>
            <w:tcW w:w="0" w:type="dxa"/>
            <w:vAlign w:val="bottom"/>
          </w:tcPr>
          <w:p>
            <w:pPr>
              <w:spacing w:after="0"/>
              <w:rPr>
                <w:sz w:val="1"/>
                <w:szCs w:val="1"/>
                <w:color w:val="auto"/>
              </w:rPr>
            </w:pPr>
          </w:p>
        </w:tc>
      </w:tr>
      <w:tr>
        <w:trPr>
          <w:trHeight w:val="207"/>
        </w:trPr>
        <w:tc>
          <w:tcPr>
            <w:tcW w:w="6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Cash Provided by Operating Activities</w:t>
            </w:r>
          </w:p>
        </w:tc>
        <w:tc>
          <w:tcPr>
            <w:tcW w:w="126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203,371</w:t>
            </w:r>
          </w:p>
        </w:tc>
        <w:tc>
          <w:tcPr>
            <w:tcW w:w="30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127,069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80" w:type="dxa"/>
            <w:vAlign w:val="bottom"/>
            <w:shd w:val="clear" w:color="auto" w:fill="CFF0FC"/>
          </w:tcPr>
          <w:p>
            <w:pPr>
              <w:spacing w:after="0"/>
              <w:rPr>
                <w:sz w:val="20"/>
                <w:szCs w:val="20"/>
                <w:color w:val="auto"/>
              </w:rPr>
            </w:pPr>
            <w:r>
              <w:rPr>
                <w:rFonts w:ascii="Arial" w:cs="Arial" w:eastAsia="Arial" w:hAnsi="Arial"/>
                <w:sz w:val="17"/>
                <w:szCs w:val="17"/>
                <w:color w:val="auto"/>
              </w:rPr>
              <w:t>Cash Flows from Investing Activities:</w:t>
            </w:r>
          </w:p>
        </w:tc>
        <w:tc>
          <w:tcPr>
            <w:tcW w:w="1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80" w:type="dxa"/>
            <w:vAlign w:val="bottom"/>
          </w:tcPr>
          <w:p>
            <w:pPr>
              <w:ind w:left="240"/>
              <w:spacing w:after="0"/>
              <w:rPr>
                <w:sz w:val="20"/>
                <w:szCs w:val="20"/>
                <w:color w:val="auto"/>
              </w:rPr>
            </w:pPr>
            <w:r>
              <w:rPr>
                <w:rFonts w:ascii="Arial" w:cs="Arial" w:eastAsia="Arial" w:hAnsi="Arial"/>
                <w:sz w:val="17"/>
                <w:szCs w:val="17"/>
                <w:color w:val="auto"/>
              </w:rPr>
              <w:t>Additions to property, plant and equipment</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(210,559)</w:t>
            </w:r>
          </w:p>
        </w:tc>
        <w:tc>
          <w:tcPr>
            <w:tcW w:w="6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(127,990)</w:t>
            </w:r>
          </w:p>
        </w:tc>
        <w:tc>
          <w:tcPr>
            <w:tcW w:w="0" w:type="dxa"/>
            <w:vAlign w:val="bottom"/>
          </w:tcPr>
          <w:p>
            <w:pPr>
              <w:spacing w:after="0"/>
              <w:rPr>
                <w:sz w:val="1"/>
                <w:szCs w:val="1"/>
                <w:color w:val="auto"/>
              </w:rPr>
            </w:pPr>
          </w:p>
        </w:tc>
      </w:tr>
      <w:tr>
        <w:trPr>
          <w:trHeight w:val="215"/>
        </w:trPr>
        <w:tc>
          <w:tcPr>
            <w:tcW w:w="6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Acquisitions, net</w:t>
            </w:r>
          </w:p>
        </w:tc>
        <w:tc>
          <w:tcPr>
            <w:tcW w:w="1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w w:val="96"/>
              </w:rPr>
              <w:t>(123,000)</w:t>
            </w:r>
          </w:p>
        </w:tc>
        <w:tc>
          <w:tcPr>
            <w:tcW w:w="6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(10,713)</w:t>
            </w:r>
          </w:p>
        </w:tc>
        <w:tc>
          <w:tcPr>
            <w:tcW w:w="0" w:type="dxa"/>
            <w:vAlign w:val="bottom"/>
          </w:tcPr>
          <w:p>
            <w:pPr>
              <w:spacing w:after="0"/>
              <w:rPr>
                <w:sz w:val="1"/>
                <w:szCs w:val="1"/>
                <w:color w:val="auto"/>
              </w:rPr>
            </w:pPr>
          </w:p>
        </w:tc>
      </w:tr>
      <w:tr>
        <w:trPr>
          <w:trHeight w:val="214"/>
        </w:trPr>
        <w:tc>
          <w:tcPr>
            <w:tcW w:w="6280" w:type="dxa"/>
            <w:vAlign w:val="bottom"/>
          </w:tcPr>
          <w:p>
            <w:pPr>
              <w:ind w:left="240"/>
              <w:spacing w:after="0"/>
              <w:rPr>
                <w:sz w:val="20"/>
                <w:szCs w:val="20"/>
                <w:color w:val="auto"/>
              </w:rPr>
            </w:pPr>
            <w:r>
              <w:rPr>
                <w:rFonts w:ascii="Arial" w:cs="Arial" w:eastAsia="Arial" w:hAnsi="Arial"/>
                <w:sz w:val="17"/>
                <w:szCs w:val="17"/>
                <w:color w:val="auto"/>
              </w:rPr>
              <w:t>Cash received in acquisition</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3,446</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6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Proceeds from divestitures and sales of assets</w:t>
            </w:r>
          </w:p>
        </w:tc>
        <w:tc>
          <w:tcPr>
            <w:tcW w:w="1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4,474</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80" w:type="dxa"/>
            <w:vAlign w:val="bottom"/>
          </w:tcPr>
          <w:p>
            <w:pPr>
              <w:ind w:left="240"/>
              <w:spacing w:after="0"/>
              <w:rPr>
                <w:sz w:val="20"/>
                <w:szCs w:val="20"/>
                <w:color w:val="auto"/>
              </w:rPr>
            </w:pPr>
            <w:r>
              <w:rPr>
                <w:rFonts w:ascii="Arial" w:cs="Arial" w:eastAsia="Arial" w:hAnsi="Arial"/>
                <w:sz w:val="17"/>
                <w:szCs w:val="17"/>
                <w:color w:val="auto"/>
              </w:rPr>
              <w:t>Repayments from affiliate</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Payment of railcar construction advances</w:t>
            </w:r>
          </w:p>
        </w:tc>
        <w:tc>
          <w:tcPr>
            <w:tcW w:w="1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(25,234)</w:t>
            </w:r>
          </w:p>
        </w:tc>
        <w:tc>
          <w:tcPr>
            <w:tcW w:w="0" w:type="dxa"/>
            <w:vAlign w:val="bottom"/>
          </w:tcPr>
          <w:p>
            <w:pPr>
              <w:spacing w:after="0"/>
              <w:rPr>
                <w:sz w:val="1"/>
                <w:szCs w:val="1"/>
                <w:color w:val="auto"/>
              </w:rPr>
            </w:pPr>
          </w:p>
        </w:tc>
      </w:tr>
      <w:tr>
        <w:trPr>
          <w:trHeight w:val="214"/>
        </w:trPr>
        <w:tc>
          <w:tcPr>
            <w:tcW w:w="62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Reimbursement of railcar construction advances</w:t>
            </w:r>
          </w:p>
        </w:tc>
        <w:tc>
          <w:tcPr>
            <w:tcW w:w="126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25,234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80" w:type="dxa"/>
            <w:vAlign w:val="bottom"/>
            <w:shd w:val="clear" w:color="auto" w:fill="CFF0FC"/>
          </w:tcPr>
          <w:p>
            <w:pPr>
              <w:spacing w:after="0"/>
              <w:rPr>
                <w:sz w:val="20"/>
                <w:szCs w:val="20"/>
                <w:color w:val="auto"/>
              </w:rPr>
            </w:pPr>
            <w:r>
              <w:rPr>
                <w:rFonts w:ascii="Arial" w:cs="Arial" w:eastAsia="Arial" w:hAnsi="Arial"/>
                <w:sz w:val="17"/>
                <w:szCs w:val="17"/>
                <w:color w:val="auto"/>
              </w:rPr>
              <w:t>Net Cash Used for Investing Activities</w:t>
            </w:r>
          </w:p>
        </w:tc>
        <w:tc>
          <w:tcPr>
            <w:tcW w:w="1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w w:val="96"/>
              </w:rPr>
              <w:t>(325,639)</w:t>
            </w:r>
          </w:p>
        </w:tc>
        <w:tc>
          <w:tcPr>
            <w:tcW w:w="6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(134,923)</w:t>
            </w:r>
          </w:p>
        </w:tc>
        <w:tc>
          <w:tcPr>
            <w:tcW w:w="0" w:type="dxa"/>
            <w:vAlign w:val="bottom"/>
          </w:tcPr>
          <w:p>
            <w:pPr>
              <w:spacing w:after="0"/>
              <w:rPr>
                <w:sz w:val="1"/>
                <w:szCs w:val="1"/>
                <w:color w:val="auto"/>
              </w:rPr>
            </w:pPr>
          </w:p>
        </w:tc>
      </w:tr>
      <w:tr>
        <w:trPr>
          <w:trHeight w:val="207"/>
        </w:trPr>
        <w:tc>
          <w:tcPr>
            <w:tcW w:w="6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80" w:type="dxa"/>
            <w:vAlign w:val="bottom"/>
            <w:shd w:val="clear" w:color="auto" w:fill="CFF0FC"/>
          </w:tcPr>
          <w:p>
            <w:pPr>
              <w:spacing w:after="0"/>
              <w:rPr>
                <w:sz w:val="20"/>
                <w:szCs w:val="20"/>
                <w:color w:val="auto"/>
              </w:rPr>
            </w:pPr>
            <w:r>
              <w:rPr>
                <w:rFonts w:ascii="Arial" w:cs="Arial" w:eastAsia="Arial" w:hAnsi="Arial"/>
                <w:sz w:val="17"/>
                <w:szCs w:val="17"/>
                <w:color w:val="auto"/>
              </w:rPr>
              <w:t>Cash Flows from Financing Activities:</w:t>
            </w:r>
          </w:p>
        </w:tc>
        <w:tc>
          <w:tcPr>
            <w:tcW w:w="1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80" w:type="dxa"/>
            <w:vAlign w:val="bottom"/>
          </w:tcPr>
          <w:p>
            <w:pPr>
              <w:ind w:left="240"/>
              <w:spacing w:after="0"/>
              <w:rPr>
                <w:sz w:val="20"/>
                <w:szCs w:val="20"/>
                <w:color w:val="auto"/>
              </w:rPr>
            </w:pPr>
            <w:r>
              <w:rPr>
                <w:rFonts w:ascii="Arial" w:cs="Arial" w:eastAsia="Arial" w:hAnsi="Arial"/>
                <w:sz w:val="17"/>
                <w:szCs w:val="17"/>
                <w:color w:val="auto"/>
              </w:rPr>
              <w:t>Borrowings of debt</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280,000</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Repayments of debt</w:t>
            </w:r>
          </w:p>
        </w:tc>
        <w:tc>
          <w:tcPr>
            <w:tcW w:w="1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(70,420)</w:t>
            </w:r>
          </w:p>
        </w:tc>
        <w:tc>
          <w:tcPr>
            <w:tcW w:w="6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(8,144)</w:t>
            </w:r>
          </w:p>
        </w:tc>
        <w:tc>
          <w:tcPr>
            <w:tcW w:w="0" w:type="dxa"/>
            <w:vAlign w:val="bottom"/>
          </w:tcPr>
          <w:p>
            <w:pPr>
              <w:spacing w:after="0"/>
              <w:rPr>
                <w:sz w:val="1"/>
                <w:szCs w:val="1"/>
                <w:color w:val="auto"/>
              </w:rPr>
            </w:pPr>
          </w:p>
        </w:tc>
      </w:tr>
      <w:tr>
        <w:trPr>
          <w:trHeight w:val="214"/>
        </w:trPr>
        <w:tc>
          <w:tcPr>
            <w:tcW w:w="6280" w:type="dxa"/>
            <w:vAlign w:val="bottom"/>
          </w:tcPr>
          <w:p>
            <w:pPr>
              <w:ind w:left="240"/>
              <w:spacing w:after="0"/>
              <w:rPr>
                <w:sz w:val="20"/>
                <w:szCs w:val="20"/>
                <w:color w:val="auto"/>
              </w:rPr>
            </w:pPr>
            <w:r>
              <w:rPr>
                <w:rFonts w:ascii="Arial" w:cs="Arial" w:eastAsia="Arial" w:hAnsi="Arial"/>
                <w:sz w:val="17"/>
                <w:szCs w:val="17"/>
                <w:color w:val="auto"/>
              </w:rPr>
              <w:t>Payments on capital lease obligations</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(1,563)</w:t>
            </w:r>
          </w:p>
        </w:tc>
        <w:tc>
          <w:tcPr>
            <w:tcW w:w="6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(1,831)</w:t>
            </w:r>
          </w:p>
        </w:tc>
        <w:tc>
          <w:tcPr>
            <w:tcW w:w="0" w:type="dxa"/>
            <w:vAlign w:val="bottom"/>
          </w:tcPr>
          <w:p>
            <w:pPr>
              <w:spacing w:after="0"/>
              <w:rPr>
                <w:sz w:val="1"/>
                <w:szCs w:val="1"/>
                <w:color w:val="auto"/>
              </w:rPr>
            </w:pPr>
          </w:p>
        </w:tc>
      </w:tr>
      <w:tr>
        <w:trPr>
          <w:trHeight w:val="215"/>
        </w:trPr>
        <w:tc>
          <w:tcPr>
            <w:tcW w:w="6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Change in bank overdraft</w:t>
            </w:r>
          </w:p>
        </w:tc>
        <w:tc>
          <w:tcPr>
            <w:tcW w:w="1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(3,092)</w:t>
            </w:r>
          </w:p>
        </w:tc>
        <w:tc>
          <w:tcPr>
            <w:tcW w:w="6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14"/>
        </w:trPr>
        <w:tc>
          <w:tcPr>
            <w:tcW w:w="6280" w:type="dxa"/>
            <w:vAlign w:val="bottom"/>
          </w:tcPr>
          <w:p>
            <w:pPr>
              <w:ind w:left="240"/>
              <w:spacing w:after="0"/>
              <w:rPr>
                <w:sz w:val="20"/>
                <w:szCs w:val="20"/>
                <w:color w:val="auto"/>
              </w:rPr>
            </w:pPr>
            <w:r>
              <w:rPr>
                <w:rFonts w:ascii="Arial" w:cs="Arial" w:eastAsia="Arial" w:hAnsi="Arial"/>
                <w:sz w:val="17"/>
                <w:szCs w:val="17"/>
                <w:color w:val="auto"/>
              </w:rPr>
              <w:t>Dividends paid</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(51,467)</w:t>
            </w:r>
          </w:p>
        </w:tc>
        <w:tc>
          <w:tcPr>
            <w:tcW w:w="6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(54,285)</w:t>
            </w:r>
          </w:p>
        </w:tc>
        <w:tc>
          <w:tcPr>
            <w:tcW w:w="0" w:type="dxa"/>
            <w:vAlign w:val="bottom"/>
          </w:tcPr>
          <w:p>
            <w:pPr>
              <w:spacing w:after="0"/>
              <w:rPr>
                <w:sz w:val="1"/>
                <w:szCs w:val="1"/>
                <w:color w:val="auto"/>
              </w:rPr>
            </w:pPr>
          </w:p>
        </w:tc>
      </w:tr>
      <w:tr>
        <w:trPr>
          <w:trHeight w:val="215"/>
        </w:trPr>
        <w:tc>
          <w:tcPr>
            <w:tcW w:w="6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Issuances of common stock</w:t>
            </w:r>
          </w:p>
        </w:tc>
        <w:tc>
          <w:tcPr>
            <w:tcW w:w="1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15,049</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27,760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80" w:type="dxa"/>
            <w:vAlign w:val="bottom"/>
          </w:tcPr>
          <w:p>
            <w:pPr>
              <w:ind w:left="240"/>
              <w:spacing w:after="0"/>
              <w:rPr>
                <w:sz w:val="20"/>
                <w:szCs w:val="20"/>
                <w:color w:val="auto"/>
              </w:rPr>
            </w:pPr>
            <w:r>
              <w:rPr>
                <w:rFonts w:ascii="Arial" w:cs="Arial" w:eastAsia="Arial" w:hAnsi="Arial"/>
                <w:sz w:val="17"/>
                <w:szCs w:val="17"/>
                <w:color w:val="auto"/>
              </w:rPr>
              <w:t>Repurchases of common stock</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(190,000)</w:t>
            </w:r>
          </w:p>
        </w:tc>
        <w:tc>
          <w:tcPr>
            <w:tcW w:w="6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15"/>
        </w:trPr>
        <w:tc>
          <w:tcPr>
            <w:tcW w:w="6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Excess tax benefits from stock-based compensation transactions</w:t>
            </w:r>
          </w:p>
        </w:tc>
        <w:tc>
          <w:tcPr>
            <w:tcW w:w="126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3,948</w:t>
            </w:r>
          </w:p>
        </w:tc>
        <w:tc>
          <w:tcPr>
            <w:tcW w:w="30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80" w:type="dxa"/>
            <w:vAlign w:val="bottom"/>
          </w:tcPr>
          <w:p>
            <w:pPr>
              <w:spacing w:after="0"/>
              <w:rPr>
                <w:sz w:val="20"/>
                <w:szCs w:val="20"/>
                <w:color w:val="auto"/>
              </w:rPr>
            </w:pPr>
            <w:r>
              <w:rPr>
                <w:rFonts w:ascii="Arial" w:cs="Arial" w:eastAsia="Arial" w:hAnsi="Arial"/>
                <w:sz w:val="17"/>
                <w:szCs w:val="17"/>
                <w:color w:val="auto"/>
              </w:rPr>
              <w:t>Net Cash Used for Financing Activities</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(17,545)</w:t>
            </w:r>
          </w:p>
        </w:tc>
        <w:tc>
          <w:tcPr>
            <w:tcW w:w="66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(56,628)</w:t>
            </w:r>
          </w:p>
        </w:tc>
        <w:tc>
          <w:tcPr>
            <w:tcW w:w="0" w:type="dxa"/>
            <w:vAlign w:val="bottom"/>
          </w:tcPr>
          <w:p>
            <w:pPr>
              <w:spacing w:after="0"/>
              <w:rPr>
                <w:sz w:val="1"/>
                <w:szCs w:val="1"/>
                <w:color w:val="auto"/>
              </w:rPr>
            </w:pPr>
          </w:p>
        </w:tc>
      </w:tr>
      <w:tr>
        <w:trPr>
          <w:trHeight w:val="20"/>
        </w:trPr>
        <w:tc>
          <w:tcPr>
            <w:tcW w:w="62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Decrease in Cash and Cash Equivalents</w:t>
            </w:r>
          </w:p>
        </w:tc>
        <w:tc>
          <w:tcPr>
            <w:tcW w:w="1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80" w:type="dxa"/>
            <w:vAlign w:val="bottom"/>
            <w:vMerge w:val="continue"/>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w w:val="96"/>
              </w:rPr>
              <w:t>(139,813)</w:t>
            </w:r>
          </w:p>
        </w:tc>
        <w:tc>
          <w:tcPr>
            <w:tcW w:w="6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(64,482)</w:t>
            </w:r>
          </w:p>
        </w:tc>
        <w:tc>
          <w:tcPr>
            <w:tcW w:w="0" w:type="dxa"/>
            <w:vAlign w:val="bottom"/>
          </w:tcPr>
          <w:p>
            <w:pPr>
              <w:spacing w:after="0"/>
              <w:rPr>
                <w:sz w:val="1"/>
                <w:szCs w:val="1"/>
                <w:color w:val="auto"/>
              </w:rPr>
            </w:pPr>
          </w:p>
        </w:tc>
      </w:tr>
      <w:tr>
        <w:trPr>
          <w:trHeight w:val="214"/>
        </w:trPr>
        <w:tc>
          <w:tcPr>
            <w:tcW w:w="62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and Cash Equivalents, beginning of period</w:t>
            </w:r>
          </w:p>
        </w:tc>
        <w:tc>
          <w:tcPr>
            <w:tcW w:w="126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168,409</w:t>
            </w:r>
          </w:p>
        </w:tc>
        <w:tc>
          <w:tcPr>
            <w:tcW w:w="30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108,651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8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 end of period</w:t>
            </w:r>
          </w:p>
        </w:tc>
        <w:tc>
          <w:tcPr>
            <w:tcW w:w="2320" w:type="dxa"/>
            <w:vAlign w:val="bottom"/>
            <w:gridSpan w:val="2"/>
            <w:shd w:val="clear" w:color="auto" w:fill="CFF0FC"/>
          </w:tcPr>
          <w:p>
            <w:pPr>
              <w:jc w:val="right"/>
              <w:ind w:right="9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28,596</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06"/>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44,169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Supplemental Disclosures of Cash Flow Information:</w:t>
            </w:r>
          </w:p>
        </w:tc>
        <w:tc>
          <w:tcPr>
            <w:tcW w:w="12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28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Cash paid for interest</w:t>
            </w:r>
          </w:p>
        </w:tc>
        <w:tc>
          <w:tcPr>
            <w:tcW w:w="2320" w:type="dxa"/>
            <w:vAlign w:val="bottom"/>
            <w:gridSpan w:val="2"/>
            <w:shd w:val="clear" w:color="auto" w:fill="CFF0FC"/>
          </w:tcPr>
          <w:p>
            <w:pPr>
              <w:jc w:val="right"/>
              <w:ind w:right="9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36,630</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06"/>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35,447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80" w:type="dxa"/>
            <w:vAlign w:val="bottom"/>
          </w:tcPr>
          <w:p>
            <w:pPr>
              <w:ind w:left="240"/>
              <w:spacing w:after="0"/>
              <w:rPr>
                <w:sz w:val="20"/>
                <w:szCs w:val="20"/>
                <w:color w:val="auto"/>
              </w:rPr>
            </w:pPr>
            <w:r>
              <w:rPr>
                <w:rFonts w:ascii="Arial" w:cs="Arial" w:eastAsia="Arial" w:hAnsi="Arial"/>
                <w:sz w:val="17"/>
                <w:szCs w:val="17"/>
                <w:color w:val="auto"/>
              </w:rPr>
              <w:t>Cash paid for income taxes</w:t>
            </w:r>
          </w:p>
        </w:tc>
        <w:tc>
          <w:tcPr>
            <w:tcW w:w="2320" w:type="dxa"/>
            <w:vAlign w:val="bottom"/>
            <w:gridSpan w:val="2"/>
          </w:tcPr>
          <w:p>
            <w:pPr>
              <w:jc w:val="right"/>
              <w:ind w:right="9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47,159</w:t>
            </w:r>
          </w:p>
        </w:tc>
        <w:tc>
          <w:tcPr>
            <w:tcW w:w="300" w:type="dxa"/>
            <w:vAlign w:val="bottom"/>
          </w:tcPr>
          <w:p>
            <w:pPr>
              <w:spacing w:after="0"/>
              <w:rPr>
                <w:sz w:val="18"/>
                <w:szCs w:val="18"/>
                <w:color w:val="auto"/>
              </w:rPr>
            </w:pPr>
          </w:p>
        </w:tc>
        <w:tc>
          <w:tcPr>
            <w:tcW w:w="660" w:type="dxa"/>
            <w:vAlign w:val="bottom"/>
          </w:tcPr>
          <w:p>
            <w:pPr>
              <w:jc w:val="right"/>
              <w:ind w:right="506"/>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24,334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color w:val="auto"/>
        </w:rPr>
        <w:t>MARTIN MARIETTA MATERIALS, INC. AND CONSOLIDATED SUBSIDIARES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 CONSOLIDATED STATEMENT OF TOTAL EQUITY</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7"/>
                <w:szCs w:val="17"/>
                <w:color w:val="auto"/>
                <w:w w:val="85"/>
              </w:rPr>
              <w:t>Shares of</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6"/>
              </w:rPr>
              <w:t>Additional</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7"/>
                <w:szCs w:val="17"/>
                <w:color w:val="auto"/>
              </w:rPr>
              <w:t>Total</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7"/>
                <w:szCs w:val="17"/>
                <w:color w:val="auto"/>
                <w:w w:val="89"/>
              </w:rPr>
              <w:t>Common</w:t>
            </w:r>
          </w:p>
        </w:tc>
        <w:tc>
          <w:tcPr>
            <w:tcW w:w="60" w:type="dxa"/>
            <w:vAlign w:val="bottom"/>
          </w:tcPr>
          <w:p>
            <w:pPr>
              <w:spacing w:after="0"/>
              <w:rPr>
                <w:sz w:val="17"/>
                <w:szCs w:val="17"/>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7"/>
                <w:szCs w:val="17"/>
                <w:color w:val="auto"/>
                <w:w w:val="95"/>
              </w:rPr>
              <w:t>Common</w:t>
            </w:r>
          </w:p>
        </w:tc>
        <w:tc>
          <w:tcPr>
            <w:tcW w:w="820" w:type="dxa"/>
            <w:vAlign w:val="bottom"/>
          </w:tcPr>
          <w:p>
            <w:pPr>
              <w:jc w:val="center"/>
              <w:spacing w:after="0"/>
              <w:rPr>
                <w:sz w:val="20"/>
                <w:szCs w:val="20"/>
                <w:color w:val="auto"/>
              </w:rPr>
            </w:pPr>
            <w:r>
              <w:rPr>
                <w:rFonts w:ascii="Arial" w:cs="Arial" w:eastAsia="Arial" w:hAnsi="Arial"/>
                <w:sz w:val="17"/>
                <w:szCs w:val="17"/>
                <w:color w:val="auto"/>
                <w:w w:val="90"/>
              </w:rPr>
              <w:t>Paid-</w:t>
            </w:r>
          </w:p>
        </w:tc>
        <w:tc>
          <w:tcPr>
            <w:tcW w:w="180" w:type="dxa"/>
            <w:vAlign w:val="bottom"/>
          </w:tcPr>
          <w:p>
            <w:pPr>
              <w:spacing w:after="0"/>
              <w:rPr>
                <w:sz w:val="17"/>
                <w:szCs w:val="17"/>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7"/>
                <w:szCs w:val="17"/>
                <w:color w:val="auto"/>
                <w:w w:val="93"/>
              </w:rPr>
              <w:t>Accumulated Other</w:t>
            </w: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w w:val="85"/>
              </w:rPr>
              <w:t>Retained</w:t>
            </w:r>
          </w:p>
        </w:tc>
        <w:tc>
          <w:tcPr>
            <w:tcW w:w="1180" w:type="dxa"/>
            <w:vAlign w:val="bottom"/>
            <w:gridSpan w:val="4"/>
          </w:tcPr>
          <w:p>
            <w:pPr>
              <w:ind w:left="80"/>
              <w:spacing w:after="0"/>
              <w:rPr>
                <w:sz w:val="20"/>
                <w:szCs w:val="20"/>
                <w:color w:val="auto"/>
              </w:rPr>
            </w:pPr>
            <w:r>
              <w:rPr>
                <w:rFonts w:ascii="Arial" w:cs="Arial" w:eastAsia="Arial" w:hAnsi="Arial"/>
                <w:sz w:val="17"/>
                <w:szCs w:val="17"/>
                <w:color w:val="auto"/>
              </w:rPr>
              <w:t>Shareholders'</w:t>
            </w:r>
          </w:p>
        </w:tc>
        <w:tc>
          <w:tcPr>
            <w:tcW w:w="1040" w:type="dxa"/>
            <w:vAlign w:val="bottom"/>
            <w:gridSpan w:val="2"/>
          </w:tcPr>
          <w:p>
            <w:pPr>
              <w:spacing w:after="0"/>
              <w:rPr>
                <w:sz w:val="20"/>
                <w:szCs w:val="20"/>
                <w:color w:val="auto"/>
              </w:rPr>
            </w:pPr>
            <w:r>
              <w:rPr>
                <w:rFonts w:ascii="Arial" w:cs="Arial" w:eastAsia="Arial" w:hAnsi="Arial"/>
                <w:sz w:val="17"/>
                <w:szCs w:val="17"/>
                <w:color w:val="auto"/>
                <w:w w:val="93"/>
              </w:rPr>
              <w:t>Noncontrolling</w:t>
            </w:r>
          </w:p>
        </w:tc>
        <w:tc>
          <w:tcPr>
            <w:tcW w:w="38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Total</w:t>
            </w:r>
          </w:p>
        </w:tc>
      </w:tr>
      <w:tr>
        <w:trPr>
          <w:trHeight w:val="214"/>
        </w:trPr>
        <w:tc>
          <w:tcPr>
            <w:tcW w:w="232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(in thousands)</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Stock</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93"/>
              </w:rPr>
              <w:t>Stock</w:t>
            </w:r>
          </w:p>
        </w:tc>
        <w:tc>
          <w:tcPr>
            <w:tcW w:w="18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in Capital</w:t>
            </w:r>
          </w:p>
        </w:tc>
        <w:tc>
          <w:tcPr>
            <w:tcW w:w="180" w:type="dxa"/>
            <w:vAlign w:val="bottom"/>
          </w:tcPr>
          <w:p>
            <w:pPr>
              <w:spacing w:after="0"/>
              <w:rPr>
                <w:sz w:val="18"/>
                <w:szCs w:val="18"/>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88"/>
              </w:rPr>
              <w:t>Comprehensive Loss</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86"/>
              </w:rPr>
              <w:t>Earnings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Equity</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95"/>
              </w:rPr>
              <w:t>Interests</w:t>
            </w:r>
          </w:p>
        </w:tc>
        <w:tc>
          <w:tcPr>
            <w:tcW w:w="380" w:type="dxa"/>
            <w:vAlign w:val="bottom"/>
          </w:tcPr>
          <w:p>
            <w:pPr>
              <w:spacing w:after="0"/>
              <w:rPr>
                <w:sz w:val="18"/>
                <w:szCs w:val="18"/>
                <w:color w:val="auto"/>
              </w:rPr>
            </w:pPr>
          </w:p>
        </w:tc>
        <w:tc>
          <w:tcPr>
            <w:tcW w:w="8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Equity</w:t>
            </w:r>
          </w:p>
        </w:tc>
        <w:tc>
          <w:tcPr>
            <w:tcW w:w="100" w:type="dxa"/>
            <w:vAlign w:val="bottom"/>
          </w:tcPr>
          <w:p>
            <w:pPr>
              <w:spacing w:after="0"/>
              <w:rPr>
                <w:sz w:val="18"/>
                <w:szCs w:val="18"/>
                <w:color w:val="auto"/>
              </w:rPr>
            </w:pPr>
          </w:p>
        </w:tc>
      </w:tr>
      <w:tr>
        <w:trPr>
          <w:trHeight w:val="207"/>
        </w:trPr>
        <w:tc>
          <w:tcPr>
            <w:tcW w:w="2500" w:type="dxa"/>
            <w:vAlign w:val="bottom"/>
            <w:gridSpan w:val="2"/>
          </w:tcPr>
          <w:p>
            <w:pPr>
              <w:spacing w:after="0"/>
              <w:rPr>
                <w:sz w:val="20"/>
                <w:szCs w:val="20"/>
                <w:color w:val="auto"/>
              </w:rPr>
            </w:pPr>
            <w:r>
              <w:rPr>
                <w:rFonts w:ascii="Arial" w:cs="Arial" w:eastAsia="Arial" w:hAnsi="Arial"/>
                <w:sz w:val="17"/>
                <w:szCs w:val="17"/>
                <w:color w:val="auto"/>
              </w:rPr>
              <w:t>Balance at December 31, 2015</w:t>
            </w:r>
          </w:p>
        </w:tc>
        <w:tc>
          <w:tcPr>
            <w:tcW w:w="760" w:type="dxa"/>
            <w:vAlign w:val="bottom"/>
          </w:tcPr>
          <w:p>
            <w:pPr>
              <w:jc w:val="right"/>
              <w:spacing w:after="0"/>
              <w:rPr>
                <w:sz w:val="20"/>
                <w:szCs w:val="20"/>
                <w:color w:val="auto"/>
              </w:rPr>
            </w:pPr>
            <w:r>
              <w:rPr>
                <w:rFonts w:ascii="Arial" w:cs="Arial" w:eastAsia="Arial" w:hAnsi="Arial"/>
                <w:sz w:val="17"/>
                <w:szCs w:val="17"/>
                <w:color w:val="auto"/>
              </w:rPr>
              <w:t>64,479</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643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86"/>
              </w:rPr>
              <w:t>$ 3,287,827</w:t>
            </w:r>
          </w:p>
        </w:tc>
        <w:tc>
          <w:tcPr>
            <w:tcW w:w="64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(105,622)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874,436</w:t>
            </w:r>
          </w:p>
        </w:tc>
        <w:tc>
          <w:tcPr>
            <w:tcW w:w="12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5"/>
              </w:rPr>
              <w:t>4,057,284</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2,893</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$ 4,060,177</w:t>
            </w:r>
          </w:p>
        </w:tc>
        <w:tc>
          <w:tcPr>
            <w:tcW w:w="100" w:type="dxa"/>
            <w:vAlign w:val="bottom"/>
          </w:tcPr>
          <w:p>
            <w:pPr>
              <w:spacing w:after="0"/>
              <w:rPr>
                <w:sz w:val="18"/>
                <w:szCs w:val="18"/>
                <w:color w:val="auto"/>
              </w:rPr>
            </w:pPr>
          </w:p>
        </w:tc>
      </w:tr>
      <w:tr>
        <w:trPr>
          <w:trHeight w:val="215"/>
        </w:trPr>
        <w:tc>
          <w:tcPr>
            <w:tcW w:w="250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Consolidated net earnings</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167,047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167,047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167,169</w:t>
            </w:r>
          </w:p>
        </w:tc>
        <w:tc>
          <w:tcPr>
            <w:tcW w:w="100" w:type="dxa"/>
            <w:vAlign w:val="bottom"/>
            <w:shd w:val="clear" w:color="auto" w:fill="CFF0FC"/>
          </w:tcPr>
          <w:p>
            <w:pPr>
              <w:spacing w:after="0"/>
              <w:rPr>
                <w:sz w:val="18"/>
                <w:szCs w:val="18"/>
                <w:color w:val="auto"/>
              </w:rPr>
            </w:pPr>
          </w:p>
        </w:tc>
      </w:tr>
      <w:tr>
        <w:trPr>
          <w:trHeight w:val="202"/>
        </w:trPr>
        <w:tc>
          <w:tcPr>
            <w:tcW w:w="2500" w:type="dxa"/>
            <w:vAlign w:val="bottom"/>
            <w:gridSpan w:val="2"/>
          </w:tcPr>
          <w:p>
            <w:pPr>
              <w:ind w:left="240"/>
              <w:spacing w:after="0"/>
              <w:rPr>
                <w:sz w:val="20"/>
                <w:szCs w:val="20"/>
                <w:color w:val="auto"/>
              </w:rPr>
            </w:pPr>
            <w:r>
              <w:rPr>
                <w:rFonts w:ascii="Arial" w:cs="Arial" w:eastAsia="Arial" w:hAnsi="Arial"/>
                <w:sz w:val="17"/>
                <w:szCs w:val="17"/>
                <w:color w:val="auto"/>
              </w:rPr>
              <w:t>Other comprehensive</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500" w:type="dxa"/>
            <w:vAlign w:val="bottom"/>
            <w:gridSpan w:val="2"/>
          </w:tcPr>
          <w:p>
            <w:pPr>
              <w:ind w:left="240"/>
              <w:spacing w:after="0"/>
              <w:rPr>
                <w:sz w:val="20"/>
                <w:szCs w:val="20"/>
                <w:color w:val="auto"/>
              </w:rPr>
            </w:pPr>
            <w:r>
              <w:rPr>
                <w:rFonts w:ascii="Arial" w:cs="Arial" w:eastAsia="Arial" w:hAnsi="Arial"/>
                <w:sz w:val="17"/>
                <w:szCs w:val="17"/>
                <w:color w:val="auto"/>
              </w:rPr>
              <w:t>earnings,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2500" w:type="dxa"/>
            <w:vAlign w:val="bottom"/>
            <w:gridSpan w:val="2"/>
          </w:tcPr>
          <w:p>
            <w:pPr>
              <w:ind w:left="440"/>
              <w:spacing w:after="0"/>
              <w:rPr>
                <w:sz w:val="20"/>
                <w:szCs w:val="20"/>
                <w:color w:val="auto"/>
              </w:rPr>
            </w:pPr>
            <w:r>
              <w:rPr>
                <w:rFonts w:ascii="Arial" w:cs="Arial" w:eastAsia="Arial" w:hAnsi="Arial"/>
                <w:sz w:val="17"/>
                <w:szCs w:val="17"/>
                <w:color w:val="auto"/>
              </w:rPr>
              <w:t>net of tax</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(446)</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(446)</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w:t>
            </w:r>
          </w:p>
        </w:tc>
        <w:tc>
          <w:tcPr>
            <w:tcW w:w="1300" w:type="dxa"/>
            <w:vAlign w:val="bottom"/>
            <w:gridSpan w:val="3"/>
          </w:tcPr>
          <w:p>
            <w:pPr>
              <w:jc w:val="right"/>
              <w:ind w:right="60"/>
              <w:spacing w:after="0"/>
              <w:rPr>
                <w:sz w:val="20"/>
                <w:szCs w:val="20"/>
                <w:color w:val="auto"/>
              </w:rPr>
            </w:pPr>
            <w:r>
              <w:rPr>
                <w:rFonts w:ascii="Arial" w:cs="Arial" w:eastAsia="Arial" w:hAnsi="Arial"/>
                <w:sz w:val="17"/>
                <w:szCs w:val="17"/>
                <w:color w:val="auto"/>
              </w:rPr>
              <w:t>(413)</w:t>
            </w:r>
          </w:p>
        </w:tc>
      </w:tr>
      <w:tr>
        <w:trPr>
          <w:trHeight w:val="215"/>
        </w:trPr>
        <w:tc>
          <w:tcPr>
            <w:tcW w:w="250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Dividends declared</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(51,467)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(51,467)</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color w:val="auto"/>
              </w:rPr>
              <w:t>(51,467)</w:t>
            </w:r>
          </w:p>
        </w:tc>
      </w:tr>
      <w:tr>
        <w:trPr>
          <w:trHeight w:val="202"/>
        </w:trPr>
        <w:tc>
          <w:tcPr>
            <w:tcW w:w="2500" w:type="dxa"/>
            <w:vAlign w:val="bottom"/>
            <w:gridSpan w:val="2"/>
          </w:tcPr>
          <w:p>
            <w:pPr>
              <w:ind w:left="240"/>
              <w:spacing w:after="0"/>
              <w:rPr>
                <w:sz w:val="20"/>
                <w:szCs w:val="20"/>
                <w:color w:val="auto"/>
              </w:rPr>
            </w:pPr>
            <w:r>
              <w:rPr>
                <w:rFonts w:ascii="Arial" w:cs="Arial" w:eastAsia="Arial" w:hAnsi="Arial"/>
                <w:sz w:val="17"/>
                <w:szCs w:val="17"/>
                <w:color w:val="auto"/>
              </w:rPr>
              <w:t>Issuances of common stock</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500" w:type="dxa"/>
            <w:vAlign w:val="bottom"/>
            <w:gridSpan w:val="2"/>
          </w:tcPr>
          <w:p>
            <w:pPr>
              <w:ind w:left="240"/>
              <w:spacing w:after="0"/>
              <w:rPr>
                <w:sz w:val="20"/>
                <w:szCs w:val="20"/>
                <w:color w:val="auto"/>
              </w:rPr>
            </w:pPr>
            <w:r>
              <w:rPr>
                <w:rFonts w:ascii="Arial" w:cs="Arial" w:eastAsia="Arial" w:hAnsi="Arial"/>
                <w:sz w:val="17"/>
                <w:szCs w:val="17"/>
                <w:color w:val="auto"/>
              </w:rPr>
              <w:t>for stock</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2500" w:type="dxa"/>
            <w:vAlign w:val="bottom"/>
            <w:gridSpan w:val="2"/>
          </w:tcPr>
          <w:p>
            <w:pPr>
              <w:ind w:left="440"/>
              <w:spacing w:after="0"/>
              <w:rPr>
                <w:sz w:val="20"/>
                <w:szCs w:val="20"/>
                <w:color w:val="auto"/>
              </w:rPr>
            </w:pPr>
            <w:r>
              <w:rPr>
                <w:rFonts w:ascii="Arial" w:cs="Arial" w:eastAsia="Arial" w:hAnsi="Arial"/>
                <w:sz w:val="17"/>
                <w:szCs w:val="17"/>
                <w:color w:val="auto"/>
              </w:rPr>
              <w:t>award plans</w:t>
            </w:r>
          </w:p>
        </w:tc>
        <w:tc>
          <w:tcPr>
            <w:tcW w:w="760" w:type="dxa"/>
            <w:vAlign w:val="bottom"/>
          </w:tcPr>
          <w:p>
            <w:pPr>
              <w:jc w:val="right"/>
              <w:spacing w:after="0"/>
              <w:rPr>
                <w:sz w:val="20"/>
                <w:szCs w:val="20"/>
                <w:color w:val="auto"/>
              </w:rPr>
            </w:pPr>
            <w:r>
              <w:rPr>
                <w:rFonts w:ascii="Arial" w:cs="Arial" w:eastAsia="Arial" w:hAnsi="Arial"/>
                <w:sz w:val="17"/>
                <w:szCs w:val="17"/>
                <w:color w:val="auto"/>
              </w:rPr>
              <w:t>197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18,231</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18,233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18,233</w:t>
            </w:r>
          </w:p>
        </w:tc>
        <w:tc>
          <w:tcPr>
            <w:tcW w:w="100" w:type="dxa"/>
            <w:vAlign w:val="bottom"/>
          </w:tcPr>
          <w:p>
            <w:pPr>
              <w:spacing w:after="0"/>
              <w:rPr>
                <w:sz w:val="18"/>
                <w:szCs w:val="18"/>
                <w:color w:val="auto"/>
              </w:rPr>
            </w:pPr>
          </w:p>
        </w:tc>
      </w:tr>
      <w:tr>
        <w:trPr>
          <w:trHeight w:val="215"/>
        </w:trPr>
        <w:tc>
          <w:tcPr>
            <w:tcW w:w="250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w w:val="95"/>
              </w:rPr>
              <w:t>Repurchases of common stock</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(1,244)</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(12)</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(189,988)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(190,000)</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color w:val="auto"/>
              </w:rPr>
              <w:t>(190,000)</w:t>
            </w:r>
          </w:p>
        </w:tc>
      </w:tr>
      <w:tr>
        <w:trPr>
          <w:trHeight w:val="202"/>
        </w:trPr>
        <w:tc>
          <w:tcPr>
            <w:tcW w:w="2500" w:type="dxa"/>
            <w:vAlign w:val="bottom"/>
            <w:gridSpan w:val="2"/>
          </w:tcPr>
          <w:p>
            <w:pPr>
              <w:ind w:left="240"/>
              <w:spacing w:after="0"/>
              <w:rPr>
                <w:sz w:val="20"/>
                <w:szCs w:val="20"/>
                <w:color w:val="auto"/>
              </w:rPr>
            </w:pPr>
            <w:r>
              <w:rPr>
                <w:rFonts w:ascii="Arial" w:cs="Arial" w:eastAsia="Arial" w:hAnsi="Arial"/>
                <w:sz w:val="17"/>
                <w:szCs w:val="17"/>
                <w:color w:val="auto"/>
              </w:rPr>
              <w:t>Stock-based compensation</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2500" w:type="dxa"/>
            <w:vAlign w:val="bottom"/>
            <w:tcBorders>
              <w:bottom w:val="single" w:sz="8" w:color="CFF0FC"/>
            </w:tcBorders>
            <w:gridSpan w:val="2"/>
          </w:tcPr>
          <w:p>
            <w:pPr>
              <w:ind w:left="240"/>
              <w:spacing w:after="0"/>
              <w:rPr>
                <w:sz w:val="20"/>
                <w:szCs w:val="20"/>
                <w:color w:val="auto"/>
              </w:rPr>
            </w:pPr>
            <w:r>
              <w:rPr>
                <w:rFonts w:ascii="Arial" w:cs="Arial" w:eastAsia="Arial" w:hAnsi="Arial"/>
                <w:sz w:val="17"/>
                <w:szCs w:val="17"/>
                <w:color w:val="auto"/>
              </w:rPr>
              <w:t>expense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12,801</w:t>
            </w:r>
          </w:p>
        </w:tc>
        <w:tc>
          <w:tcPr>
            <w:tcW w:w="18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12,801</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12,801</w:t>
            </w:r>
          </w:p>
        </w:tc>
        <w:tc>
          <w:tcPr>
            <w:tcW w:w="100" w:type="dxa"/>
            <w:vAlign w:val="bottom"/>
            <w:tcBorders>
              <w:bottom w:val="single" w:sz="8" w:color="CFF0FC"/>
            </w:tcBorders>
          </w:tcPr>
          <w:p>
            <w:pPr>
              <w:spacing w:after="0"/>
              <w:rPr>
                <w:sz w:val="18"/>
                <w:szCs w:val="18"/>
                <w:color w:val="auto"/>
              </w:rPr>
            </w:pPr>
          </w:p>
        </w:tc>
      </w:tr>
      <w:tr>
        <w:trPr>
          <w:trHeight w:val="207"/>
        </w:trPr>
        <w:tc>
          <w:tcPr>
            <w:tcW w:w="25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Balance at June 30, 2016</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63,432</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633</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6"/>
              </w:rPr>
              <w:t>$ 3,318,859</w:t>
            </w: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(106,068)</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800,028</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5"/>
              </w:rPr>
              <w:t>4,013,452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3,048</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$ 4,016,500</w:t>
            </w:r>
          </w:p>
        </w:tc>
        <w:tc>
          <w:tcPr>
            <w:tcW w:w="100" w:type="dxa"/>
            <w:vAlign w:val="bottom"/>
            <w:shd w:val="clear" w:color="auto" w:fill="CFF0FC"/>
          </w:tcPr>
          <w:p>
            <w:pPr>
              <w:spacing w:after="0"/>
              <w:rPr>
                <w:sz w:val="18"/>
                <w:szCs w:val="18"/>
                <w:color w:val="auto"/>
              </w:rPr>
            </w:pPr>
          </w:p>
        </w:tc>
      </w:tr>
      <w:tr>
        <w:trPr>
          <w:trHeight w:val="20"/>
        </w:trPr>
        <w:tc>
          <w:tcPr>
            <w:tcW w:w="2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17" w:lineRule="exact"/>
        <w:rPr>
          <w:sz w:val="20"/>
          <w:szCs w:val="20"/>
          <w:color w:val="auto"/>
        </w:rPr>
      </w:pPr>
    </w:p>
    <w:p>
      <w:pPr>
        <w:ind w:left="380" w:right="8600" w:hanging="379"/>
        <w:spacing w:after="0" w:line="367" w:lineRule="auto"/>
        <w:tabs>
          <w:tab w:leader="none" w:pos="37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Organization</w:t>
      </w:r>
    </w:p>
    <w:p>
      <w:pPr>
        <w:spacing w:after="0" w:line="1" w:lineRule="exact"/>
        <w:rPr>
          <w:rFonts w:ascii="Arial" w:cs="Arial" w:eastAsia="Arial" w:hAnsi="Arial"/>
          <w:sz w:val="18"/>
          <w:szCs w:val="18"/>
          <w:b w:val="1"/>
          <w:bCs w:val="1"/>
          <w:color w:val="auto"/>
        </w:rPr>
      </w:pPr>
    </w:p>
    <w:p>
      <w:pPr>
        <w:jc w:val="both"/>
        <w:ind w:left="38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Martin Marietta Materials, Inc. (the “Corporation” or “Martin Marietta”) is engaged principally in the construction aggregates business. The aggregates product line accounted for 56% of consolidated net sales for the six months ended June 30, 2016 (55% of full-year 2015 consolidated net sales) and includes crushed stone, sand and gravel, and is used for construction of highways and other infrastructure projects, and in the nonresidential and residential construction industries. Aggregates products are also used in the railroad, agricultural, utility and environmental industries. These aggregates products, along with the Corporation’s aggregates-related downstream product lines, which accounted for 29% of consolidated net sales for the six months ended June 30, 2016 (27% of full-year 2015 consolidated net sales) and include asphalt products, ready mixed concrete and road paving construction services, are sold and shipped from a network of more than 400 quarries, distribution facilities and plants in 26 states, Nova Scotia and the Bahamas. The aggregates and aggregates-related downstream product lines are reported collectively as the “Aggregates business”.</w:t>
      </w:r>
    </w:p>
    <w:p>
      <w:pPr>
        <w:spacing w:after="0" w:line="175" w:lineRule="exact"/>
        <w:rPr>
          <w:rFonts w:ascii="Arial" w:cs="Arial" w:eastAsia="Arial" w:hAnsi="Arial"/>
          <w:sz w:val="18"/>
          <w:szCs w:val="18"/>
          <w:b w:val="1"/>
          <w:bCs w:val="1"/>
          <w:color w:val="auto"/>
        </w:rPr>
      </w:pPr>
    </w:p>
    <w:p>
      <w:pPr>
        <w:ind w:left="380"/>
        <w:spacing w:after="0" w:line="280" w:lineRule="auto"/>
        <w:rPr>
          <w:rFonts w:ascii="Arial" w:cs="Arial" w:eastAsia="Arial" w:hAnsi="Arial"/>
          <w:sz w:val="18"/>
          <w:szCs w:val="18"/>
          <w:b w:val="1"/>
          <w:bCs w:val="1"/>
          <w:color w:val="auto"/>
        </w:rPr>
      </w:pPr>
      <w:r>
        <w:rPr>
          <w:rFonts w:ascii="Arial" w:cs="Arial" w:eastAsia="Arial" w:hAnsi="Arial"/>
          <w:sz w:val="18"/>
          <w:szCs w:val="18"/>
          <w:color w:val="auto"/>
        </w:rPr>
        <w:t>The Corporation currently conducts the Aggregates business through three reportable segments: the Mid-America Group, the Southeast Group and the West Group.</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AGGREGATES BUSINESS</w:t>
      </w:r>
    </w:p>
    <w:p>
      <w:pPr>
        <w:spacing w:after="0" w:line="28" w:lineRule="exact"/>
        <w:rPr>
          <w:sz w:val="20"/>
          <w:szCs w:val="20"/>
          <w:color w:val="auto"/>
        </w:rPr>
      </w:pPr>
    </w:p>
    <w:tbl>
      <w:tblPr>
        <w:tblLayout w:type="fixed"/>
        <w:tblInd w:w="480" w:type="dxa"/>
        <w:tblCellMar>
          <w:top w:w="0" w:type="dxa"/>
          <w:left w:w="0" w:type="dxa"/>
          <w:bottom w:w="0" w:type="dxa"/>
          <w:right w:w="0" w:type="dxa"/>
        </w:tblCellMar>
      </w:tblPr>
      <w:tr>
        <w:trPr>
          <w:trHeight w:val="220"/>
        </w:trPr>
        <w:tc>
          <w:tcPr>
            <w:tcW w:w="2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Reportable Segments</w:t>
            </w:r>
          </w:p>
        </w:tc>
        <w:tc>
          <w:tcPr>
            <w:tcW w:w="298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97"/>
              </w:rPr>
              <w:t>Mid-America Group</w:t>
            </w:r>
          </w:p>
        </w:tc>
        <w:tc>
          <w:tcPr>
            <w:tcW w:w="262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91"/>
              </w:rPr>
              <w:t>Southeast Group</w:t>
            </w: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West Group</w:t>
            </w:r>
          </w:p>
        </w:tc>
      </w:tr>
      <w:tr>
        <w:trPr>
          <w:trHeight w:val="190"/>
        </w:trPr>
        <w:tc>
          <w:tcPr>
            <w:tcW w:w="2020" w:type="dxa"/>
            <w:vAlign w:val="bottom"/>
            <w:tcBorders>
              <w:top w:val="single" w:sz="8" w:color="auto"/>
            </w:tcBorders>
          </w:tcPr>
          <w:p>
            <w:pPr>
              <w:spacing w:after="0" w:line="190" w:lineRule="exact"/>
              <w:rPr>
                <w:sz w:val="20"/>
                <w:szCs w:val="20"/>
                <w:color w:val="auto"/>
              </w:rPr>
            </w:pPr>
            <w:r>
              <w:rPr>
                <w:rFonts w:ascii="Arial" w:cs="Arial" w:eastAsia="Arial" w:hAnsi="Arial"/>
                <w:sz w:val="18"/>
                <w:szCs w:val="18"/>
                <w:color w:val="auto"/>
              </w:rPr>
              <w:t>Operating Locations</w:t>
            </w:r>
          </w:p>
        </w:tc>
        <w:tc>
          <w:tcPr>
            <w:tcW w:w="14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8"/>
                <w:szCs w:val="18"/>
                <w:color w:val="auto"/>
                <w:w w:val="94"/>
              </w:rPr>
              <w:t>Indiana, Iowa,</w:t>
            </w:r>
          </w:p>
        </w:tc>
        <w:tc>
          <w:tcPr>
            <w:tcW w:w="140" w:type="dxa"/>
            <w:vAlign w:val="bottom"/>
          </w:tcPr>
          <w:p>
            <w:pPr>
              <w:spacing w:after="0"/>
              <w:rPr>
                <w:sz w:val="16"/>
                <w:szCs w:val="16"/>
                <w:color w:val="auto"/>
              </w:rPr>
            </w:pPr>
          </w:p>
        </w:tc>
        <w:tc>
          <w:tcPr>
            <w:tcW w:w="250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8"/>
                <w:szCs w:val="18"/>
                <w:color w:val="auto"/>
                <w:w w:val="93"/>
              </w:rPr>
              <w:t>Alabama, Florida, Georgia,</w:t>
            </w:r>
          </w:p>
        </w:tc>
        <w:tc>
          <w:tcPr>
            <w:tcW w:w="12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8"/>
                <w:szCs w:val="18"/>
                <w:color w:val="auto"/>
                <w:w w:val="92"/>
              </w:rPr>
              <w:t>Arkansas, Colorado, southern</w:t>
            </w:r>
          </w:p>
        </w:tc>
      </w:tr>
      <w:tr>
        <w:trPr>
          <w:trHeight w:val="214"/>
        </w:trPr>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northern Kansas, Kentucky,</w:t>
            </w:r>
          </w:p>
        </w:tc>
        <w:tc>
          <w:tcPr>
            <w:tcW w:w="2620" w:type="dxa"/>
            <w:vAlign w:val="bottom"/>
            <w:gridSpan w:val="2"/>
          </w:tcPr>
          <w:p>
            <w:pPr>
              <w:ind w:left="820"/>
              <w:spacing w:after="0"/>
              <w:rPr>
                <w:sz w:val="20"/>
                <w:szCs w:val="20"/>
                <w:color w:val="auto"/>
              </w:rPr>
            </w:pPr>
            <w:r>
              <w:rPr>
                <w:rFonts w:ascii="Arial" w:cs="Arial" w:eastAsia="Arial" w:hAnsi="Arial"/>
                <w:sz w:val="18"/>
                <w:szCs w:val="18"/>
                <w:color w:val="auto"/>
              </w:rPr>
              <w:t>Tennessee,</w:t>
            </w: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Kansas,</w:t>
            </w:r>
          </w:p>
        </w:tc>
      </w:tr>
      <w:tr>
        <w:trPr>
          <w:trHeight w:val="214"/>
        </w:trPr>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Maryland, Minnesota, Missouri,</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Nova Scotia and the Bahamas</w:t>
            </w:r>
          </w:p>
        </w:tc>
        <w:tc>
          <w:tcPr>
            <w:tcW w:w="2700" w:type="dxa"/>
            <w:vAlign w:val="bottom"/>
          </w:tcPr>
          <w:p>
            <w:pPr>
              <w:jc w:val="center"/>
              <w:spacing w:after="0"/>
              <w:rPr>
                <w:sz w:val="20"/>
                <w:szCs w:val="20"/>
                <w:color w:val="auto"/>
              </w:rPr>
            </w:pPr>
            <w:r>
              <w:rPr>
                <w:rFonts w:ascii="Arial" w:cs="Arial" w:eastAsia="Arial" w:hAnsi="Arial"/>
                <w:sz w:val="18"/>
                <w:szCs w:val="18"/>
                <w:color w:val="auto"/>
                <w:w w:val="92"/>
              </w:rPr>
              <w:t>Louisiana, western Nebraska,</w:t>
            </w:r>
          </w:p>
        </w:tc>
      </w:tr>
      <w:tr>
        <w:trPr>
          <w:trHeight w:val="214"/>
        </w:trPr>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eastern Nebraska, North Carolina,</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Nevada, Oklahoma, Texas, Utah</w:t>
            </w:r>
          </w:p>
        </w:tc>
      </w:tr>
      <w:tr>
        <w:trPr>
          <w:trHeight w:val="214"/>
        </w:trPr>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Ohio,</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4"/>
              </w:rPr>
              <w:t>and Wyoming</w:t>
            </w:r>
          </w:p>
        </w:tc>
      </w:tr>
      <w:tr>
        <w:trPr>
          <w:trHeight w:val="214"/>
        </w:trPr>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South Carolina,</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4"/>
        </w:trPr>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Virginia, Washington and</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5"/>
        </w:trPr>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West Virginia</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tcPr>
          <w:p>
            <w:pPr>
              <w:spacing w:after="0"/>
              <w:rPr>
                <w:sz w:val="20"/>
                <w:szCs w:val="20"/>
                <w:color w:val="auto"/>
              </w:rPr>
            </w:pPr>
          </w:p>
        </w:tc>
      </w:tr>
    </w:tbl>
    <w:p>
      <w:pPr>
        <w:spacing w:after="0" w:line="181" w:lineRule="exact"/>
        <w:rPr>
          <w:sz w:val="20"/>
          <w:szCs w:val="20"/>
          <w:color w:val="auto"/>
        </w:rPr>
      </w:pPr>
    </w:p>
    <w:p>
      <w:pPr>
        <w:jc w:val="both"/>
        <w:ind w:left="380"/>
        <w:spacing w:after="0" w:line="275" w:lineRule="auto"/>
        <w:rPr>
          <w:sz w:val="20"/>
          <w:szCs w:val="20"/>
          <w:color w:val="auto"/>
        </w:rPr>
      </w:pPr>
      <w:r>
        <w:rPr>
          <w:rFonts w:ascii="Arial" w:cs="Arial" w:eastAsia="Arial" w:hAnsi="Arial"/>
          <w:sz w:val="17"/>
          <w:szCs w:val="17"/>
          <w:color w:val="auto"/>
        </w:rPr>
        <w:t>The Corporation has a Cement segment, which accounted for 8% of consolidated net sales for the six months ended June 30, 2016 (11% of full-year 2015 consolidated net sales). The Cement segment has production facilities located in Midlothian, Texas, south of Dallas-Fort Worth and Hunter, Texas, north of San Antonio. The Cement business produces Portland and specialty cements. Similar to the Aggregates business, cement is used in infrastructure projects, nonresidential and residential construction, and the railroad, agricultural, utility and environmental industries. The high calcium limestone reserves, used as a raw material, are owned by the Cement business and are adjacent to each of the plants.</w:t>
      </w:r>
    </w:p>
    <w:p>
      <w:pPr>
        <w:spacing w:after="0" w:line="154"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The Corporation has a Magnesia Specialties segment with manufacturing facilities in Manistee, Michigan, and Woodville, Ohio. The Magnesia Specialties segment, which accounted for 7% of consolidated net sales for the six months ended June 30, 2016 (7% of full-year 2015 consolidated net sales), produces magnesia-based chemicals products used in industrial, agricultural and environmental applications and dolomitic lime sold primarily to customers in the steel industry.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9" w:lineRule="exact"/>
        <w:rPr>
          <w:sz w:val="20"/>
          <w:szCs w:val="20"/>
          <w:color w:val="auto"/>
        </w:rPr>
      </w:pPr>
    </w:p>
    <w:p>
      <w:pPr>
        <w:ind w:left="380" w:right="7640" w:hanging="379"/>
        <w:spacing w:after="0" w:line="367" w:lineRule="auto"/>
        <w:tabs>
          <w:tab w:leader="none" w:pos="37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 Basis of Presentation</w:t>
      </w:r>
    </w:p>
    <w:p>
      <w:pPr>
        <w:spacing w:after="0" w:line="1" w:lineRule="exact"/>
        <w:rPr>
          <w:rFonts w:ascii="Arial" w:cs="Arial" w:eastAsia="Arial" w:hAnsi="Arial"/>
          <w:sz w:val="18"/>
          <w:szCs w:val="18"/>
          <w:b w:val="1"/>
          <w:bCs w:val="1"/>
          <w:color w:val="auto"/>
        </w:rPr>
      </w:pPr>
    </w:p>
    <w:p>
      <w:pPr>
        <w:jc w:val="both"/>
        <w:ind w:left="38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consolidated financial statements of the Corporation have been prepared in accordance with generally accepted accounting principles for interim financial information and with the instructions to the Quarterly Report on Form 10-Q and in Article 10 of Regulation S-X. The Corporation has continued to follow the accounting policies set forth in the audited consolidated financial statements and related notes thereto included in the Corporation’s Annual Report on Form 10-K for the year ended December 31, 2015. In the opinion of management, the interim consolidated financial information provided herein reflects all adjustments, consisting of normal recurring accruals, necessary for a fair statement of the results of operations, financial position and cash flows for the interim periods. The consolidated results of operations for the six months ended June 30, 2016 are not indicative of the results expected for other interim periods or the full year. The consolidated balance sheet at December 31, 2015 has been derived from the audited consolidated financial statements at that date but does not include all disclosures required by accounting principles generally accepted in the United States. These consolidated financial statements should be read in conjunction with the audited consolidated financial statements and notes thereto included in the Corporation’s Annual Report on Form 10-K for the year ended December 31, 2015.</w:t>
      </w:r>
    </w:p>
    <w:p>
      <w:pPr>
        <w:spacing w:after="0" w:line="174"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Debt Issuance Costs</w:t>
      </w:r>
    </w:p>
    <w:p>
      <w:pPr>
        <w:spacing w:after="0" w:line="112" w:lineRule="exact"/>
        <w:rPr>
          <w:rFonts w:ascii="Arial" w:cs="Arial" w:eastAsia="Arial" w:hAnsi="Arial"/>
          <w:sz w:val="18"/>
          <w:szCs w:val="18"/>
          <w:b w:val="1"/>
          <w:bCs w:val="1"/>
          <w:color w:val="auto"/>
        </w:rPr>
      </w:pPr>
    </w:p>
    <w:p>
      <w:pPr>
        <w:jc w:val="both"/>
        <w:ind w:left="38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 xml:space="preserve">The Financial Accounting Standards Board (“FASB”) issued Accounting Standard Update (“ASU”) 2015-03, </w:t>
      </w:r>
      <w:r>
        <w:rPr>
          <w:rFonts w:ascii="Arial" w:cs="Arial" w:eastAsia="Arial" w:hAnsi="Arial"/>
          <w:sz w:val="17"/>
          <w:szCs w:val="17"/>
          <w:i w:val="1"/>
          <w:iCs w:val="1"/>
          <w:color w:val="auto"/>
        </w:rPr>
        <w:t>“Simplifying the Presentation of Debt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Issuance Costs” </w:t>
      </w:r>
      <w:r>
        <w:rPr>
          <w:rFonts w:ascii="Arial" w:cs="Arial" w:eastAsia="Arial" w:hAnsi="Arial"/>
          <w:sz w:val="17"/>
          <w:szCs w:val="17"/>
          <w:color w:val="auto"/>
        </w:rPr>
        <w:t>(“ASU 2015-03”), which amends the presentation of debt issuance costs in the financial statements. The ASU requires an entity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present debt issuance costs related to a recognized debt liability in the balance sheet as a direct deduction from the carrying amount of the debt liability, consistent with debt discounts, and does not impact the recognition and measurement guidance for debt issuance costs. The Corporation adopted ASU 2015-03 on January 1, 2016 and has retrospectively adjusted the prior periods presented, resulting in a reclassification of $3,588,000 and $4,130,000 from </w:t>
      </w:r>
      <w:r>
        <w:rPr>
          <w:rFonts w:ascii="Arial" w:cs="Arial" w:eastAsia="Arial" w:hAnsi="Arial"/>
          <w:sz w:val="17"/>
          <w:szCs w:val="17"/>
          <w:i w:val="1"/>
          <w:iCs w:val="1"/>
          <w:color w:val="auto"/>
        </w:rPr>
        <w:t>Other noncurrent assets</w:t>
      </w:r>
      <w:r>
        <w:rPr>
          <w:rFonts w:ascii="Arial" w:cs="Arial" w:eastAsia="Arial" w:hAnsi="Arial"/>
          <w:sz w:val="17"/>
          <w:szCs w:val="17"/>
          <w:color w:val="auto"/>
        </w:rPr>
        <w:t xml:space="preserve"> to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as of December 31, 2015 and June 30, 2015, respectively, and $533,000 from </w:t>
      </w:r>
      <w:r>
        <w:rPr>
          <w:rFonts w:ascii="Arial" w:cs="Arial" w:eastAsia="Arial" w:hAnsi="Arial"/>
          <w:sz w:val="17"/>
          <w:szCs w:val="17"/>
          <w:i w:val="1"/>
          <w:iCs w:val="1"/>
          <w:color w:val="auto"/>
        </w:rPr>
        <w:t>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current assets </w:t>
      </w:r>
      <w:r>
        <w:rPr>
          <w:rFonts w:ascii="Arial" w:cs="Arial" w:eastAsia="Arial" w:hAnsi="Arial"/>
          <w:sz w:val="17"/>
          <w:szCs w:val="17"/>
          <w:color w:val="auto"/>
        </w:rPr>
        <w:t>to</w:t>
      </w:r>
      <w:r>
        <w:rPr>
          <w:rFonts w:ascii="Arial" w:cs="Arial" w:eastAsia="Arial" w:hAnsi="Arial"/>
          <w:sz w:val="17"/>
          <w:szCs w:val="17"/>
          <w:i w:val="1"/>
          <w:iCs w:val="1"/>
          <w:color w:val="auto"/>
        </w:rPr>
        <w:t xml:space="preserve"> Current maturities of long-term debt and short-term maturities </w:t>
      </w:r>
      <w:r>
        <w:rPr>
          <w:rFonts w:ascii="Arial" w:cs="Arial" w:eastAsia="Arial" w:hAnsi="Arial"/>
          <w:sz w:val="17"/>
          <w:szCs w:val="17"/>
          <w:color w:val="auto"/>
        </w:rPr>
        <w:t>as of December 31, 2015 and June 30, 2015.</w:t>
      </w:r>
    </w:p>
    <w:p>
      <w:pPr>
        <w:spacing w:after="0" w:line="153"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Standard</w:t>
      </w:r>
    </w:p>
    <w:p>
      <w:pPr>
        <w:spacing w:after="0" w:line="112" w:lineRule="exact"/>
        <w:rPr>
          <w:rFonts w:ascii="Arial" w:cs="Arial" w:eastAsia="Arial" w:hAnsi="Arial"/>
          <w:sz w:val="18"/>
          <w:szCs w:val="18"/>
          <w:b w:val="1"/>
          <w:bCs w:val="1"/>
          <w:color w:val="auto"/>
        </w:rPr>
      </w:pPr>
    </w:p>
    <w:p>
      <w:pPr>
        <w:jc w:val="both"/>
        <w:ind w:left="3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FASB issued an accounting standard update that amends the accounting guidance on revenue recognition. The new standard intends to provide a more robust framework for addressing revenue issues, improve comparability of revenue recognition practices and improve disclosure requirements. The new standard is effective January 1, 2018 and can be applied on a full retrospective or modified retrospective approach. The Corporation will not early adopt this standard. The Corporation is currently evaluating the impact the provisions of the new standard will have on its financial statements and expects to complete its evaluation by the end of 2016.</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9" w:lineRule="exact"/>
        <w:rPr>
          <w:sz w:val="20"/>
          <w:szCs w:val="20"/>
          <w:color w:val="auto"/>
        </w:rPr>
      </w:pPr>
    </w:p>
    <w:p>
      <w:pPr>
        <w:ind w:left="380" w:right="7640" w:hanging="379"/>
        <w:spacing w:after="0" w:line="367" w:lineRule="auto"/>
        <w:tabs>
          <w:tab w:leader="none" w:pos="37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 Lease Standard</w:t>
      </w:r>
    </w:p>
    <w:p>
      <w:pPr>
        <w:spacing w:after="0" w:line="1" w:lineRule="exact"/>
        <w:rPr>
          <w:rFonts w:ascii="Arial" w:cs="Arial" w:eastAsia="Arial" w:hAnsi="Arial"/>
          <w:sz w:val="18"/>
          <w:szCs w:val="18"/>
          <w:b w:val="1"/>
          <w:bCs w:val="1"/>
          <w:color w:val="auto"/>
        </w:rPr>
      </w:pPr>
    </w:p>
    <w:p>
      <w:pPr>
        <w:jc w:val="both"/>
        <w:ind w:left="3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In February 2016, the FASB issued a new accounting standard, </w:t>
      </w:r>
      <w:r>
        <w:rPr>
          <w:rFonts w:ascii="Arial" w:cs="Arial" w:eastAsia="Arial" w:hAnsi="Arial"/>
          <w:sz w:val="18"/>
          <w:szCs w:val="18"/>
          <w:i w:val="1"/>
          <w:iCs w:val="1"/>
          <w:color w:val="auto"/>
        </w:rPr>
        <w:t>Accounting Standards Update 2016-2 – Leases,</w:t>
      </w:r>
      <w:r>
        <w:rPr>
          <w:rFonts w:ascii="Arial" w:cs="Arial" w:eastAsia="Arial" w:hAnsi="Arial"/>
          <w:sz w:val="18"/>
          <w:szCs w:val="18"/>
          <w:color w:val="auto"/>
        </w:rPr>
        <w:t xml:space="preserve"> intending to improve financial reporting of leases and to provide more transparency into off-balance sheet leasing obligations. The guidance requires virtually all leases, excluding mineral interest leases, to be recorded on the balance sheet and provides guidance on the recognition of lease expense and income. The new standard is effective January 1, 2019 and must be applied on a modified retrospective approach. The Corporation is currently evaluating the impact the new standard will have on its financial statements.</w:t>
      </w:r>
    </w:p>
    <w:p>
      <w:pPr>
        <w:spacing w:after="0" w:line="64"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Standard</w:t>
      </w:r>
    </w:p>
    <w:p>
      <w:pPr>
        <w:spacing w:after="0" w:line="112" w:lineRule="exact"/>
        <w:rPr>
          <w:rFonts w:ascii="Arial" w:cs="Arial" w:eastAsia="Arial" w:hAnsi="Arial"/>
          <w:sz w:val="18"/>
          <w:szCs w:val="18"/>
          <w:b w:val="1"/>
          <w:bCs w:val="1"/>
          <w:color w:val="auto"/>
        </w:rPr>
      </w:pPr>
    </w:p>
    <w:p>
      <w:pPr>
        <w:jc w:val="both"/>
        <w:ind w:left="380"/>
        <w:spacing w:after="0" w:line="287" w:lineRule="auto"/>
        <w:rPr>
          <w:rFonts w:ascii="Arial" w:cs="Arial" w:eastAsia="Arial" w:hAnsi="Arial"/>
          <w:sz w:val="18"/>
          <w:szCs w:val="18"/>
          <w:b w:val="1"/>
          <w:bCs w:val="1"/>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which simplifies certain aspects of accounting guidance and requirements for share-based transactions. The ASU is effective for</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periods beginning January 1, 2017. The Corporation is evaluating the impact of the ASU on its financial statements.</w:t>
      </w:r>
    </w:p>
    <w:p>
      <w:pPr>
        <w:spacing w:after="0" w:line="13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Consolidated Comprehensive Earnings/Loss and Accumulated Other Comprehensive Loss</w:t>
      </w:r>
    </w:p>
    <w:p>
      <w:pPr>
        <w:spacing w:after="0" w:line="112" w:lineRule="exact"/>
        <w:rPr>
          <w:rFonts w:ascii="Arial" w:cs="Arial" w:eastAsia="Arial" w:hAnsi="Arial"/>
          <w:sz w:val="18"/>
          <w:szCs w:val="18"/>
          <w:b w:val="1"/>
          <w:bCs w:val="1"/>
          <w:color w:val="auto"/>
        </w:rPr>
      </w:pPr>
    </w:p>
    <w:p>
      <w:pPr>
        <w:jc w:val="both"/>
        <w:ind w:left="3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Consolidated comprehensive earnings/loss for the Corporation consist of consolidated net earnings or loss; adjustments for the funded status of pension and postretirement benefit plans; foreign currency translation adjustments; and the amortization of the value of terminated forward starting interest rate swap agreements into interest expense, and are presented in the Corporation’s consolidated statements of earnings and comprehensive earnings.</w:t>
      </w:r>
    </w:p>
    <w:p>
      <w:pPr>
        <w:spacing w:after="0" w:line="65"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Comprehensive earnings attributable to Martin Marietta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gridSpan w:val="5"/>
          </w:tcPr>
          <w:p>
            <w:pPr>
              <w:jc w:val="right"/>
              <w:ind w:right="6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1"/>
        </w:trPr>
        <w:tc>
          <w:tcPr>
            <w:tcW w:w="4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8"/>
                <w:szCs w:val="18"/>
                <w:color w:val="auto"/>
              </w:rPr>
              <w:t>June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8"/>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40" w:type="dxa"/>
            <w:vAlign w:val="bottom"/>
            <w:vMerge w:val="restart"/>
          </w:tcPr>
          <w:p>
            <w:pPr>
              <w:spacing w:after="0"/>
              <w:rPr>
                <w:sz w:val="20"/>
                <w:szCs w:val="20"/>
                <w:color w:val="auto"/>
              </w:rPr>
            </w:pPr>
            <w:r>
              <w:rPr>
                <w:rFonts w:ascii="Arial" w:cs="Arial" w:eastAsia="Arial" w:hAnsi="Arial"/>
                <w:sz w:val="18"/>
                <w:szCs w:val="18"/>
                <w:color w:val="auto"/>
              </w:rPr>
              <w:t>Net earnings attributable to Martin Marietta</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gridSpan w:val="6"/>
          </w:tcPr>
          <w:p>
            <w:pPr>
              <w:jc w:val="right"/>
              <w:ind w:right="880"/>
              <w:spacing w:after="0"/>
              <w:rPr>
                <w:sz w:val="20"/>
                <w:szCs w:val="20"/>
                <w:color w:val="auto"/>
              </w:rPr>
            </w:pPr>
            <w:r>
              <w:rPr>
                <w:rFonts w:ascii="Arial" w:cs="Arial" w:eastAsia="Arial" w:hAnsi="Arial"/>
                <w:sz w:val="18"/>
                <w:szCs w:val="18"/>
                <w:i w:val="1"/>
                <w:iCs w:val="1"/>
                <w:color w:val="auto"/>
              </w:rPr>
              <w:t>(Dollars in Thousands)</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4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940" w:type="dxa"/>
            <w:vAlign w:val="bottom"/>
          </w:tcPr>
          <w:p>
            <w:pPr>
              <w:ind w:left="180"/>
              <w:spacing w:after="0"/>
              <w:rPr>
                <w:sz w:val="20"/>
                <w:szCs w:val="20"/>
                <w:color w:val="auto"/>
              </w:rPr>
            </w:pPr>
            <w:r>
              <w:rPr>
                <w:rFonts w:ascii="Arial" w:cs="Arial" w:eastAsia="Arial" w:hAnsi="Arial"/>
                <w:sz w:val="18"/>
                <w:szCs w:val="18"/>
                <w:color w:val="auto"/>
              </w:rPr>
              <w:t>Materials, Inc.</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122,052</w:t>
            </w:r>
          </w:p>
        </w:tc>
        <w:tc>
          <w:tcPr>
            <w:tcW w:w="16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81,938</w:t>
            </w:r>
          </w:p>
        </w:tc>
        <w:tc>
          <w:tcPr>
            <w:tcW w:w="12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167,047</w:t>
            </w:r>
          </w:p>
        </w:tc>
        <w:tc>
          <w:tcPr>
            <w:tcW w:w="260" w:type="dxa"/>
            <w:vAlign w:val="bottom"/>
          </w:tcPr>
          <w:p>
            <w:pPr>
              <w:spacing w:after="0"/>
              <w:rPr>
                <w:sz w:val="20"/>
                <w:szCs w:val="20"/>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88,065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net of tax</w:t>
            </w: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(2,235)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(6,091)</w:t>
            </w:r>
          </w:p>
        </w:tc>
        <w:tc>
          <w:tcPr>
            <w:tcW w:w="360" w:type="dxa"/>
            <w:vAlign w:val="bottom"/>
            <w:shd w:val="clear" w:color="auto" w:fill="CFF0FD"/>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(446)</w:t>
            </w: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(6,655)</w:t>
            </w:r>
          </w:p>
        </w:tc>
        <w:tc>
          <w:tcPr>
            <w:tcW w:w="0" w:type="dxa"/>
            <w:vAlign w:val="bottom"/>
          </w:tcPr>
          <w:p>
            <w:pPr>
              <w:spacing w:after="0"/>
              <w:rPr>
                <w:sz w:val="1"/>
                <w:szCs w:val="1"/>
                <w:color w:val="auto"/>
              </w:rPr>
            </w:pPr>
          </w:p>
        </w:tc>
      </w:tr>
      <w:tr>
        <w:trPr>
          <w:trHeight w:val="203"/>
        </w:trPr>
        <w:tc>
          <w:tcPr>
            <w:tcW w:w="4940" w:type="dxa"/>
            <w:vAlign w:val="bottom"/>
          </w:tcPr>
          <w:p>
            <w:pPr>
              <w:spacing w:after="0" w:line="203" w:lineRule="exact"/>
              <w:rPr>
                <w:sz w:val="20"/>
                <w:szCs w:val="20"/>
                <w:color w:val="auto"/>
              </w:rPr>
            </w:pPr>
            <w:r>
              <w:rPr>
                <w:rFonts w:ascii="Arial" w:cs="Arial" w:eastAsia="Arial" w:hAnsi="Arial"/>
                <w:sz w:val="18"/>
                <w:szCs w:val="18"/>
                <w:color w:val="auto"/>
              </w:rPr>
              <w:t>Comprehensive earnings attributable to Martin Marietta</w:t>
            </w:r>
          </w:p>
        </w:tc>
        <w:tc>
          <w:tcPr>
            <w:tcW w:w="8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940" w:type="dxa"/>
            <w:vAlign w:val="bottom"/>
          </w:tcPr>
          <w:p>
            <w:pPr>
              <w:ind w:left="240"/>
              <w:spacing w:after="0"/>
              <w:rPr>
                <w:sz w:val="20"/>
                <w:szCs w:val="20"/>
                <w:color w:val="auto"/>
              </w:rPr>
            </w:pPr>
            <w:r>
              <w:rPr>
                <w:rFonts w:ascii="Arial" w:cs="Arial" w:eastAsia="Arial" w:hAnsi="Arial"/>
                <w:sz w:val="18"/>
                <w:szCs w:val="18"/>
                <w:color w:val="auto"/>
              </w:rPr>
              <w:t>Materials, Inc.</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119,817</w:t>
            </w:r>
          </w:p>
        </w:tc>
        <w:tc>
          <w:tcPr>
            <w:tcW w:w="16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75,847</w:t>
            </w:r>
          </w:p>
        </w:tc>
        <w:tc>
          <w:tcPr>
            <w:tcW w:w="12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166,601</w:t>
            </w:r>
          </w:p>
        </w:tc>
        <w:tc>
          <w:tcPr>
            <w:tcW w:w="260" w:type="dxa"/>
            <w:vAlign w:val="bottom"/>
          </w:tcPr>
          <w:p>
            <w:pPr>
              <w:spacing w:after="0"/>
              <w:rPr>
                <w:sz w:val="20"/>
                <w:szCs w:val="20"/>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81,410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9" w:lineRule="exact"/>
        <w:rPr>
          <w:sz w:val="20"/>
          <w:szCs w:val="20"/>
          <w:color w:val="auto"/>
        </w:rPr>
      </w:pPr>
    </w:p>
    <w:p>
      <w:pPr>
        <w:ind w:left="380" w:hanging="379"/>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0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Consolidated Comprehensive Earnings/Loss and Accumulated Other Comprehensive Loss (continued)</w:t>
      </w:r>
    </w:p>
    <w:p>
      <w:pPr>
        <w:spacing w:after="0" w:line="112" w:lineRule="exact"/>
        <w:rPr>
          <w:rFonts w:ascii="Arial" w:cs="Arial" w:eastAsia="Arial" w:hAnsi="Arial"/>
          <w:sz w:val="18"/>
          <w:szCs w:val="18"/>
          <w:b w:val="1"/>
          <w:bCs w:val="1"/>
          <w:color w:val="auto"/>
        </w:rPr>
      </w:pPr>
    </w:p>
    <w:p>
      <w:pPr>
        <w:ind w:left="380"/>
        <w:spacing w:after="0" w:line="280" w:lineRule="auto"/>
        <w:rPr>
          <w:rFonts w:ascii="Arial" w:cs="Arial" w:eastAsia="Arial" w:hAnsi="Arial"/>
          <w:sz w:val="18"/>
          <w:szCs w:val="18"/>
          <w:b w:val="1"/>
          <w:bCs w:val="1"/>
          <w:color w:val="auto"/>
        </w:rPr>
      </w:pPr>
      <w:r>
        <w:rPr>
          <w:rFonts w:ascii="Arial" w:cs="Arial" w:eastAsia="Arial" w:hAnsi="Arial"/>
          <w:sz w:val="18"/>
          <w:szCs w:val="18"/>
          <w:color w:val="auto"/>
        </w:rPr>
        <w:t>Comprehensive earnings attributable to noncontrolling interests, consisting of net earnings and adjustments for the funded status of pension and postretirement benefit plans, is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40" w:type="dxa"/>
            <w:vAlign w:val="bottom"/>
          </w:tcPr>
          <w:p>
            <w:pPr>
              <w:spacing w:after="0"/>
              <w:rPr>
                <w:sz w:val="19"/>
                <w:szCs w:val="19"/>
                <w:color w:val="auto"/>
              </w:rPr>
            </w:pPr>
          </w:p>
        </w:tc>
        <w:tc>
          <w:tcPr>
            <w:tcW w:w="2820" w:type="dxa"/>
            <w:vAlign w:val="bottom"/>
            <w:gridSpan w:val="6"/>
          </w:tcPr>
          <w:p>
            <w:pPr>
              <w:ind w:left="58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40" w:type="dxa"/>
            <w:vAlign w:val="bottom"/>
            <w:gridSpan w:val="5"/>
          </w:tcPr>
          <w:p>
            <w:pPr>
              <w:ind w:left="480"/>
              <w:spacing w:after="0"/>
              <w:rPr>
                <w:sz w:val="20"/>
                <w:szCs w:val="20"/>
                <w:color w:val="auto"/>
              </w:rPr>
            </w:pPr>
            <w:r>
              <w:rPr>
                <w:rFonts w:ascii="Arial" w:cs="Arial" w:eastAsia="Arial" w:hAnsi="Arial"/>
                <w:sz w:val="18"/>
                <w:szCs w:val="18"/>
                <w:color w:val="auto"/>
              </w:rPr>
              <w:t>Six Months Ended</w:t>
            </w:r>
          </w:p>
        </w:tc>
      </w:tr>
      <w:tr>
        <w:trPr>
          <w:trHeight w:val="231"/>
        </w:trPr>
        <w:tc>
          <w:tcPr>
            <w:tcW w:w="54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8"/>
                <w:szCs w:val="18"/>
                <w:color w:val="auto"/>
              </w:rPr>
              <w:t>June 30,</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0"/>
        </w:trPr>
        <w:tc>
          <w:tcPr>
            <w:tcW w:w="5440" w:type="dxa"/>
            <w:vAlign w:val="bottom"/>
          </w:tcPr>
          <w:p>
            <w:pPr>
              <w:spacing w:after="0"/>
              <w:rPr>
                <w:sz w:val="19"/>
                <w:szCs w:val="19"/>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88"/>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8"/>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r>
      <w:tr>
        <w:trPr>
          <w:trHeight w:val="215"/>
        </w:trPr>
        <w:tc>
          <w:tcPr>
            <w:tcW w:w="5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6"/>
          </w:tcPr>
          <w:p>
            <w:pPr>
              <w:ind w:left="280"/>
              <w:spacing w:after="0"/>
              <w:rPr>
                <w:sz w:val="20"/>
                <w:szCs w:val="20"/>
                <w:color w:val="auto"/>
              </w:rPr>
            </w:pPr>
            <w:r>
              <w:rPr>
                <w:rFonts w:ascii="Arial" w:cs="Arial" w:eastAsia="Arial" w:hAnsi="Arial"/>
                <w:sz w:val="18"/>
                <w:szCs w:val="18"/>
                <w:i w:val="1"/>
                <w:iCs w:val="1"/>
                <w:color w:val="auto"/>
              </w:rPr>
              <w:t>(Dollars in Thousands)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5440" w:type="dxa"/>
            <w:vAlign w:val="bottom"/>
          </w:tcPr>
          <w:p>
            <w:pPr>
              <w:spacing w:after="0"/>
              <w:rPr>
                <w:sz w:val="20"/>
                <w:szCs w:val="20"/>
                <w:color w:val="auto"/>
              </w:rPr>
            </w:pPr>
            <w:r>
              <w:rPr>
                <w:rFonts w:ascii="Arial" w:cs="Arial" w:eastAsia="Arial" w:hAnsi="Arial"/>
                <w:sz w:val="18"/>
                <w:szCs w:val="18"/>
                <w:color w:val="auto"/>
              </w:rPr>
              <w:t>Net earnings attributable to noncontrolling interests</w:t>
            </w:r>
          </w:p>
        </w:tc>
        <w:tc>
          <w:tcPr>
            <w:tcW w:w="920" w:type="dxa"/>
            <w:vAlign w:val="bottom"/>
          </w:tcPr>
          <w:p>
            <w:pPr>
              <w:jc w:val="right"/>
              <w:ind w:right="728"/>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0"/>
                <w:szCs w:val="20"/>
                <w:color w:val="auto"/>
              </w:rPr>
            </w:pPr>
          </w:p>
        </w:tc>
        <w:tc>
          <w:tcPr>
            <w:tcW w:w="300" w:type="dxa"/>
            <w:vAlign w:val="bottom"/>
          </w:tcPr>
          <w:p>
            <w:pPr>
              <w:jc w:val="right"/>
              <w:ind w:right="108"/>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20"/>
                <w:szCs w:val="20"/>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r>
      <w:tr>
        <w:trPr>
          <w:trHeight w:val="227"/>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earnings, net of tax</w:t>
            </w:r>
          </w:p>
        </w:tc>
        <w:tc>
          <w:tcPr>
            <w:tcW w:w="9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r>
      <w:tr>
        <w:trPr>
          <w:trHeight w:val="203"/>
        </w:trPr>
        <w:tc>
          <w:tcPr>
            <w:tcW w:w="5440" w:type="dxa"/>
            <w:vAlign w:val="bottom"/>
          </w:tcPr>
          <w:p>
            <w:pPr>
              <w:spacing w:after="0" w:line="203" w:lineRule="exact"/>
              <w:rPr>
                <w:sz w:val="20"/>
                <w:szCs w:val="20"/>
                <w:color w:val="auto"/>
              </w:rPr>
            </w:pPr>
            <w:r>
              <w:rPr>
                <w:rFonts w:ascii="Arial" w:cs="Arial" w:eastAsia="Arial" w:hAnsi="Arial"/>
                <w:sz w:val="18"/>
                <w:szCs w:val="18"/>
                <w:color w:val="auto"/>
              </w:rPr>
              <w:t>Comprehensive earnings attributable to noncontrolling</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1"/>
        </w:trPr>
        <w:tc>
          <w:tcPr>
            <w:tcW w:w="5440" w:type="dxa"/>
            <w:vAlign w:val="bottom"/>
          </w:tcPr>
          <w:p>
            <w:pPr>
              <w:ind w:left="240"/>
              <w:spacing w:after="0"/>
              <w:rPr>
                <w:sz w:val="20"/>
                <w:szCs w:val="20"/>
                <w:color w:val="auto"/>
              </w:rPr>
            </w:pPr>
            <w:r>
              <w:rPr>
                <w:rFonts w:ascii="Arial" w:cs="Arial" w:eastAsia="Arial" w:hAnsi="Arial"/>
                <w:sz w:val="18"/>
                <w:szCs w:val="18"/>
                <w:color w:val="auto"/>
              </w:rPr>
              <w:t>interests</w:t>
            </w:r>
          </w:p>
        </w:tc>
        <w:tc>
          <w:tcPr>
            <w:tcW w:w="920" w:type="dxa"/>
            <w:vAlign w:val="bottom"/>
          </w:tcPr>
          <w:p>
            <w:pPr>
              <w:jc w:val="right"/>
              <w:ind w:right="728"/>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20"/>
                <w:szCs w:val="20"/>
                <w:color w:val="auto"/>
              </w:rPr>
            </w:pPr>
          </w:p>
        </w:tc>
        <w:tc>
          <w:tcPr>
            <w:tcW w:w="300" w:type="dxa"/>
            <w:vAlign w:val="bottom"/>
          </w:tcPr>
          <w:p>
            <w:pPr>
              <w:jc w:val="right"/>
              <w:ind w:right="108"/>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260" w:type="dxa"/>
            <w:vAlign w:val="bottom"/>
          </w:tcPr>
          <w:p>
            <w:pPr>
              <w:spacing w:after="0"/>
              <w:rPr>
                <w:sz w:val="20"/>
                <w:szCs w:val="20"/>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r>
      <w:tr>
        <w:trPr>
          <w:trHeight w:val="20"/>
        </w:trPr>
        <w:tc>
          <w:tcPr>
            <w:tcW w:w="5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left="380"/>
        <w:spacing w:after="0" w:line="264" w:lineRule="auto"/>
        <w:rPr>
          <w:sz w:val="20"/>
          <w:szCs w:val="20"/>
          <w:color w:val="auto"/>
        </w:rPr>
      </w:pPr>
      <w:r>
        <w:rPr>
          <w:rFonts w:ascii="Arial" w:cs="Arial" w:eastAsia="Arial" w:hAnsi="Arial"/>
          <w:sz w:val="18"/>
          <w:szCs w:val="18"/>
          <w:color w:val="auto"/>
        </w:rPr>
        <w:t>Accumulated other comprehensive loss consists of unrealized gains and losses related to the funded status of pension and postretirement benefit plans; foreign currency translation; and the unamortized value of terminated forward starting interest rate swap agreements, and is presented on the Corporation’s consolidated balance sheets.</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Changes in accumulated other comprehensive (loss) earnings, net of tax,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8"/>
                <w:szCs w:val="18"/>
                <w:i w:val="1"/>
                <w:iCs w:val="1"/>
                <w:color w:val="auto"/>
              </w:rPr>
              <w:t>(Dollars in Thousands)</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Unamortized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Value of</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Terminated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Accumulated</w:t>
            </w:r>
          </w:p>
        </w:tc>
      </w:tr>
      <w:tr>
        <w:trPr>
          <w:trHeight w:val="227"/>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Pension and</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color w:val="auto"/>
              </w:rPr>
              <w:t>Forward Starting</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Other</w:t>
            </w:r>
          </w:p>
        </w:tc>
      </w:tr>
      <w:tr>
        <w:trPr>
          <w:trHeight w:val="227"/>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Postretirement</w:t>
            </w:r>
          </w:p>
        </w:tc>
        <w:tc>
          <w:tcPr>
            <w:tcW w:w="100" w:type="dxa"/>
            <w:vAlign w:val="bottom"/>
          </w:tcPr>
          <w:p>
            <w:pPr>
              <w:spacing w:after="0"/>
              <w:rPr>
                <w:sz w:val="19"/>
                <w:szCs w:val="19"/>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Interest Rate</w:t>
            </w:r>
          </w:p>
        </w:tc>
        <w:tc>
          <w:tcPr>
            <w:tcW w:w="80" w:type="dxa"/>
            <w:vAlign w:val="bottom"/>
          </w:tcPr>
          <w:p>
            <w:pPr>
              <w:spacing w:after="0"/>
              <w:rPr>
                <w:sz w:val="19"/>
                <w:szCs w:val="19"/>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Comprehensive</w:t>
            </w:r>
          </w:p>
        </w:tc>
      </w:tr>
      <w:tr>
        <w:trPr>
          <w:trHeight w:val="231"/>
        </w:trPr>
        <w:tc>
          <w:tcPr>
            <w:tcW w:w="5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Benefit Plans</w:t>
            </w:r>
          </w:p>
        </w:tc>
        <w:tc>
          <w:tcPr>
            <w:tcW w:w="100" w:type="dxa"/>
            <w:vAlign w:val="bottom"/>
          </w:tcPr>
          <w:p>
            <w:pPr>
              <w:spacing w:after="0"/>
              <w:rPr>
                <w:sz w:val="20"/>
                <w:szCs w:val="20"/>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Currency</w:t>
            </w:r>
          </w:p>
        </w:tc>
        <w:tc>
          <w:tcPr>
            <w:tcW w:w="14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Swap</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Loss</w:t>
            </w:r>
          </w:p>
        </w:tc>
      </w:tr>
      <w:tr>
        <w:trPr>
          <w:trHeight w:val="220"/>
        </w:trPr>
        <w:tc>
          <w:tcPr>
            <w:tcW w:w="5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900" w:type="dxa"/>
            <w:vAlign w:val="bottom"/>
            <w:tcBorders>
              <w:top w:val="single" w:sz="8" w:color="auto"/>
              <w:bottom w:val="single" w:sz="8" w:color="auto"/>
            </w:tcBorders>
            <w:gridSpan w:val="5"/>
          </w:tcPr>
          <w:p>
            <w:pPr>
              <w:jc w:val="right"/>
              <w:ind w:right="260"/>
              <w:spacing w:after="0"/>
              <w:rPr>
                <w:sz w:val="20"/>
                <w:szCs w:val="20"/>
                <w:color w:val="auto"/>
              </w:rPr>
            </w:pPr>
            <w:r>
              <w:rPr>
                <w:rFonts w:ascii="Arial" w:cs="Arial" w:eastAsia="Arial" w:hAnsi="Arial"/>
                <w:sz w:val="18"/>
                <w:szCs w:val="18"/>
                <w:color w:val="auto"/>
                <w:w w:val="91"/>
              </w:rPr>
              <w:t>Three Months Ended June 30, 2016</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542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(101,907)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(1,777)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(103,833)</w:t>
            </w:r>
          </w:p>
        </w:tc>
        <w:tc>
          <w:tcPr>
            <w:tcW w:w="100" w:type="dxa"/>
            <w:vAlign w:val="bottom"/>
          </w:tcPr>
          <w:p>
            <w:pPr>
              <w:spacing w:after="0"/>
              <w:rPr>
                <w:sz w:val="19"/>
                <w:szCs w:val="19"/>
                <w:color w:val="auto"/>
              </w:rPr>
            </w:pPr>
          </w:p>
        </w:tc>
      </w:tr>
      <w:tr>
        <w:trPr>
          <w:trHeight w:val="203"/>
        </w:trPr>
        <w:tc>
          <w:tcPr>
            <w:tcW w:w="5420" w:type="dxa"/>
            <w:vAlign w:val="bottom"/>
            <w:tcBorders>
              <w:top w:val="single" w:sz="8" w:color="CFF2FA"/>
            </w:tcBorders>
            <w:shd w:val="clear" w:color="auto" w:fill="CFF2FA"/>
          </w:tcPr>
          <w:p>
            <w:pPr>
              <w:spacing w:after="0" w:line="203" w:lineRule="exact"/>
              <w:rPr>
                <w:sz w:val="20"/>
                <w:szCs w:val="20"/>
                <w:color w:val="auto"/>
              </w:rPr>
            </w:pPr>
            <w:r>
              <w:rPr>
                <w:rFonts w:ascii="Arial" w:cs="Arial" w:eastAsia="Arial" w:hAnsi="Arial"/>
                <w:sz w:val="18"/>
                <w:szCs w:val="18"/>
                <w:color w:val="auto"/>
              </w:rPr>
              <w:t>Other comprehensive loss before</w:t>
            </w:r>
          </w:p>
        </w:tc>
        <w:tc>
          <w:tcPr>
            <w:tcW w:w="100" w:type="dxa"/>
            <w:vAlign w:val="bottom"/>
            <w:tcBorders>
              <w:top w:val="single" w:sz="8" w:color="auto"/>
            </w:tcBorders>
            <w:shd w:val="clear" w:color="auto" w:fill="CFF2FA"/>
          </w:tcPr>
          <w:p>
            <w:pPr>
              <w:spacing w:after="0"/>
              <w:rPr>
                <w:sz w:val="17"/>
                <w:szCs w:val="17"/>
                <w:color w:val="auto"/>
              </w:rPr>
            </w:pPr>
          </w:p>
        </w:tc>
        <w:tc>
          <w:tcPr>
            <w:tcW w:w="1180" w:type="dxa"/>
            <w:vAlign w:val="bottom"/>
            <w:tcBorders>
              <w:top w:val="single" w:sz="8" w:color="auto"/>
            </w:tcBorders>
            <w:shd w:val="clear" w:color="auto" w:fill="CFF2FA"/>
          </w:tcPr>
          <w:p>
            <w:pPr>
              <w:spacing w:after="0"/>
              <w:rPr>
                <w:sz w:val="17"/>
                <w:szCs w:val="17"/>
                <w:color w:val="auto"/>
              </w:rPr>
            </w:pPr>
          </w:p>
        </w:tc>
        <w:tc>
          <w:tcPr>
            <w:tcW w:w="240" w:type="dxa"/>
            <w:vAlign w:val="bottom"/>
            <w:tcBorders>
              <w:top w:val="single" w:sz="8" w:color="CFF2FA"/>
            </w:tcBorders>
            <w:shd w:val="clear" w:color="auto" w:fill="CFF2FA"/>
          </w:tcPr>
          <w:p>
            <w:pPr>
              <w:spacing w:after="0"/>
              <w:rPr>
                <w:sz w:val="17"/>
                <w:szCs w:val="17"/>
                <w:color w:val="auto"/>
              </w:rPr>
            </w:pPr>
          </w:p>
        </w:tc>
        <w:tc>
          <w:tcPr>
            <w:tcW w:w="100" w:type="dxa"/>
            <w:vAlign w:val="bottom"/>
            <w:tcBorders>
              <w:top w:val="single" w:sz="8" w:color="auto"/>
            </w:tcBorders>
            <w:shd w:val="clear" w:color="auto" w:fill="CFF2FA"/>
          </w:tcPr>
          <w:p>
            <w:pPr>
              <w:spacing w:after="0"/>
              <w:rPr>
                <w:sz w:val="17"/>
                <w:szCs w:val="17"/>
                <w:color w:val="auto"/>
              </w:rPr>
            </w:pPr>
          </w:p>
        </w:tc>
        <w:tc>
          <w:tcPr>
            <w:tcW w:w="1200" w:type="dxa"/>
            <w:vAlign w:val="bottom"/>
            <w:tcBorders>
              <w:top w:val="single" w:sz="8" w:color="auto"/>
            </w:tcBorders>
            <w:shd w:val="clear" w:color="auto" w:fill="CFF2FA"/>
          </w:tcPr>
          <w:p>
            <w:pPr>
              <w:spacing w:after="0"/>
              <w:rPr>
                <w:sz w:val="17"/>
                <w:szCs w:val="17"/>
                <w:color w:val="auto"/>
              </w:rPr>
            </w:pPr>
          </w:p>
        </w:tc>
        <w:tc>
          <w:tcPr>
            <w:tcW w:w="240" w:type="dxa"/>
            <w:vAlign w:val="bottom"/>
            <w:tcBorders>
              <w:top w:val="single" w:sz="8" w:color="CFF2FA"/>
            </w:tcBorders>
            <w:shd w:val="clear" w:color="auto" w:fill="CFF2FA"/>
          </w:tcPr>
          <w:p>
            <w:pPr>
              <w:spacing w:after="0"/>
              <w:rPr>
                <w:sz w:val="17"/>
                <w:szCs w:val="17"/>
                <w:color w:val="auto"/>
              </w:rPr>
            </w:pPr>
          </w:p>
        </w:tc>
        <w:tc>
          <w:tcPr>
            <w:tcW w:w="140" w:type="dxa"/>
            <w:vAlign w:val="bottom"/>
            <w:tcBorders>
              <w:top w:val="single" w:sz="8" w:color="auto"/>
            </w:tcBorders>
            <w:shd w:val="clear" w:color="auto" w:fill="CFF2FA"/>
          </w:tcPr>
          <w:p>
            <w:pPr>
              <w:spacing w:after="0"/>
              <w:rPr>
                <w:sz w:val="17"/>
                <w:szCs w:val="17"/>
                <w:color w:val="auto"/>
              </w:rPr>
            </w:pPr>
          </w:p>
        </w:tc>
        <w:tc>
          <w:tcPr>
            <w:tcW w:w="1160" w:type="dxa"/>
            <w:vAlign w:val="bottom"/>
            <w:tcBorders>
              <w:top w:val="single" w:sz="8" w:color="auto"/>
            </w:tcBorders>
            <w:shd w:val="clear" w:color="auto" w:fill="CFF2FA"/>
          </w:tcPr>
          <w:p>
            <w:pPr>
              <w:spacing w:after="0"/>
              <w:rPr>
                <w:sz w:val="17"/>
                <w:szCs w:val="17"/>
                <w:color w:val="auto"/>
              </w:rPr>
            </w:pPr>
          </w:p>
        </w:tc>
        <w:tc>
          <w:tcPr>
            <w:tcW w:w="160" w:type="dxa"/>
            <w:vAlign w:val="bottom"/>
            <w:tcBorders>
              <w:top w:val="single" w:sz="8" w:color="CFF2FA"/>
            </w:tcBorders>
            <w:shd w:val="clear" w:color="auto" w:fill="CFF2FA"/>
          </w:tcPr>
          <w:p>
            <w:pPr>
              <w:spacing w:after="0"/>
              <w:rPr>
                <w:sz w:val="17"/>
                <w:szCs w:val="17"/>
                <w:color w:val="auto"/>
              </w:rPr>
            </w:pPr>
          </w:p>
        </w:tc>
        <w:tc>
          <w:tcPr>
            <w:tcW w:w="80" w:type="dxa"/>
            <w:vAlign w:val="bottom"/>
            <w:tcBorders>
              <w:top w:val="single" w:sz="8" w:color="CFF2FA"/>
            </w:tcBorders>
            <w:shd w:val="clear" w:color="auto" w:fill="CFF2FA"/>
          </w:tcPr>
          <w:p>
            <w:pPr>
              <w:spacing w:after="0"/>
              <w:rPr>
                <w:sz w:val="17"/>
                <w:szCs w:val="17"/>
                <w:color w:val="auto"/>
              </w:rPr>
            </w:pPr>
          </w:p>
        </w:tc>
        <w:tc>
          <w:tcPr>
            <w:tcW w:w="120" w:type="dxa"/>
            <w:vAlign w:val="bottom"/>
            <w:tcBorders>
              <w:top w:val="single" w:sz="8" w:color="auto"/>
            </w:tcBorders>
            <w:shd w:val="clear" w:color="auto" w:fill="CFF2FA"/>
          </w:tcPr>
          <w:p>
            <w:pPr>
              <w:spacing w:after="0"/>
              <w:rPr>
                <w:sz w:val="17"/>
                <w:szCs w:val="17"/>
                <w:color w:val="auto"/>
              </w:rPr>
            </w:pPr>
          </w:p>
        </w:tc>
        <w:tc>
          <w:tcPr>
            <w:tcW w:w="1180" w:type="dxa"/>
            <w:vAlign w:val="bottom"/>
            <w:tcBorders>
              <w:top w:val="single" w:sz="8" w:color="auto"/>
            </w:tcBorders>
            <w:shd w:val="clear" w:color="auto" w:fill="CFF2FA"/>
          </w:tcPr>
          <w:p>
            <w:pPr>
              <w:spacing w:after="0"/>
              <w:rPr>
                <w:sz w:val="17"/>
                <w:szCs w:val="17"/>
                <w:color w:val="auto"/>
              </w:rPr>
            </w:pPr>
          </w:p>
        </w:tc>
        <w:tc>
          <w:tcPr>
            <w:tcW w:w="100" w:type="dxa"/>
            <w:vAlign w:val="bottom"/>
            <w:tcBorders>
              <w:top w:val="single" w:sz="8" w:color="CFF2FA"/>
            </w:tcBorders>
            <w:shd w:val="clear" w:color="auto" w:fill="CFF2FA"/>
          </w:tcPr>
          <w:p>
            <w:pPr>
              <w:spacing w:after="0"/>
              <w:rPr>
                <w:sz w:val="17"/>
                <w:szCs w:val="17"/>
                <w:color w:val="auto"/>
              </w:rPr>
            </w:pPr>
          </w:p>
        </w:tc>
      </w:tr>
      <w:tr>
        <w:trPr>
          <w:trHeight w:val="231"/>
        </w:trPr>
        <w:tc>
          <w:tcPr>
            <w:tcW w:w="5420" w:type="dxa"/>
            <w:vAlign w:val="bottom"/>
            <w:shd w:val="clear" w:color="auto" w:fill="CFF2FA"/>
          </w:tcPr>
          <w:p>
            <w:pPr>
              <w:ind w:left="240"/>
              <w:spacing w:after="0"/>
              <w:rPr>
                <w:sz w:val="20"/>
                <w:szCs w:val="20"/>
                <w:color w:val="auto"/>
              </w:rPr>
            </w:pPr>
            <w:r>
              <w:rPr>
                <w:rFonts w:ascii="Arial" w:cs="Arial" w:eastAsia="Arial" w:hAnsi="Arial"/>
                <w:sz w:val="18"/>
                <w:szCs w:val="18"/>
                <w:color w:val="auto"/>
              </w:rPr>
              <w:t>reclassifications, net of tax</w:t>
            </w:r>
          </w:p>
        </w:tc>
        <w:tc>
          <w:tcPr>
            <w:tcW w:w="100" w:type="dxa"/>
            <w:vAlign w:val="bottom"/>
            <w:shd w:val="clear" w:color="auto" w:fill="CFF2FA"/>
          </w:tcPr>
          <w:p>
            <w:pPr>
              <w:spacing w:after="0"/>
              <w:rPr>
                <w:sz w:val="20"/>
                <w:szCs w:val="20"/>
                <w:color w:val="auto"/>
              </w:rPr>
            </w:pPr>
          </w:p>
        </w:tc>
        <w:tc>
          <w:tcPr>
            <w:tcW w:w="1420" w:type="dxa"/>
            <w:vAlign w:val="bottom"/>
            <w:gridSpan w:val="2"/>
            <w:shd w:val="clear" w:color="auto" w:fill="CFF2FA"/>
          </w:tcPr>
          <w:p>
            <w:pPr>
              <w:jc w:val="right"/>
              <w:ind w:right="180"/>
              <w:spacing w:after="0"/>
              <w:rPr>
                <w:sz w:val="20"/>
                <w:szCs w:val="20"/>
                <w:color w:val="auto"/>
              </w:rPr>
            </w:pPr>
            <w:r>
              <w:rPr>
                <w:rFonts w:ascii="Arial" w:cs="Arial" w:eastAsia="Arial" w:hAnsi="Arial"/>
                <w:sz w:val="18"/>
                <w:szCs w:val="18"/>
                <w:color w:val="auto"/>
              </w:rPr>
              <w:t>(3,736)</w:t>
            </w:r>
          </w:p>
        </w:tc>
        <w:tc>
          <w:tcPr>
            <w:tcW w:w="100" w:type="dxa"/>
            <w:vAlign w:val="bottom"/>
            <w:shd w:val="clear" w:color="auto" w:fill="CFF2FA"/>
          </w:tcPr>
          <w:p>
            <w:pPr>
              <w:spacing w:after="0"/>
              <w:rPr>
                <w:sz w:val="20"/>
                <w:szCs w:val="20"/>
                <w:color w:val="auto"/>
              </w:rPr>
            </w:pPr>
          </w:p>
        </w:tc>
        <w:tc>
          <w:tcPr>
            <w:tcW w:w="1440" w:type="dxa"/>
            <w:vAlign w:val="bottom"/>
            <w:gridSpan w:val="2"/>
            <w:shd w:val="clear" w:color="auto" w:fill="CFF2FA"/>
          </w:tcPr>
          <w:p>
            <w:pPr>
              <w:jc w:val="right"/>
              <w:ind w:right="180"/>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FF2FA"/>
          </w:tcPr>
          <w:p>
            <w:pPr>
              <w:spacing w:after="0"/>
              <w:rPr>
                <w:sz w:val="20"/>
                <w:szCs w:val="20"/>
                <w:color w:val="auto"/>
              </w:rPr>
            </w:pPr>
          </w:p>
        </w:tc>
        <w:tc>
          <w:tcPr>
            <w:tcW w:w="1320" w:type="dxa"/>
            <w:vAlign w:val="bottom"/>
            <w:gridSpan w:val="2"/>
            <w:shd w:val="clear" w:color="auto" w:fill="CFF2FA"/>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2FA"/>
          </w:tcPr>
          <w:p>
            <w:pPr>
              <w:spacing w:after="0"/>
              <w:rPr>
                <w:sz w:val="20"/>
                <w:szCs w:val="20"/>
                <w:color w:val="auto"/>
              </w:rPr>
            </w:pPr>
          </w:p>
        </w:tc>
        <w:tc>
          <w:tcPr>
            <w:tcW w:w="120" w:type="dxa"/>
            <w:vAlign w:val="bottom"/>
            <w:shd w:val="clear" w:color="auto" w:fill="CFF2FA"/>
          </w:tcPr>
          <w:p>
            <w:pPr>
              <w:spacing w:after="0"/>
              <w:rPr>
                <w:sz w:val="20"/>
                <w:szCs w:val="20"/>
                <w:color w:val="auto"/>
              </w:rPr>
            </w:pPr>
          </w:p>
        </w:tc>
        <w:tc>
          <w:tcPr>
            <w:tcW w:w="1280" w:type="dxa"/>
            <w:vAlign w:val="bottom"/>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(3,968)</w:t>
            </w:r>
          </w:p>
        </w:tc>
      </w:tr>
      <w:tr>
        <w:trPr>
          <w:trHeight w:val="210"/>
        </w:trPr>
        <w:tc>
          <w:tcPr>
            <w:tcW w:w="5420" w:type="dxa"/>
            <w:vAlign w:val="bottom"/>
          </w:tcPr>
          <w:p>
            <w:pPr>
              <w:spacing w:after="0"/>
              <w:rPr>
                <w:sz w:val="20"/>
                <w:szCs w:val="20"/>
                <w:color w:val="auto"/>
              </w:rPr>
            </w:pPr>
            <w:r>
              <w:rPr>
                <w:rFonts w:ascii="Arial" w:cs="Arial" w:eastAsia="Arial" w:hAnsi="Arial"/>
                <w:sz w:val="18"/>
                <w:szCs w:val="18"/>
                <w:color w:val="auto"/>
              </w:rPr>
              <w:t>Amounts reclassified from accumulated other</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5420" w:type="dxa"/>
            <w:vAlign w:val="bottom"/>
          </w:tcPr>
          <w:p>
            <w:pPr>
              <w:ind w:left="240"/>
              <w:spacing w:after="0"/>
              <w:rPr>
                <w:sz w:val="20"/>
                <w:szCs w:val="20"/>
                <w:color w:val="auto"/>
              </w:rPr>
            </w:pPr>
            <w:r>
              <w:rPr>
                <w:rFonts w:ascii="Arial" w:cs="Arial" w:eastAsia="Arial" w:hAnsi="Arial"/>
                <w:sz w:val="18"/>
                <w:szCs w:val="18"/>
                <w:color w:val="auto"/>
              </w:rPr>
              <w:t>comprehensive earnings, net of tax</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0"/>
                <w:szCs w:val="20"/>
                <w:color w:val="auto"/>
              </w:rPr>
            </w:pPr>
          </w:p>
        </w:tc>
      </w:tr>
      <w:tr>
        <w:trPr>
          <w:trHeight w:val="220"/>
        </w:trPr>
        <w:tc>
          <w:tcPr>
            <w:tcW w:w="542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8"/>
                <w:szCs w:val="18"/>
                <w:color w:val="auto"/>
              </w:rPr>
              <w:t>Other comprehensive (loss) earnings, net of tax</w:t>
            </w:r>
          </w:p>
        </w:tc>
        <w:tc>
          <w:tcPr>
            <w:tcW w:w="100" w:type="dxa"/>
            <w:vAlign w:val="bottom"/>
            <w:tcBorders>
              <w:top w:val="single" w:sz="8" w:color="auto"/>
              <w:bottom w:val="single" w:sz="8" w:color="auto"/>
            </w:tcBorders>
            <w:shd w:val="clear" w:color="auto" w:fill="CFF2FA"/>
          </w:tcPr>
          <w:p>
            <w:pPr>
              <w:spacing w:after="0"/>
              <w:rPr>
                <w:sz w:val="19"/>
                <w:szCs w:val="19"/>
                <w:color w:val="auto"/>
              </w:rPr>
            </w:pPr>
          </w:p>
        </w:tc>
        <w:tc>
          <w:tcPr>
            <w:tcW w:w="11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(2,207)</w:t>
            </w:r>
          </w:p>
        </w:tc>
        <w:tc>
          <w:tcPr>
            <w:tcW w:w="24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bottom w:val="single" w:sz="8" w:color="auto"/>
            </w:tcBorders>
            <w:shd w:val="clear" w:color="auto" w:fill="CFF2FA"/>
          </w:tcPr>
          <w:p>
            <w:pPr>
              <w:spacing w:after="0"/>
              <w:rPr>
                <w:sz w:val="19"/>
                <w:szCs w:val="19"/>
                <w:color w:val="auto"/>
              </w:rPr>
            </w:pPr>
          </w:p>
        </w:tc>
        <w:tc>
          <w:tcPr>
            <w:tcW w:w="120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(232)</w:t>
            </w:r>
          </w:p>
        </w:tc>
        <w:tc>
          <w:tcPr>
            <w:tcW w:w="240" w:type="dxa"/>
            <w:vAlign w:val="bottom"/>
            <w:tcBorders>
              <w:top w:val="single" w:sz="8" w:color="CFF2FA"/>
            </w:tcBorders>
            <w:shd w:val="clear" w:color="auto" w:fill="CFF2FA"/>
          </w:tcPr>
          <w:p>
            <w:pPr>
              <w:spacing w:after="0"/>
              <w:rPr>
                <w:sz w:val="19"/>
                <w:szCs w:val="19"/>
                <w:color w:val="auto"/>
              </w:rPr>
            </w:pPr>
          </w:p>
        </w:tc>
        <w:tc>
          <w:tcPr>
            <w:tcW w:w="140" w:type="dxa"/>
            <w:vAlign w:val="bottom"/>
            <w:tcBorders>
              <w:top w:val="single" w:sz="8" w:color="auto"/>
              <w:bottom w:val="single" w:sz="8" w:color="auto"/>
            </w:tcBorders>
            <w:shd w:val="clear" w:color="auto" w:fill="CFF2FA"/>
          </w:tcPr>
          <w:p>
            <w:pPr>
              <w:spacing w:after="0"/>
              <w:rPr>
                <w:sz w:val="19"/>
                <w:szCs w:val="19"/>
                <w:color w:val="auto"/>
              </w:rPr>
            </w:pPr>
          </w:p>
        </w:tc>
        <w:tc>
          <w:tcPr>
            <w:tcW w:w="11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Borders>
              <w:top w:val="single" w:sz="8" w:color="CFF2FA"/>
            </w:tcBorders>
            <w:shd w:val="clear" w:color="auto" w:fill="CFF2FA"/>
          </w:tcPr>
          <w:p>
            <w:pPr>
              <w:spacing w:after="0"/>
              <w:rPr>
                <w:sz w:val="19"/>
                <w:szCs w:val="19"/>
                <w:color w:val="auto"/>
              </w:rPr>
            </w:pPr>
          </w:p>
        </w:tc>
        <w:tc>
          <w:tcPr>
            <w:tcW w:w="80" w:type="dxa"/>
            <w:vAlign w:val="bottom"/>
            <w:tcBorders>
              <w:top w:val="single" w:sz="8" w:color="CFF2FA"/>
            </w:tcBorders>
            <w:shd w:val="clear" w:color="auto" w:fill="CFF2FA"/>
          </w:tcPr>
          <w:p>
            <w:pPr>
              <w:spacing w:after="0"/>
              <w:rPr>
                <w:sz w:val="19"/>
                <w:szCs w:val="19"/>
                <w:color w:val="auto"/>
              </w:rPr>
            </w:pPr>
          </w:p>
        </w:tc>
        <w:tc>
          <w:tcPr>
            <w:tcW w:w="120" w:type="dxa"/>
            <w:vAlign w:val="bottom"/>
            <w:tcBorders>
              <w:top w:val="single" w:sz="8" w:color="auto"/>
              <w:bottom w:val="single" w:sz="8" w:color="auto"/>
            </w:tcBorders>
            <w:shd w:val="clear" w:color="auto" w:fill="CFF2FA"/>
          </w:tcPr>
          <w:p>
            <w:pPr>
              <w:spacing w:after="0"/>
              <w:rPr>
                <w:sz w:val="19"/>
                <w:szCs w:val="19"/>
                <w:color w:val="auto"/>
              </w:rPr>
            </w:pPr>
          </w:p>
        </w:tc>
        <w:tc>
          <w:tcPr>
            <w:tcW w:w="11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(2,235)</w:t>
            </w:r>
          </w:p>
        </w:tc>
        <w:tc>
          <w:tcPr>
            <w:tcW w:w="100" w:type="dxa"/>
            <w:vAlign w:val="bottom"/>
            <w:tcBorders>
              <w:top w:val="single" w:sz="8" w:color="CFF2FA"/>
            </w:tcBorders>
            <w:shd w:val="clear" w:color="auto" w:fill="CFF2FA"/>
          </w:tcPr>
          <w:p>
            <w:pPr>
              <w:spacing w:after="0"/>
              <w:rPr>
                <w:sz w:val="19"/>
                <w:szCs w:val="19"/>
                <w:color w:val="auto"/>
              </w:rPr>
            </w:pPr>
          </w:p>
        </w:tc>
      </w:tr>
      <w:tr>
        <w:trPr>
          <w:trHeight w:val="220"/>
        </w:trPr>
        <w:tc>
          <w:tcPr>
            <w:tcW w:w="54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(104,114)</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(106,068)</w:t>
            </w:r>
          </w:p>
        </w:tc>
        <w:tc>
          <w:tcPr>
            <w:tcW w:w="10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2"/>
        </w:trPr>
        <w:tc>
          <w:tcPr>
            <w:tcW w:w="542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8"/>
                <w:szCs w:val="18"/>
                <w:color w:val="auto"/>
                <w:w w:val="91"/>
              </w:rPr>
              <w:t>Three Months Ended June 30, 2015</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CFF2FA"/>
            </w:tcBorders>
          </w:tcPr>
          <w:p>
            <w:pPr>
              <w:spacing w:after="0"/>
              <w:rPr>
                <w:sz w:val="24"/>
                <w:szCs w:val="24"/>
                <w:color w:val="auto"/>
              </w:rPr>
            </w:pPr>
          </w:p>
        </w:tc>
      </w:tr>
      <w:tr>
        <w:trPr>
          <w:trHeight w:val="22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2FA"/>
          </w:tcPr>
          <w:p>
            <w:pPr>
              <w:jc w:val="right"/>
              <w:ind w:right="180"/>
              <w:spacing w:after="0"/>
              <w:rPr>
                <w:sz w:val="20"/>
                <w:szCs w:val="20"/>
                <w:color w:val="auto"/>
              </w:rPr>
            </w:pPr>
            <w:r>
              <w:rPr>
                <w:rFonts w:ascii="Arial" w:cs="Arial" w:eastAsia="Arial" w:hAnsi="Arial"/>
                <w:sz w:val="18"/>
                <w:szCs w:val="18"/>
                <w:color w:val="auto"/>
              </w:rPr>
              <w:t>(105,151)</w:t>
            </w:r>
          </w:p>
        </w:tc>
        <w:tc>
          <w:tcPr>
            <w:tcW w:w="10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990</w:t>
            </w:r>
          </w:p>
        </w:tc>
        <w:tc>
          <w:tcPr>
            <w:tcW w:w="24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(2,562)</w:t>
            </w:r>
          </w:p>
        </w:tc>
        <w:tc>
          <w:tcPr>
            <w:tcW w:w="20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(106,723)</w:t>
            </w:r>
          </w:p>
        </w:tc>
        <w:tc>
          <w:tcPr>
            <w:tcW w:w="100" w:type="dxa"/>
            <w:vAlign w:val="bottom"/>
            <w:shd w:val="clear" w:color="auto" w:fill="CFF2FA"/>
          </w:tcPr>
          <w:p>
            <w:pPr>
              <w:spacing w:after="0"/>
              <w:rPr>
                <w:sz w:val="19"/>
                <w:szCs w:val="19"/>
                <w:color w:val="auto"/>
              </w:rPr>
            </w:pPr>
          </w:p>
        </w:tc>
      </w:tr>
      <w:tr>
        <w:trPr>
          <w:trHeight w:val="203"/>
        </w:trPr>
        <w:tc>
          <w:tcPr>
            <w:tcW w:w="5420" w:type="dxa"/>
            <w:vAlign w:val="bottom"/>
          </w:tcPr>
          <w:p>
            <w:pPr>
              <w:spacing w:after="0" w:line="203" w:lineRule="exact"/>
              <w:rPr>
                <w:sz w:val="20"/>
                <w:szCs w:val="20"/>
                <w:color w:val="auto"/>
              </w:rPr>
            </w:pPr>
            <w:r>
              <w:rPr>
                <w:rFonts w:ascii="Arial" w:cs="Arial" w:eastAsia="Arial" w:hAnsi="Arial"/>
                <w:sz w:val="18"/>
                <w:szCs w:val="18"/>
                <w:color w:val="auto"/>
              </w:rPr>
              <w:t>Other comprehensive (loss) earnings before</w:t>
            </w: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1"/>
        </w:trPr>
        <w:tc>
          <w:tcPr>
            <w:tcW w:w="5420" w:type="dxa"/>
            <w:vAlign w:val="bottom"/>
          </w:tcPr>
          <w:p>
            <w:pPr>
              <w:ind w:left="240"/>
              <w:spacing w:after="0"/>
              <w:rPr>
                <w:sz w:val="20"/>
                <w:szCs w:val="20"/>
                <w:color w:val="auto"/>
              </w:rPr>
            </w:pPr>
            <w:r>
              <w:rPr>
                <w:rFonts w:ascii="Arial" w:cs="Arial" w:eastAsia="Arial" w:hAnsi="Arial"/>
                <w:sz w:val="18"/>
                <w:szCs w:val="18"/>
                <w:color w:val="auto"/>
              </w:rPr>
              <w:t>reclassifications, net of tax</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(10,670)</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(10,441)</w:t>
            </w:r>
          </w:p>
        </w:tc>
      </w:tr>
      <w:tr>
        <w:trPr>
          <w:trHeight w:val="21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Amounts reclassified from accumulated other</w:t>
            </w:r>
          </w:p>
        </w:tc>
        <w:tc>
          <w:tcPr>
            <w:tcW w:w="100" w:type="dxa"/>
            <w:vAlign w:val="bottom"/>
            <w:shd w:val="clear" w:color="auto" w:fill="CFF2FA"/>
          </w:tcPr>
          <w:p>
            <w:pPr>
              <w:spacing w:after="0"/>
              <w:rPr>
                <w:sz w:val="18"/>
                <w:szCs w:val="18"/>
                <w:color w:val="auto"/>
              </w:rPr>
            </w:pPr>
          </w:p>
        </w:tc>
        <w:tc>
          <w:tcPr>
            <w:tcW w:w="1180" w:type="dxa"/>
            <w:vAlign w:val="bottom"/>
            <w:shd w:val="clear" w:color="auto" w:fill="CFF2FA"/>
          </w:tcPr>
          <w:p>
            <w:pPr>
              <w:spacing w:after="0"/>
              <w:rPr>
                <w:sz w:val="18"/>
                <w:szCs w:val="18"/>
                <w:color w:val="auto"/>
              </w:rPr>
            </w:pPr>
          </w:p>
        </w:tc>
        <w:tc>
          <w:tcPr>
            <w:tcW w:w="24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200" w:type="dxa"/>
            <w:vAlign w:val="bottom"/>
            <w:shd w:val="clear" w:color="auto" w:fill="CFF2FA"/>
          </w:tcPr>
          <w:p>
            <w:pPr>
              <w:spacing w:after="0"/>
              <w:rPr>
                <w:sz w:val="18"/>
                <w:szCs w:val="18"/>
                <w:color w:val="auto"/>
              </w:rPr>
            </w:pPr>
          </w:p>
        </w:tc>
        <w:tc>
          <w:tcPr>
            <w:tcW w:w="24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1160" w:type="dxa"/>
            <w:vAlign w:val="bottom"/>
            <w:shd w:val="clear" w:color="auto" w:fill="CFF2FA"/>
          </w:tcPr>
          <w:p>
            <w:pPr>
              <w:spacing w:after="0"/>
              <w:rPr>
                <w:sz w:val="18"/>
                <w:szCs w:val="18"/>
                <w:color w:val="auto"/>
              </w:rPr>
            </w:pPr>
          </w:p>
        </w:tc>
        <w:tc>
          <w:tcPr>
            <w:tcW w:w="160" w:type="dxa"/>
            <w:vAlign w:val="bottom"/>
            <w:shd w:val="clear" w:color="auto" w:fill="CFF2FA"/>
          </w:tcPr>
          <w:p>
            <w:pPr>
              <w:spacing w:after="0"/>
              <w:rPr>
                <w:sz w:val="18"/>
                <w:szCs w:val="18"/>
                <w:color w:val="auto"/>
              </w:rPr>
            </w:pPr>
          </w:p>
        </w:tc>
        <w:tc>
          <w:tcPr>
            <w:tcW w:w="8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118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r>
      <w:tr>
        <w:trPr>
          <w:trHeight w:val="231"/>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comprehensive earnings, net of tax</w:t>
            </w:r>
          </w:p>
        </w:tc>
        <w:tc>
          <w:tcPr>
            <w:tcW w:w="100" w:type="dxa"/>
            <w:vAlign w:val="bottom"/>
            <w:shd w:val="clear" w:color="auto" w:fill="CFF2FA"/>
          </w:tcPr>
          <w:p>
            <w:pPr>
              <w:spacing w:after="0"/>
              <w:rPr>
                <w:sz w:val="20"/>
                <w:szCs w:val="20"/>
                <w:color w:val="auto"/>
              </w:rPr>
            </w:pPr>
          </w:p>
        </w:tc>
        <w:tc>
          <w:tcPr>
            <w:tcW w:w="11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4,158</w:t>
            </w:r>
          </w:p>
        </w:tc>
        <w:tc>
          <w:tcPr>
            <w:tcW w:w="240" w:type="dxa"/>
            <w:vAlign w:val="bottom"/>
            <w:shd w:val="clear" w:color="auto" w:fill="CFF2FA"/>
          </w:tcPr>
          <w:p>
            <w:pPr>
              <w:spacing w:after="0"/>
              <w:rPr>
                <w:sz w:val="20"/>
                <w:szCs w:val="20"/>
                <w:color w:val="auto"/>
              </w:rPr>
            </w:pPr>
          </w:p>
        </w:tc>
        <w:tc>
          <w:tcPr>
            <w:tcW w:w="100" w:type="dxa"/>
            <w:vAlign w:val="bottom"/>
            <w:shd w:val="clear" w:color="auto" w:fill="CFF2FA"/>
          </w:tcPr>
          <w:p>
            <w:pPr>
              <w:spacing w:after="0"/>
              <w:rPr>
                <w:sz w:val="20"/>
                <w:szCs w:val="20"/>
                <w:color w:val="auto"/>
              </w:rPr>
            </w:pPr>
          </w:p>
        </w:tc>
        <w:tc>
          <w:tcPr>
            <w:tcW w:w="1440" w:type="dxa"/>
            <w:vAlign w:val="bottom"/>
            <w:gridSpan w:val="2"/>
            <w:shd w:val="clear" w:color="auto" w:fill="CFF2FA"/>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2FA"/>
          </w:tcPr>
          <w:p>
            <w:pPr>
              <w:spacing w:after="0"/>
              <w:rPr>
                <w:sz w:val="20"/>
                <w:szCs w:val="20"/>
                <w:color w:val="auto"/>
              </w:rPr>
            </w:pPr>
          </w:p>
        </w:tc>
        <w:tc>
          <w:tcPr>
            <w:tcW w:w="11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FF2FA"/>
          </w:tcPr>
          <w:p>
            <w:pPr>
              <w:spacing w:after="0"/>
              <w:rPr>
                <w:sz w:val="20"/>
                <w:szCs w:val="20"/>
                <w:color w:val="auto"/>
              </w:rPr>
            </w:pPr>
          </w:p>
        </w:tc>
        <w:tc>
          <w:tcPr>
            <w:tcW w:w="80" w:type="dxa"/>
            <w:vAlign w:val="bottom"/>
            <w:shd w:val="clear" w:color="auto" w:fill="CFF2FA"/>
          </w:tcPr>
          <w:p>
            <w:pPr>
              <w:spacing w:after="0"/>
              <w:rPr>
                <w:sz w:val="20"/>
                <w:szCs w:val="20"/>
                <w:color w:val="auto"/>
              </w:rPr>
            </w:pPr>
          </w:p>
        </w:tc>
        <w:tc>
          <w:tcPr>
            <w:tcW w:w="120" w:type="dxa"/>
            <w:vAlign w:val="bottom"/>
            <w:shd w:val="clear" w:color="auto" w:fill="CFF2FA"/>
          </w:tcPr>
          <w:p>
            <w:pPr>
              <w:spacing w:after="0"/>
              <w:rPr>
                <w:sz w:val="20"/>
                <w:szCs w:val="20"/>
                <w:color w:val="auto"/>
              </w:rPr>
            </w:pPr>
          </w:p>
        </w:tc>
        <w:tc>
          <w:tcPr>
            <w:tcW w:w="11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4,350</w:t>
            </w:r>
          </w:p>
        </w:tc>
        <w:tc>
          <w:tcPr>
            <w:tcW w:w="100" w:type="dxa"/>
            <w:vAlign w:val="bottom"/>
            <w:shd w:val="clear" w:color="auto" w:fill="CFF2FA"/>
          </w:tcPr>
          <w:p>
            <w:pPr>
              <w:spacing w:after="0"/>
              <w:rPr>
                <w:sz w:val="20"/>
                <w:szCs w:val="20"/>
                <w:color w:val="auto"/>
              </w:rPr>
            </w:pPr>
          </w:p>
        </w:tc>
      </w:tr>
      <w:tr>
        <w:trPr>
          <w:trHeight w:val="220"/>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(loss) earnings, net of tax</w:t>
            </w: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(6,512)</w:t>
            </w:r>
          </w:p>
        </w:tc>
        <w:tc>
          <w:tcPr>
            <w:tcW w:w="240" w:type="dxa"/>
            <w:vAlign w:val="bottom"/>
            <w:tcBorders>
              <w:bottom w:val="single" w:sz="8" w:color="CFF2FA"/>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40" w:type="dxa"/>
            <w:vAlign w:val="bottom"/>
            <w:tcBorders>
              <w:bottom w:val="single" w:sz="8" w:color="CFF2FA"/>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Borders>
              <w:bottom w:val="single" w:sz="8" w:color="CFF2FA"/>
            </w:tcBorders>
          </w:tcPr>
          <w:p>
            <w:pPr>
              <w:spacing w:after="0"/>
              <w:rPr>
                <w:sz w:val="19"/>
                <w:szCs w:val="19"/>
                <w:color w:val="auto"/>
              </w:rPr>
            </w:pPr>
          </w:p>
        </w:tc>
        <w:tc>
          <w:tcPr>
            <w:tcW w:w="80" w:type="dxa"/>
            <w:vAlign w:val="bottom"/>
            <w:tcBorders>
              <w:bottom w:val="single" w:sz="8" w:color="CFF2FA"/>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(6,091)</w:t>
            </w:r>
          </w:p>
        </w:tc>
        <w:tc>
          <w:tcPr>
            <w:tcW w:w="100" w:type="dxa"/>
            <w:vAlign w:val="bottom"/>
            <w:tcBorders>
              <w:bottom w:val="single" w:sz="8" w:color="CFF2FA"/>
            </w:tcBorders>
          </w:tcPr>
          <w:p>
            <w:pPr>
              <w:spacing w:after="0"/>
              <w:rPr>
                <w:sz w:val="19"/>
                <w:szCs w:val="19"/>
                <w:color w:val="auto"/>
              </w:rPr>
            </w:pPr>
          </w:p>
        </w:tc>
      </w:tr>
      <w:tr>
        <w:trPr>
          <w:trHeight w:val="220"/>
        </w:trPr>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(111,663)</w:t>
            </w:r>
          </w:p>
        </w:tc>
        <w:tc>
          <w:tcPr>
            <w:tcW w:w="240" w:type="dxa"/>
            <w:vAlign w:val="bottom"/>
            <w:tcBorders>
              <w:bottom w:val="single" w:sz="8" w:color="CFF2FA"/>
            </w:tcBorders>
            <w:shd w:val="clear" w:color="auto" w:fill="CFF2FA"/>
          </w:tcPr>
          <w:p>
            <w:pPr>
              <w:spacing w:after="0"/>
              <w:rPr>
                <w:sz w:val="19"/>
                <w:szCs w:val="19"/>
                <w:color w:val="auto"/>
              </w:rPr>
            </w:pPr>
          </w:p>
        </w:tc>
        <w:tc>
          <w:tcPr>
            <w:tcW w:w="1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1,219</w:t>
            </w:r>
          </w:p>
        </w:tc>
        <w:tc>
          <w:tcPr>
            <w:tcW w:w="240" w:type="dxa"/>
            <w:vAlign w:val="bottom"/>
            <w:tcBorders>
              <w:bottom w:val="single" w:sz="8" w:color="CFF2FA"/>
            </w:tcBorders>
            <w:shd w:val="clear" w:color="auto" w:fill="CFF2FA"/>
          </w:tcPr>
          <w:p>
            <w:pPr>
              <w:spacing w:after="0"/>
              <w:rPr>
                <w:sz w:val="19"/>
                <w:szCs w:val="19"/>
                <w:color w:val="auto"/>
              </w:rPr>
            </w:pPr>
          </w:p>
        </w:tc>
        <w:tc>
          <w:tcPr>
            <w:tcW w:w="140" w:type="dxa"/>
            <w:vAlign w:val="bottom"/>
            <w:tcBorders>
              <w:bottom w:val="single" w:sz="8" w:color="auto"/>
            </w:tcBorders>
            <w:shd w:val="clear" w:color="auto" w:fill="CFF2FA"/>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(2,370)</w:t>
            </w:r>
          </w:p>
        </w:tc>
        <w:tc>
          <w:tcPr>
            <w:tcW w:w="160" w:type="dxa"/>
            <w:vAlign w:val="bottom"/>
            <w:tcBorders>
              <w:bottom w:val="single" w:sz="8" w:color="CFF2FA"/>
            </w:tcBorders>
            <w:shd w:val="clear" w:color="auto" w:fill="CFF2FA"/>
          </w:tcPr>
          <w:p>
            <w:pPr>
              <w:spacing w:after="0"/>
              <w:rPr>
                <w:sz w:val="19"/>
                <w:szCs w:val="19"/>
                <w:color w:val="auto"/>
              </w:rPr>
            </w:pPr>
          </w:p>
        </w:tc>
        <w:tc>
          <w:tcPr>
            <w:tcW w:w="80" w:type="dxa"/>
            <w:vAlign w:val="bottom"/>
            <w:tcBorders>
              <w:bottom w:val="single" w:sz="8" w:color="CFF2FA"/>
            </w:tcBorders>
            <w:shd w:val="clear" w:color="auto" w:fill="CFF2FA"/>
          </w:tcPr>
          <w:p>
            <w:pPr>
              <w:spacing w:after="0"/>
              <w:rPr>
                <w:sz w:val="19"/>
                <w:szCs w:val="19"/>
                <w:color w:val="auto"/>
              </w:rPr>
            </w:pPr>
          </w:p>
        </w:tc>
        <w:tc>
          <w:tcPr>
            <w:tcW w:w="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(112,814)</w:t>
            </w:r>
          </w:p>
        </w:tc>
        <w:tc>
          <w:tcPr>
            <w:tcW w:w="100" w:type="dxa"/>
            <w:vAlign w:val="bottom"/>
            <w:tcBorders>
              <w:bottom w:val="single" w:sz="8" w:color="CFF2FA"/>
            </w:tcBorders>
            <w:shd w:val="clear" w:color="auto" w:fill="CFF2FA"/>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9" w:lineRule="exact"/>
        <w:rPr>
          <w:sz w:val="20"/>
          <w:szCs w:val="20"/>
          <w:color w:val="auto"/>
        </w:rPr>
      </w:pPr>
    </w:p>
    <w:p>
      <w:pPr>
        <w:ind w:left="380" w:hanging="379"/>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0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Consolidated Comprehensive Earnings/Loss and Accumulated Other Comprehensive Loss (continued)</w:t>
      </w:r>
    </w:p>
    <w:p>
      <w:pPr>
        <w:spacing w:after="0" w:line="112" w:lineRule="exact"/>
        <w:rPr>
          <w:rFonts w:ascii="Arial" w:cs="Arial" w:eastAsia="Arial" w:hAnsi="Arial"/>
          <w:sz w:val="18"/>
          <w:szCs w:val="18"/>
          <w:b w:val="1"/>
          <w:bCs w:val="1"/>
          <w:color w:val="auto"/>
        </w:rPr>
      </w:pPr>
    </w:p>
    <w:p>
      <w:pPr>
        <w:ind w:left="380"/>
        <w:spacing w:after="0" w:line="280" w:lineRule="auto"/>
        <w:rPr>
          <w:rFonts w:ascii="Arial" w:cs="Arial" w:eastAsia="Arial" w:hAnsi="Arial"/>
          <w:sz w:val="18"/>
          <w:szCs w:val="18"/>
          <w:b w:val="1"/>
          <w:bCs w:val="1"/>
          <w:color w:val="auto"/>
        </w:rPr>
      </w:pPr>
      <w:r>
        <w:rPr>
          <w:rFonts w:ascii="Arial" w:cs="Arial" w:eastAsia="Arial" w:hAnsi="Arial"/>
          <w:sz w:val="18"/>
          <w:szCs w:val="18"/>
          <w:color w:val="auto"/>
        </w:rPr>
        <w:t>The other comprehensive loss before reclassifications for pension and postretirement benefit plans is net of tax of $2,346,000 and $6,793,000 for the three months ended June 30, 2016 and 2015, respectively.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8"/>
                <w:szCs w:val="18"/>
                <w:i w:val="1"/>
                <w:iCs w:val="1"/>
                <w:color w:val="auto"/>
              </w:rPr>
              <w:t>(Dollars in Thousands)</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Unamortized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Value of</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Terminated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Accumulated</w:t>
            </w:r>
          </w:p>
        </w:tc>
      </w:tr>
      <w:tr>
        <w:trPr>
          <w:trHeight w:val="227"/>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Pension and</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color w:val="auto"/>
              </w:rPr>
              <w:t>Forward Starting</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Other</w:t>
            </w:r>
          </w:p>
        </w:tc>
      </w:tr>
      <w:tr>
        <w:trPr>
          <w:trHeight w:val="227"/>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Postretirement</w:t>
            </w:r>
          </w:p>
        </w:tc>
        <w:tc>
          <w:tcPr>
            <w:tcW w:w="14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Interest Rate</w:t>
            </w:r>
          </w:p>
        </w:tc>
        <w:tc>
          <w:tcPr>
            <w:tcW w:w="80" w:type="dxa"/>
            <w:vAlign w:val="bottom"/>
          </w:tcPr>
          <w:p>
            <w:pPr>
              <w:spacing w:after="0"/>
              <w:rPr>
                <w:sz w:val="19"/>
                <w:szCs w:val="19"/>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Comprehensive</w:t>
            </w:r>
          </w:p>
        </w:tc>
      </w:tr>
      <w:tr>
        <w:trPr>
          <w:trHeight w:val="231"/>
        </w:trPr>
        <w:tc>
          <w:tcPr>
            <w:tcW w:w="5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Benefit Plans</w:t>
            </w:r>
          </w:p>
        </w:tc>
        <w:tc>
          <w:tcPr>
            <w:tcW w:w="140" w:type="dxa"/>
            <w:vAlign w:val="bottom"/>
          </w:tcPr>
          <w:p>
            <w:pPr>
              <w:spacing w:after="0"/>
              <w:rPr>
                <w:sz w:val="20"/>
                <w:szCs w:val="20"/>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Currency</w:t>
            </w:r>
          </w:p>
        </w:tc>
        <w:tc>
          <w:tcPr>
            <w:tcW w:w="14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Swap</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Loss</w:t>
            </w:r>
          </w:p>
        </w:tc>
      </w:tr>
      <w:tr>
        <w:trPr>
          <w:trHeight w:val="220"/>
        </w:trPr>
        <w:tc>
          <w:tcPr>
            <w:tcW w:w="54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860" w:type="dxa"/>
            <w:vAlign w:val="bottom"/>
            <w:tcBorders>
              <w:top w:val="single" w:sz="8" w:color="auto"/>
              <w:bottom w:val="single" w:sz="8" w:color="auto"/>
            </w:tcBorders>
            <w:gridSpan w:val="5"/>
          </w:tcPr>
          <w:p>
            <w:pPr>
              <w:jc w:val="right"/>
              <w:ind w:right="360"/>
              <w:spacing w:after="0"/>
              <w:rPr>
                <w:sz w:val="20"/>
                <w:szCs w:val="20"/>
                <w:color w:val="auto"/>
              </w:rPr>
            </w:pPr>
            <w:r>
              <w:rPr>
                <w:rFonts w:ascii="Arial" w:cs="Arial" w:eastAsia="Arial" w:hAnsi="Arial"/>
                <w:sz w:val="18"/>
                <w:szCs w:val="18"/>
                <w:color w:val="auto"/>
                <w:w w:val="93"/>
              </w:rPr>
              <w:t>Six Months Ended June 30, 2016</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2FA"/>
            </w:tcBorders>
          </w:tcPr>
          <w:p>
            <w:pPr>
              <w:spacing w:after="0"/>
              <w:rPr>
                <w:sz w:val="19"/>
                <w:szCs w:val="19"/>
                <w:color w:val="auto"/>
              </w:rPr>
            </w:pPr>
          </w:p>
        </w:tc>
      </w:tr>
      <w:tr>
        <w:trPr>
          <w:trHeight w:val="22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(103,380)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(1,978)</w:t>
            </w:r>
          </w:p>
        </w:tc>
        <w:tc>
          <w:tcPr>
            <w:tcW w:w="80" w:type="dxa"/>
            <w:vAlign w:val="bottom"/>
            <w:shd w:val="clear" w:color="auto" w:fill="CFF0FC"/>
          </w:tcPr>
          <w:p>
            <w:pPr>
              <w:spacing w:after="0"/>
              <w:rPr>
                <w:sz w:val="19"/>
                <w:szCs w:val="19"/>
                <w:color w:val="auto"/>
              </w:rPr>
            </w:pPr>
          </w:p>
        </w:tc>
        <w:tc>
          <w:tcPr>
            <w:tcW w:w="12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(105,622)</w:t>
            </w:r>
          </w:p>
        </w:tc>
        <w:tc>
          <w:tcPr>
            <w:tcW w:w="100" w:type="dxa"/>
            <w:vAlign w:val="bottom"/>
            <w:shd w:val="clear" w:color="auto" w:fill="CFF2FA"/>
          </w:tcPr>
          <w:p>
            <w:pPr>
              <w:spacing w:after="0"/>
              <w:rPr>
                <w:sz w:val="19"/>
                <w:szCs w:val="19"/>
                <w:color w:val="auto"/>
              </w:rPr>
            </w:pPr>
          </w:p>
        </w:tc>
      </w:tr>
      <w:tr>
        <w:trPr>
          <w:trHeight w:val="203"/>
        </w:trPr>
        <w:tc>
          <w:tcPr>
            <w:tcW w:w="5420" w:type="dxa"/>
            <w:vAlign w:val="bottom"/>
          </w:tcPr>
          <w:p>
            <w:pPr>
              <w:spacing w:after="0" w:line="203" w:lineRule="exact"/>
              <w:rPr>
                <w:sz w:val="20"/>
                <w:szCs w:val="20"/>
                <w:color w:val="auto"/>
              </w:rPr>
            </w:pPr>
            <w:r>
              <w:rPr>
                <w:rFonts w:ascii="Arial" w:cs="Arial" w:eastAsia="Arial" w:hAnsi="Arial"/>
                <w:sz w:val="18"/>
                <w:szCs w:val="18"/>
                <w:color w:val="auto"/>
              </w:rPr>
              <w:t>Other comprehensive loss before</w:t>
            </w: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1"/>
        </w:trPr>
        <w:tc>
          <w:tcPr>
            <w:tcW w:w="5420" w:type="dxa"/>
            <w:vAlign w:val="bottom"/>
          </w:tcPr>
          <w:p>
            <w:pPr>
              <w:ind w:left="240"/>
              <w:spacing w:after="0"/>
              <w:rPr>
                <w:sz w:val="20"/>
                <w:szCs w:val="20"/>
                <w:color w:val="auto"/>
              </w:rPr>
            </w:pPr>
            <w:r>
              <w:rPr>
                <w:rFonts w:ascii="Arial" w:cs="Arial" w:eastAsia="Arial" w:hAnsi="Arial"/>
                <w:sz w:val="18"/>
                <w:szCs w:val="18"/>
                <w:color w:val="auto"/>
              </w:rPr>
              <w:t>reclassifications, net of tax</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(3,830)</w:t>
            </w:r>
          </w:p>
        </w:tc>
        <w:tc>
          <w:tcPr>
            <w:tcW w:w="14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(3,947)</w:t>
            </w:r>
          </w:p>
        </w:tc>
      </w:tr>
      <w:tr>
        <w:trPr>
          <w:trHeight w:val="21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Amounts reclassified from accumulated</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118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r>
      <w:tr>
        <w:trPr>
          <w:trHeight w:val="231"/>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comprehensive earnings, net of tax</w:t>
            </w: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2FA"/>
          </w:tcPr>
          <w:p>
            <w:pPr>
              <w:spacing w:after="0"/>
              <w:rPr>
                <w:sz w:val="20"/>
                <w:szCs w:val="20"/>
                <w:color w:val="auto"/>
              </w:rPr>
            </w:pPr>
          </w:p>
        </w:tc>
        <w:tc>
          <w:tcPr>
            <w:tcW w:w="11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3,501</w:t>
            </w:r>
          </w:p>
        </w:tc>
        <w:tc>
          <w:tcPr>
            <w:tcW w:w="100" w:type="dxa"/>
            <w:vAlign w:val="bottom"/>
            <w:shd w:val="clear" w:color="auto" w:fill="CFF2FA"/>
          </w:tcPr>
          <w:p>
            <w:pPr>
              <w:spacing w:after="0"/>
              <w:rPr>
                <w:sz w:val="20"/>
                <w:szCs w:val="20"/>
                <w:color w:val="auto"/>
              </w:rPr>
            </w:pPr>
          </w:p>
        </w:tc>
      </w:tr>
      <w:tr>
        <w:trPr>
          <w:trHeight w:val="220"/>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(loss) earnings, net of tax</w:t>
            </w: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FF2FA"/>
            </w:tcBorders>
          </w:tcPr>
          <w:p>
            <w:pPr>
              <w:spacing w:after="0"/>
              <w:rPr>
                <w:sz w:val="19"/>
                <w:szCs w:val="19"/>
                <w:color w:val="auto"/>
              </w:rPr>
            </w:pPr>
          </w:p>
        </w:tc>
      </w:tr>
      <w:tr>
        <w:trPr>
          <w:trHeight w:val="220"/>
        </w:trPr>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(104,114)</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(106,068)</w:t>
            </w:r>
          </w:p>
        </w:tc>
        <w:tc>
          <w:tcPr>
            <w:tcW w:w="100" w:type="dxa"/>
            <w:vAlign w:val="bottom"/>
            <w:tcBorders>
              <w:bottom w:val="single" w:sz="8" w:color="CFF2FA"/>
            </w:tcBorders>
            <w:shd w:val="clear" w:color="auto" w:fill="CFF2FA"/>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2"/>
        </w:trPr>
        <w:tc>
          <w:tcPr>
            <w:tcW w:w="542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8"/>
                <w:szCs w:val="18"/>
                <w:color w:val="auto"/>
                <w:w w:val="93"/>
              </w:rPr>
              <w:t>Six Months Ended June 30, 2015</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2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(106,688)</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(2,749)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(106,159)</w:t>
            </w:r>
          </w:p>
        </w:tc>
        <w:tc>
          <w:tcPr>
            <w:tcW w:w="100" w:type="dxa"/>
            <w:vAlign w:val="bottom"/>
            <w:shd w:val="clear" w:color="auto" w:fill="CFF0FC"/>
          </w:tcPr>
          <w:p>
            <w:pPr>
              <w:spacing w:after="0"/>
              <w:rPr>
                <w:sz w:val="19"/>
                <w:szCs w:val="19"/>
                <w:color w:val="auto"/>
              </w:rPr>
            </w:pPr>
          </w:p>
        </w:tc>
      </w:tr>
      <w:tr>
        <w:trPr>
          <w:trHeight w:val="203"/>
        </w:trPr>
        <w:tc>
          <w:tcPr>
            <w:tcW w:w="5420" w:type="dxa"/>
            <w:vAlign w:val="bottom"/>
          </w:tcPr>
          <w:p>
            <w:pPr>
              <w:spacing w:after="0" w:line="203" w:lineRule="exact"/>
              <w:rPr>
                <w:sz w:val="20"/>
                <w:szCs w:val="20"/>
                <w:color w:val="auto"/>
              </w:rPr>
            </w:pPr>
            <w:r>
              <w:rPr>
                <w:rFonts w:ascii="Arial" w:cs="Arial" w:eastAsia="Arial" w:hAnsi="Arial"/>
                <w:sz w:val="18"/>
                <w:szCs w:val="18"/>
                <w:color w:val="auto"/>
              </w:rPr>
              <w:t>Other comprehensive loss before</w:t>
            </w: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1"/>
        </w:trPr>
        <w:tc>
          <w:tcPr>
            <w:tcW w:w="5420" w:type="dxa"/>
            <w:vAlign w:val="bottom"/>
          </w:tcPr>
          <w:p>
            <w:pPr>
              <w:ind w:left="240"/>
              <w:spacing w:after="0"/>
              <w:rPr>
                <w:sz w:val="20"/>
                <w:szCs w:val="20"/>
                <w:color w:val="auto"/>
              </w:rPr>
            </w:pPr>
            <w:r>
              <w:rPr>
                <w:rFonts w:ascii="Arial" w:cs="Arial" w:eastAsia="Arial" w:hAnsi="Arial"/>
                <w:sz w:val="18"/>
                <w:szCs w:val="18"/>
                <w:color w:val="auto"/>
              </w:rPr>
              <w:t>reclassifications, net of tax</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(10,845)</w:t>
            </w:r>
          </w:p>
        </w:tc>
        <w:tc>
          <w:tcPr>
            <w:tcW w:w="14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(2,059)</w:t>
            </w:r>
          </w:p>
        </w:tc>
        <w:tc>
          <w:tcPr>
            <w:tcW w:w="1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(12,904)</w:t>
            </w:r>
          </w:p>
        </w:tc>
      </w:tr>
      <w:tr>
        <w:trPr>
          <w:trHeight w:val="21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Amounts reclassified from accumulated</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1"/>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comprehensive earnings, net of tax</w:t>
            </w: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6,249</w:t>
            </w:r>
          </w:p>
        </w:tc>
        <w:tc>
          <w:tcPr>
            <w:tcW w:w="100" w:type="dxa"/>
            <w:vAlign w:val="bottom"/>
            <w:shd w:val="clear" w:color="auto" w:fill="CFF0FC"/>
          </w:tcPr>
          <w:p>
            <w:pPr>
              <w:spacing w:after="0"/>
              <w:rPr>
                <w:sz w:val="20"/>
                <w:szCs w:val="20"/>
                <w:color w:val="auto"/>
              </w:rPr>
            </w:pPr>
          </w:p>
        </w:tc>
      </w:tr>
      <w:tr>
        <w:trPr>
          <w:trHeight w:val="220"/>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(loss) earnings, net of tax</w:t>
            </w: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(4,975)</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(6,655)</w:t>
            </w:r>
          </w:p>
        </w:tc>
        <w:tc>
          <w:tcPr>
            <w:tcW w:w="100" w:type="dxa"/>
            <w:vAlign w:val="bottom"/>
            <w:tcBorders>
              <w:bottom w:val="single" w:sz="8" w:color="CFF0FC"/>
            </w:tcBorders>
          </w:tcPr>
          <w:p>
            <w:pPr>
              <w:spacing w:after="0"/>
              <w:rPr>
                <w:sz w:val="19"/>
                <w:szCs w:val="19"/>
                <w:color w:val="auto"/>
              </w:rPr>
            </w:pPr>
          </w:p>
        </w:tc>
      </w:tr>
      <w:tr>
        <w:trPr>
          <w:trHeight w:val="220"/>
        </w:trPr>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(111,663)</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1,219</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(2,370)</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ind w:left="380"/>
        <w:spacing w:after="0" w:line="280" w:lineRule="auto"/>
        <w:rPr>
          <w:sz w:val="20"/>
          <w:szCs w:val="20"/>
          <w:color w:val="auto"/>
        </w:rPr>
      </w:pPr>
      <w:r>
        <w:rPr>
          <w:rFonts w:ascii="Arial" w:cs="Arial" w:eastAsia="Arial" w:hAnsi="Arial"/>
          <w:sz w:val="18"/>
          <w:szCs w:val="18"/>
          <w:color w:val="auto"/>
        </w:rPr>
        <w:t>The other comprehensive loss before reclassifications for pension and postretirement benefit plans is net of tax of $2,405,000 and $6,904,000 for the six months ended June 30,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9" w:lineRule="exact"/>
        <w:rPr>
          <w:sz w:val="20"/>
          <w:szCs w:val="20"/>
          <w:color w:val="auto"/>
        </w:rPr>
      </w:pPr>
    </w:p>
    <w:p>
      <w:pPr>
        <w:ind w:left="380" w:hanging="379"/>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0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Consolidated Comprehensive Earnings/Loss and Accumulated Other Comprehensive Loss (continued)</w:t>
      </w:r>
    </w:p>
    <w:p>
      <w:pPr>
        <w:spacing w:after="0" w:line="112"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Changes in net noncurrent deferred tax assets recorded in accumulated other comprehensive loss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center"/>
              <w:ind w:right="660"/>
              <w:spacing w:after="0"/>
              <w:rPr>
                <w:sz w:val="20"/>
                <w:szCs w:val="20"/>
                <w:color w:val="auto"/>
              </w:rPr>
            </w:pPr>
            <w:r>
              <w:rPr>
                <w:rFonts w:ascii="Arial" w:cs="Arial" w:eastAsia="Arial" w:hAnsi="Arial"/>
                <w:sz w:val="18"/>
                <w:szCs w:val="18"/>
                <w:i w:val="1"/>
                <w:iCs w:val="1"/>
                <w:color w:val="auto"/>
                <w:w w:val="94"/>
              </w:rPr>
              <w:t>(Dollars in Thousands)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3"/>
        </w:trPr>
        <w:tc>
          <w:tcPr>
            <w:tcW w:w="5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center"/>
              <w:ind w:right="168"/>
              <w:spacing w:after="0" w:line="203" w:lineRule="exact"/>
              <w:rPr>
                <w:sz w:val="20"/>
                <w:szCs w:val="20"/>
                <w:color w:val="auto"/>
              </w:rPr>
            </w:pPr>
            <w:r>
              <w:rPr>
                <w:rFonts w:ascii="Arial" w:cs="Arial" w:eastAsia="Arial" w:hAnsi="Arial"/>
                <w:sz w:val="18"/>
                <w:szCs w:val="18"/>
                <w:color w:val="auto"/>
                <w:w w:val="89"/>
              </w:rPr>
              <w:t>Pension and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gridSpan w:val="3"/>
          </w:tcPr>
          <w:p>
            <w:pPr>
              <w:jc w:val="center"/>
              <w:ind w:right="400"/>
              <w:spacing w:after="0" w:line="203" w:lineRule="exact"/>
              <w:rPr>
                <w:sz w:val="20"/>
                <w:szCs w:val="20"/>
                <w:color w:val="auto"/>
              </w:rPr>
            </w:pPr>
            <w:r>
              <w:rPr>
                <w:rFonts w:ascii="Arial" w:cs="Arial" w:eastAsia="Arial" w:hAnsi="Arial"/>
                <w:sz w:val="18"/>
                <w:szCs w:val="18"/>
                <w:color w:val="auto"/>
                <w:w w:val="93"/>
              </w:rPr>
              <w:t>Unamortized Value of</w:t>
            </w:r>
          </w:p>
        </w:tc>
        <w:tc>
          <w:tcPr>
            <w:tcW w:w="140" w:type="dxa"/>
            <w:vAlign w:val="bottom"/>
          </w:tcPr>
          <w:p>
            <w:pPr>
              <w:spacing w:after="0"/>
              <w:rPr>
                <w:sz w:val="17"/>
                <w:szCs w:val="17"/>
                <w:color w:val="auto"/>
              </w:rPr>
            </w:pPr>
          </w:p>
        </w:tc>
        <w:tc>
          <w:tcPr>
            <w:tcW w:w="1380" w:type="dxa"/>
            <w:vAlign w:val="bottom"/>
          </w:tcPr>
          <w:p>
            <w:pPr>
              <w:jc w:val="center"/>
              <w:ind w:right="48"/>
              <w:spacing w:after="0" w:line="203" w:lineRule="exact"/>
              <w:rPr>
                <w:sz w:val="20"/>
                <w:szCs w:val="20"/>
                <w:color w:val="auto"/>
              </w:rPr>
            </w:pPr>
            <w:r>
              <w:rPr>
                <w:rFonts w:ascii="Arial" w:cs="Arial" w:eastAsia="Arial" w:hAnsi="Arial"/>
                <w:sz w:val="18"/>
                <w:szCs w:val="18"/>
                <w:color w:val="auto"/>
                <w:w w:val="95"/>
              </w:rPr>
              <w:t>Net Noncurrent</w:t>
            </w:r>
          </w:p>
        </w:tc>
        <w:tc>
          <w:tcPr>
            <w:tcW w:w="120" w:type="dxa"/>
            <w:vAlign w:val="bottom"/>
          </w:tcPr>
          <w:p>
            <w:pPr>
              <w:spacing w:after="0"/>
              <w:rPr>
                <w:sz w:val="17"/>
                <w:szCs w:val="17"/>
                <w:color w:val="auto"/>
              </w:rPr>
            </w:pPr>
          </w:p>
        </w:tc>
      </w:tr>
      <w:tr>
        <w:trPr>
          <w:trHeight w:val="214"/>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center"/>
              <w:ind w:right="148"/>
              <w:spacing w:after="0"/>
              <w:rPr>
                <w:sz w:val="20"/>
                <w:szCs w:val="20"/>
                <w:color w:val="auto"/>
              </w:rPr>
            </w:pPr>
            <w:r>
              <w:rPr>
                <w:rFonts w:ascii="Arial" w:cs="Arial" w:eastAsia="Arial" w:hAnsi="Arial"/>
                <w:sz w:val="18"/>
                <w:szCs w:val="18"/>
                <w:color w:val="auto"/>
                <w:w w:val="92"/>
              </w:rPr>
              <w:t>Postretirement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3"/>
          </w:tcPr>
          <w:p>
            <w:pPr>
              <w:jc w:val="center"/>
              <w:ind w:right="400"/>
              <w:spacing w:after="0"/>
              <w:rPr>
                <w:sz w:val="20"/>
                <w:szCs w:val="20"/>
                <w:color w:val="auto"/>
              </w:rPr>
            </w:pPr>
            <w:r>
              <w:rPr>
                <w:rFonts w:ascii="Arial" w:cs="Arial" w:eastAsia="Arial" w:hAnsi="Arial"/>
                <w:sz w:val="18"/>
                <w:szCs w:val="18"/>
                <w:color w:val="auto"/>
                <w:w w:val="93"/>
              </w:rPr>
              <w:t>Terminated Forward Starting</w:t>
            </w: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Deferred Tax</w:t>
            </w:r>
          </w:p>
        </w:tc>
      </w:tr>
      <w:tr>
        <w:trPr>
          <w:trHeight w:val="231"/>
        </w:trPr>
        <w:tc>
          <w:tcPr>
            <w:tcW w:w="5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48"/>
              <w:spacing w:after="0"/>
              <w:rPr>
                <w:sz w:val="20"/>
                <w:szCs w:val="20"/>
                <w:color w:val="auto"/>
              </w:rPr>
            </w:pPr>
            <w:r>
              <w:rPr>
                <w:rFonts w:ascii="Arial" w:cs="Arial" w:eastAsia="Arial" w:hAnsi="Arial"/>
                <w:sz w:val="18"/>
                <w:szCs w:val="18"/>
                <w:color w:val="auto"/>
                <w:w w:val="94"/>
              </w:rPr>
              <w:t>Benefit Plans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center"/>
              <w:ind w:right="28"/>
              <w:spacing w:after="0"/>
              <w:rPr>
                <w:sz w:val="20"/>
                <w:szCs w:val="20"/>
                <w:color w:val="auto"/>
              </w:rPr>
            </w:pPr>
            <w:r>
              <w:rPr>
                <w:rFonts w:ascii="Arial" w:cs="Arial" w:eastAsia="Arial" w:hAnsi="Arial"/>
                <w:sz w:val="18"/>
                <w:szCs w:val="18"/>
                <w:color w:val="auto"/>
                <w:w w:val="91"/>
              </w:rPr>
              <w:t>Interest Rate Swap</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48"/>
              <w:spacing w:after="0"/>
              <w:rPr>
                <w:sz w:val="20"/>
                <w:szCs w:val="20"/>
                <w:color w:val="auto"/>
              </w:rPr>
            </w:pPr>
            <w:r>
              <w:rPr>
                <w:rFonts w:ascii="Arial" w:cs="Arial" w:eastAsia="Arial" w:hAnsi="Arial"/>
                <w:sz w:val="18"/>
                <w:szCs w:val="18"/>
                <w:color w:val="auto"/>
                <w:w w:val="88"/>
              </w:rPr>
              <w:t>Assets</w:t>
            </w:r>
          </w:p>
        </w:tc>
        <w:tc>
          <w:tcPr>
            <w:tcW w:w="120" w:type="dxa"/>
            <w:vAlign w:val="bottom"/>
          </w:tcPr>
          <w:p>
            <w:pPr>
              <w:spacing w:after="0"/>
              <w:rPr>
                <w:sz w:val="20"/>
                <w:szCs w:val="20"/>
                <w:color w:val="auto"/>
              </w:rPr>
            </w:pPr>
          </w:p>
        </w:tc>
      </w:tr>
      <w:tr>
        <w:trPr>
          <w:trHeight w:val="442"/>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960" w:type="dxa"/>
            <w:vAlign w:val="bottom"/>
            <w:gridSpan w:val="6"/>
          </w:tcPr>
          <w:p>
            <w:pPr>
              <w:jc w:val="center"/>
              <w:ind w:right="280"/>
              <w:spacing w:after="0"/>
              <w:rPr>
                <w:sz w:val="20"/>
                <w:szCs w:val="20"/>
                <w:color w:val="auto"/>
              </w:rPr>
            </w:pPr>
            <w:r>
              <w:rPr>
                <w:rFonts w:ascii="Arial" w:cs="Arial" w:eastAsia="Arial" w:hAnsi="Arial"/>
                <w:sz w:val="18"/>
                <w:szCs w:val="18"/>
                <w:color w:val="auto"/>
                <w:w w:val="91"/>
              </w:rPr>
              <w:t>Three Months Ended June 30, 2016</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1"/>
        </w:trPr>
        <w:tc>
          <w:tcPr>
            <w:tcW w:w="504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65,523</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320" w:type="dxa"/>
            <w:vAlign w:val="bottom"/>
          </w:tcPr>
          <w:p>
            <w:pPr>
              <w:jc w:val="right"/>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66,682</w:t>
            </w:r>
          </w:p>
        </w:tc>
        <w:tc>
          <w:tcPr>
            <w:tcW w:w="120" w:type="dxa"/>
            <w:vAlign w:val="bottom"/>
          </w:tcPr>
          <w:p>
            <w:pPr>
              <w:spacing w:after="0"/>
              <w:rPr>
                <w:sz w:val="20"/>
                <w:szCs w:val="20"/>
                <w:color w:val="auto"/>
              </w:rPr>
            </w:pPr>
          </w:p>
        </w:tc>
      </w:tr>
      <w:tr>
        <w:trPr>
          <w:trHeight w:val="227"/>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effect of other comprehensive earnings</w:t>
            </w: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120" w:type="dxa"/>
            <w:vAlign w:val="bottom"/>
            <w:shd w:val="clear" w:color="auto" w:fill="CFF0FC"/>
          </w:tcPr>
          <w:p>
            <w:pPr>
              <w:spacing w:after="0"/>
              <w:rPr>
                <w:sz w:val="19"/>
                <w:szCs w:val="19"/>
                <w:color w:val="auto"/>
              </w:rPr>
            </w:pPr>
          </w:p>
        </w:tc>
      </w:tr>
      <w:tr>
        <w:trPr>
          <w:trHeight w:val="220"/>
        </w:trPr>
        <w:tc>
          <w:tcPr>
            <w:tcW w:w="5040" w:type="dxa"/>
            <w:vAlign w:val="bottom"/>
          </w:tcPr>
          <w:p>
            <w:pPr>
              <w:ind w:left="2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67,954</w:t>
            </w:r>
          </w:p>
        </w:tc>
        <w:tc>
          <w:tcPr>
            <w:tcW w:w="12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2"/>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960" w:type="dxa"/>
            <w:vAlign w:val="bottom"/>
            <w:gridSpan w:val="6"/>
          </w:tcPr>
          <w:p>
            <w:pPr>
              <w:jc w:val="center"/>
              <w:ind w:right="280"/>
              <w:spacing w:after="0"/>
              <w:rPr>
                <w:sz w:val="20"/>
                <w:szCs w:val="20"/>
                <w:color w:val="auto"/>
              </w:rPr>
            </w:pPr>
            <w:r>
              <w:rPr>
                <w:rFonts w:ascii="Arial" w:cs="Arial" w:eastAsia="Arial" w:hAnsi="Arial"/>
                <w:sz w:val="18"/>
                <w:szCs w:val="18"/>
                <w:color w:val="auto"/>
                <w:w w:val="91"/>
              </w:rPr>
              <w:t>Three Months Ended June 30, 2015</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7"/>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Balance at beginning of period</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67,552</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69,231</w:t>
            </w:r>
          </w:p>
        </w:tc>
        <w:tc>
          <w:tcPr>
            <w:tcW w:w="120" w:type="dxa"/>
            <w:vAlign w:val="bottom"/>
            <w:shd w:val="clear" w:color="auto" w:fill="CFF0FC"/>
          </w:tcPr>
          <w:p>
            <w:pPr>
              <w:spacing w:after="0"/>
              <w:rPr>
                <w:sz w:val="19"/>
                <w:szCs w:val="19"/>
                <w:color w:val="auto"/>
              </w:rPr>
            </w:pPr>
          </w:p>
        </w:tc>
      </w:tr>
      <w:tr>
        <w:trPr>
          <w:trHeight w:val="227"/>
        </w:trPr>
        <w:tc>
          <w:tcPr>
            <w:tcW w:w="5040" w:type="dxa"/>
            <w:vAlign w:val="bottom"/>
          </w:tcPr>
          <w:p>
            <w:pPr>
              <w:ind w:left="240"/>
              <w:spacing w:after="0"/>
              <w:rPr>
                <w:sz w:val="20"/>
                <w:szCs w:val="20"/>
                <w:color w:val="auto"/>
              </w:rPr>
            </w:pPr>
            <w:r>
              <w:rPr>
                <w:rFonts w:ascii="Arial" w:cs="Arial" w:eastAsia="Arial" w:hAnsi="Arial"/>
                <w:sz w:val="18"/>
                <w:szCs w:val="18"/>
                <w:color w:val="auto"/>
              </w:rPr>
              <w:t>Tax effect of other comprehensive earnings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3,948</w:t>
            </w:r>
          </w:p>
        </w:tc>
        <w:tc>
          <w:tcPr>
            <w:tcW w:w="120" w:type="dxa"/>
            <w:vAlign w:val="bottom"/>
          </w:tcPr>
          <w:p>
            <w:pPr>
              <w:spacing w:after="0"/>
              <w:rPr>
                <w:sz w:val="19"/>
                <w:szCs w:val="19"/>
                <w:color w:val="auto"/>
              </w:rPr>
            </w:pPr>
          </w:p>
        </w:tc>
      </w:tr>
      <w:tr>
        <w:trPr>
          <w:trHeight w:val="220"/>
        </w:trPr>
        <w:tc>
          <w:tcPr>
            <w:tcW w:w="50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73,179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2"/>
        </w:trPr>
        <w:tc>
          <w:tcPr>
            <w:tcW w:w="50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8"/>
                <w:szCs w:val="18"/>
                <w:color w:val="auto"/>
                <w:w w:val="92"/>
              </w:rPr>
              <w:t>Six Months Ended June 30, 2016</w:t>
            </w: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504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66,467</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32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67,757</w:t>
            </w:r>
          </w:p>
        </w:tc>
        <w:tc>
          <w:tcPr>
            <w:tcW w:w="120" w:type="dxa"/>
            <w:vAlign w:val="bottom"/>
          </w:tcPr>
          <w:p>
            <w:pPr>
              <w:spacing w:after="0"/>
              <w:rPr>
                <w:sz w:val="19"/>
                <w:szCs w:val="19"/>
                <w:color w:val="auto"/>
              </w:rPr>
            </w:pPr>
          </w:p>
        </w:tc>
      </w:tr>
      <w:tr>
        <w:trPr>
          <w:trHeight w:val="227"/>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effect of other comprehensive earnings</w:t>
            </w: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FF0FC"/>
          </w:tcPr>
          <w:p>
            <w:pPr>
              <w:spacing w:after="0"/>
              <w:rPr>
                <w:sz w:val="19"/>
                <w:szCs w:val="19"/>
                <w:color w:val="auto"/>
              </w:rPr>
            </w:pPr>
          </w:p>
        </w:tc>
      </w:tr>
      <w:tr>
        <w:trPr>
          <w:trHeight w:val="220"/>
        </w:trPr>
        <w:tc>
          <w:tcPr>
            <w:tcW w:w="5040" w:type="dxa"/>
            <w:vAlign w:val="bottom"/>
          </w:tcPr>
          <w:p>
            <w:pPr>
              <w:ind w:left="2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67,954</w:t>
            </w:r>
          </w:p>
        </w:tc>
        <w:tc>
          <w:tcPr>
            <w:tcW w:w="12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2"/>
        </w:trPr>
        <w:tc>
          <w:tcPr>
            <w:tcW w:w="50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8"/>
                <w:szCs w:val="18"/>
                <w:color w:val="auto"/>
                <w:w w:val="92"/>
              </w:rPr>
              <w:t>Six Months Ended June 30, 2015</w:t>
            </w: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20"/>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Balance at beginning of period</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68,568</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70,367</w:t>
            </w:r>
          </w:p>
        </w:tc>
        <w:tc>
          <w:tcPr>
            <w:tcW w:w="120" w:type="dxa"/>
            <w:vAlign w:val="bottom"/>
            <w:shd w:val="clear" w:color="auto" w:fill="CFF0FC"/>
          </w:tcPr>
          <w:p>
            <w:pPr>
              <w:spacing w:after="0"/>
              <w:rPr>
                <w:sz w:val="19"/>
                <w:szCs w:val="19"/>
                <w:color w:val="auto"/>
              </w:rPr>
            </w:pPr>
          </w:p>
        </w:tc>
      </w:tr>
      <w:tr>
        <w:trPr>
          <w:trHeight w:val="227"/>
        </w:trPr>
        <w:tc>
          <w:tcPr>
            <w:tcW w:w="5040" w:type="dxa"/>
            <w:vAlign w:val="bottom"/>
          </w:tcPr>
          <w:p>
            <w:pPr>
              <w:ind w:left="240"/>
              <w:spacing w:after="0"/>
              <w:rPr>
                <w:sz w:val="20"/>
                <w:szCs w:val="20"/>
                <w:color w:val="auto"/>
              </w:rPr>
            </w:pPr>
            <w:r>
              <w:rPr>
                <w:rFonts w:ascii="Arial" w:cs="Arial" w:eastAsia="Arial" w:hAnsi="Arial"/>
                <w:sz w:val="18"/>
                <w:szCs w:val="18"/>
                <w:color w:val="auto"/>
              </w:rPr>
              <w:t>Tax effect of other comprehensive earnings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2,812</w:t>
            </w:r>
          </w:p>
        </w:tc>
        <w:tc>
          <w:tcPr>
            <w:tcW w:w="120" w:type="dxa"/>
            <w:vAlign w:val="bottom"/>
          </w:tcPr>
          <w:p>
            <w:pPr>
              <w:spacing w:after="0"/>
              <w:rPr>
                <w:sz w:val="19"/>
                <w:szCs w:val="19"/>
                <w:color w:val="auto"/>
              </w:rPr>
            </w:pPr>
          </w:p>
        </w:tc>
      </w:tr>
      <w:tr>
        <w:trPr>
          <w:trHeight w:val="220"/>
        </w:trPr>
        <w:tc>
          <w:tcPr>
            <w:tcW w:w="50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73,179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2" w:name="page13"/>
    <w:bookmarkEnd w:id="12"/>
    <w:p>
      <w:pPr>
        <w:jc w:val="center"/>
        <w:ind w:right="100"/>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(Continued)</w:t>
      </w:r>
    </w:p>
    <w:p>
      <w:pPr>
        <w:spacing w:after="0" w:line="189" w:lineRule="exact"/>
        <w:rPr>
          <w:sz w:val="20"/>
          <w:szCs w:val="20"/>
          <w:color w:val="auto"/>
        </w:rPr>
      </w:pPr>
    </w:p>
    <w:p>
      <w:pPr>
        <w:ind w:left="380" w:hanging="379"/>
        <w:spacing w:after="0"/>
        <w:tabs>
          <w:tab w:leader="none" w:pos="3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08" w:lineRule="exact"/>
        <w:rPr>
          <w:rFonts w:ascii="Arial" w:cs="Arial" w:eastAsia="Arial" w:hAnsi="Arial"/>
          <w:sz w:val="18"/>
          <w:szCs w:val="18"/>
          <w:b w:val="1"/>
          <w:bCs w:val="1"/>
          <w:color w:val="auto"/>
        </w:rPr>
      </w:pPr>
    </w:p>
    <w:p>
      <w:pPr>
        <w:ind w:left="380" w:right="3840"/>
        <w:spacing w:after="0" w:line="395"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Consolidated Comprehensive Earnings/Loss and Accumulated Other Comprehensive Loss (continued) </w:t>
      </w:r>
      <w:r>
        <w:rPr>
          <w:rFonts w:ascii="Arial" w:cs="Arial" w:eastAsia="Arial" w:hAnsi="Arial"/>
          <w:sz w:val="17"/>
          <w:szCs w:val="17"/>
          <w:color w:val="auto"/>
        </w:rPr>
        <w:t>Reclassifications out of accumulated other comprehensive loss are as follows:</w:t>
      </w:r>
    </w:p>
    <w:p>
      <w:pPr>
        <w:spacing w:after="0" w:line="1" w:lineRule="exact"/>
        <w:rPr>
          <w:sz w:val="20"/>
          <w:szCs w:val="20"/>
          <w:color w:val="auto"/>
        </w:rPr>
      </w:pPr>
    </w:p>
    <w:tbl>
      <w:tblPr>
        <w:tblLayout w:type="fixed"/>
        <w:tblInd w:w="3240" w:type="dxa"/>
        <w:tblCellMar>
          <w:top w:w="0" w:type="dxa"/>
          <w:left w:w="0" w:type="dxa"/>
          <w:bottom w:w="0" w:type="dxa"/>
          <w:right w:w="0" w:type="dxa"/>
        </w:tblCellMar>
      </w:tblPr>
      <w:tr>
        <w:trPr>
          <w:trHeight w:val="214"/>
        </w:trPr>
        <w:tc>
          <w:tcPr>
            <w:tcW w:w="296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Three Months Ended</w:t>
            </w:r>
          </w:p>
        </w:tc>
        <w:tc>
          <w:tcPr>
            <w:tcW w:w="2680" w:type="dxa"/>
            <w:vAlign w:val="bottom"/>
            <w:gridSpan w:val="2"/>
          </w:tcPr>
          <w:p>
            <w:pPr>
              <w:jc w:val="center"/>
              <w:spacing w:after="0"/>
              <w:rPr>
                <w:sz w:val="20"/>
                <w:szCs w:val="20"/>
                <w:color w:val="auto"/>
              </w:rPr>
            </w:pPr>
            <w:r>
              <w:rPr>
                <w:rFonts w:ascii="Arial" w:cs="Arial" w:eastAsia="Arial" w:hAnsi="Arial"/>
                <w:sz w:val="18"/>
                <w:szCs w:val="18"/>
                <w:color w:val="auto"/>
                <w:w w:val="90"/>
              </w:rPr>
              <w:t>Six Months Ended</w:t>
            </w:r>
          </w:p>
        </w:tc>
        <w:tc>
          <w:tcPr>
            <w:tcW w:w="2640" w:type="dxa"/>
            <w:vAlign w:val="bottom"/>
          </w:tcPr>
          <w:p>
            <w:pPr>
              <w:jc w:val="right"/>
              <w:spacing w:after="0"/>
              <w:rPr>
                <w:sz w:val="20"/>
                <w:szCs w:val="20"/>
                <w:color w:val="auto"/>
              </w:rPr>
            </w:pPr>
            <w:r>
              <w:rPr>
                <w:rFonts w:ascii="Arial" w:cs="Arial" w:eastAsia="Arial" w:hAnsi="Arial"/>
                <w:sz w:val="18"/>
                <w:szCs w:val="18"/>
                <w:color w:val="auto"/>
              </w:rPr>
              <w:t>Affected line items in the conso</w:t>
            </w:r>
          </w:p>
        </w:tc>
      </w:tr>
      <w:tr>
        <w:trPr>
          <w:trHeight w:val="222"/>
        </w:trPr>
        <w:tc>
          <w:tcPr>
            <w:tcW w:w="920" w:type="dxa"/>
            <w:vAlign w:val="bottom"/>
          </w:tcPr>
          <w:p>
            <w:pPr>
              <w:spacing w:after="0"/>
              <w:rPr>
                <w:sz w:val="19"/>
                <w:szCs w:val="19"/>
                <w:color w:val="auto"/>
              </w:rPr>
            </w:pPr>
          </w:p>
        </w:tc>
        <w:tc>
          <w:tcPr>
            <w:tcW w:w="2040" w:type="dxa"/>
            <w:vAlign w:val="bottom"/>
            <w:gridSpan w:val="2"/>
          </w:tcPr>
          <w:p>
            <w:pPr>
              <w:jc w:val="center"/>
              <w:ind w:right="1180"/>
              <w:spacing w:after="0"/>
              <w:rPr>
                <w:sz w:val="20"/>
                <w:szCs w:val="20"/>
                <w:color w:val="auto"/>
              </w:rPr>
            </w:pPr>
            <w:r>
              <w:rPr>
                <w:rFonts w:ascii="Arial" w:cs="Arial" w:eastAsia="Arial" w:hAnsi="Arial"/>
                <w:sz w:val="18"/>
                <w:szCs w:val="18"/>
                <w:color w:val="auto"/>
                <w:w w:val="83"/>
              </w:rPr>
              <w:t>June 30,</w:t>
            </w:r>
          </w:p>
        </w:tc>
        <w:tc>
          <w:tcPr>
            <w:tcW w:w="920" w:type="dxa"/>
            <w:vAlign w:val="bottom"/>
          </w:tcPr>
          <w:p>
            <w:pPr>
              <w:spacing w:after="0"/>
              <w:rPr>
                <w:sz w:val="19"/>
                <w:szCs w:val="19"/>
                <w:color w:val="auto"/>
              </w:rPr>
            </w:pPr>
          </w:p>
        </w:tc>
        <w:tc>
          <w:tcPr>
            <w:tcW w:w="1760" w:type="dxa"/>
            <w:vAlign w:val="bottom"/>
          </w:tcPr>
          <w:p>
            <w:pPr>
              <w:jc w:val="center"/>
              <w:ind w:right="832"/>
              <w:spacing w:after="0"/>
              <w:rPr>
                <w:sz w:val="20"/>
                <w:szCs w:val="20"/>
                <w:color w:val="auto"/>
              </w:rPr>
            </w:pPr>
            <w:r>
              <w:rPr>
                <w:rFonts w:ascii="Arial" w:cs="Arial" w:eastAsia="Arial" w:hAnsi="Arial"/>
                <w:sz w:val="18"/>
                <w:szCs w:val="18"/>
                <w:color w:val="auto"/>
                <w:w w:val="86"/>
              </w:rPr>
              <w:t>June 30,</w:t>
            </w:r>
          </w:p>
        </w:tc>
        <w:tc>
          <w:tcPr>
            <w:tcW w:w="2640" w:type="dxa"/>
            <w:vAlign w:val="bottom"/>
          </w:tcPr>
          <w:p>
            <w:pPr>
              <w:jc w:val="right"/>
              <w:spacing w:after="0"/>
              <w:rPr>
                <w:sz w:val="20"/>
                <w:szCs w:val="20"/>
                <w:color w:val="auto"/>
              </w:rPr>
            </w:pPr>
            <w:r>
              <w:rPr>
                <w:rFonts w:ascii="Arial" w:cs="Arial" w:eastAsia="Arial" w:hAnsi="Arial"/>
                <w:sz w:val="18"/>
                <w:szCs w:val="18"/>
                <w:color w:val="auto"/>
              </w:rPr>
              <w:t>statements of earnings an</w:t>
            </w:r>
          </w:p>
        </w:tc>
      </w:tr>
      <w:tr>
        <w:trPr>
          <w:trHeight w:val="207"/>
        </w:trPr>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2016</w:t>
            </w:r>
          </w:p>
        </w:tc>
        <w:tc>
          <w:tcPr>
            <w:tcW w:w="1800" w:type="dxa"/>
            <w:vAlign w:val="bottom"/>
            <w:tcBorders>
              <w:top w:val="single" w:sz="8" w:color="auto"/>
            </w:tcBorders>
          </w:tcPr>
          <w:p>
            <w:pPr>
              <w:jc w:val="right"/>
              <w:ind w:right="352"/>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18"/>
                <w:szCs w:val="18"/>
                <w:color w:val="auto"/>
              </w:rPr>
            </w:pP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2016</w:t>
            </w:r>
          </w:p>
        </w:tc>
        <w:tc>
          <w:tcPr>
            <w:tcW w:w="1760" w:type="dxa"/>
            <w:vAlign w:val="bottom"/>
            <w:tcBorders>
              <w:top w:val="single" w:sz="8" w:color="auto"/>
            </w:tcBorders>
          </w:tcPr>
          <w:p>
            <w:pPr>
              <w:jc w:val="right"/>
              <w:ind w:right="352"/>
              <w:spacing w:after="0"/>
              <w:rPr>
                <w:sz w:val="20"/>
                <w:szCs w:val="20"/>
                <w:color w:val="auto"/>
              </w:rPr>
            </w:pPr>
            <w:r>
              <w:rPr>
                <w:rFonts w:ascii="Arial" w:cs="Arial" w:eastAsia="Arial" w:hAnsi="Arial"/>
                <w:sz w:val="18"/>
                <w:szCs w:val="18"/>
                <w:color w:val="auto"/>
              </w:rPr>
              <w:t>2015</w:t>
            </w:r>
          </w:p>
        </w:tc>
        <w:tc>
          <w:tcPr>
            <w:tcW w:w="2640" w:type="dxa"/>
            <w:vAlign w:val="bottom"/>
          </w:tcPr>
          <w:p>
            <w:pPr>
              <w:jc w:val="right"/>
              <w:spacing w:after="0"/>
              <w:rPr>
                <w:sz w:val="20"/>
                <w:szCs w:val="20"/>
                <w:color w:val="auto"/>
              </w:rPr>
            </w:pPr>
            <w:r>
              <w:rPr>
                <w:rFonts w:ascii="Arial" w:cs="Arial" w:eastAsia="Arial" w:hAnsi="Arial"/>
                <w:sz w:val="18"/>
                <w:szCs w:val="18"/>
                <w:color w:val="auto"/>
              </w:rPr>
              <w:t>comprehensive earnings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40" w:type="dxa"/>
            <w:vAlign w:val="bottom"/>
            <w:gridSpan w:val="2"/>
            <w:vMerge w:val="restart"/>
          </w:tcPr>
          <w:p>
            <w:pPr>
              <w:spacing w:after="0"/>
              <w:rPr>
                <w:sz w:val="20"/>
                <w:szCs w:val="20"/>
                <w:color w:val="auto"/>
              </w:rPr>
            </w:pPr>
            <w:r>
              <w:rPr>
                <w:rFonts w:ascii="Arial" w:cs="Arial" w:eastAsia="Arial" w:hAnsi="Arial"/>
                <w:sz w:val="18"/>
                <w:szCs w:val="18"/>
                <w:color w:val="auto"/>
              </w:rPr>
              <w:t>Pension and postretirement</w:t>
            </w:r>
          </w:p>
        </w:tc>
        <w:tc>
          <w:tcPr>
            <w:tcW w:w="4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i w:val="1"/>
                <w:iCs w:val="1"/>
                <w:color w:val="auto"/>
              </w:rPr>
              <w:t>(Dollars in Thousands)</w:t>
            </w:r>
          </w:p>
        </w:tc>
        <w:tc>
          <w:tcPr>
            <w:tcW w:w="5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2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20" w:type="dxa"/>
            <w:vAlign w:val="bottom"/>
          </w:tcPr>
          <w:p>
            <w:pPr>
              <w:ind w:left="200"/>
              <w:spacing w:after="0"/>
              <w:rPr>
                <w:sz w:val="20"/>
                <w:szCs w:val="20"/>
                <w:color w:val="auto"/>
              </w:rPr>
            </w:pPr>
            <w:r>
              <w:rPr>
                <w:rFonts w:ascii="Arial" w:cs="Arial" w:eastAsia="Arial" w:hAnsi="Arial"/>
                <w:sz w:val="18"/>
                <w:szCs w:val="18"/>
                <w:color w:val="auto"/>
              </w:rPr>
              <w:t>benefit plans</w:t>
            </w: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20" w:type="dxa"/>
            <w:vAlign w:val="bottom"/>
          </w:tcPr>
          <w:p>
            <w:pPr>
              <w:ind w:left="220"/>
              <w:spacing w:after="0"/>
              <w:rPr>
                <w:sz w:val="20"/>
                <w:szCs w:val="20"/>
                <w:color w:val="auto"/>
              </w:rPr>
            </w:pPr>
            <w:r>
              <w:rPr>
                <w:rFonts w:ascii="Arial" w:cs="Arial" w:eastAsia="Arial" w:hAnsi="Arial"/>
                <w:sz w:val="18"/>
                <w:szCs w:val="18"/>
                <w:color w:val="auto"/>
              </w:rPr>
              <w:t>Settlement charge</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400" w:type="dxa"/>
            <w:vAlign w:val="bottom"/>
            <w:gridSpan w:val="2"/>
          </w:tcPr>
          <w:p>
            <w:pPr>
              <w:jc w:val="right"/>
              <w:ind w:right="223"/>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ind w:left="220"/>
              <w:spacing w:after="0"/>
              <w:rPr>
                <w:sz w:val="20"/>
                <w:szCs w:val="20"/>
                <w:color w:val="auto"/>
              </w:rPr>
            </w:pPr>
            <w:r>
              <w:rPr>
                <w:rFonts w:ascii="Arial" w:cs="Arial" w:eastAsia="Arial" w:hAnsi="Arial"/>
                <w:sz w:val="18"/>
                <w:szCs w:val="18"/>
                <w:color w:val="auto"/>
              </w:rPr>
              <w:t>Amortization of:</w:t>
            </w: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Prior service credit</w:t>
            </w:r>
          </w:p>
        </w:tc>
        <w:tc>
          <w:tcPr>
            <w:tcW w:w="4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(469)</w:t>
            </w:r>
          </w:p>
        </w:tc>
        <w:tc>
          <w:tcPr>
            <w:tcW w:w="820" w:type="dxa"/>
            <w:vAlign w:val="bottom"/>
            <w:gridSpan w:val="2"/>
            <w:shd w:val="clear" w:color="auto" w:fill="CFF0FC"/>
          </w:tcPr>
          <w:p>
            <w:pPr>
              <w:jc w:val="right"/>
              <w:ind w:right="5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(806)</w:t>
            </w:r>
          </w:p>
        </w:tc>
        <w:tc>
          <w:tcPr>
            <w:tcW w:w="400" w:type="dxa"/>
            <w:vAlign w:val="bottom"/>
            <w:gridSpan w:val="2"/>
            <w:shd w:val="clear" w:color="auto" w:fill="CFF0FC"/>
          </w:tcPr>
          <w:p>
            <w:pPr>
              <w:jc w:val="right"/>
              <w:ind w:right="223"/>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(939)</w:t>
            </w:r>
          </w:p>
        </w:tc>
        <w:tc>
          <w:tcPr>
            <w:tcW w:w="4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2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Actuarial loss</w:t>
            </w: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7,274</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5,787</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10,546</w:t>
            </w:r>
          </w:p>
        </w:tc>
        <w:tc>
          <w:tcPr>
            <w:tcW w:w="8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25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560" w:type="dxa"/>
            <w:vAlign w:val="bottom"/>
            <w:gridSpan w:val="2"/>
            <w:shd w:val="clear" w:color="auto" w:fill="CFF0FC"/>
          </w:tcPr>
          <w:p>
            <w:pPr>
              <w:ind w:left="40"/>
              <w:spacing w:after="0" w:line="187" w:lineRule="exact"/>
              <w:rPr>
                <w:sz w:val="20"/>
                <w:szCs w:val="20"/>
                <w:color w:val="auto"/>
              </w:rPr>
            </w:pPr>
            <w:r>
              <w:rPr>
                <w:rFonts w:ascii="Arial" w:cs="Arial" w:eastAsia="Arial" w:hAnsi="Arial"/>
                <w:sz w:val="18"/>
                <w:szCs w:val="18"/>
                <w:color w:val="auto"/>
              </w:rPr>
              <w:t>Cost of sales; Selling, general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9,607</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520" w:type="dxa"/>
            <w:vAlign w:val="bottom"/>
            <w:shd w:val="clear" w:color="auto" w:fill="CFF0FC"/>
          </w:tcPr>
          <w:p>
            <w:pPr>
              <w:jc w:val="right"/>
              <w:ind w:right="232"/>
              <w:spacing w:after="0"/>
              <w:rPr>
                <w:sz w:val="20"/>
                <w:szCs w:val="20"/>
                <w:color w:val="auto"/>
              </w:rPr>
            </w:pPr>
            <w:r>
              <w:rPr>
                <w:rFonts w:ascii="Arial" w:cs="Arial" w:eastAsia="Arial" w:hAnsi="Arial"/>
                <w:sz w:val="18"/>
                <w:szCs w:val="18"/>
                <w:color w:val="auto"/>
                <w:w w:val="95"/>
              </w:rPr>
              <w:t>and administrative expenses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20" w:type="dxa"/>
            <w:vAlign w:val="bottom"/>
          </w:tcPr>
          <w:p>
            <w:pPr>
              <w:ind w:left="220"/>
              <w:spacing w:after="0"/>
              <w:rPr>
                <w:sz w:val="20"/>
                <w:szCs w:val="20"/>
                <w:color w:val="auto"/>
              </w:rPr>
            </w:pPr>
            <w:r>
              <w:rPr>
                <w:rFonts w:ascii="Arial" w:cs="Arial" w:eastAsia="Arial" w:hAnsi="Arial"/>
                <w:sz w:val="18"/>
                <w:szCs w:val="18"/>
                <w:color w:val="auto"/>
              </w:rPr>
              <w:t>Tax benefit</w:t>
            </w:r>
          </w:p>
        </w:tc>
        <w:tc>
          <w:tcPr>
            <w:tcW w:w="4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(1,944)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60" w:type="dxa"/>
            <w:vAlign w:val="bottom"/>
            <w:gridSpan w:val="4"/>
          </w:tcPr>
          <w:p>
            <w:pPr>
              <w:jc w:val="right"/>
              <w:ind w:right="1252"/>
              <w:spacing w:after="0"/>
              <w:rPr>
                <w:sz w:val="20"/>
                <w:szCs w:val="20"/>
                <w:color w:val="auto"/>
              </w:rPr>
            </w:pPr>
            <w:r>
              <w:rPr>
                <w:rFonts w:ascii="Arial" w:cs="Arial" w:eastAsia="Arial" w:hAnsi="Arial"/>
                <w:sz w:val="18"/>
                <w:szCs w:val="18"/>
                <w:color w:val="auto"/>
              </w:rPr>
              <w:t>(3,737) Taxes on income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2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jc w:val="right"/>
              <w:ind w:right="27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ind w:right="53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5,870</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25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restart"/>
          </w:tcPr>
          <w:p>
            <w:pPr>
              <w:spacing w:after="0"/>
              <w:rPr>
                <w:sz w:val="16"/>
                <w:szCs w:val="16"/>
                <w:color w:val="auto"/>
              </w:rPr>
            </w:pPr>
          </w:p>
        </w:tc>
        <w:tc>
          <w:tcPr>
            <w:tcW w:w="3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2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Unamortized value of terminated</w:t>
            </w:r>
          </w:p>
        </w:tc>
        <w:tc>
          <w:tcPr>
            <w:tcW w:w="4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5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FF0FC"/>
          </w:tcPr>
          <w:p>
            <w:pPr>
              <w:ind w:left="200"/>
              <w:spacing w:after="0" w:line="201" w:lineRule="exact"/>
              <w:rPr>
                <w:sz w:val="20"/>
                <w:szCs w:val="20"/>
                <w:color w:val="auto"/>
              </w:rPr>
            </w:pPr>
            <w:r>
              <w:rPr>
                <w:rFonts w:ascii="Arial" w:cs="Arial" w:eastAsia="Arial" w:hAnsi="Arial"/>
                <w:sz w:val="18"/>
                <w:szCs w:val="18"/>
                <w:color w:val="auto"/>
              </w:rPr>
              <w:t>forward starting interest</w:t>
            </w:r>
          </w:p>
        </w:tc>
        <w:tc>
          <w:tcPr>
            <w:tcW w:w="4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rate swap</w:t>
            </w: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20" w:type="dxa"/>
            <w:vAlign w:val="bottom"/>
          </w:tcPr>
          <w:p>
            <w:pPr>
              <w:ind w:left="220"/>
              <w:spacing w:after="0"/>
              <w:rPr>
                <w:sz w:val="20"/>
                <w:szCs w:val="20"/>
                <w:color w:val="auto"/>
              </w:rPr>
            </w:pPr>
            <w:r>
              <w:rPr>
                <w:rFonts w:ascii="Arial" w:cs="Arial" w:eastAsia="Arial" w:hAnsi="Arial"/>
                <w:sz w:val="18"/>
                <w:szCs w:val="18"/>
                <w:color w:val="auto"/>
              </w:rPr>
              <w:t>Additional interest expense</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4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18"/>
                <w:szCs w:val="18"/>
                <w:color w:val="auto"/>
              </w:rPr>
            </w:pPr>
          </w:p>
        </w:tc>
        <w:tc>
          <w:tcPr>
            <w:tcW w:w="82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672</w:t>
            </w:r>
          </w:p>
        </w:tc>
        <w:tc>
          <w:tcPr>
            <w:tcW w:w="240" w:type="dxa"/>
            <w:vAlign w:val="bottom"/>
          </w:tcPr>
          <w:p>
            <w:pPr>
              <w:spacing w:after="0"/>
              <w:rPr>
                <w:sz w:val="18"/>
                <w:szCs w:val="18"/>
                <w:color w:val="auto"/>
              </w:rPr>
            </w:pPr>
          </w:p>
        </w:tc>
        <w:tc>
          <w:tcPr>
            <w:tcW w:w="400" w:type="dxa"/>
            <w:vAlign w:val="bottom"/>
            <w:gridSpan w:val="2"/>
          </w:tcPr>
          <w:p>
            <w:pPr>
              <w:jc w:val="right"/>
              <w:ind w:right="223"/>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624</w:t>
            </w:r>
          </w:p>
        </w:tc>
        <w:tc>
          <w:tcPr>
            <w:tcW w:w="80" w:type="dxa"/>
            <w:vAlign w:val="bottom"/>
          </w:tcPr>
          <w:p>
            <w:pPr>
              <w:spacing w:after="0"/>
              <w:rPr>
                <w:sz w:val="18"/>
                <w:szCs w:val="18"/>
                <w:color w:val="auto"/>
              </w:rPr>
            </w:pPr>
          </w:p>
        </w:tc>
        <w:tc>
          <w:tcPr>
            <w:tcW w:w="256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Tax benefit</w:t>
            </w:r>
          </w:p>
        </w:tc>
        <w:tc>
          <w:tcPr>
            <w:tcW w:w="4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(267)</w:t>
            </w: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460" w:type="dxa"/>
            <w:vAlign w:val="bottom"/>
            <w:gridSpan w:val="4"/>
            <w:shd w:val="clear" w:color="auto" w:fill="CFF0FC"/>
          </w:tcPr>
          <w:p>
            <w:pPr>
              <w:jc w:val="right"/>
              <w:ind w:right="1252"/>
              <w:spacing w:after="0"/>
              <w:rPr>
                <w:sz w:val="20"/>
                <w:szCs w:val="20"/>
                <w:color w:val="auto"/>
              </w:rPr>
            </w:pPr>
            <w:r>
              <w:rPr>
                <w:rFonts w:ascii="Arial" w:cs="Arial" w:eastAsia="Arial" w:hAnsi="Arial"/>
                <w:sz w:val="18"/>
                <w:szCs w:val="18"/>
                <w:color w:val="auto"/>
              </w:rPr>
              <w:t>(245) Taxes on income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Page 13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520"/>
          </w:cols>
          <w:pgMar w:left="240" w:top="124" w:right="1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9" w:lineRule="exact"/>
        <w:rPr>
          <w:sz w:val="20"/>
          <w:szCs w:val="20"/>
          <w:color w:val="auto"/>
        </w:rPr>
      </w:pPr>
    </w:p>
    <w:p>
      <w:pPr>
        <w:ind w:left="380" w:right="7640" w:hanging="379"/>
        <w:spacing w:after="0" w:line="389" w:lineRule="auto"/>
        <w:tabs>
          <w:tab w:leader="none" w:pos="378"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(continued) Earnings per Common Share</w:t>
      </w:r>
    </w:p>
    <w:p>
      <w:pPr>
        <w:jc w:val="both"/>
        <w:ind w:left="380"/>
        <w:spacing w:after="0" w:line="289" w:lineRule="auto"/>
        <w:rPr>
          <w:rFonts w:ascii="Arial" w:cs="Arial" w:eastAsia="Arial" w:hAnsi="Arial"/>
          <w:sz w:val="17"/>
          <w:szCs w:val="17"/>
          <w:b w:val="1"/>
          <w:bCs w:val="1"/>
          <w:color w:val="auto"/>
        </w:rPr>
      </w:pPr>
      <w:r>
        <w:rPr>
          <w:rFonts w:ascii="Arial" w:cs="Arial" w:eastAsia="Arial" w:hAnsi="Arial"/>
          <w:sz w:val="16"/>
          <w:szCs w:val="16"/>
          <w:color w:val="auto"/>
        </w:rPr>
        <w:t>The numerator for basic and diluted earnings per common share is net earnings attributable to Martin Marietta Materials, Inc. reduced by dividends and undistributed earnings attributable to certain of the Corporation’s stock-based compensation. If there is a net loss, no amount of the undistributed loss is attributed to unvested participating securities.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to be issued to employees and nonemployee members of the Corporation’s Board of Directors under certain stock-based compensation arrangements if the conversion is dilutive. For the three and six months ended June 30, 2016 and 2015, the diluted per-share computations reflect a change in the number of common shares outstanding to include the number of additional shares that would have been outstanding if the potentially dilutive common shares had been issued.</w:t>
      </w:r>
    </w:p>
    <w:p>
      <w:pPr>
        <w:spacing w:after="0" w:line="157" w:lineRule="exact"/>
        <w:rPr>
          <w:rFonts w:ascii="Arial" w:cs="Arial" w:eastAsia="Arial" w:hAnsi="Arial"/>
          <w:sz w:val="17"/>
          <w:szCs w:val="17"/>
          <w:b w:val="1"/>
          <w:bCs w:val="1"/>
          <w:color w:val="auto"/>
        </w:rPr>
      </w:pPr>
    </w:p>
    <w:p>
      <w:pPr>
        <w:ind w:left="380"/>
        <w:spacing w:after="0"/>
        <w:rPr>
          <w:rFonts w:ascii="Arial" w:cs="Arial" w:eastAsia="Arial" w:hAnsi="Arial"/>
          <w:sz w:val="17"/>
          <w:szCs w:val="17"/>
          <w:b w:val="1"/>
          <w:bCs w:val="1"/>
          <w:color w:val="auto"/>
        </w:rPr>
      </w:pPr>
      <w:r>
        <w:rPr>
          <w:rFonts w:ascii="Arial" w:cs="Arial" w:eastAsia="Arial" w:hAnsi="Arial"/>
          <w:sz w:val="18"/>
          <w:szCs w:val="18"/>
          <w:color w:val="auto"/>
        </w:rPr>
        <w:t>The following table reconciles the numerator and denominator for basic and diluted earnings per common share: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6"/>
          </w:tcPr>
          <w:p>
            <w:pPr>
              <w:ind w:left="220"/>
              <w:spacing w:after="0"/>
              <w:rPr>
                <w:sz w:val="20"/>
                <w:szCs w:val="20"/>
                <w:color w:val="auto"/>
              </w:rPr>
            </w:pPr>
            <w:r>
              <w:rPr>
                <w:rFonts w:ascii="Arial" w:cs="Arial" w:eastAsia="Arial" w:hAnsi="Arial"/>
                <w:sz w:val="18"/>
                <w:szCs w:val="18"/>
                <w:color w:val="auto"/>
                <w:w w:val="91"/>
              </w:rPr>
              <w:t>Three Months Ended</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8"/>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June 30,</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20" w:type="dxa"/>
            <w:vAlign w:val="bottom"/>
            <w:gridSpan w:val="7"/>
          </w:tcPr>
          <w:p>
            <w:pPr>
              <w:jc w:val="right"/>
              <w:ind w:right="1060"/>
              <w:spacing w:after="0"/>
              <w:rPr>
                <w:sz w:val="20"/>
                <w:szCs w:val="20"/>
                <w:color w:val="auto"/>
              </w:rPr>
            </w:pPr>
            <w:r>
              <w:rPr>
                <w:rFonts w:ascii="Arial" w:cs="Arial" w:eastAsia="Arial" w:hAnsi="Arial"/>
                <w:sz w:val="18"/>
                <w:szCs w:val="18"/>
                <w:color w:val="auto"/>
                <w:w w:val="92"/>
              </w:rPr>
              <w:t>June 30,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288"/>
              <w:spacing w:after="0"/>
              <w:rPr>
                <w:sz w:val="20"/>
                <w:szCs w:val="20"/>
                <w:color w:val="auto"/>
              </w:rPr>
            </w:pPr>
            <w:r>
              <w:rPr>
                <w:rFonts w:ascii="Arial" w:cs="Arial" w:eastAsia="Arial" w:hAnsi="Arial"/>
                <w:sz w:val="18"/>
                <w:szCs w:val="18"/>
                <w:color w:val="auto"/>
              </w:rPr>
              <w:t>2016</w:t>
            </w:r>
          </w:p>
        </w:tc>
        <w:tc>
          <w:tcPr>
            <w:tcW w:w="2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3"/>
          </w:tcPr>
          <w:p>
            <w:pPr>
              <w:jc w:val="right"/>
              <w:ind w:right="48"/>
              <w:spacing w:after="0"/>
              <w:rPr>
                <w:sz w:val="20"/>
                <w:szCs w:val="20"/>
                <w:color w:val="auto"/>
              </w:rPr>
            </w:pPr>
            <w:r>
              <w:rPr>
                <w:rFonts w:ascii="Arial" w:cs="Arial" w:eastAsia="Arial" w:hAnsi="Arial"/>
                <w:sz w:val="18"/>
                <w:szCs w:val="18"/>
                <w:color w:val="auto"/>
                <w:w w:val="99"/>
              </w:rPr>
              <w:t>2015</w:t>
            </w:r>
          </w:p>
        </w:tc>
        <w:tc>
          <w:tcPr>
            <w:tcW w:w="24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8"/>
                <w:szCs w:val="18"/>
                <w:color w:val="auto"/>
              </w:rPr>
              <w:t>2016</w:t>
            </w:r>
          </w:p>
        </w:tc>
        <w:tc>
          <w:tcPr>
            <w:tcW w:w="2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Net earnings from continuing operations attributable to</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20" w:type="dxa"/>
            <w:vAlign w:val="bottom"/>
            <w:gridSpan w:val="7"/>
          </w:tcPr>
          <w:p>
            <w:pPr>
              <w:jc w:val="right"/>
              <w:ind w:right="588"/>
              <w:spacing w:after="0"/>
              <w:rPr>
                <w:sz w:val="20"/>
                <w:szCs w:val="20"/>
                <w:color w:val="auto"/>
              </w:rPr>
            </w:pPr>
            <w:r>
              <w:rPr>
                <w:rFonts w:ascii="Arial" w:cs="Arial" w:eastAsia="Arial" w:hAnsi="Arial"/>
                <w:sz w:val="18"/>
                <w:szCs w:val="18"/>
                <w:i w:val="1"/>
                <w:iCs w:val="1"/>
                <w:color w:val="auto"/>
                <w:w w:val="92"/>
              </w:rPr>
              <w:t>(In Thousands)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1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080" w:type="dxa"/>
            <w:vAlign w:val="bottom"/>
          </w:tcPr>
          <w:p>
            <w:pPr>
              <w:ind w:left="260"/>
              <w:spacing w:after="0"/>
              <w:rPr>
                <w:sz w:val="20"/>
                <w:szCs w:val="20"/>
                <w:color w:val="auto"/>
              </w:rPr>
            </w:pPr>
            <w:r>
              <w:rPr>
                <w:rFonts w:ascii="Arial" w:cs="Arial" w:eastAsia="Arial" w:hAnsi="Arial"/>
                <w:sz w:val="18"/>
                <w:szCs w:val="18"/>
                <w:color w:val="auto"/>
              </w:rPr>
              <w:t>Martin Marietta Materials, Inc.</w:t>
            </w:r>
          </w:p>
        </w:tc>
        <w:tc>
          <w:tcPr>
            <w:tcW w:w="240" w:type="dxa"/>
            <w:vAlign w:val="bottom"/>
          </w:tcPr>
          <w:p>
            <w:pPr>
              <w:jc w:val="right"/>
              <w:ind w:right="48"/>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122,052</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81,938</w:t>
            </w:r>
          </w:p>
        </w:tc>
        <w:tc>
          <w:tcPr>
            <w:tcW w:w="140" w:type="dxa"/>
            <w:vAlign w:val="bottom"/>
          </w:tcPr>
          <w:p>
            <w:pPr>
              <w:spacing w:after="0"/>
              <w:rPr>
                <w:sz w:val="20"/>
                <w:szCs w:val="20"/>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167,047</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88,065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Less: Distributed and undistributed earnings attributable to</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unvested awards</w:t>
            </w:r>
          </w:p>
        </w:tc>
        <w:tc>
          <w:tcPr>
            <w:tcW w:w="2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100" w:type="dxa"/>
            <w:vAlign w:val="bottom"/>
            <w:gridSpan w:val="2"/>
          </w:tcPr>
          <w:p>
            <w:pPr>
              <w:spacing w:after="0" w:line="203" w:lineRule="exact"/>
              <w:rPr>
                <w:sz w:val="20"/>
                <w:szCs w:val="20"/>
                <w:color w:val="auto"/>
              </w:rPr>
            </w:pPr>
            <w:r>
              <w:rPr>
                <w:rFonts w:ascii="Arial" w:cs="Arial" w:eastAsia="Arial" w:hAnsi="Arial"/>
                <w:sz w:val="18"/>
                <w:szCs w:val="18"/>
                <w:color w:val="auto"/>
              </w:rPr>
              <w:t>Basic and diluted net earnings available to common</w:t>
            </w:r>
          </w:p>
        </w:tc>
        <w:tc>
          <w:tcPr>
            <w:tcW w:w="2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080" w:type="dxa"/>
            <w:vAlign w:val="bottom"/>
          </w:tcPr>
          <w:p>
            <w:pPr>
              <w:ind w:left="220"/>
              <w:spacing w:after="0"/>
              <w:rPr>
                <w:sz w:val="20"/>
                <w:szCs w:val="20"/>
                <w:color w:val="auto"/>
              </w:rPr>
            </w:pPr>
            <w:r>
              <w:rPr>
                <w:rFonts w:ascii="Arial" w:cs="Arial" w:eastAsia="Arial" w:hAnsi="Arial"/>
                <w:sz w:val="18"/>
                <w:szCs w:val="18"/>
                <w:color w:val="auto"/>
              </w:rPr>
              <w:t>shareholders attributable to Martin Marietta Materials, Inc.</w:t>
            </w:r>
          </w:p>
        </w:tc>
        <w:tc>
          <w:tcPr>
            <w:tcW w:w="240" w:type="dxa"/>
            <w:vAlign w:val="bottom"/>
          </w:tcPr>
          <w:p>
            <w:pPr>
              <w:jc w:val="right"/>
              <w:ind w:right="48"/>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121,533</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82,814</w:t>
            </w:r>
          </w:p>
        </w:tc>
        <w:tc>
          <w:tcPr>
            <w:tcW w:w="140" w:type="dxa"/>
            <w:vAlign w:val="bottom"/>
          </w:tcPr>
          <w:p>
            <w:pPr>
              <w:spacing w:after="0"/>
              <w:rPr>
                <w:sz w:val="23"/>
                <w:szCs w:val="23"/>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166,317</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87,662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0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Basic weighted-average common shares outstanding</w:t>
            </w: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63,532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67,373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63,845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67,392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Effect of dilutive employee and director awards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00" w:type="dxa"/>
            <w:vAlign w:val="bottom"/>
            <w:gridSpan w:val="2"/>
          </w:tcPr>
          <w:p>
            <w:pPr>
              <w:spacing w:after="0"/>
              <w:rPr>
                <w:sz w:val="20"/>
                <w:szCs w:val="20"/>
                <w:color w:val="auto"/>
              </w:rPr>
            </w:pPr>
            <w:r>
              <w:rPr>
                <w:rFonts w:ascii="Arial" w:cs="Arial" w:eastAsia="Arial" w:hAnsi="Arial"/>
                <w:sz w:val="18"/>
                <w:szCs w:val="18"/>
                <w:color w:val="auto"/>
              </w:rPr>
              <w:t>Diluted weighted-average common shares outstanding</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63,802</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67,633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64,091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   Inventories, Net</w:t>
            </w: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61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June 30,</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6"/>
          </w:tcPr>
          <w:p>
            <w:pPr>
              <w:jc w:val="right"/>
              <w:ind w:right="308"/>
              <w:spacing w:after="0"/>
              <w:rPr>
                <w:sz w:val="20"/>
                <w:szCs w:val="20"/>
                <w:color w:val="auto"/>
              </w:rPr>
            </w:pPr>
            <w:r>
              <w:rPr>
                <w:rFonts w:ascii="Arial" w:cs="Arial" w:eastAsia="Arial" w:hAnsi="Arial"/>
                <w:sz w:val="18"/>
                <w:szCs w:val="18"/>
                <w:color w:val="auto"/>
              </w:rPr>
              <w:t>December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w w:val="89"/>
              </w:rPr>
              <w:t>June 30,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89"/>
              </w:rPr>
              <w:t>2016</w:t>
            </w:r>
          </w:p>
        </w:tc>
        <w:tc>
          <w:tcPr>
            <w:tcW w:w="3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88"/>
              <w:spacing w:after="0"/>
              <w:rPr>
                <w:sz w:val="20"/>
                <w:szCs w:val="20"/>
                <w:color w:val="auto"/>
              </w:rPr>
            </w:pPr>
            <w:r>
              <w:rPr>
                <w:rFonts w:ascii="Arial" w:cs="Arial" w:eastAsia="Arial" w:hAnsi="Arial"/>
                <w:sz w:val="18"/>
                <w:szCs w:val="18"/>
                <w:color w:val="auto"/>
              </w:rPr>
              <w:t>2015</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20" w:type="dxa"/>
            <w:vAlign w:val="bottom"/>
            <w:gridSpan w:val="7"/>
          </w:tcPr>
          <w:p>
            <w:pPr>
              <w:jc w:val="right"/>
              <w:spacing w:after="0"/>
              <w:rPr>
                <w:sz w:val="20"/>
                <w:szCs w:val="20"/>
                <w:color w:val="auto"/>
              </w:rPr>
            </w:pPr>
            <w:r>
              <w:rPr>
                <w:rFonts w:ascii="Arial" w:cs="Arial" w:eastAsia="Arial" w:hAnsi="Arial"/>
                <w:sz w:val="18"/>
                <w:szCs w:val="18"/>
                <w:i w:val="1"/>
                <w:iCs w:val="1"/>
                <w:color w:val="auto"/>
                <w:w w:val="96"/>
              </w:rPr>
              <w:t>(Dollars in Thousands)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Finished products</w:t>
            </w: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463,807</w:t>
            </w:r>
          </w:p>
        </w:tc>
        <w:tc>
          <w:tcPr>
            <w:tcW w:w="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433,649</w:t>
            </w:r>
          </w:p>
        </w:tc>
        <w:tc>
          <w:tcPr>
            <w:tcW w:w="2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425,732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Products in process and raw materials</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60,324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55,194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62,059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Supplies and expendable parts</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113,110</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110,882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112,592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637,241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599,725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600,383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Less: Allowances</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gridSpan w:val="5"/>
            <w:shd w:val="clear" w:color="auto" w:fill="CFF0FC"/>
          </w:tcPr>
          <w:p>
            <w:pPr>
              <w:jc w:val="right"/>
              <w:ind w:right="108"/>
              <w:spacing w:after="0"/>
              <w:rPr>
                <w:sz w:val="20"/>
                <w:szCs w:val="20"/>
                <w:color w:val="auto"/>
              </w:rPr>
            </w:pPr>
            <w:r>
              <w:rPr>
                <w:rFonts w:ascii="Arial" w:cs="Arial" w:eastAsia="Arial" w:hAnsi="Arial"/>
                <w:sz w:val="18"/>
                <w:szCs w:val="18"/>
                <w:color w:val="auto"/>
              </w:rPr>
              <w:t>(132,364)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(130,584)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(120,527)</w:t>
            </w:r>
          </w:p>
        </w:tc>
        <w:tc>
          <w:tcPr>
            <w:tcW w:w="0" w:type="dxa"/>
            <w:vAlign w:val="bottom"/>
          </w:tcPr>
          <w:p>
            <w:pPr>
              <w:spacing w:after="0"/>
              <w:rPr>
                <w:sz w:val="1"/>
                <w:szCs w:val="1"/>
                <w:color w:val="auto"/>
              </w:rPr>
            </w:pPr>
          </w:p>
        </w:tc>
      </w:tr>
      <w:tr>
        <w:trPr>
          <w:trHeight w:val="220"/>
        </w:trPr>
        <w:tc>
          <w:tcPr>
            <w:tcW w:w="6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504,877</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469,141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479,856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60" w:type="dxa"/>
            <w:vAlign w:val="bottom"/>
          </w:tcPr>
          <w:p>
            <w:pPr>
              <w:spacing w:after="0"/>
              <w:rPr>
                <w:sz w:val="20"/>
                <w:szCs w:val="20"/>
                <w:color w:val="auto"/>
              </w:rPr>
            </w:pPr>
            <w:r>
              <w:rPr>
                <w:rFonts w:ascii="Arial" w:cs="Arial" w:eastAsia="Arial" w:hAnsi="Arial"/>
                <w:sz w:val="18"/>
                <w:szCs w:val="18"/>
                <w:b w:val="1"/>
                <w:bCs w:val="1"/>
                <w:color w:val="auto"/>
              </w:rPr>
              <w:t>3.   Long-Term Debt</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8"/>
        </w:trPr>
        <w:tc>
          <w:tcPr>
            <w:tcW w:w="6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June 30,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December 31,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June 30,</w:t>
            </w:r>
          </w:p>
        </w:tc>
      </w:tr>
      <w:tr>
        <w:trPr>
          <w:trHeight w:val="231"/>
        </w:trPr>
        <w:tc>
          <w:tcPr>
            <w:tcW w:w="6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8"/>
                <w:szCs w:val="18"/>
                <w:color w:val="auto"/>
              </w:rPr>
              <w:t>2016</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48"/>
              <w:spacing w:after="0"/>
              <w:rPr>
                <w:sz w:val="20"/>
                <w:szCs w:val="20"/>
                <w:color w:val="auto"/>
              </w:rPr>
            </w:pPr>
            <w:r>
              <w:rPr>
                <w:rFonts w:ascii="Arial" w:cs="Arial" w:eastAsia="Arial" w:hAnsi="Arial"/>
                <w:sz w:val="18"/>
                <w:szCs w:val="18"/>
                <w:color w:val="auto"/>
                <w:w w:val="89"/>
              </w:rPr>
              <w:t>2015</w:t>
            </w: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r>
      <w:tr>
        <w:trPr>
          <w:trHeight w:val="220"/>
        </w:trPr>
        <w:tc>
          <w:tcPr>
            <w:tcW w:w="6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gridSpan w:val="4"/>
          </w:tcPr>
          <w:p>
            <w:pPr>
              <w:jc w:val="center"/>
              <w:ind w:right="60"/>
              <w:spacing w:after="0"/>
              <w:rPr>
                <w:sz w:val="20"/>
                <w:szCs w:val="20"/>
                <w:color w:val="auto"/>
              </w:rPr>
            </w:pPr>
            <w:r>
              <w:rPr>
                <w:rFonts w:ascii="Arial" w:cs="Arial" w:eastAsia="Arial" w:hAnsi="Arial"/>
                <w:sz w:val="18"/>
                <w:szCs w:val="18"/>
                <w:i w:val="1"/>
                <w:iCs w:val="1"/>
                <w:color w:val="auto"/>
                <w:w w:val="94"/>
              </w:rPr>
              <w:t>(Dollars in Thousands)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6.6% Senior Notes, due 2018</w:t>
            </w:r>
          </w:p>
        </w:tc>
        <w:tc>
          <w:tcPr>
            <w:tcW w:w="1000" w:type="dxa"/>
            <w:vAlign w:val="bottom"/>
            <w:gridSpan w:val="2"/>
            <w:shd w:val="clear" w:color="auto" w:fill="CFF0FC"/>
          </w:tcPr>
          <w:p>
            <w:pPr>
              <w:jc w:val="right"/>
              <w:ind w:right="6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299,294</w:t>
            </w:r>
          </w:p>
        </w:tc>
        <w:tc>
          <w:tcPr>
            <w:tcW w:w="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299,113</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298,931</w:t>
            </w:r>
          </w:p>
        </w:tc>
        <w:tc>
          <w:tcPr>
            <w:tcW w:w="120" w:type="dxa"/>
            <w:vAlign w:val="bottom"/>
            <w:shd w:val="clear" w:color="auto" w:fill="CFF0FC"/>
          </w:tcPr>
          <w:p>
            <w:pPr>
              <w:spacing w:after="0"/>
              <w:rPr>
                <w:sz w:val="19"/>
                <w:szCs w:val="19"/>
                <w:color w:val="auto"/>
              </w:rPr>
            </w:pPr>
          </w:p>
        </w:tc>
      </w:tr>
      <w:tr>
        <w:trPr>
          <w:trHeight w:val="227"/>
        </w:trPr>
        <w:tc>
          <w:tcPr>
            <w:tcW w:w="6060" w:type="dxa"/>
            <w:vAlign w:val="bottom"/>
          </w:tcPr>
          <w:p>
            <w:pPr>
              <w:spacing w:after="0"/>
              <w:rPr>
                <w:sz w:val="20"/>
                <w:szCs w:val="20"/>
                <w:color w:val="auto"/>
              </w:rPr>
            </w:pPr>
            <w:r>
              <w:rPr>
                <w:rFonts w:ascii="Arial" w:cs="Arial" w:eastAsia="Arial" w:hAnsi="Arial"/>
                <w:sz w:val="18"/>
                <w:szCs w:val="18"/>
                <w:color w:val="auto"/>
              </w:rPr>
              <w:t>7% Debentures, due 2025</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124,046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124,002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123,960</w:t>
            </w:r>
          </w:p>
        </w:tc>
        <w:tc>
          <w:tcPr>
            <w:tcW w:w="120" w:type="dxa"/>
            <w:vAlign w:val="bottom"/>
          </w:tcPr>
          <w:p>
            <w:pPr>
              <w:spacing w:after="0"/>
              <w:rPr>
                <w:sz w:val="19"/>
                <w:szCs w:val="19"/>
                <w:color w:val="auto"/>
              </w:rPr>
            </w:pPr>
          </w:p>
        </w:tc>
      </w:tr>
      <w:tr>
        <w:trPr>
          <w:trHeight w:val="227"/>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6.25% Senior Notes, due 2037</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227,947</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227,917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227,898</w:t>
            </w:r>
          </w:p>
        </w:tc>
        <w:tc>
          <w:tcPr>
            <w:tcW w:w="120" w:type="dxa"/>
            <w:vAlign w:val="bottom"/>
            <w:shd w:val="clear" w:color="auto" w:fill="CFF0FC"/>
          </w:tcPr>
          <w:p>
            <w:pPr>
              <w:spacing w:after="0"/>
              <w:rPr>
                <w:sz w:val="19"/>
                <w:szCs w:val="19"/>
                <w:color w:val="auto"/>
              </w:rPr>
            </w:pPr>
          </w:p>
        </w:tc>
      </w:tr>
      <w:tr>
        <w:trPr>
          <w:trHeight w:val="227"/>
        </w:trPr>
        <w:tc>
          <w:tcPr>
            <w:tcW w:w="6060" w:type="dxa"/>
            <w:vAlign w:val="bottom"/>
          </w:tcPr>
          <w:p>
            <w:pPr>
              <w:spacing w:after="0"/>
              <w:rPr>
                <w:sz w:val="20"/>
                <w:szCs w:val="20"/>
                <w:color w:val="auto"/>
              </w:rPr>
            </w:pPr>
            <w:r>
              <w:rPr>
                <w:rFonts w:ascii="Arial" w:cs="Arial" w:eastAsia="Arial" w:hAnsi="Arial"/>
                <w:sz w:val="18"/>
                <w:szCs w:val="18"/>
                <w:color w:val="auto"/>
              </w:rPr>
              <w:t>4.25 % Senior Notes, due 2024</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394,977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394,690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394,441</w:t>
            </w:r>
          </w:p>
        </w:tc>
        <w:tc>
          <w:tcPr>
            <w:tcW w:w="120" w:type="dxa"/>
            <w:vAlign w:val="bottom"/>
          </w:tcPr>
          <w:p>
            <w:pPr>
              <w:spacing w:after="0"/>
              <w:rPr>
                <w:sz w:val="19"/>
                <w:szCs w:val="19"/>
                <w:color w:val="auto"/>
              </w:rPr>
            </w:pPr>
          </w:p>
        </w:tc>
      </w:tr>
      <w:tr>
        <w:trPr>
          <w:trHeight w:val="21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Floating Rate Notes, due 2017, interest rate of 1.73%,</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4"/>
        </w:trPr>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1.71% and 1.38% at June 30, 2016, December 31, 2015</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1"/>
        </w:trPr>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and June 30, 2015, respectively</w:t>
            </w: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298,793</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298,868</w:t>
            </w: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298,514</w:t>
            </w:r>
          </w:p>
        </w:tc>
        <w:tc>
          <w:tcPr>
            <w:tcW w:w="120" w:type="dxa"/>
            <w:vAlign w:val="bottom"/>
            <w:shd w:val="clear" w:color="auto" w:fill="CFF0FC"/>
          </w:tcPr>
          <w:p>
            <w:pPr>
              <w:spacing w:after="0"/>
              <w:rPr>
                <w:sz w:val="20"/>
                <w:szCs w:val="20"/>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Term Loan Facility, due 2018, interest rate of 1.96%, 1.86% and 1.69%</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4"/>
        </w:trPr>
        <w:tc>
          <w:tcPr>
            <w:tcW w:w="6060" w:type="dxa"/>
            <w:vAlign w:val="bottom"/>
          </w:tcPr>
          <w:p>
            <w:pPr>
              <w:ind w:left="240"/>
              <w:spacing w:after="0"/>
              <w:rPr>
                <w:sz w:val="20"/>
                <w:szCs w:val="20"/>
                <w:color w:val="auto"/>
              </w:rPr>
            </w:pPr>
            <w:r>
              <w:rPr>
                <w:rFonts w:ascii="Arial" w:cs="Arial" w:eastAsia="Arial" w:hAnsi="Arial"/>
                <w:sz w:val="18"/>
                <w:szCs w:val="18"/>
                <w:color w:val="auto"/>
              </w:rPr>
              <w:t>at June 30, 2016, December 31, 2015 and June 30, 2015,</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6060" w:type="dxa"/>
            <w:vAlign w:val="bottom"/>
          </w:tcPr>
          <w:p>
            <w:pPr>
              <w:ind w:left="240"/>
              <w:spacing w:after="0"/>
              <w:rPr>
                <w:sz w:val="20"/>
                <w:szCs w:val="20"/>
                <w:color w:val="auto"/>
              </w:rPr>
            </w:pPr>
            <w:r>
              <w:rPr>
                <w:rFonts w:ascii="Arial" w:cs="Arial" w:eastAsia="Arial" w:hAnsi="Arial"/>
                <w:sz w:val="18"/>
                <w:szCs w:val="18"/>
                <w:color w:val="auto"/>
              </w:rPr>
              <w:t>respectively</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213,571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222,521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228,346</w:t>
            </w:r>
          </w:p>
        </w:tc>
        <w:tc>
          <w:tcPr>
            <w:tcW w:w="120" w:type="dxa"/>
            <w:vAlign w:val="bottom"/>
          </w:tcPr>
          <w:p>
            <w:pPr>
              <w:spacing w:after="0"/>
              <w:rPr>
                <w:sz w:val="20"/>
                <w:szCs w:val="20"/>
                <w:color w:val="auto"/>
              </w:rPr>
            </w:pPr>
          </w:p>
        </w:tc>
      </w:tr>
      <w:tr>
        <w:trPr>
          <w:trHeight w:val="21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Trade Receivable Facility, interest rate of 1.16% and 0.88% at</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1"/>
        </w:trPr>
        <w:tc>
          <w:tcPr>
            <w:tcW w:w="6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June 30, 2016 and June 30, 2015, respectively</w:t>
            </w: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220,000</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120" w:type="dxa"/>
            <w:vAlign w:val="bottom"/>
            <w:shd w:val="clear" w:color="auto" w:fill="CFF0FC"/>
          </w:tcPr>
          <w:p>
            <w:pPr>
              <w:spacing w:after="0"/>
              <w:rPr>
                <w:sz w:val="20"/>
                <w:szCs w:val="20"/>
                <w:color w:val="auto"/>
              </w:rPr>
            </w:pPr>
          </w:p>
        </w:tc>
      </w:tr>
      <w:tr>
        <w:trPr>
          <w:trHeight w:val="227"/>
        </w:trPr>
        <w:tc>
          <w:tcPr>
            <w:tcW w:w="6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notes</w:t>
            </w:r>
          </w:p>
        </w:tc>
        <w:tc>
          <w:tcPr>
            <w:tcW w:w="7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120" w:type="dxa"/>
            <w:vAlign w:val="bottom"/>
            <w:tcBorders>
              <w:bottom w:val="single" w:sz="8" w:color="CFF0FC"/>
            </w:tcBorders>
          </w:tcPr>
          <w:p>
            <w:pPr>
              <w:spacing w:after="0"/>
              <w:rPr>
                <w:sz w:val="19"/>
                <w:szCs w:val="19"/>
                <w:color w:val="auto"/>
              </w:rPr>
            </w:pPr>
          </w:p>
        </w:tc>
      </w:tr>
      <w:tr>
        <w:trPr>
          <w:trHeight w:val="22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1,779,217</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1,568,774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1,653,338</w:t>
            </w:r>
          </w:p>
        </w:tc>
        <w:tc>
          <w:tcPr>
            <w:tcW w:w="120" w:type="dxa"/>
            <w:vAlign w:val="bottom"/>
            <w:shd w:val="clear" w:color="auto" w:fill="CFF0FC"/>
          </w:tcPr>
          <w:p>
            <w:pPr>
              <w:spacing w:after="0"/>
              <w:rPr>
                <w:sz w:val="19"/>
                <w:szCs w:val="19"/>
                <w:color w:val="auto"/>
              </w:rPr>
            </w:pPr>
          </w:p>
        </w:tc>
      </w:tr>
      <w:tr>
        <w:trPr>
          <w:trHeight w:val="227"/>
        </w:trPr>
        <w:tc>
          <w:tcPr>
            <w:tcW w:w="606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(238,155)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(18,713)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(15,433)</w:t>
            </w:r>
          </w:p>
        </w:tc>
      </w:tr>
      <w:tr>
        <w:trPr>
          <w:trHeight w:val="220"/>
        </w:trPr>
        <w:tc>
          <w:tcPr>
            <w:tcW w:w="6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1,541,062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1,550,061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1,637,905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left="380"/>
        <w:spacing w:after="0" w:line="252" w:lineRule="auto"/>
        <w:rPr>
          <w:sz w:val="20"/>
          <w:szCs w:val="20"/>
          <w:color w:val="auto"/>
        </w:rPr>
      </w:pPr>
      <w:r>
        <w:rPr>
          <w:rFonts w:ascii="Arial" w:cs="Arial" w:eastAsia="Arial" w:hAnsi="Arial"/>
          <w:sz w:val="18"/>
          <w:szCs w:val="18"/>
          <w:color w:val="auto"/>
        </w:rPr>
        <w:t>The Corporation, through a wholly-owned special-purpose subsidiary, has a $250,000,000 trade receivable securitization facility (the “Trade Receivable Facility”), which matures on September 30, 2016. Management intends to renew the Trade Receivable Facility beyond September 30, 2016. The Trade Receivable Facility, with SunTrust Bank, Regions Bank, PNC Bank, N.A. and certain other lenders that may become a party to the facility from time to time, is backed by eligible trade receivables, as defined, and is limited to the lesser of the facility limit or the borrowing base, as defined, of $391,600,000, $282,258,000 and $450,791,000 at June 30, 2016, December 31, 2015 and June 30, 2015, respectively. These receivables are originated by the Corporation and then sold to the wholly-owned special-purpose subsidiary by the Corporation. The Corporation continues to be responsible for the servicing and administration of the receivables purchased by the wholly-owned special-purpose subsidiary. Borrowings under the Trade Receivable Facility bear interest at a rate equal to one-month LIBOR plus 0.7%. The Trade Receivable Facility contains a cross-default provision to the Corporation’s other debt agreements.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9" w:lineRule="exact"/>
        <w:rPr>
          <w:sz w:val="20"/>
          <w:szCs w:val="20"/>
          <w:color w:val="auto"/>
        </w:rPr>
      </w:pPr>
    </w:p>
    <w:p>
      <w:pPr>
        <w:ind w:left="380" w:hanging="379"/>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(continued)</w:t>
      </w:r>
    </w:p>
    <w:p>
      <w:pPr>
        <w:spacing w:after="0" w:line="112" w:lineRule="exact"/>
        <w:rPr>
          <w:rFonts w:ascii="Arial" w:cs="Arial" w:eastAsia="Arial" w:hAnsi="Arial"/>
          <w:sz w:val="18"/>
          <w:szCs w:val="18"/>
          <w:b w:val="1"/>
          <w:bCs w:val="1"/>
          <w:color w:val="auto"/>
        </w:rPr>
      </w:pPr>
    </w:p>
    <w:p>
      <w:pPr>
        <w:jc w:val="both"/>
        <w:ind w:left="38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 Corporation’s Credit Agreement, which provides a $250,000,000 senior unsecured term loan (the “Term Loan Facility”) and a $350,000,000 five-year senior unsecured revolving facility (the “Revolving Facility”), requires the Corporation’s ratio of consolidated debt to consolidated earnings before interest, taxes, depreciation, depletion and amortization (“EBITDA”), as defined by the Credit Agreement, for the trailing-twelve months (the “Ratio”) to not exceed 3.50x as of the end of any fiscal quarter, provided that the Corporation may exclude from the Ratio debt incurred in connection with certain acquisitions for a period of 180 days so long as the Corporation, as a consequence of such specified acquisition, does not have its rating on long-term unsecured debt fall below BBB by Standard &amp; Poor’s or Baa2 by Moody’s and the Ratio calculated without such exclusion does not exceed 3.75x. Additionally, if no amounts are outstanding under both the Revolving Facility and the Trade Receivable Facility, consolidated debt, including debt for which the Corporation is a co-borrower, may be reduced by the Corporation’s unrestricted cash and cash equivalents in excess of $50,000,000, such reduction not to exceed $200,000,000, for purposes of the covenant calculation.</w:t>
      </w:r>
    </w:p>
    <w:p>
      <w:pPr>
        <w:spacing w:after="0" w:line="58" w:lineRule="exact"/>
        <w:rPr>
          <w:rFonts w:ascii="Arial" w:cs="Arial" w:eastAsia="Arial" w:hAnsi="Arial"/>
          <w:sz w:val="18"/>
          <w:szCs w:val="18"/>
          <w:b w:val="1"/>
          <w:bCs w:val="1"/>
          <w:color w:val="auto"/>
        </w:rPr>
      </w:pPr>
    </w:p>
    <w:p>
      <w:pPr>
        <w:jc w:val="both"/>
        <w:ind w:left="3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accordance with the amended Credit Agreement, the Corporation adjusted consolidated EBITDA to add back any integration or similar costs or expenses related to the TXI business combination incurred in any period prior to the second anniversary of the closing of the TXI business combination, not to exceed $70,000,000. The Corporation was in compliance with this Ratio at June 30, 2016.</w:t>
      </w:r>
    </w:p>
    <w:p>
      <w:pPr>
        <w:spacing w:after="0" w:line="61" w:lineRule="exact"/>
        <w:rPr>
          <w:rFonts w:ascii="Arial" w:cs="Arial" w:eastAsia="Arial" w:hAnsi="Arial"/>
          <w:sz w:val="18"/>
          <w:szCs w:val="18"/>
          <w:b w:val="1"/>
          <w:bCs w:val="1"/>
          <w:color w:val="auto"/>
        </w:rPr>
      </w:pPr>
    </w:p>
    <w:p>
      <w:pPr>
        <w:jc w:val="both"/>
        <w:ind w:left="3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Available borrowings under the Revolving Facility are reduced by any outstanding letters of credit issued by the Corporation under the Revolving Facility. At June 30, 2016, December 31, 2015 and June 30, 2015, the Corporation had $2,507,000 of outstanding letters of credit issued under the Revolving Facility.</w:t>
      </w:r>
    </w:p>
    <w:p>
      <w:pPr>
        <w:spacing w:after="0" w:line="61" w:lineRule="exact"/>
        <w:rPr>
          <w:rFonts w:ascii="Arial" w:cs="Arial" w:eastAsia="Arial" w:hAnsi="Arial"/>
          <w:sz w:val="18"/>
          <w:szCs w:val="18"/>
          <w:b w:val="1"/>
          <w:bCs w:val="1"/>
          <w:color w:val="auto"/>
        </w:rPr>
      </w:pPr>
    </w:p>
    <w:p>
      <w:pPr>
        <w:jc w:val="both"/>
        <w:ind w:left="3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Current debt maturities consist of borrowings under the Trade Receivable Facility as well as the current portions of the Term Loan Facility and other notes. The increase in current debt maturities as of June 30, 2016 is attributable to the balance drawn on the Trade Receivable Facility. The Floating Rate Notes have been classified as a noncurrent liability as the Corporation has the intent and ability to refinance on a long-term basis before or at its maturity of June 30, 2017.</w:t>
      </w:r>
    </w:p>
    <w:p>
      <w:pPr>
        <w:spacing w:after="0" w:line="65" w:lineRule="exact"/>
        <w:rPr>
          <w:rFonts w:ascii="Arial" w:cs="Arial" w:eastAsia="Arial" w:hAnsi="Arial"/>
          <w:sz w:val="18"/>
          <w:szCs w:val="18"/>
          <w:b w:val="1"/>
          <w:bCs w:val="1"/>
          <w:color w:val="auto"/>
        </w:rPr>
      </w:pPr>
    </w:p>
    <w:p>
      <w:pPr>
        <w:jc w:val="both"/>
        <w:ind w:left="3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Accumulated other comprehensive loss includes the unamortized value of terminated forward starting interest rate swap agreements. For the three and six months ended June 30, 2016, the Corporation recognized $340,000 and $672,000, respectively, as additional interest expense. For the three and six months ended June 30, 2015, the Corporation recognized $317,000 and $624,000, respectively, as additional interest expense. The ongoing amortization of the terminated value of the forward starting interest rate swap agreements will increase annual interest expense by approximately $1,400,000 until the maturity of the 6.6% Senior Notes in 2018.</w:t>
      </w:r>
    </w:p>
    <w:p>
      <w:pPr>
        <w:spacing w:after="0" w:line="165" w:lineRule="exact"/>
        <w:rPr>
          <w:rFonts w:ascii="Arial" w:cs="Arial" w:eastAsia="Arial" w:hAnsi="Arial"/>
          <w:sz w:val="18"/>
          <w:szCs w:val="18"/>
          <w:b w:val="1"/>
          <w:bCs w:val="1"/>
          <w:color w:val="auto"/>
        </w:rPr>
      </w:pPr>
    </w:p>
    <w:p>
      <w:pPr>
        <w:ind w:left="380" w:hanging="379"/>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12" w:lineRule="exact"/>
        <w:rPr>
          <w:rFonts w:ascii="Arial" w:cs="Arial" w:eastAsia="Arial" w:hAnsi="Arial"/>
          <w:sz w:val="18"/>
          <w:szCs w:val="18"/>
          <w:b w:val="1"/>
          <w:bCs w:val="1"/>
          <w:color w:val="auto"/>
        </w:rPr>
      </w:pPr>
    </w:p>
    <w:p>
      <w:pPr>
        <w:ind w:left="380"/>
        <w:spacing w:after="0" w:line="280" w:lineRule="auto"/>
        <w:rPr>
          <w:rFonts w:ascii="Arial" w:cs="Arial" w:eastAsia="Arial" w:hAnsi="Arial"/>
          <w:sz w:val="18"/>
          <w:szCs w:val="18"/>
          <w:b w:val="1"/>
          <w:bCs w:val="1"/>
          <w:color w:val="auto"/>
        </w:rPr>
      </w:pPr>
      <w:r>
        <w:rPr>
          <w:rFonts w:ascii="Arial" w:cs="Arial" w:eastAsia="Arial" w:hAnsi="Arial"/>
          <w:sz w:val="18"/>
          <w:szCs w:val="18"/>
          <w:color w:val="auto"/>
        </w:rPr>
        <w:t>The Corporation’s financial instruments include cash equivalents, accounts receivable, notes receivable, bank overdraft, accounts payable, publicly-registered long-term notes, debentures and other long-term debt.</w:t>
      </w:r>
    </w:p>
    <w:p>
      <w:pPr>
        <w:spacing w:after="0" w:line="46" w:lineRule="exact"/>
        <w:rPr>
          <w:rFonts w:ascii="Arial" w:cs="Arial" w:eastAsia="Arial" w:hAnsi="Arial"/>
          <w:sz w:val="18"/>
          <w:szCs w:val="18"/>
          <w:b w:val="1"/>
          <w:bCs w:val="1"/>
          <w:color w:val="auto"/>
        </w:rPr>
      </w:pPr>
    </w:p>
    <w:p>
      <w:pPr>
        <w:jc w:val="both"/>
        <w:ind w:left="3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Cash equivalents are placed primarily in money market funds, money market demand deposit accounts and Eurodollar time deposits. The Corporation’s cash equivalents have original maturities of less than three months. Due to the short maturity of these investments, they are carried on the consolidated balance sheets at cost, which approximates fair value.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9" w:lineRule="exact"/>
        <w:rPr>
          <w:sz w:val="20"/>
          <w:szCs w:val="20"/>
          <w:color w:val="auto"/>
        </w:rPr>
      </w:pPr>
    </w:p>
    <w:p>
      <w:pPr>
        <w:ind w:left="380" w:hanging="379"/>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(continued)</w:t>
      </w:r>
    </w:p>
    <w:p>
      <w:pPr>
        <w:spacing w:after="0" w:line="112" w:lineRule="exact"/>
        <w:rPr>
          <w:rFonts w:ascii="Arial" w:cs="Arial" w:eastAsia="Arial" w:hAnsi="Arial"/>
          <w:sz w:val="18"/>
          <w:szCs w:val="18"/>
          <w:b w:val="1"/>
          <w:bCs w:val="1"/>
          <w:color w:val="auto"/>
        </w:rPr>
      </w:pPr>
    </w:p>
    <w:p>
      <w:pPr>
        <w:jc w:val="both"/>
        <w:ind w:left="3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Accounts receivable are due from a large number of customers, primarily in the construction industry, and are dispersed across wide geographic and economic regions. However, accounts receivable are more heavily concentrated in certain states (namely, Texas, Colorado, North Carolina, Iowa and Georgia). The estimated fair values of accounts receivable approximate their carrying amounts due to the short-term nature of the receivables.</w:t>
      </w:r>
    </w:p>
    <w:p>
      <w:pPr>
        <w:spacing w:after="0" w:line="26" w:lineRule="exact"/>
        <w:rPr>
          <w:rFonts w:ascii="Arial" w:cs="Arial" w:eastAsia="Arial" w:hAnsi="Arial"/>
          <w:sz w:val="18"/>
          <w:szCs w:val="18"/>
          <w:b w:val="1"/>
          <w:bCs w:val="1"/>
          <w:color w:val="auto"/>
        </w:rPr>
      </w:pPr>
    </w:p>
    <w:p>
      <w:pPr>
        <w:jc w:val="both"/>
        <w:ind w:left="3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Notes receivable are classified in the line items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noncurrent assets</w:t>
      </w:r>
      <w:r>
        <w:rPr>
          <w:rFonts w:ascii="Arial" w:cs="Arial" w:eastAsia="Arial" w:hAnsi="Arial"/>
          <w:sz w:val="18"/>
          <w:szCs w:val="18"/>
          <w:color w:val="auto"/>
        </w:rPr>
        <w:t xml:space="preserve"> on the consolidated balance sheets and are not publicly traded. Management estimates that the fair value of notes receivable approximates the carrying amount due to the variable interest rates of the receivables.</w:t>
      </w:r>
    </w:p>
    <w:p>
      <w:pPr>
        <w:spacing w:after="0" w:line="61" w:lineRule="exact"/>
        <w:rPr>
          <w:rFonts w:ascii="Arial" w:cs="Arial" w:eastAsia="Arial" w:hAnsi="Arial"/>
          <w:sz w:val="18"/>
          <w:szCs w:val="18"/>
          <w:b w:val="1"/>
          <w:bCs w:val="1"/>
          <w:color w:val="auto"/>
        </w:rPr>
      </w:pPr>
    </w:p>
    <w:p>
      <w:pPr>
        <w:ind w:left="380"/>
        <w:spacing w:after="0" w:line="280" w:lineRule="auto"/>
        <w:rPr>
          <w:rFonts w:ascii="Arial" w:cs="Arial" w:eastAsia="Arial" w:hAnsi="Arial"/>
          <w:sz w:val="18"/>
          <w:szCs w:val="18"/>
          <w:b w:val="1"/>
          <w:bCs w:val="1"/>
          <w:color w:val="auto"/>
        </w:rPr>
      </w:pPr>
      <w:r>
        <w:rPr>
          <w:rFonts w:ascii="Arial" w:cs="Arial" w:eastAsia="Arial" w:hAnsi="Arial"/>
          <w:sz w:val="18"/>
          <w:szCs w:val="18"/>
          <w:color w:val="auto"/>
        </w:rPr>
        <w:t>The bank overdraft represents amounts to be funded to financial institutions for checks that have cleared the bank. The estimated fair value of the bank overdraft approximates its carrying value due to the short-term nature of the overdraft.</w:t>
      </w:r>
    </w:p>
    <w:p>
      <w:pPr>
        <w:spacing w:after="0" w:line="46" w:lineRule="exact"/>
        <w:rPr>
          <w:rFonts w:ascii="Arial" w:cs="Arial" w:eastAsia="Arial" w:hAnsi="Arial"/>
          <w:sz w:val="18"/>
          <w:szCs w:val="18"/>
          <w:b w:val="1"/>
          <w:bCs w:val="1"/>
          <w:color w:val="auto"/>
        </w:rPr>
      </w:pPr>
    </w:p>
    <w:p>
      <w:pPr>
        <w:ind w:left="380"/>
        <w:spacing w:after="0" w:line="280" w:lineRule="auto"/>
        <w:rPr>
          <w:rFonts w:ascii="Arial" w:cs="Arial" w:eastAsia="Arial" w:hAnsi="Arial"/>
          <w:sz w:val="18"/>
          <w:szCs w:val="18"/>
          <w:b w:val="1"/>
          <w:bCs w:val="1"/>
          <w:color w:val="auto"/>
        </w:rPr>
      </w:pPr>
      <w:r>
        <w:rPr>
          <w:rFonts w:ascii="Arial" w:cs="Arial" w:eastAsia="Arial" w:hAnsi="Arial"/>
          <w:sz w:val="18"/>
          <w:szCs w:val="18"/>
          <w:color w:val="auto"/>
        </w:rPr>
        <w:t>Accounts payable represent amounts owed to suppliers and vendors. The estimated fair value of accounts payable approximates its carrying amount due to the short-term nature of the payables.</w:t>
      </w:r>
    </w:p>
    <w:p>
      <w:pPr>
        <w:spacing w:after="0" w:line="46" w:lineRule="exact"/>
        <w:rPr>
          <w:rFonts w:ascii="Arial" w:cs="Arial" w:eastAsia="Arial" w:hAnsi="Arial"/>
          <w:sz w:val="18"/>
          <w:szCs w:val="18"/>
          <w:b w:val="1"/>
          <w:bCs w:val="1"/>
          <w:color w:val="auto"/>
        </w:rPr>
      </w:pPr>
    </w:p>
    <w:p>
      <w:pPr>
        <w:jc w:val="both"/>
        <w:ind w:left="38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carrying values and fair values of the Corporation’s long-term debt were $1,779,217,000 and $1,890,319,000, respectively, at June 30, 2016; $1,568,774,000 and $1,625,193,000, respectively, at December 31, 2015; and $1,653,338,000 and $1,729,511,000, respectively, at June 30, 2015. The estimated fair value of the publicly-registered long-term notes was estimated based on Level 1 of the fair value hierarchy using quoted market prices. The estimated fair value of other borrowings, which primarily represents variable-rate debt, was based on Level 2 of the fair value hierarchy using quoted market prices for similar debt instruments, and approximates their carrying amounts as the interest rates reset periodically.</w:t>
      </w:r>
    </w:p>
    <w:p>
      <w:pPr>
        <w:spacing w:after="0" w:line="149" w:lineRule="exact"/>
        <w:rPr>
          <w:rFonts w:ascii="Arial" w:cs="Arial" w:eastAsia="Arial" w:hAnsi="Arial"/>
          <w:sz w:val="18"/>
          <w:szCs w:val="18"/>
          <w:b w:val="1"/>
          <w:bCs w:val="1"/>
          <w:color w:val="auto"/>
        </w:rPr>
      </w:pPr>
    </w:p>
    <w:p>
      <w:pPr>
        <w:ind w:left="380" w:hanging="379"/>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2" w:lineRule="exact"/>
        <w:rPr>
          <w:rFonts w:ascii="Arial" w:cs="Arial" w:eastAsia="Arial" w:hAnsi="Arial"/>
          <w:sz w:val="18"/>
          <w:szCs w:val="18"/>
          <w:b w:val="1"/>
          <w:bCs w:val="1"/>
          <w:color w:val="auto"/>
        </w:rPr>
      </w:pPr>
    </w:p>
    <w:p>
      <w:pPr>
        <w:jc w:val="both"/>
        <w:ind w:left="3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Corporation’s effective income tax rates for the six months ended June 30, 2016 and 2015 were 30.4% and 30.2%, respectively. The estimated effective income tax rates reflect the effect of federal and state income taxes and the impact of differences in book and tax accounting arising from the net permanent benefits associated with the statutory depletion deduction for mineral reserves and the domestic production deduction.</w:t>
      </w:r>
    </w:p>
    <w:p>
      <w:pPr>
        <w:spacing w:after="0" w:line="26" w:lineRule="exact"/>
        <w:rPr>
          <w:rFonts w:ascii="Arial" w:cs="Arial" w:eastAsia="Arial" w:hAnsi="Arial"/>
          <w:sz w:val="18"/>
          <w:szCs w:val="18"/>
          <w:b w:val="1"/>
          <w:bCs w:val="1"/>
          <w:color w:val="auto"/>
        </w:rPr>
      </w:pPr>
    </w:p>
    <w:p>
      <w:pPr>
        <w:ind w:left="380"/>
        <w:spacing w:after="0" w:line="280" w:lineRule="auto"/>
        <w:rPr>
          <w:rFonts w:ascii="Arial" w:cs="Arial" w:eastAsia="Arial" w:hAnsi="Arial"/>
          <w:sz w:val="18"/>
          <w:szCs w:val="18"/>
          <w:b w:val="1"/>
          <w:bCs w:val="1"/>
          <w:color w:val="auto"/>
        </w:rPr>
      </w:pPr>
      <w:r>
        <w:rPr>
          <w:rFonts w:ascii="Arial" w:cs="Arial" w:eastAsia="Arial" w:hAnsi="Arial"/>
          <w:sz w:val="18"/>
          <w:szCs w:val="18"/>
          <w:color w:val="auto"/>
        </w:rPr>
        <w:t>The Corporation records interest accrued in relation to unrecognized tax benefits as income tax expense. Penalties, if incurred, are recorded as other expenses in the consolidated statements of earnings and comprehensive earnings.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91" w:lineRule="exact"/>
        <w:rPr>
          <w:sz w:val="20"/>
          <w:szCs w:val="20"/>
          <w:color w:val="auto"/>
        </w:rPr>
      </w:pPr>
    </w:p>
    <w:p>
      <w:pPr>
        <w:ind w:left="380" w:hanging="379"/>
        <w:spacing w:after="0"/>
        <w:tabs>
          <w:tab w:leader="none" w:pos="3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Benefits</w:t>
      </w:r>
    </w:p>
    <w:p>
      <w:pPr>
        <w:spacing w:after="0" w:line="112"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estimated components of the recorded net periodic benefit cost (credit) for pension and postretirement benefits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8"/>
                <w:szCs w:val="18"/>
                <w:color w:val="auto"/>
                <w:w w:val="91"/>
              </w:rPr>
              <w:t>Three Months Ended June 30,</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5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Pension</w:t>
            </w:r>
          </w:p>
        </w:tc>
        <w:tc>
          <w:tcPr>
            <w:tcW w:w="9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Postretirement Benefits</w:t>
            </w:r>
          </w:p>
        </w:tc>
        <w:tc>
          <w:tcPr>
            <w:tcW w:w="100" w:type="dxa"/>
            <w:vAlign w:val="bottom"/>
          </w:tcPr>
          <w:p>
            <w:pPr>
              <w:spacing w:after="0"/>
              <w:rPr>
                <w:sz w:val="19"/>
                <w:szCs w:val="19"/>
                <w:color w:val="auto"/>
              </w:rPr>
            </w:pPr>
          </w:p>
        </w:tc>
      </w:tr>
      <w:tr>
        <w:trPr>
          <w:trHeight w:val="220"/>
        </w:trPr>
        <w:tc>
          <w:tcPr>
            <w:tcW w:w="5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r>
      <w:tr>
        <w:trPr>
          <w:trHeight w:val="215"/>
        </w:trPr>
        <w:tc>
          <w:tcPr>
            <w:tcW w:w="5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6"/>
          </w:tcPr>
          <w:p>
            <w:pPr>
              <w:jc w:val="center"/>
              <w:ind w:right="440"/>
              <w:spacing w:after="0"/>
              <w:rPr>
                <w:sz w:val="20"/>
                <w:szCs w:val="20"/>
                <w:color w:val="auto"/>
              </w:rPr>
            </w:pPr>
            <w:r>
              <w:rPr>
                <w:rFonts w:ascii="Arial" w:cs="Arial" w:eastAsia="Arial" w:hAnsi="Arial"/>
                <w:sz w:val="18"/>
                <w:szCs w:val="18"/>
                <w:i w:val="1"/>
                <w:iCs w:val="1"/>
                <w:color w:val="auto"/>
                <w:w w:val="96"/>
              </w:rPr>
              <w:t>(Dollars in Thousands)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5920" w:type="dxa"/>
            <w:vAlign w:val="bottom"/>
          </w:tcPr>
          <w:p>
            <w:pPr>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5,776</w:t>
            </w:r>
          </w:p>
        </w:tc>
        <w:tc>
          <w:tcPr>
            <w:tcW w:w="16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5,513</w:t>
            </w:r>
          </w:p>
        </w:tc>
        <w:tc>
          <w:tcPr>
            <w:tcW w:w="160" w:type="dxa"/>
            <w:vAlign w:val="bottom"/>
          </w:tcPr>
          <w:p>
            <w:pPr>
              <w:spacing w:after="0"/>
              <w:rPr>
                <w:sz w:val="20"/>
                <w:szCs w:val="20"/>
                <w:color w:val="auto"/>
              </w:rPr>
            </w:pPr>
          </w:p>
        </w:tc>
        <w:tc>
          <w:tcPr>
            <w:tcW w:w="3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0"/>
                <w:szCs w:val="20"/>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r>
      <w:tr>
        <w:trPr>
          <w:trHeight w:val="227"/>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FF0FC"/>
          </w:tcPr>
          <w:p>
            <w:pPr>
              <w:spacing w:after="0"/>
              <w:rPr>
                <w:sz w:val="19"/>
                <w:szCs w:val="19"/>
                <w:color w:val="auto"/>
              </w:rPr>
            </w:pPr>
          </w:p>
        </w:tc>
      </w:tr>
      <w:tr>
        <w:trPr>
          <w:trHeight w:val="227"/>
        </w:trPr>
        <w:tc>
          <w:tcPr>
            <w:tcW w:w="592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2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(8,887)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5920" w:type="dxa"/>
            <w:vAlign w:val="bottom"/>
          </w:tcPr>
          <w:p>
            <w:pPr>
              <w:ind w:left="240"/>
              <w:spacing w:after="0"/>
              <w:rPr>
                <w:sz w:val="20"/>
                <w:szCs w:val="20"/>
                <w:color w:val="auto"/>
              </w:rPr>
            </w:pPr>
            <w:r>
              <w:rPr>
                <w:rFonts w:ascii="Arial" w:cs="Arial" w:eastAsia="Arial" w:hAnsi="Arial"/>
                <w:sz w:val="18"/>
                <w:szCs w:val="18"/>
                <w:color w:val="auto"/>
              </w:rPr>
              <w:t>Prior service cost (credit)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(609)</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(570)</w:t>
            </w:r>
          </w:p>
        </w:tc>
      </w:tr>
      <w:tr>
        <w:trPr>
          <w:trHeight w:val="227"/>
        </w:trPr>
        <w:tc>
          <w:tcPr>
            <w:tcW w:w="5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Actuarial loss (gain)</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w:t>
            </w:r>
          </w:p>
        </w:tc>
      </w:tr>
      <w:tr>
        <w:trPr>
          <w:trHeight w:val="227"/>
        </w:trPr>
        <w:tc>
          <w:tcPr>
            <w:tcW w:w="5920" w:type="dxa"/>
            <w:vAlign w:val="bottom"/>
          </w:tcPr>
          <w:p>
            <w:pPr>
              <w:spacing w:after="0"/>
              <w:rPr>
                <w:sz w:val="20"/>
                <w:szCs w:val="20"/>
                <w:color w:val="auto"/>
              </w:rPr>
            </w:pPr>
            <w:r>
              <w:rPr>
                <w:rFonts w:ascii="Arial" w:cs="Arial" w:eastAsia="Arial" w:hAnsi="Arial"/>
                <w:sz w:val="18"/>
                <w:szCs w:val="18"/>
                <w:color w:val="auto"/>
              </w:rPr>
              <w:t>Special termination benefit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0"/>
        </w:trPr>
        <w:tc>
          <w:tcPr>
            <w:tcW w:w="5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 (credit)</w:t>
            </w: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5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8"/>
                <w:szCs w:val="18"/>
                <w:color w:val="auto"/>
                <w:w w:val="92"/>
              </w:rPr>
              <w:t>Six Months Ended June 30,</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Pension</w:t>
            </w:r>
          </w:p>
        </w:tc>
        <w:tc>
          <w:tcPr>
            <w:tcW w:w="9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Postretirement Benefits</w:t>
            </w:r>
          </w:p>
        </w:tc>
        <w:tc>
          <w:tcPr>
            <w:tcW w:w="100" w:type="dxa"/>
            <w:vAlign w:val="bottom"/>
          </w:tcPr>
          <w:p>
            <w:pPr>
              <w:spacing w:after="0"/>
              <w:rPr>
                <w:sz w:val="19"/>
                <w:szCs w:val="19"/>
                <w:color w:val="auto"/>
              </w:rPr>
            </w:pPr>
          </w:p>
        </w:tc>
      </w:tr>
      <w:tr>
        <w:trPr>
          <w:trHeight w:val="220"/>
        </w:trPr>
        <w:tc>
          <w:tcPr>
            <w:tcW w:w="5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r>
      <w:tr>
        <w:trPr>
          <w:trHeight w:val="220"/>
        </w:trPr>
        <w:tc>
          <w:tcPr>
            <w:tcW w:w="5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60" w:type="dxa"/>
            <w:vAlign w:val="bottom"/>
            <w:gridSpan w:val="6"/>
          </w:tcPr>
          <w:p>
            <w:pPr>
              <w:jc w:val="center"/>
              <w:ind w:right="440"/>
              <w:spacing w:after="0"/>
              <w:rPr>
                <w:sz w:val="20"/>
                <w:szCs w:val="20"/>
                <w:color w:val="auto"/>
              </w:rPr>
            </w:pPr>
            <w:r>
              <w:rPr>
                <w:rFonts w:ascii="Arial" w:cs="Arial" w:eastAsia="Arial" w:hAnsi="Arial"/>
                <w:sz w:val="18"/>
                <w:szCs w:val="18"/>
                <w:i w:val="1"/>
                <w:iCs w:val="1"/>
                <w:color w:val="auto"/>
                <w:w w:val="96"/>
              </w:rPr>
              <w:t>(Dollars in Thousands)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11,082</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11,505</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r>
      <w:tr>
        <w:trPr>
          <w:trHeight w:val="227"/>
        </w:trPr>
        <w:tc>
          <w:tcPr>
            <w:tcW w:w="5920" w:type="dxa"/>
            <w:vAlign w:val="bottom"/>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17,938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r>
      <w:tr>
        <w:trPr>
          <w:trHeight w:val="227"/>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assets</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(18,848)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(18,190)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5920" w:type="dxa"/>
            <w:vAlign w:val="bottom"/>
          </w:tcPr>
          <w:p>
            <w:pPr>
              <w:spacing w:after="0"/>
              <w:rPr>
                <w:sz w:val="20"/>
                <w:szCs w:val="20"/>
                <w:color w:val="auto"/>
              </w:rPr>
            </w:pPr>
            <w:r>
              <w:rPr>
                <w:rFonts w:ascii="Arial" w:cs="Arial" w:eastAsia="Arial" w:hAnsi="Arial"/>
                <w:sz w:val="18"/>
                <w:szCs w:val="18"/>
                <w:color w:val="auto"/>
              </w:rPr>
              <w:t>Amortization of:</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Prior service cost (credit)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(981)</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(1,150)</w:t>
            </w:r>
          </w:p>
        </w:tc>
      </w:tr>
      <w:tr>
        <w:trPr>
          <w:trHeight w:val="227"/>
        </w:trPr>
        <w:tc>
          <w:tcPr>
            <w:tcW w:w="5920" w:type="dxa"/>
            <w:vAlign w:val="bottom"/>
          </w:tcPr>
          <w:p>
            <w:pPr>
              <w:ind w:left="240"/>
              <w:spacing w:after="0"/>
              <w:rPr>
                <w:sz w:val="20"/>
                <w:szCs w:val="20"/>
                <w:color w:val="auto"/>
              </w:rPr>
            </w:pPr>
            <w:r>
              <w:rPr>
                <w:rFonts w:ascii="Arial" w:cs="Arial" w:eastAsia="Arial" w:hAnsi="Arial"/>
                <w:sz w:val="18"/>
                <w:szCs w:val="18"/>
                <w:color w:val="auto"/>
              </w:rPr>
              <w:t>Actuarial loss (gain)</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6,036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r>
      <w:tr>
        <w:trPr>
          <w:trHeight w:val="227"/>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Settlement charge</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5920" w:type="dxa"/>
            <w:vAlign w:val="bottom"/>
          </w:tcPr>
          <w:p>
            <w:pPr>
              <w:spacing w:after="0"/>
              <w:rPr>
                <w:sz w:val="20"/>
                <w:szCs w:val="20"/>
                <w:color w:val="auto"/>
              </w:rPr>
            </w:pPr>
            <w:r>
              <w:rPr>
                <w:rFonts w:ascii="Arial" w:cs="Arial" w:eastAsia="Arial" w:hAnsi="Arial"/>
                <w:sz w:val="18"/>
                <w:szCs w:val="18"/>
                <w:color w:val="auto"/>
              </w:rPr>
              <w:t>Special termination benefit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0"/>
        </w:trPr>
        <w:tc>
          <w:tcPr>
            <w:tcW w:w="5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 (credit)</w:t>
            </w: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17,206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22,263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Corporation currently estimates that it will contribute $38,752,000 to its pension and SERP plans in 2016.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9" w:lineRule="exact"/>
        <w:rPr>
          <w:sz w:val="20"/>
          <w:szCs w:val="20"/>
          <w:color w:val="auto"/>
        </w:rPr>
      </w:pPr>
    </w:p>
    <w:p>
      <w:pPr>
        <w:ind w:left="380" w:right="8200" w:hanging="379"/>
        <w:spacing w:after="0" w:line="413" w:lineRule="auto"/>
        <w:tabs>
          <w:tab w:leader="none" w:pos="378"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u w:val="single" w:color="auto"/>
          <w:color w:val="auto"/>
        </w:rPr>
        <w:t>Legal and Administrative Proceedings</w:t>
      </w:r>
    </w:p>
    <w:p>
      <w:pPr>
        <w:spacing w:after="0" w:line="1" w:lineRule="exact"/>
        <w:rPr>
          <w:rFonts w:ascii="Arial" w:cs="Arial" w:eastAsia="Arial" w:hAnsi="Arial"/>
          <w:sz w:val="16"/>
          <w:szCs w:val="16"/>
          <w:b w:val="1"/>
          <w:bCs w:val="1"/>
          <w:color w:val="auto"/>
        </w:rPr>
      </w:pPr>
    </w:p>
    <w:p>
      <w:pPr>
        <w:jc w:val="both"/>
        <w:ind w:left="38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Corporation is engaged in certain legal and administrative proceedings incidental to its normal business activities. In the opinion of management and counsel, based upon currently-available facts, it is remote that the ultimate outcome of any litigation and other proceedings, including those pertaining to environmental matters, relating to the Corporation and its subsidiaries, will have a material adverse effect on the overall results of the Corporation’s operations, its cash flows or its financial position.</w:t>
      </w:r>
    </w:p>
    <w:p>
      <w:pPr>
        <w:spacing w:after="0" w:line="165" w:lineRule="exact"/>
        <w:rPr>
          <w:rFonts w:ascii="Arial" w:cs="Arial" w:eastAsia="Arial" w:hAnsi="Arial"/>
          <w:sz w:val="16"/>
          <w:szCs w:val="16"/>
          <w:b w:val="1"/>
          <w:bCs w:val="1"/>
          <w:color w:val="auto"/>
        </w:rPr>
      </w:pPr>
    </w:p>
    <w:p>
      <w:pPr>
        <w:ind w:left="38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Borrowing Arrangements with Affiliate</w:t>
      </w:r>
    </w:p>
    <w:p>
      <w:pPr>
        <w:spacing w:after="0" w:line="108" w:lineRule="exact"/>
        <w:rPr>
          <w:rFonts w:ascii="Arial" w:cs="Arial" w:eastAsia="Arial" w:hAnsi="Arial"/>
          <w:sz w:val="16"/>
          <w:szCs w:val="16"/>
          <w:b w:val="1"/>
          <w:bCs w:val="1"/>
          <w:color w:val="auto"/>
        </w:rPr>
      </w:pPr>
    </w:p>
    <w:p>
      <w:pPr>
        <w:jc w:val="both"/>
        <w:ind w:left="380"/>
        <w:spacing w:after="0" w:line="287" w:lineRule="auto"/>
        <w:rPr>
          <w:rFonts w:ascii="Arial" w:cs="Arial" w:eastAsia="Arial" w:hAnsi="Arial"/>
          <w:sz w:val="16"/>
          <w:szCs w:val="16"/>
          <w:b w:val="1"/>
          <w:bCs w:val="1"/>
          <w:color w:val="auto"/>
        </w:rPr>
      </w:pPr>
      <w:r>
        <w:rPr>
          <w:rFonts w:ascii="Arial" w:cs="Arial" w:eastAsia="Arial" w:hAnsi="Arial"/>
          <w:sz w:val="17"/>
          <w:szCs w:val="17"/>
          <w:color w:val="auto"/>
        </w:rPr>
        <w:t>The Corporation is a co-borrower with an unconsolidated affiliate for a $25,000,000 revolving line of credit agreement with BB&amp;T Bank. The affiliate has agreed to reimburse and indemnify the Corporation for any payments and expenses the Corporation may incur from this agreement. The Corporation holds a lien on the affiliate’s membership interest in a joint venture as collateral for payment under the revolving line of credit.</w:t>
      </w:r>
    </w:p>
    <w:p>
      <w:pPr>
        <w:spacing w:after="0" w:line="42" w:lineRule="exact"/>
        <w:rPr>
          <w:rFonts w:ascii="Arial" w:cs="Arial" w:eastAsia="Arial" w:hAnsi="Arial"/>
          <w:sz w:val="16"/>
          <w:szCs w:val="16"/>
          <w:b w:val="1"/>
          <w:bCs w:val="1"/>
          <w:color w:val="auto"/>
        </w:rPr>
      </w:pPr>
    </w:p>
    <w:p>
      <w:pPr>
        <w:ind w:left="380"/>
        <w:spacing w:after="0" w:line="280" w:lineRule="auto"/>
        <w:rPr>
          <w:rFonts w:ascii="Arial" w:cs="Arial" w:eastAsia="Arial" w:hAnsi="Arial"/>
          <w:sz w:val="16"/>
          <w:szCs w:val="16"/>
          <w:b w:val="1"/>
          <w:bCs w:val="1"/>
          <w:color w:val="auto"/>
        </w:rPr>
      </w:pPr>
      <w:r>
        <w:rPr>
          <w:rFonts w:ascii="Arial" w:cs="Arial" w:eastAsia="Arial" w:hAnsi="Arial"/>
          <w:sz w:val="18"/>
          <w:szCs w:val="18"/>
          <w:color w:val="auto"/>
        </w:rPr>
        <w:t>In addition, the Corporation has a $6,000,000 outstanding loan due from this unconsolidated affiliate as of June 30, 2016, December 31, 2015 and June 30, 2015.</w:t>
      </w:r>
    </w:p>
    <w:p>
      <w:pPr>
        <w:spacing w:after="0" w:line="147" w:lineRule="exact"/>
        <w:rPr>
          <w:rFonts w:ascii="Arial" w:cs="Arial" w:eastAsia="Arial" w:hAnsi="Arial"/>
          <w:sz w:val="16"/>
          <w:szCs w:val="16"/>
          <w:b w:val="1"/>
          <w:bCs w:val="1"/>
          <w:color w:val="auto"/>
        </w:rPr>
      </w:pPr>
    </w:p>
    <w:p>
      <w:pPr>
        <w:ind w:left="38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Employees</w:t>
      </w:r>
    </w:p>
    <w:p>
      <w:pPr>
        <w:spacing w:after="0" w:line="108" w:lineRule="exact"/>
        <w:rPr>
          <w:rFonts w:ascii="Arial" w:cs="Arial" w:eastAsia="Arial" w:hAnsi="Arial"/>
          <w:sz w:val="16"/>
          <w:szCs w:val="16"/>
          <w:b w:val="1"/>
          <w:bCs w:val="1"/>
          <w:color w:val="auto"/>
        </w:rPr>
      </w:pPr>
    </w:p>
    <w:p>
      <w:pPr>
        <w:jc w:val="both"/>
        <w:ind w:left="380"/>
        <w:spacing w:after="0" w:line="256" w:lineRule="auto"/>
        <w:rPr>
          <w:rFonts w:ascii="Arial" w:cs="Arial" w:eastAsia="Arial" w:hAnsi="Arial"/>
          <w:sz w:val="16"/>
          <w:szCs w:val="16"/>
          <w:b w:val="1"/>
          <w:bCs w:val="1"/>
          <w:color w:val="auto"/>
        </w:rPr>
      </w:pPr>
      <w:r>
        <w:rPr>
          <w:rFonts w:ascii="Arial" w:cs="Arial" w:eastAsia="Arial" w:hAnsi="Arial"/>
          <w:sz w:val="18"/>
          <w:szCs w:val="18"/>
          <w:color w:val="auto"/>
        </w:rPr>
        <w:t>Approximately 10% of the Corporation’s employees are represented by a labor union. All such employees are hourly employees. The Corporation maintains collective bargaining agreements relating to the union employees with the Aggregates business and Magnesia Specialties segments. For the Magnesia Specialties segment located in Manistee, Michigan and Woodville, Ohio, 100% of its hourly employees are represented by labor unions. The Manistee collective bargaining agreement expires in August 2019, and the Woodville collective bargaining agreement expires in May 2018.</w:t>
      </w:r>
    </w:p>
    <w:p>
      <w:pPr>
        <w:spacing w:after="0" w:line="266" w:lineRule="exact"/>
        <w:rPr>
          <w:rFonts w:ascii="Arial" w:cs="Arial" w:eastAsia="Arial" w:hAnsi="Arial"/>
          <w:sz w:val="16"/>
          <w:szCs w:val="16"/>
          <w:b w:val="1"/>
          <w:bCs w:val="1"/>
          <w:color w:val="auto"/>
        </w:rPr>
      </w:pPr>
    </w:p>
    <w:p>
      <w:pPr>
        <w:ind w:left="380" w:hanging="379"/>
        <w:spacing w:after="0"/>
        <w:tabs>
          <w:tab w:leader="none" w:pos="3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112" w:lineRule="exact"/>
        <w:rPr>
          <w:rFonts w:ascii="Arial" w:cs="Arial" w:eastAsia="Arial" w:hAnsi="Arial"/>
          <w:sz w:val="18"/>
          <w:szCs w:val="18"/>
          <w:b w:val="1"/>
          <w:bCs w:val="1"/>
          <w:color w:val="auto"/>
        </w:rPr>
      </w:pPr>
    </w:p>
    <w:p>
      <w:pPr>
        <w:jc w:val="both"/>
        <w:ind w:left="3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Aggregates business contains three reportable business segments: Mid-America Group, Southeast Group and West Group. The Corporation also has Cement and Magnesia Specialties segments. Corporate loss from operations primarily includes depreciation on capitalized interest, expenses for certain corporate administrative functions, business development and integration expenses, unallocated corporate expenses and other nonrecurring and/or non-operational adjustments. Intersegment sales represent net sales from one segment to another segment.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9" w:lineRule="exact"/>
        <w:rPr>
          <w:sz w:val="20"/>
          <w:szCs w:val="20"/>
          <w:color w:val="auto"/>
        </w:rPr>
      </w:pPr>
    </w:p>
    <w:p>
      <w:pPr>
        <w:ind w:left="380" w:hanging="379"/>
        <w:spacing w:after="0"/>
        <w:tabs>
          <w:tab w:leader="none" w:pos="3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 (continued)</w:t>
      </w:r>
    </w:p>
    <w:p>
      <w:pPr>
        <w:spacing w:after="0" w:line="112" w:lineRule="exact"/>
        <w:rPr>
          <w:rFonts w:ascii="Arial" w:cs="Arial" w:eastAsia="Arial" w:hAnsi="Arial"/>
          <w:sz w:val="18"/>
          <w:szCs w:val="18"/>
          <w:b w:val="1"/>
          <w:bCs w:val="1"/>
          <w:color w:val="auto"/>
        </w:rPr>
      </w:pPr>
    </w:p>
    <w:p>
      <w:pPr>
        <w:jc w:val="both"/>
        <w:ind w:left="3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following tables display selected financial data for continuing operations for the Corporation’s reportable business segments. Total revenues and net sales in the table below, as well as the consolidated statements of earnings and comprehensive earnings, exclude intersegment sales, which are eliminated.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40" w:type="dxa"/>
            <w:vAlign w:val="bottom"/>
            <w:gridSpan w:val="5"/>
          </w:tcPr>
          <w:p>
            <w:pPr>
              <w:jc w:val="right"/>
              <w:ind w:right="64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6"/>
          </w:tcPr>
          <w:p>
            <w:pPr>
              <w:jc w:val="right"/>
              <w:ind w:right="8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43"/>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8"/>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20" w:type="dxa"/>
            <w:vAlign w:val="bottom"/>
            <w:gridSpan w:val="5"/>
            <w:vMerge w:val="restart"/>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gridSpan w:val="6"/>
          </w:tcPr>
          <w:p>
            <w:pPr>
              <w:jc w:val="right"/>
              <w:ind w:right="640"/>
              <w:spacing w:after="0"/>
              <w:rPr>
                <w:sz w:val="20"/>
                <w:szCs w:val="20"/>
                <w:color w:val="auto"/>
              </w:rPr>
            </w:pPr>
            <w:r>
              <w:rPr>
                <w:rFonts w:ascii="Arial" w:cs="Arial" w:eastAsia="Arial" w:hAnsi="Arial"/>
                <w:sz w:val="18"/>
                <w:szCs w:val="18"/>
                <w:i w:val="1"/>
                <w:iCs w:val="1"/>
                <w:color w:val="auto"/>
              </w:rPr>
              <w:t>(Dollars in Thousands)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5820" w:type="dxa"/>
            <w:vAlign w:val="bottom"/>
            <w:gridSpan w:val="5"/>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58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Mid-America Group</w:t>
            </w:r>
          </w:p>
        </w:tc>
        <w:tc>
          <w:tcPr>
            <w:tcW w:w="2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278,676</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257,649</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465,023</w:t>
            </w:r>
          </w:p>
        </w:tc>
        <w:tc>
          <w:tcPr>
            <w:tcW w:w="2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23"/>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398,482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Southeast Group</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87,600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81,518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159,271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146,195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West Group</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484,918</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411,235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877,913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731,807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20" w:type="dxa"/>
            <w:vAlign w:val="bottom"/>
            <w:gridSpan w:val="5"/>
          </w:tcPr>
          <w:p>
            <w:pPr>
              <w:spacing w:after="0"/>
              <w:rPr>
                <w:sz w:val="20"/>
                <w:szCs w:val="20"/>
                <w:color w:val="auto"/>
              </w:rPr>
            </w:pPr>
            <w:r>
              <w:rPr>
                <w:rFonts w:ascii="Arial" w:cs="Arial" w:eastAsia="Arial" w:hAnsi="Arial"/>
                <w:sz w:val="18"/>
                <w:szCs w:val="18"/>
                <w:color w:val="auto"/>
              </w:rPr>
              <w:t>Total Aggregates Business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851,194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750,402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1,502,207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1,276,484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0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Cement</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62,468</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105,899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136,019</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207,999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00" w:type="dxa"/>
            <w:vAlign w:val="bottom"/>
            <w:tcBorders>
              <w:bottom w:val="single" w:sz="8" w:color="CFF0FC"/>
            </w:tcBorders>
            <w:gridSpan w:val="4"/>
          </w:tcPr>
          <w:p>
            <w:pPr>
              <w:spacing w:after="0"/>
              <w:rPr>
                <w:sz w:val="20"/>
                <w:szCs w:val="20"/>
                <w:color w:val="auto"/>
              </w:rPr>
            </w:pPr>
            <w:r>
              <w:rPr>
                <w:rFonts w:ascii="Arial" w:cs="Arial" w:eastAsia="Arial" w:hAnsi="Arial"/>
                <w:sz w:val="18"/>
                <w:szCs w:val="18"/>
                <w:color w:val="auto"/>
              </w:rPr>
              <w:t>Magnesia Specialties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63,636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65,118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127,806</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0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977,298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921,419</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1,766,032</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1,612,765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800" w:type="dxa"/>
            <w:vAlign w:val="bottom"/>
            <w:gridSpan w:val="4"/>
            <w:shd w:val="clear" w:color="auto" w:fill="CFF0FC"/>
          </w:tcPr>
          <w:p>
            <w:pPr>
              <w:spacing w:after="0" w:line="189" w:lineRule="exact"/>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1320" w:type="dxa"/>
            <w:vAlign w:val="bottom"/>
            <w:shd w:val="clear" w:color="auto" w:fill="CFF0FC"/>
          </w:tcPr>
          <w:p>
            <w:pPr>
              <w:spacing w:after="0"/>
              <w:rPr>
                <w:sz w:val="3"/>
                <w:szCs w:val="3"/>
                <w:color w:val="auto"/>
              </w:rPr>
            </w:pPr>
          </w:p>
        </w:tc>
        <w:tc>
          <w:tcPr>
            <w:tcW w:w="342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2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Mid-America Group</w:t>
            </w:r>
          </w:p>
        </w:tc>
        <w:tc>
          <w:tcPr>
            <w:tcW w:w="240" w:type="dxa"/>
            <w:vAlign w:val="bottom"/>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258,988</w:t>
            </w:r>
          </w:p>
        </w:tc>
        <w:tc>
          <w:tcPr>
            <w:tcW w:w="240" w:type="dxa"/>
            <w:vAlign w:val="bottom"/>
          </w:tcPr>
          <w:p>
            <w:pPr>
              <w:spacing w:after="0"/>
              <w:rPr>
                <w:sz w:val="19"/>
                <w:szCs w:val="19"/>
                <w:color w:val="auto"/>
              </w:rPr>
            </w:pPr>
          </w:p>
        </w:tc>
        <w:tc>
          <w:tcPr>
            <w:tcW w:w="280" w:type="dxa"/>
            <w:vAlign w:val="bottom"/>
          </w:tcPr>
          <w:p>
            <w:pPr>
              <w:jc w:val="right"/>
              <w:ind w:right="88"/>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237,415</w:t>
            </w:r>
          </w:p>
        </w:tc>
        <w:tc>
          <w:tcPr>
            <w:tcW w:w="160" w:type="dxa"/>
            <w:vAlign w:val="bottom"/>
          </w:tcPr>
          <w:p>
            <w:pPr>
              <w:spacing w:after="0"/>
              <w:rPr>
                <w:sz w:val="19"/>
                <w:szCs w:val="19"/>
                <w:color w:val="auto"/>
              </w:rPr>
            </w:pPr>
          </w:p>
        </w:tc>
        <w:tc>
          <w:tcPr>
            <w:tcW w:w="3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432,360</w:t>
            </w:r>
          </w:p>
        </w:tc>
        <w:tc>
          <w:tcPr>
            <w:tcW w:w="240" w:type="dxa"/>
            <w:vAlign w:val="bottom"/>
          </w:tcPr>
          <w:p>
            <w:pPr>
              <w:spacing w:after="0"/>
              <w:rPr>
                <w:sz w:val="19"/>
                <w:szCs w:val="19"/>
                <w:color w:val="auto"/>
              </w:rPr>
            </w:pPr>
          </w:p>
        </w:tc>
        <w:tc>
          <w:tcPr>
            <w:tcW w:w="300" w:type="dxa"/>
            <w:vAlign w:val="bottom"/>
            <w:gridSpan w:val="2"/>
          </w:tcPr>
          <w:p>
            <w:pPr>
              <w:jc w:val="right"/>
              <w:ind w:right="123"/>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367,120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Southeast Group</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82,676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76,483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149,961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00" w:type="dxa"/>
            <w:vAlign w:val="bottom"/>
            <w:tcBorders>
              <w:bottom w:val="single" w:sz="8" w:color="CFF0FC"/>
            </w:tcBorders>
            <w:gridSpan w:val="4"/>
          </w:tcPr>
          <w:p>
            <w:pPr>
              <w:spacing w:after="0"/>
              <w:rPr>
                <w:sz w:val="20"/>
                <w:szCs w:val="20"/>
                <w:color w:val="auto"/>
              </w:rPr>
            </w:pPr>
            <w:r>
              <w:rPr>
                <w:rFonts w:ascii="Arial" w:cs="Arial" w:eastAsia="Arial" w:hAnsi="Arial"/>
                <w:sz w:val="18"/>
                <w:szCs w:val="18"/>
                <w:color w:val="auto"/>
              </w:rPr>
              <w:t>West Group</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455,115</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375,489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819,040</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662,570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Total Aggregates Business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796,779</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689,387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1,401,361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1,165,943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20" w:type="dxa"/>
            <w:vAlign w:val="bottom"/>
            <w:gridSpan w:val="5"/>
          </w:tcPr>
          <w:p>
            <w:pPr>
              <w:spacing w:after="0"/>
              <w:rPr>
                <w:sz w:val="20"/>
                <w:szCs w:val="20"/>
                <w:color w:val="auto"/>
              </w:rPr>
            </w:pPr>
            <w:r>
              <w:rPr>
                <w:rFonts w:ascii="Arial" w:cs="Arial" w:eastAsia="Arial" w:hAnsi="Arial"/>
                <w:sz w:val="18"/>
                <w:szCs w:val="18"/>
                <w:color w:val="auto"/>
              </w:rPr>
              <w:t>Cement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59,791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100,405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129,664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Magnesia Specialties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58,866</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60,457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118,371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5820" w:type="dxa"/>
            <w:vAlign w:val="bottom"/>
            <w:gridSpan w:val="5"/>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915,436</w:t>
            </w:r>
          </w:p>
        </w:tc>
        <w:tc>
          <w:tcPr>
            <w:tcW w:w="240" w:type="dxa"/>
            <w:vAlign w:val="bottom"/>
          </w:tcPr>
          <w:p>
            <w:pPr>
              <w:spacing w:after="0"/>
              <w:rPr>
                <w:sz w:val="22"/>
                <w:szCs w:val="22"/>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850,249</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1,649,396</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1,482,124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6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CFF0FC"/>
            </w:tcBorders>
            <w:shd w:val="clear" w:color="auto" w:fill="CFF0FC"/>
          </w:tcPr>
          <w:p>
            <w:pPr>
              <w:spacing w:after="0"/>
              <w:rPr>
                <w:sz w:val="17"/>
                <w:szCs w:val="17"/>
                <w:color w:val="auto"/>
              </w:rPr>
            </w:pPr>
          </w:p>
        </w:tc>
        <w:tc>
          <w:tcPr>
            <w:tcW w:w="34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800" w:type="dxa"/>
            <w:vAlign w:val="bottom"/>
            <w:gridSpan w:val="4"/>
          </w:tcPr>
          <w:p>
            <w:pPr>
              <w:spacing w:after="0" w:line="189" w:lineRule="exact"/>
              <w:rPr>
                <w:sz w:val="20"/>
                <w:szCs w:val="20"/>
                <w:color w:val="auto"/>
              </w:rPr>
            </w:pPr>
            <w:r>
              <w:rPr>
                <w:rFonts w:ascii="Arial" w:cs="Arial" w:eastAsia="Arial" w:hAnsi="Arial"/>
                <w:sz w:val="18"/>
                <w:szCs w:val="18"/>
                <w:color w:val="auto"/>
              </w:rPr>
              <w:t>Earnings (Loss) from operations: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8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Mid-America Group</w:t>
            </w:r>
          </w:p>
        </w:tc>
        <w:tc>
          <w:tcPr>
            <w:tcW w:w="34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80,552</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66,894</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94,976</w:t>
            </w:r>
          </w:p>
        </w:tc>
        <w:tc>
          <w:tcPr>
            <w:tcW w:w="2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23"/>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62,691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Southeast Group</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11,548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18,519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West Group</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77,404</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49,177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116,201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20" w:type="dxa"/>
            <w:vAlign w:val="bottom"/>
            <w:gridSpan w:val="5"/>
          </w:tcPr>
          <w:p>
            <w:pPr>
              <w:spacing w:after="0"/>
              <w:rPr>
                <w:sz w:val="20"/>
                <w:szCs w:val="20"/>
                <w:color w:val="auto"/>
              </w:rPr>
            </w:pPr>
            <w:r>
              <w:rPr>
                <w:rFonts w:ascii="Arial" w:cs="Arial" w:eastAsia="Arial" w:hAnsi="Arial"/>
                <w:sz w:val="18"/>
                <w:szCs w:val="18"/>
                <w:color w:val="auto"/>
              </w:rPr>
              <w:t>Total Aggregates Business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169,504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120,889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229,696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129,636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0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Cement</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21,309</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22,468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47,626</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34,697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00" w:type="dxa"/>
            <w:vAlign w:val="bottom"/>
            <w:gridSpan w:val="4"/>
          </w:tcPr>
          <w:p>
            <w:pPr>
              <w:spacing w:after="0"/>
              <w:rPr>
                <w:sz w:val="20"/>
                <w:szCs w:val="20"/>
                <w:color w:val="auto"/>
              </w:rPr>
            </w:pPr>
            <w:r>
              <w:rPr>
                <w:rFonts w:ascii="Arial" w:cs="Arial" w:eastAsia="Arial" w:hAnsi="Arial"/>
                <w:sz w:val="18"/>
                <w:szCs w:val="18"/>
                <w:color w:val="auto"/>
              </w:rPr>
              <w:t>Magnesia Specialties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19,227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39,791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Corporate</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(22,298)</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(25,124)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(45,601)</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(38,319)</w:t>
            </w:r>
          </w:p>
        </w:tc>
        <w:tc>
          <w:tcPr>
            <w:tcW w:w="0" w:type="dxa"/>
            <w:vAlign w:val="bottom"/>
          </w:tcPr>
          <w:p>
            <w:pPr>
              <w:spacing w:after="0"/>
              <w:rPr>
                <w:sz w:val="1"/>
                <w:szCs w:val="1"/>
                <w:color w:val="auto"/>
              </w:rPr>
            </w:pPr>
          </w:p>
        </w:tc>
      </w:tr>
      <w:tr>
        <w:trPr>
          <w:trHeight w:val="220"/>
        </w:trPr>
        <w:tc>
          <w:tcPr>
            <w:tcW w:w="5820" w:type="dxa"/>
            <w:vAlign w:val="bottom"/>
            <w:gridSpan w:val="5"/>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187,742</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271,512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9" w:lineRule="exact"/>
        <w:rPr>
          <w:sz w:val="20"/>
          <w:szCs w:val="20"/>
          <w:color w:val="auto"/>
        </w:rPr>
      </w:pPr>
    </w:p>
    <w:p>
      <w:pPr>
        <w:ind w:left="380" w:hanging="379"/>
        <w:spacing w:after="0"/>
        <w:tabs>
          <w:tab w:leader="none" w:pos="3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 (continued)</w:t>
      </w:r>
    </w:p>
    <w:p>
      <w:pPr>
        <w:spacing w:after="0" w:line="112" w:lineRule="exact"/>
        <w:rPr>
          <w:rFonts w:ascii="Arial" w:cs="Arial" w:eastAsia="Arial" w:hAnsi="Arial"/>
          <w:sz w:val="18"/>
          <w:szCs w:val="18"/>
          <w:b w:val="1"/>
          <w:bCs w:val="1"/>
          <w:color w:val="auto"/>
        </w:rPr>
      </w:pPr>
    </w:p>
    <w:p>
      <w:pPr>
        <w:jc w:val="both"/>
        <w:ind w:left="3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decline in the Cement business’s total and net sales is primarily attributable to the California cement operations, included in the three and six months ended June 30, 2015 and divested as of September 30, 2015. For the three months ended June 30, 2015, total revenues, net sales and loss from operations for the California cement operations were $35,318,000, $34,160,000 and $485,000, respectively. For the six months ended June 30, 2015, total revenues, net sales and loss from operations for the California cement operations were $69,674,000, $67,267,000 and $7,906,000, respectively.</w:t>
      </w:r>
    </w:p>
    <w:p>
      <w:pPr>
        <w:spacing w:after="0" w:line="68" w:lineRule="exact"/>
        <w:rPr>
          <w:rFonts w:ascii="Arial" w:cs="Arial" w:eastAsia="Arial" w:hAnsi="Arial"/>
          <w:sz w:val="18"/>
          <w:szCs w:val="18"/>
          <w:b w:val="1"/>
          <w:bCs w:val="1"/>
          <w:color w:val="auto"/>
        </w:rPr>
      </w:pPr>
    </w:p>
    <w:p>
      <w:pPr>
        <w:jc w:val="both"/>
        <w:ind w:left="3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Cement intersegment sales, which are to the aggregates and ready mixed concrete product lines in the West Group, were $27,649,000 and $54,637,000 for the three and six months ended June 30, 2016, respectively, and $20,854,000 and $38,955,000 for the three and six months ended June 30, 2015, respectively.</w:t>
      </w:r>
    </w:p>
    <w:p>
      <w:pPr>
        <w:spacing w:after="0" w:line="61" w:lineRule="exact"/>
        <w:rPr>
          <w:rFonts w:ascii="Arial" w:cs="Arial" w:eastAsia="Arial" w:hAnsi="Arial"/>
          <w:sz w:val="18"/>
          <w:szCs w:val="18"/>
          <w:b w:val="1"/>
          <w:bCs w:val="1"/>
          <w:color w:val="auto"/>
        </w:rPr>
      </w:pPr>
    </w:p>
    <w:p>
      <w:pPr>
        <w:jc w:val="both"/>
        <w:ind w:left="3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Aggregates business includes the aggregates product line and aggregates-related downstream product lines, which include asphalt, ready mixed concrete and road paving products. All aggregates-related downstream product lines reside in the West Group. The following tables, which are reconciled to consolidated amounts, provide net sales and gross profit by line of business: Aggregates (further divided by product line), Cement and Magnesia Specialties.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0" w:type="dxa"/>
            <w:vAlign w:val="bottom"/>
            <w:gridSpan w:val="6"/>
          </w:tcPr>
          <w:p>
            <w:pPr>
              <w:jc w:val="right"/>
              <w:ind w:right="124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19"/>
                <w:szCs w:val="19"/>
                <w:color w:val="auto"/>
              </w:rPr>
            </w:pP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Six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8"/>
                <w:szCs w:val="18"/>
                <w:color w:val="auto"/>
              </w:rPr>
              <w:t>June 30,</w:t>
            </w:r>
          </w:p>
        </w:tc>
        <w:tc>
          <w:tcPr>
            <w:tcW w:w="12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8"/>
                <w:szCs w:val="18"/>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28"/>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28"/>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28"/>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28"/>
              <w:spacing w:after="0"/>
              <w:rPr>
                <w:sz w:val="20"/>
                <w:szCs w:val="20"/>
                <w:color w:val="auto"/>
              </w:rPr>
            </w:pPr>
            <w:r>
              <w:rPr>
                <w:rFonts w:ascii="Arial" w:cs="Arial" w:eastAsia="Arial" w:hAnsi="Arial"/>
                <w:sz w:val="18"/>
                <w:szCs w:val="18"/>
                <w:color w:val="auto"/>
                <w:w w:val="94"/>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00" w:type="dxa"/>
            <w:vAlign w:val="bottom"/>
            <w:gridSpan w:val="4"/>
            <w:vMerge w:val="restart"/>
          </w:tcPr>
          <w:p>
            <w:pPr>
              <w:spacing w:after="0"/>
              <w:rPr>
                <w:sz w:val="20"/>
                <w:szCs w:val="20"/>
                <w:color w:val="auto"/>
              </w:rPr>
            </w:pPr>
            <w:r>
              <w:rPr>
                <w:rFonts w:ascii="Arial" w:cs="Arial" w:eastAsia="Arial" w:hAnsi="Arial"/>
                <w:sz w:val="18"/>
                <w:szCs w:val="18"/>
                <w:color w:val="auto"/>
              </w:rPr>
              <w:t>Net sales: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380" w:type="dxa"/>
            <w:vAlign w:val="bottom"/>
            <w:gridSpan w:val="5"/>
          </w:tcPr>
          <w:p>
            <w:pPr>
              <w:jc w:val="right"/>
              <w:ind w:right="1160"/>
              <w:spacing w:after="0"/>
              <w:rPr>
                <w:sz w:val="20"/>
                <w:szCs w:val="20"/>
                <w:color w:val="auto"/>
              </w:rPr>
            </w:pPr>
            <w:r>
              <w:rPr>
                <w:rFonts w:ascii="Arial" w:cs="Arial" w:eastAsia="Arial" w:hAnsi="Arial"/>
                <w:sz w:val="18"/>
                <w:szCs w:val="18"/>
                <w:i w:val="1"/>
                <w:iCs w:val="1"/>
                <w:color w:val="auto"/>
              </w:rPr>
              <w:t>(Dollars in Thousands)</w:t>
            </w: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100" w:type="dxa"/>
            <w:vAlign w:val="bottom"/>
            <w:gridSpan w:val="4"/>
            <w:vMerge w:val="continue"/>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40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Aggregates</w:t>
            </w:r>
          </w:p>
        </w:tc>
        <w:tc>
          <w:tcPr>
            <w:tcW w:w="340" w:type="dxa"/>
            <w:vAlign w:val="bottom"/>
            <w:shd w:val="clear" w:color="auto" w:fill="CFF0FC"/>
          </w:tcPr>
          <w:p>
            <w:pPr>
              <w:jc w:val="right"/>
              <w:ind w:right="148"/>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516,283</w:t>
            </w:r>
          </w:p>
        </w:tc>
        <w:tc>
          <w:tcPr>
            <w:tcW w:w="18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481,616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922,721</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88"/>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813,830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Asphalt and Paving</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65,609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58,021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76,967</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Ready Mixed Concrete</w:t>
            </w: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214,887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149,750</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401,673</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277,323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00" w:type="dxa"/>
            <w:vAlign w:val="bottom"/>
            <w:gridSpan w:val="4"/>
          </w:tcPr>
          <w:p>
            <w:pPr>
              <w:spacing w:after="0"/>
              <w:rPr>
                <w:sz w:val="20"/>
                <w:szCs w:val="20"/>
                <w:color w:val="auto"/>
              </w:rPr>
            </w:pPr>
            <w:r>
              <w:rPr>
                <w:rFonts w:ascii="Arial" w:cs="Arial" w:eastAsia="Arial" w:hAnsi="Arial"/>
                <w:sz w:val="18"/>
                <w:szCs w:val="18"/>
                <w:color w:val="auto"/>
              </w:rPr>
              <w:t>Total Aggregates Business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796,779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689,387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1,401,361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1,165,943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Cement</w:t>
            </w:r>
          </w:p>
        </w:tc>
        <w:tc>
          <w:tcPr>
            <w:tcW w:w="3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59,791</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100,405</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129,664</w:t>
            </w:r>
          </w:p>
        </w:tc>
        <w:tc>
          <w:tcPr>
            <w:tcW w:w="2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196,970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Magnesia Specialties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58,866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60,457</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118,371</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8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915,436</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850,249</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1,649,396</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88"/>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1,482,124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408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color w:val="auto"/>
              </w:rPr>
              <w:t>Gross profit (loss):</w:t>
            </w: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3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Aggregates</w:t>
            </w:r>
          </w:p>
        </w:tc>
        <w:tc>
          <w:tcPr>
            <w:tcW w:w="2760" w:type="dxa"/>
            <w:vAlign w:val="bottom"/>
            <w:tcBorders>
              <w:top w:val="single" w:sz="8" w:color="CFF0FC"/>
            </w:tcBorders>
          </w:tcPr>
          <w:p>
            <w:pPr>
              <w:spacing w:after="0"/>
              <w:rPr>
                <w:sz w:val="19"/>
                <w:szCs w:val="19"/>
                <w:color w:val="auto"/>
              </w:rPr>
            </w:pPr>
          </w:p>
        </w:tc>
        <w:tc>
          <w:tcPr>
            <w:tcW w:w="340" w:type="dxa"/>
            <w:vAlign w:val="bottom"/>
            <w:tcBorders>
              <w:top w:val="single" w:sz="8" w:color="CFF0FC"/>
            </w:tcBorders>
          </w:tcPr>
          <w:p>
            <w:pPr>
              <w:jc w:val="right"/>
              <w:ind w:right="148"/>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164,353</w:t>
            </w:r>
          </w:p>
        </w:tc>
        <w:tc>
          <w:tcPr>
            <w:tcW w:w="180" w:type="dxa"/>
            <w:vAlign w:val="bottom"/>
            <w:tcBorders>
              <w:top w:val="single" w:sz="8" w:color="CFF0FC"/>
            </w:tcBorders>
          </w:tcPr>
          <w:p>
            <w:pPr>
              <w:spacing w:after="0"/>
              <w:rPr>
                <w:sz w:val="19"/>
                <w:szCs w:val="19"/>
                <w:color w:val="auto"/>
              </w:rPr>
            </w:pPr>
          </w:p>
        </w:tc>
        <w:tc>
          <w:tcPr>
            <w:tcW w:w="480" w:type="dxa"/>
            <w:vAlign w:val="bottom"/>
            <w:tcBorders>
              <w:top w:val="single" w:sz="8" w:color="CFF0FC"/>
            </w:tcBorders>
            <w:gridSpan w:val="2"/>
          </w:tcPr>
          <w:p>
            <w:pPr>
              <w:jc w:val="right"/>
              <w:ind w:right="188"/>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137,272</w:t>
            </w: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CFF0FC"/>
            </w:tcBorders>
          </w:tcPr>
          <w:p>
            <w:pPr>
              <w:jc w:val="right"/>
              <w:ind w:right="168"/>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245,431</w:t>
            </w:r>
          </w:p>
        </w:tc>
        <w:tc>
          <w:tcPr>
            <w:tcW w:w="280" w:type="dxa"/>
            <w:vAlign w:val="bottom"/>
            <w:tcBorders>
              <w:top w:val="single" w:sz="8" w:color="CFF0FC"/>
            </w:tcBorders>
          </w:tcPr>
          <w:p>
            <w:pPr>
              <w:spacing w:after="0"/>
              <w:rPr>
                <w:sz w:val="19"/>
                <w:szCs w:val="19"/>
                <w:color w:val="auto"/>
              </w:rPr>
            </w:pPr>
          </w:p>
        </w:tc>
        <w:tc>
          <w:tcPr>
            <w:tcW w:w="580" w:type="dxa"/>
            <w:vAlign w:val="bottom"/>
            <w:tcBorders>
              <w:top w:val="single" w:sz="8" w:color="CFF0FC"/>
            </w:tcBorders>
          </w:tcPr>
          <w:p>
            <w:pPr>
              <w:jc w:val="right"/>
              <w:ind w:right="388"/>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178,690</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Asphalt and Paving</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Ready Mixed Concrete</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9,341</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43,380</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 Aggregates Business</w:t>
            </w: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202,522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154,504</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295,525</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193,230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00" w:type="dxa"/>
            <w:vAlign w:val="bottom"/>
            <w:gridSpan w:val="4"/>
          </w:tcPr>
          <w:p>
            <w:pPr>
              <w:spacing w:after="0"/>
              <w:rPr>
                <w:sz w:val="20"/>
                <w:szCs w:val="20"/>
                <w:color w:val="auto"/>
              </w:rPr>
            </w:pPr>
            <w:r>
              <w:rPr>
                <w:rFonts w:ascii="Arial" w:cs="Arial" w:eastAsia="Arial" w:hAnsi="Arial"/>
                <w:sz w:val="18"/>
                <w:szCs w:val="18"/>
                <w:color w:val="auto"/>
              </w:rPr>
              <w:t>Cement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30,414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56,559</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Magnesia Specialties</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21,692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44,662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(5,989)</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(5,411)</w:t>
            </w:r>
          </w:p>
        </w:tc>
        <w:tc>
          <w:tcPr>
            <w:tcW w:w="5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8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246,701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200,153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68"/>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391,335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88"/>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274,414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380"/>
        <w:spacing w:after="0" w:line="280" w:lineRule="auto"/>
        <w:rPr>
          <w:sz w:val="20"/>
          <w:szCs w:val="20"/>
          <w:color w:val="auto"/>
        </w:rPr>
      </w:pPr>
      <w:r>
        <w:rPr>
          <w:rFonts w:ascii="Arial" w:cs="Arial" w:eastAsia="Arial" w:hAnsi="Arial"/>
          <w:sz w:val="18"/>
          <w:szCs w:val="18"/>
          <w:color w:val="auto"/>
        </w:rPr>
        <w:t>For the three months ended June 30, 2015, gross profit for the California cement operations was $3,424,000. For the six months ended June 30, 2015, the operation’s gross loss was $647,000.</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9" w:lineRule="exact"/>
        <w:rPr>
          <w:sz w:val="20"/>
          <w:szCs w:val="20"/>
          <w:color w:val="auto"/>
        </w:rPr>
      </w:pPr>
    </w:p>
    <w:p>
      <w:pPr>
        <w:ind w:left="380" w:hanging="379"/>
        <w:spacing w:after="0"/>
        <w:tabs>
          <w:tab w:leader="none" w:pos="3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112"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components of the change in other assets and liabilities, net,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80" w:type="dxa"/>
            <w:vAlign w:val="bottom"/>
            <w:gridSpan w:val="3"/>
          </w:tcPr>
          <w:p>
            <w:pPr>
              <w:jc w:val="center"/>
              <w:ind w:right="298"/>
              <w:spacing w:after="0"/>
              <w:rPr>
                <w:sz w:val="20"/>
                <w:szCs w:val="20"/>
                <w:color w:val="auto"/>
              </w:rPr>
            </w:pPr>
            <w:r>
              <w:rPr>
                <w:rFonts w:ascii="Arial" w:cs="Arial" w:eastAsia="Arial" w:hAnsi="Arial"/>
                <w:sz w:val="18"/>
                <w:szCs w:val="18"/>
                <w:color w:val="auto"/>
                <w:w w:val="94"/>
              </w:rPr>
              <w:t>Six Months Ended</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1"/>
        </w:trPr>
        <w:tc>
          <w:tcPr>
            <w:tcW w:w="78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right="298"/>
              <w:spacing w:after="0"/>
              <w:rPr>
                <w:sz w:val="20"/>
                <w:szCs w:val="20"/>
                <w:color w:val="auto"/>
              </w:rPr>
            </w:pPr>
            <w:r>
              <w:rPr>
                <w:rFonts w:ascii="Arial" w:cs="Arial" w:eastAsia="Arial" w:hAnsi="Arial"/>
                <w:sz w:val="18"/>
                <w:szCs w:val="18"/>
                <w:color w:val="auto"/>
                <w:w w:val="89"/>
              </w:rPr>
              <w:t>June 30,</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0"/>
        </w:trPr>
        <w:tc>
          <w:tcPr>
            <w:tcW w:w="78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6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840" w:type="dxa"/>
            <w:vAlign w:val="bottom"/>
          </w:tcPr>
          <w:p>
            <w:pPr>
              <w:spacing w:after="0"/>
              <w:rPr>
                <w:sz w:val="18"/>
                <w:szCs w:val="18"/>
                <w:color w:val="auto"/>
              </w:rPr>
            </w:pPr>
          </w:p>
        </w:tc>
        <w:tc>
          <w:tcPr>
            <w:tcW w:w="2860" w:type="dxa"/>
            <w:vAlign w:val="bottom"/>
            <w:gridSpan w:val="4"/>
          </w:tcPr>
          <w:p>
            <w:pPr>
              <w:jc w:val="center"/>
              <w:ind w:left="488"/>
              <w:spacing w:after="0"/>
              <w:rPr>
                <w:sz w:val="20"/>
                <w:szCs w:val="20"/>
                <w:color w:val="auto"/>
              </w:rPr>
            </w:pPr>
            <w:r>
              <w:rPr>
                <w:rFonts w:ascii="Arial" w:cs="Arial" w:eastAsia="Arial" w:hAnsi="Arial"/>
                <w:sz w:val="18"/>
                <w:szCs w:val="18"/>
                <w:i w:val="1"/>
                <w:iCs w:val="1"/>
                <w:color w:val="auto"/>
                <w:w w:val="94"/>
              </w:rPr>
              <w:t>(Dollars in Thousands)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7840" w:type="dxa"/>
            <w:vAlign w:val="bottom"/>
          </w:tcPr>
          <w:p>
            <w:pPr>
              <w:spacing w:after="0"/>
              <w:rPr>
                <w:sz w:val="20"/>
                <w:szCs w:val="20"/>
                <w:color w:val="auto"/>
              </w:rPr>
            </w:pPr>
            <w:r>
              <w:rPr>
                <w:rFonts w:ascii="Arial" w:cs="Arial" w:eastAsia="Arial" w:hAnsi="Arial"/>
                <w:sz w:val="18"/>
                <w:szCs w:val="18"/>
                <w:color w:val="auto"/>
              </w:rPr>
              <w:t>Other current and noncurrent assets</w:t>
            </w:r>
          </w:p>
        </w:tc>
        <w:tc>
          <w:tcPr>
            <w:tcW w:w="980" w:type="dxa"/>
            <w:vAlign w:val="bottom"/>
          </w:tcPr>
          <w:p>
            <w:pPr>
              <w:jc w:val="right"/>
              <w:ind w:right="788"/>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(9,691)</w:t>
            </w:r>
          </w:p>
        </w:tc>
        <w:tc>
          <w:tcPr>
            <w:tcW w:w="980" w:type="dxa"/>
            <w:vAlign w:val="bottom"/>
          </w:tcPr>
          <w:p>
            <w:pPr>
              <w:jc w:val="right"/>
              <w:ind w:right="818"/>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(5,501)</w:t>
            </w:r>
          </w:p>
        </w:tc>
      </w:tr>
      <w:tr>
        <w:trPr>
          <w:trHeight w:val="227"/>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Accrued salaries, benefits and payroll taxes</w:t>
            </w:r>
          </w:p>
        </w:tc>
        <w:tc>
          <w:tcPr>
            <w:tcW w:w="9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(7,808)</w:t>
            </w: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(13,794)</w:t>
            </w:r>
          </w:p>
        </w:tc>
      </w:tr>
      <w:tr>
        <w:trPr>
          <w:trHeight w:val="227"/>
        </w:trPr>
        <w:tc>
          <w:tcPr>
            <w:tcW w:w="7840" w:type="dxa"/>
            <w:vAlign w:val="bottom"/>
          </w:tcPr>
          <w:p>
            <w:pPr>
              <w:spacing w:after="0"/>
              <w:rPr>
                <w:sz w:val="20"/>
                <w:szCs w:val="20"/>
                <w:color w:val="auto"/>
              </w:rPr>
            </w:pPr>
            <w:r>
              <w:rPr>
                <w:rFonts w:ascii="Arial" w:cs="Arial" w:eastAsia="Arial" w:hAnsi="Arial"/>
                <w:sz w:val="18"/>
                <w:szCs w:val="18"/>
                <w:color w:val="auto"/>
              </w:rPr>
              <w:t>Accrued insurance and other taxes</w:t>
            </w:r>
          </w:p>
        </w:tc>
        <w:tc>
          <w:tcPr>
            <w:tcW w:w="9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(256)</w:t>
            </w:r>
          </w:p>
        </w:tc>
        <w:tc>
          <w:tcPr>
            <w:tcW w:w="9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(1,278)</w:t>
            </w:r>
          </w:p>
        </w:tc>
      </w:tr>
      <w:tr>
        <w:trPr>
          <w:trHeight w:val="227"/>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Accrued income taxes</w:t>
            </w:r>
          </w:p>
        </w:tc>
        <w:tc>
          <w:tcPr>
            <w:tcW w:w="9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(8,495)</w:t>
            </w: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(19,902)</w:t>
            </w:r>
          </w:p>
        </w:tc>
      </w:tr>
      <w:tr>
        <w:trPr>
          <w:trHeight w:val="227"/>
        </w:trPr>
        <w:tc>
          <w:tcPr>
            <w:tcW w:w="7840" w:type="dxa"/>
            <w:vAlign w:val="bottom"/>
          </w:tcPr>
          <w:p>
            <w:pPr>
              <w:spacing w:after="0"/>
              <w:rPr>
                <w:sz w:val="20"/>
                <w:szCs w:val="20"/>
                <w:color w:val="auto"/>
              </w:rPr>
            </w:pPr>
            <w:r>
              <w:rPr>
                <w:rFonts w:ascii="Arial" w:cs="Arial" w:eastAsia="Arial" w:hAnsi="Arial"/>
                <w:sz w:val="18"/>
                <w:szCs w:val="18"/>
                <w:color w:val="auto"/>
              </w:rPr>
              <w:t>Accrued pension, postretirement and postemployment benefits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11,757</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16,283</w:t>
            </w:r>
          </w:p>
        </w:tc>
        <w:tc>
          <w:tcPr>
            <w:tcW w:w="120" w:type="dxa"/>
            <w:vAlign w:val="bottom"/>
          </w:tcPr>
          <w:p>
            <w:pPr>
              <w:spacing w:after="0"/>
              <w:rPr>
                <w:sz w:val="19"/>
                <w:szCs w:val="19"/>
                <w:color w:val="auto"/>
              </w:rPr>
            </w:pPr>
          </w:p>
        </w:tc>
      </w:tr>
      <w:tr>
        <w:trPr>
          <w:trHeight w:val="227"/>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and noncurrent liabilities</w:t>
            </w:r>
          </w:p>
        </w:tc>
        <w:tc>
          <w:tcPr>
            <w:tcW w:w="9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(8,002)</w:t>
            </w: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(4,878)</w:t>
            </w:r>
          </w:p>
        </w:tc>
      </w:tr>
      <w:tr>
        <w:trPr>
          <w:trHeight w:val="220"/>
        </w:trPr>
        <w:tc>
          <w:tcPr>
            <w:tcW w:w="78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(22,495)</w:t>
            </w:r>
          </w:p>
        </w:tc>
        <w:tc>
          <w:tcPr>
            <w:tcW w:w="3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1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(29,070)</w:t>
            </w:r>
          </w:p>
        </w:tc>
        <w:tc>
          <w:tcPr>
            <w:tcW w:w="120" w:type="dxa"/>
            <w:vAlign w:val="bottom"/>
          </w:tcPr>
          <w:p>
            <w:pPr>
              <w:spacing w:after="0"/>
              <w:rPr>
                <w:sz w:val="19"/>
                <w:szCs w:val="19"/>
                <w:color w:val="auto"/>
              </w:rPr>
            </w:pPr>
          </w:p>
        </w:tc>
      </w:tr>
      <w:tr>
        <w:trPr>
          <w:trHeight w:val="20"/>
        </w:trPr>
        <w:tc>
          <w:tcPr>
            <w:tcW w:w="7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4" w:lineRule="exact"/>
        <w:rPr>
          <w:sz w:val="20"/>
          <w:szCs w:val="20"/>
          <w:color w:val="auto"/>
        </w:rPr>
      </w:pPr>
    </w:p>
    <w:p>
      <w:pPr>
        <w:ind w:left="380"/>
        <w:spacing w:after="0" w:line="280" w:lineRule="auto"/>
        <w:rPr>
          <w:sz w:val="20"/>
          <w:szCs w:val="20"/>
          <w:color w:val="auto"/>
        </w:rPr>
      </w:pPr>
      <w:r>
        <w:rPr>
          <w:rFonts w:ascii="Arial" w:cs="Arial" w:eastAsia="Arial" w:hAnsi="Arial"/>
          <w:sz w:val="18"/>
          <w:szCs w:val="18"/>
          <w:color w:val="auto"/>
        </w:rPr>
        <w:t>The change in accrued salaries, benefits and payroll taxes in 2016 compared to 2015 was primarily attributable to TXI-related severance payments made in 2015. The change in accrued income taxes was attributable to higher taxable income in 2016 compared to 2015.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40" w:type="dxa"/>
            <w:vAlign w:val="bottom"/>
          </w:tcPr>
          <w:p>
            <w:pPr>
              <w:ind w:left="380"/>
              <w:spacing w:after="0"/>
              <w:rPr>
                <w:sz w:val="20"/>
                <w:szCs w:val="20"/>
                <w:color w:val="auto"/>
              </w:rPr>
            </w:pPr>
            <w:r>
              <w:rPr>
                <w:rFonts w:ascii="Arial" w:cs="Arial" w:eastAsia="Arial" w:hAnsi="Arial"/>
                <w:sz w:val="18"/>
                <w:szCs w:val="18"/>
                <w:color w:val="auto"/>
              </w:rPr>
              <w:t>Noncash investing and financing activities are as follows:</w:t>
            </w:r>
          </w:p>
        </w:tc>
        <w:tc>
          <w:tcPr>
            <w:tcW w:w="1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4"/>
              </w:rPr>
              <w:t>Six Months Ended</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June 30,</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8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68"/>
              <w:spacing w:after="0"/>
              <w:rPr>
                <w:sz w:val="20"/>
                <w:szCs w:val="20"/>
                <w:color w:val="auto"/>
              </w:rPr>
            </w:pPr>
            <w:r>
              <w:rPr>
                <w:rFonts w:ascii="Arial" w:cs="Arial" w:eastAsia="Arial" w:hAnsi="Arial"/>
                <w:sz w:val="18"/>
                <w:szCs w:val="18"/>
                <w:color w:val="auto"/>
                <w:w w:val="94"/>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40" w:type="dxa"/>
            <w:vAlign w:val="bottom"/>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1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80" w:type="dxa"/>
            <w:vAlign w:val="bottom"/>
            <w:gridSpan w:val="2"/>
          </w:tcPr>
          <w:p>
            <w:pPr>
              <w:jc w:val="center"/>
              <w:spacing w:after="0"/>
              <w:rPr>
                <w:sz w:val="20"/>
                <w:szCs w:val="20"/>
                <w:color w:val="auto"/>
              </w:rPr>
            </w:pPr>
            <w:r>
              <w:rPr>
                <w:rFonts w:ascii="Arial" w:cs="Arial" w:eastAsia="Arial" w:hAnsi="Arial"/>
                <w:sz w:val="18"/>
                <w:szCs w:val="18"/>
                <w:i w:val="1"/>
                <w:iCs w:val="1"/>
                <w:color w:val="auto"/>
                <w:w w:val="94"/>
              </w:rPr>
              <w:t>(Dollars in Thousands)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4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Acquisition of assets through capital lease</w:t>
            </w:r>
          </w:p>
        </w:tc>
        <w:tc>
          <w:tcPr>
            <w:tcW w:w="2440" w:type="dxa"/>
            <w:vAlign w:val="bottom"/>
            <w:gridSpan w:val="2"/>
            <w:shd w:val="clear" w:color="auto" w:fill="CFF0FC"/>
          </w:tcPr>
          <w:p>
            <w:pPr>
              <w:jc w:val="right"/>
              <w:ind w:right="96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940" w:type="dxa"/>
            <w:vAlign w:val="bottom"/>
          </w:tcPr>
          <w:p>
            <w:pPr>
              <w:ind w:left="240"/>
              <w:spacing w:after="0"/>
              <w:rPr>
                <w:sz w:val="20"/>
                <w:szCs w:val="20"/>
                <w:color w:val="auto"/>
              </w:rPr>
            </w:pPr>
            <w:r>
              <w:rPr>
                <w:rFonts w:ascii="Arial" w:cs="Arial" w:eastAsia="Arial" w:hAnsi="Arial"/>
                <w:sz w:val="18"/>
                <w:szCs w:val="18"/>
                <w:color w:val="auto"/>
              </w:rPr>
              <w:t>Acquisition of assets through asset exchange</w:t>
            </w:r>
          </w:p>
        </w:tc>
        <w:tc>
          <w:tcPr>
            <w:tcW w:w="1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ind w:left="5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540" w:hanging="539"/>
        <w:spacing w:after="0"/>
        <w:tabs>
          <w:tab w:leader="none" w:pos="5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12" w:lineRule="exact"/>
        <w:rPr>
          <w:sz w:val="20"/>
          <w:szCs w:val="20"/>
          <w:color w:val="auto"/>
        </w:rPr>
      </w:pPr>
    </w:p>
    <w:p>
      <w:pPr>
        <w:jc w:val="both"/>
        <w:ind w:left="380"/>
        <w:spacing w:after="0" w:line="253" w:lineRule="auto"/>
        <w:rPr>
          <w:sz w:val="20"/>
          <w:szCs w:val="20"/>
          <w:color w:val="auto"/>
        </w:rPr>
      </w:pPr>
      <w:r>
        <w:rPr>
          <w:rFonts w:ascii="Arial" w:cs="Arial" w:eastAsia="Arial" w:hAnsi="Arial"/>
          <w:sz w:val="18"/>
          <w:szCs w:val="18"/>
          <w:color w:val="auto"/>
        </w:rPr>
        <w:t>During the first quarter 2016, the Corporation acquired the outstanding stock of Rocky Mountain Materials and Asphalt, Inc., and Rocky Mountain Premix Inc. The acquisition provides more than 500 million tons of mineral reserves and expands the Corporation’s presence along the Front Range of the Rocky Mountains, home to 80% of Colorado’s population. The acquired operations are reported through the West Group. The Corporation has recorded preliminary fair values of the assets acquired and liabilities assumed; however, certain amounts are subject to change as additional reviews are performed, including asset and liability verification and review of seller’s final tax return. Specific accounts subject to ongoing purchase accounting include property, plant and equipment; goodwill; accrued expenses and deferred income taxes. The acquisition was not financially material; therefore, pro forma information is not required.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12" w:lineRule="exact"/>
        <w:rPr>
          <w:sz w:val="20"/>
          <w:szCs w:val="20"/>
          <w:color w:val="auto"/>
        </w:rPr>
      </w:pPr>
    </w:p>
    <w:p>
      <w:pPr>
        <w:jc w:val="both"/>
        <w:ind w:left="360"/>
        <w:spacing w:after="0" w:line="255" w:lineRule="auto"/>
        <w:rPr>
          <w:sz w:val="20"/>
          <w:szCs w:val="20"/>
          <w:color w:val="auto"/>
        </w:rPr>
      </w:pPr>
      <w:r>
        <w:rPr>
          <w:rFonts w:ascii="Arial" w:cs="Arial" w:eastAsia="Arial" w:hAnsi="Arial"/>
          <w:sz w:val="18"/>
          <w:szCs w:val="18"/>
          <w:color w:val="auto"/>
        </w:rPr>
        <w:t>During the quarter ended March 31, 2016, the Corporation awarded its annual grant of stock-based compensation, which included 75,421 of performance stock units and 68,720 of restricted stock units. The grant-date fair value of each award is $142.02 for the performance stock units and $124.41 for the restricted stock units. No stock options are expected to be awarded in 2016. In past years, annual stock-based compensation awards were primarily made in the second quarter of the year. The change in the composition of the awards and the timing of the annual grant resulted in higher expense recorded in the first half of the year compared with prior years. For the six months ended June 30, 2016 and 2015, stock-based compensation expense was $12,801,000 and $7,524,000, respectively.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66675</wp:posOffset>
            </wp:positionV>
            <wp:extent cx="729678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00"/>
          </w:cols>
          <w:pgMar w:left="260" w:top="124" w:right="239" w:bottom="1440" w:gutter="0" w:footer="0" w:header="0"/>
        </w:sectPr>
      </w:pPr>
    </w:p>
    <w:bookmarkStart w:id="23" w:name="page24"/>
    <w:bookmarkEnd w:id="23"/>
    <w:p>
      <w:pPr>
        <w:jc w:val="center"/>
        <w:ind w:right="40"/>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Second Quarter Ended June 30, 2016</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108" w:lineRule="exact"/>
        <w:rPr>
          <w:sz w:val="20"/>
          <w:szCs w:val="20"/>
          <w:color w:val="auto"/>
        </w:rPr>
      </w:pPr>
    </w:p>
    <w:p>
      <w:pPr>
        <w:jc w:val="both"/>
        <w:ind w:right="40"/>
        <w:spacing w:after="0" w:line="268" w:lineRule="auto"/>
        <w:rPr>
          <w:sz w:val="20"/>
          <w:szCs w:val="20"/>
          <w:color w:val="auto"/>
        </w:rPr>
      </w:pPr>
      <w:r>
        <w:rPr>
          <w:rFonts w:ascii="Arial" w:cs="Arial" w:eastAsia="Arial" w:hAnsi="Arial"/>
          <w:sz w:val="17"/>
          <w:szCs w:val="17"/>
          <w:color w:val="auto"/>
        </w:rPr>
        <w:t>Martin Marietta Materials, Inc. (the “Corporation” or “Martin Marietta”) is a leading supplier of aggregates products (crushed stone, sand and gravel) and heavy building materials for the construction industry, including infrastructure, nonresidential, residential, railroad ballast, agricultural and chemical grade stone used in environmental applications. The Corporation’s annual consolidated net sales and operating earnings are predominately derived from its Aggregates business, which mines, processes and sells granite, limestone, sand, gravel and other aggregates-related downstream products, including ready mixed concrete, asphalt and road paving construction services for use in all sectors of the public infrastructure, environmental industries, nonresidential and residential construction industries, as well as agriculture, railroad ballast, chemical, utility and other uses. The Aggregates business shipped and delivered aggregates, ready mixed concrete and asphalt products from a network of more than 400 quarries, underground mines, distribution facilities and plants in 26 states, Nova Scotia and the Bahamas. The Aggregates business’ products are used primarily by commercial customers principally in domestic construction of highways and other infrastructure projects and for nonresidential and residential building development. Aggregates products are also used in the railroad, agricultural, utility and environmental industries.</w:t>
      </w:r>
    </w:p>
    <w:p>
      <w:pPr>
        <w:spacing w:after="0" w:line="163" w:lineRule="exact"/>
        <w:rPr>
          <w:sz w:val="20"/>
          <w:szCs w:val="20"/>
          <w:color w:val="auto"/>
        </w:rPr>
      </w:pPr>
    </w:p>
    <w:p>
      <w:pPr>
        <w:jc w:val="both"/>
        <w:ind w:right="40"/>
        <w:spacing w:after="0" w:line="280" w:lineRule="auto"/>
        <w:rPr>
          <w:sz w:val="20"/>
          <w:szCs w:val="20"/>
          <w:color w:val="auto"/>
        </w:rPr>
      </w:pPr>
      <w:r>
        <w:rPr>
          <w:rFonts w:ascii="Arial" w:cs="Arial" w:eastAsia="Arial" w:hAnsi="Arial"/>
          <w:sz w:val="18"/>
          <w:szCs w:val="18"/>
          <w:color w:val="auto"/>
        </w:rPr>
        <w:t>The Corporation currently conducts its Aggregates business through three reportable business segments: Mid-America Group, Southeast Group and West Group.</w:t>
      </w:r>
    </w:p>
    <w:p>
      <w:pPr>
        <w:spacing w:after="0" w:line="4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AGGREGATES BUSINESS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8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90"/>
              </w:rPr>
              <w:t>Reportable Segments</w:t>
            </w:r>
          </w:p>
        </w:tc>
        <w:tc>
          <w:tcPr>
            <w:tcW w:w="47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98"/>
              </w:rPr>
              <w:t>Mid-America Group</w:t>
            </w:r>
          </w:p>
        </w:tc>
        <w:tc>
          <w:tcPr>
            <w:tcW w:w="19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91"/>
              </w:rPr>
              <w:t>Southeast Group</w:t>
            </w:r>
          </w:p>
        </w:tc>
        <w:tc>
          <w:tcPr>
            <w:tcW w:w="3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West Group</w:t>
            </w:r>
          </w:p>
        </w:tc>
        <w:tc>
          <w:tcPr>
            <w:tcW w:w="40" w:type="dxa"/>
            <w:vAlign w:val="bottom"/>
          </w:tcPr>
          <w:p>
            <w:pPr>
              <w:spacing w:after="0"/>
              <w:rPr>
                <w:sz w:val="19"/>
                <w:szCs w:val="19"/>
                <w:color w:val="auto"/>
              </w:rPr>
            </w:pPr>
          </w:p>
        </w:tc>
      </w:tr>
      <w:tr>
        <w:trPr>
          <w:trHeight w:val="190"/>
        </w:trPr>
        <w:tc>
          <w:tcPr>
            <w:tcW w:w="158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8"/>
                <w:szCs w:val="18"/>
                <w:color w:val="auto"/>
                <w:w w:val="93"/>
              </w:rPr>
              <w:t>Operating Locations</w:t>
            </w:r>
          </w:p>
        </w:tc>
        <w:tc>
          <w:tcPr>
            <w:tcW w:w="100" w:type="dxa"/>
            <w:vAlign w:val="bottom"/>
          </w:tcPr>
          <w:p>
            <w:pPr>
              <w:spacing w:after="0"/>
              <w:rPr>
                <w:sz w:val="16"/>
                <w:szCs w:val="16"/>
                <w:color w:val="auto"/>
              </w:rPr>
            </w:pPr>
          </w:p>
        </w:tc>
        <w:tc>
          <w:tcPr>
            <w:tcW w:w="466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8"/>
                <w:szCs w:val="18"/>
                <w:color w:val="auto"/>
                <w:w w:val="94"/>
              </w:rPr>
              <w:t>Indiana, Iowa, northern Kansas, Kentucky, Maryland,</w:t>
            </w:r>
          </w:p>
        </w:tc>
        <w:tc>
          <w:tcPr>
            <w:tcW w:w="100" w:type="dxa"/>
            <w:vAlign w:val="bottom"/>
          </w:tcPr>
          <w:p>
            <w:pPr>
              <w:spacing w:after="0"/>
              <w:rPr>
                <w:sz w:val="16"/>
                <w:szCs w:val="16"/>
                <w:color w:val="auto"/>
              </w:rPr>
            </w:pPr>
          </w:p>
        </w:tc>
        <w:tc>
          <w:tcPr>
            <w:tcW w:w="184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8"/>
                <w:szCs w:val="18"/>
                <w:color w:val="auto"/>
                <w:w w:val="94"/>
              </w:rPr>
              <w:t>Alabama, Florida,</w:t>
            </w:r>
          </w:p>
        </w:tc>
        <w:tc>
          <w:tcPr>
            <w:tcW w:w="10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8"/>
                <w:szCs w:val="18"/>
                <w:color w:val="auto"/>
                <w:w w:val="91"/>
              </w:rPr>
              <w:t>Arkansas, Colorado, southern Kansas,</w:t>
            </w:r>
          </w:p>
        </w:tc>
        <w:tc>
          <w:tcPr>
            <w:tcW w:w="40" w:type="dxa"/>
            <w:vAlign w:val="bottom"/>
          </w:tcPr>
          <w:p>
            <w:pPr>
              <w:spacing w:after="0"/>
              <w:rPr>
                <w:sz w:val="16"/>
                <w:szCs w:val="16"/>
                <w:color w:val="auto"/>
              </w:rPr>
            </w:pPr>
          </w:p>
        </w:tc>
      </w:tr>
      <w:tr>
        <w:trPr>
          <w:trHeight w:val="214"/>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Minnesota, Missouri, eastern Nebraska, North Carolina, Ohio,</w:t>
            </w:r>
          </w:p>
        </w:tc>
        <w:tc>
          <w:tcPr>
            <w:tcW w:w="19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Georgia, Tennessee,</w:t>
            </w:r>
          </w:p>
        </w:tc>
        <w:tc>
          <w:tcPr>
            <w:tcW w:w="3040" w:type="dxa"/>
            <w:vAlign w:val="bottom"/>
          </w:tcPr>
          <w:p>
            <w:pPr>
              <w:jc w:val="center"/>
              <w:spacing w:after="0"/>
              <w:rPr>
                <w:sz w:val="20"/>
                <w:szCs w:val="20"/>
                <w:color w:val="auto"/>
              </w:rPr>
            </w:pPr>
            <w:r>
              <w:rPr>
                <w:rFonts w:ascii="Arial" w:cs="Arial" w:eastAsia="Arial" w:hAnsi="Arial"/>
                <w:sz w:val="18"/>
                <w:szCs w:val="18"/>
                <w:color w:val="auto"/>
                <w:w w:val="91"/>
              </w:rPr>
              <w:t>Louisiana, western Nebraska, Nevada,</w:t>
            </w:r>
          </w:p>
        </w:tc>
        <w:tc>
          <w:tcPr>
            <w:tcW w:w="40" w:type="dxa"/>
            <w:vAlign w:val="bottom"/>
          </w:tcPr>
          <w:p>
            <w:pPr>
              <w:spacing w:after="0"/>
              <w:rPr>
                <w:sz w:val="18"/>
                <w:szCs w:val="18"/>
                <w:color w:val="auto"/>
              </w:rPr>
            </w:pPr>
          </w:p>
        </w:tc>
      </w:tr>
      <w:tr>
        <w:trPr>
          <w:trHeight w:val="214"/>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South Carolina, Virginia, Washington and West Virginia</w:t>
            </w:r>
          </w:p>
        </w:tc>
        <w:tc>
          <w:tcPr>
            <w:tcW w:w="19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Nova Scotia and the</w:t>
            </w:r>
          </w:p>
        </w:tc>
        <w:tc>
          <w:tcPr>
            <w:tcW w:w="3040" w:type="dxa"/>
            <w:vAlign w:val="bottom"/>
          </w:tcPr>
          <w:p>
            <w:pPr>
              <w:jc w:val="center"/>
              <w:spacing w:after="0"/>
              <w:rPr>
                <w:sz w:val="20"/>
                <w:szCs w:val="20"/>
                <w:color w:val="auto"/>
              </w:rPr>
            </w:pPr>
            <w:r>
              <w:rPr>
                <w:rFonts w:ascii="Arial" w:cs="Arial" w:eastAsia="Arial" w:hAnsi="Arial"/>
                <w:sz w:val="18"/>
                <w:szCs w:val="18"/>
                <w:color w:val="auto"/>
                <w:w w:val="92"/>
              </w:rPr>
              <w:t>Oklahoma, Texas, Utah and Wyoming</w:t>
            </w:r>
          </w:p>
        </w:tc>
        <w:tc>
          <w:tcPr>
            <w:tcW w:w="40" w:type="dxa"/>
            <w:vAlign w:val="bottom"/>
          </w:tcPr>
          <w:p>
            <w:pPr>
              <w:spacing w:after="0"/>
              <w:rPr>
                <w:sz w:val="18"/>
                <w:szCs w:val="18"/>
                <w:color w:val="auto"/>
              </w:rPr>
            </w:pPr>
          </w:p>
        </w:tc>
      </w:tr>
      <w:tr>
        <w:trPr>
          <w:trHeight w:val="235"/>
        </w:trPr>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Bahamas</w:t>
            </w:r>
          </w:p>
        </w:tc>
        <w:tc>
          <w:tcPr>
            <w:tcW w:w="30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08"/>
        </w:trPr>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Product Lines</w:t>
            </w:r>
          </w:p>
        </w:tc>
        <w:tc>
          <w:tcPr>
            <w:tcW w:w="4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Aggregates (crushed stone, sand and gravel)</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Aggregates (crushed</w:t>
            </w:r>
          </w:p>
        </w:tc>
        <w:tc>
          <w:tcPr>
            <w:tcW w:w="3040" w:type="dxa"/>
            <w:vAlign w:val="bottom"/>
          </w:tcPr>
          <w:p>
            <w:pPr>
              <w:jc w:val="center"/>
              <w:spacing w:after="0"/>
              <w:rPr>
                <w:sz w:val="20"/>
                <w:szCs w:val="20"/>
                <w:color w:val="auto"/>
              </w:rPr>
            </w:pPr>
            <w:r>
              <w:rPr>
                <w:rFonts w:ascii="Arial" w:cs="Arial" w:eastAsia="Arial" w:hAnsi="Arial"/>
                <w:sz w:val="18"/>
                <w:szCs w:val="18"/>
                <w:color w:val="auto"/>
                <w:w w:val="89"/>
              </w:rPr>
              <w:t>Aggregates (crushed stone, sand and</w:t>
            </w:r>
          </w:p>
        </w:tc>
        <w:tc>
          <w:tcPr>
            <w:tcW w:w="40" w:type="dxa"/>
            <w:vAlign w:val="bottom"/>
          </w:tcPr>
          <w:p>
            <w:pPr>
              <w:spacing w:after="0"/>
              <w:rPr>
                <w:sz w:val="24"/>
                <w:szCs w:val="24"/>
                <w:color w:val="auto"/>
              </w:rPr>
            </w:pPr>
          </w:p>
        </w:tc>
      </w:tr>
      <w:tr>
        <w:trPr>
          <w:trHeight w:val="214"/>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stone, sand and gravel)</w:t>
            </w:r>
          </w:p>
        </w:tc>
        <w:tc>
          <w:tcPr>
            <w:tcW w:w="3040" w:type="dxa"/>
            <w:vAlign w:val="bottom"/>
          </w:tcPr>
          <w:p>
            <w:pPr>
              <w:jc w:val="center"/>
              <w:spacing w:after="0"/>
              <w:rPr>
                <w:sz w:val="20"/>
                <w:szCs w:val="20"/>
                <w:color w:val="auto"/>
              </w:rPr>
            </w:pPr>
            <w:r>
              <w:rPr>
                <w:rFonts w:ascii="Arial" w:cs="Arial" w:eastAsia="Arial" w:hAnsi="Arial"/>
                <w:sz w:val="18"/>
                <w:szCs w:val="18"/>
                <w:color w:val="auto"/>
                <w:w w:val="92"/>
              </w:rPr>
              <w:t>gravel), ready mixed concrete, asphalt</w:t>
            </w:r>
          </w:p>
        </w:tc>
        <w:tc>
          <w:tcPr>
            <w:tcW w:w="40" w:type="dxa"/>
            <w:vAlign w:val="bottom"/>
          </w:tcPr>
          <w:p>
            <w:pPr>
              <w:spacing w:after="0"/>
              <w:rPr>
                <w:sz w:val="18"/>
                <w:szCs w:val="18"/>
                <w:color w:val="auto"/>
              </w:rPr>
            </w:pPr>
          </w:p>
        </w:tc>
      </w:tr>
      <w:tr>
        <w:trPr>
          <w:trHeight w:val="235"/>
        </w:trPr>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1"/>
              </w:rPr>
              <w:t>and road paving</w:t>
            </w:r>
          </w:p>
        </w:tc>
        <w:tc>
          <w:tcPr>
            <w:tcW w:w="40" w:type="dxa"/>
            <w:vAlign w:val="bottom"/>
          </w:tcPr>
          <w:p>
            <w:pPr>
              <w:spacing w:after="0"/>
              <w:rPr>
                <w:sz w:val="20"/>
                <w:szCs w:val="20"/>
                <w:color w:val="auto"/>
              </w:rPr>
            </w:pPr>
          </w:p>
        </w:tc>
      </w:tr>
      <w:tr>
        <w:trPr>
          <w:trHeight w:val="408"/>
        </w:trPr>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Types of Aggregates</w:t>
            </w:r>
          </w:p>
        </w:tc>
        <w:tc>
          <w:tcPr>
            <w:tcW w:w="47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Quarries and Distribution Facilities</w:t>
            </w:r>
          </w:p>
        </w:tc>
        <w:tc>
          <w:tcPr>
            <w:tcW w:w="19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Quarries and</w:t>
            </w:r>
          </w:p>
        </w:tc>
        <w:tc>
          <w:tcPr>
            <w:tcW w:w="3040" w:type="dxa"/>
            <w:vAlign w:val="bottom"/>
          </w:tcPr>
          <w:p>
            <w:pPr>
              <w:jc w:val="center"/>
              <w:spacing w:after="0"/>
              <w:rPr>
                <w:sz w:val="20"/>
                <w:szCs w:val="20"/>
                <w:color w:val="auto"/>
              </w:rPr>
            </w:pPr>
            <w:r>
              <w:rPr>
                <w:rFonts w:ascii="Arial" w:cs="Arial" w:eastAsia="Arial" w:hAnsi="Arial"/>
                <w:sz w:val="18"/>
                <w:szCs w:val="18"/>
                <w:color w:val="auto"/>
                <w:w w:val="91"/>
              </w:rPr>
              <w:t>Quarries, Plants and</w:t>
            </w:r>
          </w:p>
        </w:tc>
        <w:tc>
          <w:tcPr>
            <w:tcW w:w="40" w:type="dxa"/>
            <w:vAlign w:val="bottom"/>
          </w:tcPr>
          <w:p>
            <w:pPr>
              <w:spacing w:after="0"/>
              <w:rPr>
                <w:sz w:val="24"/>
                <w:szCs w:val="24"/>
                <w:color w:val="auto"/>
              </w:rPr>
            </w:pPr>
          </w:p>
        </w:tc>
      </w:tr>
      <w:tr>
        <w:trPr>
          <w:trHeight w:val="235"/>
        </w:trPr>
        <w:tc>
          <w:tcPr>
            <w:tcW w:w="1680" w:type="dxa"/>
            <w:vAlign w:val="bottom"/>
            <w:gridSpan w:val="2"/>
          </w:tcPr>
          <w:p>
            <w:pPr>
              <w:jc w:val="center"/>
              <w:ind w:left="8"/>
              <w:spacing w:after="0"/>
              <w:rPr>
                <w:sz w:val="20"/>
                <w:szCs w:val="20"/>
                <w:color w:val="auto"/>
              </w:rPr>
            </w:pPr>
            <w:r>
              <w:rPr>
                <w:rFonts w:ascii="Arial" w:cs="Arial" w:eastAsia="Arial" w:hAnsi="Arial"/>
                <w:sz w:val="18"/>
                <w:szCs w:val="18"/>
                <w:color w:val="auto"/>
                <w:w w:val="95"/>
              </w:rPr>
              <w:t>Locations</w:t>
            </w:r>
          </w:p>
        </w:tc>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Distribution Facilities</w:t>
            </w:r>
          </w:p>
        </w:tc>
        <w:tc>
          <w:tcPr>
            <w:tcW w:w="3040" w:type="dxa"/>
            <w:vAlign w:val="bottom"/>
          </w:tcPr>
          <w:p>
            <w:pPr>
              <w:jc w:val="center"/>
              <w:spacing w:after="0"/>
              <w:rPr>
                <w:sz w:val="20"/>
                <w:szCs w:val="20"/>
                <w:color w:val="auto"/>
              </w:rPr>
            </w:pPr>
            <w:r>
              <w:rPr>
                <w:rFonts w:ascii="Arial" w:cs="Arial" w:eastAsia="Arial" w:hAnsi="Arial"/>
                <w:sz w:val="18"/>
                <w:szCs w:val="18"/>
                <w:color w:val="auto"/>
                <w:w w:val="98"/>
              </w:rPr>
              <w:t>Distribution Facilities</w:t>
            </w:r>
          </w:p>
        </w:tc>
        <w:tc>
          <w:tcPr>
            <w:tcW w:w="40" w:type="dxa"/>
            <w:vAlign w:val="bottom"/>
          </w:tcPr>
          <w:p>
            <w:pPr>
              <w:spacing w:after="0"/>
              <w:rPr>
                <w:sz w:val="20"/>
                <w:szCs w:val="20"/>
                <w:color w:val="auto"/>
              </w:rPr>
            </w:pPr>
          </w:p>
        </w:tc>
      </w:tr>
      <w:tr>
        <w:trPr>
          <w:trHeight w:val="421"/>
        </w:trPr>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Modes of</w:t>
            </w:r>
          </w:p>
        </w:tc>
        <w:tc>
          <w:tcPr>
            <w:tcW w:w="47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Truck and Rail</w:t>
            </w:r>
          </w:p>
        </w:tc>
        <w:tc>
          <w:tcPr>
            <w:tcW w:w="19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Truck, Rail and Water</w:t>
            </w:r>
          </w:p>
        </w:tc>
        <w:tc>
          <w:tcPr>
            <w:tcW w:w="3040" w:type="dxa"/>
            <w:vAlign w:val="bottom"/>
          </w:tcPr>
          <w:p>
            <w:pPr>
              <w:jc w:val="center"/>
              <w:spacing w:after="0"/>
              <w:rPr>
                <w:sz w:val="20"/>
                <w:szCs w:val="20"/>
                <w:color w:val="auto"/>
              </w:rPr>
            </w:pPr>
            <w:r>
              <w:rPr>
                <w:rFonts w:ascii="Arial" w:cs="Arial" w:eastAsia="Arial" w:hAnsi="Arial"/>
                <w:sz w:val="18"/>
                <w:szCs w:val="18"/>
                <w:color w:val="auto"/>
                <w:w w:val="94"/>
              </w:rPr>
              <w:t>Truck and Rail</w:t>
            </w:r>
          </w:p>
        </w:tc>
        <w:tc>
          <w:tcPr>
            <w:tcW w:w="40" w:type="dxa"/>
            <w:vAlign w:val="bottom"/>
          </w:tcPr>
          <w:p>
            <w:pPr>
              <w:spacing w:after="0"/>
              <w:rPr>
                <w:sz w:val="24"/>
                <w:szCs w:val="24"/>
                <w:color w:val="auto"/>
              </w:rPr>
            </w:pPr>
          </w:p>
        </w:tc>
      </w:tr>
      <w:tr>
        <w:trPr>
          <w:trHeight w:val="214"/>
        </w:trPr>
        <w:tc>
          <w:tcPr>
            <w:tcW w:w="1680" w:type="dxa"/>
            <w:vAlign w:val="bottom"/>
            <w:gridSpan w:val="2"/>
          </w:tcPr>
          <w:p>
            <w:pPr>
              <w:jc w:val="center"/>
              <w:ind w:left="8"/>
              <w:spacing w:after="0"/>
              <w:rPr>
                <w:sz w:val="20"/>
                <w:szCs w:val="20"/>
                <w:color w:val="auto"/>
              </w:rPr>
            </w:pPr>
            <w:r>
              <w:rPr>
                <w:rFonts w:ascii="Arial" w:cs="Arial" w:eastAsia="Arial" w:hAnsi="Arial"/>
                <w:sz w:val="18"/>
                <w:szCs w:val="18"/>
                <w:color w:val="auto"/>
                <w:w w:val="94"/>
              </w:rPr>
              <w:t>Transportation for</w:t>
            </w: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1680" w:type="dxa"/>
            <w:vAlign w:val="bottom"/>
            <w:gridSpan w:val="2"/>
          </w:tcPr>
          <w:p>
            <w:pPr>
              <w:jc w:val="center"/>
              <w:ind w:left="8"/>
              <w:spacing w:after="0"/>
              <w:rPr>
                <w:sz w:val="20"/>
                <w:szCs w:val="20"/>
                <w:color w:val="auto"/>
              </w:rPr>
            </w:pPr>
            <w:r>
              <w:rPr>
                <w:rFonts w:ascii="Arial" w:cs="Arial" w:eastAsia="Arial" w:hAnsi="Arial"/>
                <w:sz w:val="18"/>
                <w:szCs w:val="18"/>
                <w:color w:val="auto"/>
                <w:w w:val="93"/>
              </w:rPr>
              <w:t>Aggregates</w:t>
            </w: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5"/>
        </w:trPr>
        <w:tc>
          <w:tcPr>
            <w:tcW w:w="1680" w:type="dxa"/>
            <w:vAlign w:val="bottom"/>
            <w:gridSpan w:val="2"/>
          </w:tcPr>
          <w:p>
            <w:pPr>
              <w:jc w:val="center"/>
              <w:ind w:left="28"/>
              <w:spacing w:after="0"/>
              <w:rPr>
                <w:sz w:val="20"/>
                <w:szCs w:val="20"/>
                <w:color w:val="auto"/>
              </w:rPr>
            </w:pPr>
            <w:r>
              <w:rPr>
                <w:rFonts w:ascii="Arial" w:cs="Arial" w:eastAsia="Arial" w:hAnsi="Arial"/>
                <w:sz w:val="18"/>
                <w:szCs w:val="18"/>
                <w:color w:val="auto"/>
                <w:w w:val="94"/>
              </w:rPr>
              <w:t>Product Line</w:t>
            </w:r>
          </w:p>
        </w:tc>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832"/>
        </w:trPr>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gridSpan w:val="2"/>
          </w:tcPr>
          <w:p>
            <w:pPr>
              <w:ind w:left="3520"/>
              <w:spacing w:after="0"/>
              <w:rPr>
                <w:sz w:val="20"/>
                <w:szCs w:val="20"/>
                <w:color w:val="auto"/>
              </w:rPr>
            </w:pPr>
            <w:r>
              <w:rPr>
                <w:rFonts w:ascii="Arial" w:cs="Arial" w:eastAsia="Arial" w:hAnsi="Arial"/>
                <w:sz w:val="18"/>
                <w:szCs w:val="18"/>
                <w:color w:val="auto"/>
              </w:rPr>
              <w:t>Page 24 of 61</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3"/>
        </w:trPr>
        <w:tc>
          <w:tcPr>
            <w:tcW w:w="1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-27940</wp:posOffset>
            </wp:positionV>
            <wp:extent cx="3365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Cement business produces Portland and specialty cements. Similar to the Aggregates business, cement is used in infrastructure projects, nonresidential and residential construction, and the railroad, agricultural, utility and environmental industries. The production facilities are located in Midlothian, Texas, south of Dallas-Fort Worth and Hunter, Texas, north of San Antonio. Limestone reserves used as a raw material are owned by the Corporation and located on property adjacent to each of the plants. In addition to the manufacturing facilities, the Corporation operates cement distribution terminals.</w:t>
      </w:r>
    </w:p>
    <w:p>
      <w:pPr>
        <w:spacing w:after="0" w:line="6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Corporation also has a Magnesia Specialties segment that produces magnesia-based chemicals products used in industrial, agricultural and environmental applications and dolomitic lime sold primarily to customers in the steel industry.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10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Corporation outlined its critical accounting policies in its Annual Report on Form 10-K for the year ended December 31, 2015. There were no changes to the Corporation’s critical accounting policies during the six months ended June 30, 2016.</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Except as indicated, the comparative analysis in this Management’s Discussion and Analysis of Financial Condition and Results of Operations is based on net sales and cost of sales. Gross margin and operating margin calculated as percentages of total revenues represent the most directly comparable financial measures calculated in accordance with generally accepted accounting principles (“GAAP”). However, gross margin as a percentage of net sales and operating margin as a percentage of net sales represent non-GAAP measures. The Corporation presents these ratios calculated based on net sales, as it is consistent with the basis by which management reviews the Corporation’s operating results. Further, management believes it is consistent with the basis by which investors analyze the Corporation’s operating results given that freight and delivery revenues and costs represent pass-throughs and have no profit mark-up. The following tables present the calculations of gross margin and operating margin for the three and six months ended June 30, 2016 and 2015 in accordance with GAAP and reconciliations of the ratios as percentages of total revenues to percentages of net sales.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80" w:type="dxa"/>
            <w:vAlign w:val="bottom"/>
          </w:tcPr>
          <w:p>
            <w:pPr>
              <w:spacing w:after="0"/>
              <w:rPr>
                <w:sz w:val="20"/>
                <w:szCs w:val="20"/>
                <w:color w:val="auto"/>
              </w:rPr>
            </w:pPr>
            <w:r>
              <w:rPr>
                <w:rFonts w:ascii="Arial" w:cs="Arial" w:eastAsia="Arial" w:hAnsi="Arial"/>
                <w:sz w:val="18"/>
                <w:szCs w:val="18"/>
                <w:b w:val="1"/>
                <w:bCs w:val="1"/>
                <w:color w:val="auto"/>
              </w:rPr>
              <w:t>Consolidated Gross Margin in Accordance with GAAP</w:t>
            </w:r>
          </w:p>
        </w:tc>
        <w:tc>
          <w:tcPr>
            <w:tcW w:w="240" w:type="dxa"/>
            <w:vAlign w:val="bottom"/>
          </w:tcPr>
          <w:p>
            <w:pPr>
              <w:spacing w:after="0"/>
              <w:rPr>
                <w:sz w:val="20"/>
                <w:szCs w:val="20"/>
                <w:color w:val="auto"/>
              </w:rPr>
            </w:pPr>
          </w:p>
        </w:tc>
        <w:tc>
          <w:tcPr>
            <w:tcW w:w="2560" w:type="dxa"/>
            <w:vAlign w:val="bottom"/>
            <w:gridSpan w:val="5"/>
            <w:vMerge w:val="restart"/>
          </w:tcPr>
          <w:p>
            <w:pPr>
              <w:jc w:val="right"/>
              <w:ind w:right="72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vMerge w:val="restart"/>
          </w:tcPr>
          <w:p>
            <w:pPr>
              <w:jc w:val="right"/>
              <w:ind w:right="8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9"/>
        </w:trPr>
        <w:tc>
          <w:tcPr>
            <w:tcW w:w="5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43"/>
              <w:spacing w:after="0"/>
              <w:rPr>
                <w:sz w:val="20"/>
                <w:szCs w:val="20"/>
                <w:color w:val="auto"/>
              </w:rPr>
            </w:pPr>
            <w:r>
              <w:rPr>
                <w:rFonts w:ascii="Arial" w:cs="Arial" w:eastAsia="Arial" w:hAnsi="Arial"/>
                <w:sz w:val="18"/>
                <w:szCs w:val="18"/>
                <w:color w:val="auto"/>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6"/>
          </w:tcPr>
          <w:p>
            <w:pPr>
              <w:jc w:val="right"/>
              <w:ind w:right="680"/>
              <w:spacing w:after="0"/>
              <w:rPr>
                <w:sz w:val="20"/>
                <w:szCs w:val="20"/>
                <w:color w:val="auto"/>
              </w:rPr>
            </w:pPr>
            <w:r>
              <w:rPr>
                <w:rFonts w:ascii="Arial" w:cs="Arial" w:eastAsia="Arial" w:hAnsi="Arial"/>
                <w:sz w:val="18"/>
                <w:szCs w:val="18"/>
                <w:i w:val="1"/>
                <w:iCs w:val="1"/>
                <w:color w:val="auto"/>
              </w:rPr>
              <w:t>(Dollars in Thousands)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80" w:type="dxa"/>
            <w:vAlign w:val="bottom"/>
            <w:shd w:val="clear" w:color="auto" w:fill="CFF2FA"/>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2FA"/>
          </w:tcPr>
          <w:p>
            <w:pPr>
              <w:jc w:val="right"/>
              <w:ind w:right="48"/>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246,701</w:t>
            </w:r>
          </w:p>
        </w:tc>
        <w:tc>
          <w:tcPr>
            <w:tcW w:w="320" w:type="dxa"/>
            <w:vAlign w:val="bottom"/>
            <w:shd w:val="clear" w:color="auto" w:fill="CFF2FA"/>
          </w:tcPr>
          <w:p>
            <w:pPr>
              <w:spacing w:after="0"/>
              <w:rPr>
                <w:sz w:val="19"/>
                <w:szCs w:val="19"/>
                <w:color w:val="auto"/>
              </w:rPr>
            </w:pPr>
          </w:p>
        </w:tc>
        <w:tc>
          <w:tcPr>
            <w:tcW w:w="260" w:type="dxa"/>
            <w:vAlign w:val="bottom"/>
            <w:shd w:val="clear" w:color="auto" w:fill="CFF2FA"/>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200,153</w:t>
            </w:r>
          </w:p>
        </w:tc>
        <w:tc>
          <w:tcPr>
            <w:tcW w:w="180" w:type="dxa"/>
            <w:vAlign w:val="bottom"/>
            <w:shd w:val="clear" w:color="auto" w:fill="CFF2FA"/>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2FA"/>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391,335</w:t>
            </w:r>
          </w:p>
        </w:tc>
        <w:tc>
          <w:tcPr>
            <w:tcW w:w="220" w:type="dxa"/>
            <w:vAlign w:val="bottom"/>
            <w:shd w:val="clear" w:color="auto" w:fill="CFF2FA"/>
          </w:tcPr>
          <w:p>
            <w:pPr>
              <w:spacing w:after="0"/>
              <w:rPr>
                <w:sz w:val="19"/>
                <w:szCs w:val="19"/>
                <w:color w:val="auto"/>
              </w:rPr>
            </w:pPr>
          </w:p>
        </w:tc>
        <w:tc>
          <w:tcPr>
            <w:tcW w:w="360" w:type="dxa"/>
            <w:vAlign w:val="bottom"/>
            <w:gridSpan w:val="2"/>
            <w:shd w:val="clear" w:color="auto" w:fill="CFF2FA"/>
          </w:tcPr>
          <w:p>
            <w:pPr>
              <w:jc w:val="right"/>
              <w:ind w:right="103"/>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274,414</w:t>
            </w:r>
          </w:p>
        </w:tc>
        <w:tc>
          <w:tcPr>
            <w:tcW w:w="16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10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680" w:type="dxa"/>
            <w:vAlign w:val="bottom"/>
            <w:tcBorders>
              <w:bottom w:val="single" w:sz="8" w:color="CFF2FA"/>
            </w:tcBorders>
            <w:vMerge w:val="continue"/>
          </w:tcPr>
          <w:p>
            <w:pPr>
              <w:spacing w:after="0"/>
              <w:rPr>
                <w:sz w:val="21"/>
                <w:szCs w:val="21"/>
                <w:color w:val="auto"/>
              </w:rPr>
            </w:pPr>
          </w:p>
        </w:tc>
        <w:tc>
          <w:tcPr>
            <w:tcW w:w="240" w:type="dxa"/>
            <w:vAlign w:val="bottom"/>
            <w:tcBorders>
              <w:bottom w:val="single" w:sz="8" w:color="auto"/>
            </w:tcBorders>
          </w:tcPr>
          <w:p>
            <w:pPr>
              <w:jc w:val="right"/>
              <w:ind w:right="48"/>
              <w:spacing w:after="0" w:line="205"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977,298</w:t>
            </w:r>
          </w:p>
        </w:tc>
        <w:tc>
          <w:tcPr>
            <w:tcW w:w="320" w:type="dxa"/>
            <w:vAlign w:val="bottom"/>
            <w:tcBorders>
              <w:bottom w:val="single" w:sz="8" w:color="CFF2FA"/>
            </w:tcBorders>
          </w:tcPr>
          <w:p>
            <w:pPr>
              <w:spacing w:after="0"/>
              <w:rPr>
                <w:sz w:val="21"/>
                <w:szCs w:val="21"/>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921,419</w:t>
            </w:r>
          </w:p>
        </w:tc>
        <w:tc>
          <w:tcPr>
            <w:tcW w:w="180" w:type="dxa"/>
            <w:vAlign w:val="bottom"/>
            <w:tcBorders>
              <w:bottom w:val="single" w:sz="8" w:color="CFF2FA"/>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1,766,032</w:t>
            </w:r>
          </w:p>
        </w:tc>
        <w:tc>
          <w:tcPr>
            <w:tcW w:w="220" w:type="dxa"/>
            <w:vAlign w:val="bottom"/>
            <w:tcBorders>
              <w:bottom w:val="single" w:sz="8" w:color="CFF2FA"/>
            </w:tcBorders>
          </w:tcPr>
          <w:p>
            <w:pPr>
              <w:spacing w:after="0"/>
              <w:rPr>
                <w:sz w:val="21"/>
                <w:szCs w:val="21"/>
                <w:color w:val="auto"/>
              </w:rPr>
            </w:pPr>
          </w:p>
        </w:tc>
        <w:tc>
          <w:tcPr>
            <w:tcW w:w="100" w:type="dxa"/>
            <w:vAlign w:val="bottom"/>
            <w:tcBorders>
              <w:bottom w:val="single" w:sz="8" w:color="CFF2FA"/>
            </w:tcBorders>
          </w:tcPr>
          <w:p>
            <w:pPr>
              <w:spacing w:after="0"/>
              <w:rPr>
                <w:sz w:val="21"/>
                <w:szCs w:val="21"/>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1,612,765</w:t>
            </w:r>
          </w:p>
        </w:tc>
        <w:tc>
          <w:tcPr>
            <w:tcW w:w="160" w:type="dxa"/>
            <w:vAlign w:val="bottom"/>
            <w:tcBorders>
              <w:bottom w:val="single" w:sz="8" w:color="CFF2FA"/>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68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Gross margin</w:t>
            </w:r>
          </w:p>
        </w:tc>
        <w:tc>
          <w:tcPr>
            <w:tcW w:w="240" w:type="dxa"/>
            <w:vAlign w:val="bottom"/>
            <w:shd w:val="clear" w:color="auto" w:fill="CFF2FA"/>
          </w:tcPr>
          <w:p>
            <w:pPr>
              <w:spacing w:after="0"/>
              <w:rPr>
                <w:sz w:val="17"/>
                <w:szCs w:val="17"/>
                <w:color w:val="auto"/>
              </w:rPr>
            </w:pPr>
          </w:p>
        </w:tc>
        <w:tc>
          <w:tcPr>
            <w:tcW w:w="1240" w:type="dxa"/>
            <w:vAlign w:val="bottom"/>
            <w:gridSpan w:val="2"/>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25.2%</w:t>
            </w:r>
          </w:p>
        </w:tc>
        <w:tc>
          <w:tcPr>
            <w:tcW w:w="26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21.7%</w:t>
            </w:r>
          </w:p>
        </w:tc>
        <w:tc>
          <w:tcPr>
            <w:tcW w:w="140" w:type="dxa"/>
            <w:vAlign w:val="bottom"/>
            <w:shd w:val="clear" w:color="auto" w:fill="CFF0FC"/>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140" w:type="dxa"/>
            <w:vAlign w:val="bottom"/>
            <w:gridSpan w:val="2"/>
            <w:shd w:val="clear" w:color="auto" w:fill="CFF2FA"/>
          </w:tcPr>
          <w:p>
            <w:pPr>
              <w:jc w:val="right"/>
              <w:ind w:right="80"/>
              <w:spacing w:after="0" w:line="205" w:lineRule="exact"/>
              <w:rPr>
                <w:sz w:val="20"/>
                <w:szCs w:val="20"/>
                <w:color w:val="auto"/>
              </w:rPr>
            </w:pPr>
            <w:r>
              <w:rPr>
                <w:rFonts w:ascii="Arial" w:cs="Arial" w:eastAsia="Arial" w:hAnsi="Arial"/>
                <w:sz w:val="18"/>
                <w:szCs w:val="18"/>
                <w:color w:val="auto"/>
              </w:rPr>
              <w:t>22.2%</w:t>
            </w:r>
          </w:p>
        </w:tc>
        <w:tc>
          <w:tcPr>
            <w:tcW w:w="100" w:type="dxa"/>
            <w:vAlign w:val="bottom"/>
            <w:shd w:val="clear" w:color="auto" w:fill="CFF2FA"/>
          </w:tcPr>
          <w:p>
            <w:pPr>
              <w:spacing w:after="0"/>
              <w:rPr>
                <w:sz w:val="17"/>
                <w:szCs w:val="17"/>
                <w:color w:val="auto"/>
              </w:rPr>
            </w:pPr>
          </w:p>
        </w:tc>
        <w:tc>
          <w:tcPr>
            <w:tcW w:w="26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5680" w:type="dxa"/>
            <w:vAlign w:val="bottom"/>
            <w:tcBorders>
              <w:top w:val="single" w:sz="8" w:color="CFF2FA"/>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10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80" w:type="dxa"/>
            <w:vAlign w:val="bottom"/>
          </w:tcPr>
          <w:p>
            <w:pPr>
              <w:spacing w:after="0"/>
              <w:rPr>
                <w:sz w:val="20"/>
                <w:szCs w:val="20"/>
                <w:color w:val="auto"/>
              </w:rPr>
            </w:pPr>
            <w:r>
              <w:rPr>
                <w:rFonts w:ascii="Arial" w:cs="Arial" w:eastAsia="Arial" w:hAnsi="Arial"/>
                <w:sz w:val="18"/>
                <w:szCs w:val="18"/>
                <w:b w:val="1"/>
                <w:bCs w:val="1"/>
                <w:color w:val="auto"/>
                <w:w w:val="95"/>
              </w:rPr>
              <w:t>Consolidated Gross Margin Excluding Freight and Delivery Revenues</w:t>
            </w:r>
          </w:p>
        </w:tc>
        <w:tc>
          <w:tcPr>
            <w:tcW w:w="280" w:type="dxa"/>
            <w:vAlign w:val="bottom"/>
          </w:tcPr>
          <w:p>
            <w:pPr>
              <w:spacing w:after="0"/>
              <w:rPr>
                <w:sz w:val="20"/>
                <w:szCs w:val="20"/>
                <w:color w:val="auto"/>
              </w:rPr>
            </w:pPr>
          </w:p>
        </w:tc>
        <w:tc>
          <w:tcPr>
            <w:tcW w:w="2520" w:type="dxa"/>
            <w:vAlign w:val="bottom"/>
            <w:gridSpan w:val="5"/>
            <w:vMerge w:val="restart"/>
          </w:tcPr>
          <w:p>
            <w:pPr>
              <w:jc w:val="center"/>
              <w:ind w:right="48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vMerge w:val="restart"/>
          </w:tcPr>
          <w:p>
            <w:pPr>
              <w:jc w:val="center"/>
              <w:ind w:right="420"/>
              <w:spacing w:after="0"/>
              <w:rPr>
                <w:sz w:val="20"/>
                <w:szCs w:val="20"/>
                <w:color w:val="auto"/>
              </w:rPr>
            </w:pPr>
            <w:r>
              <w:rPr>
                <w:rFonts w:ascii="Arial" w:cs="Arial" w:eastAsia="Arial" w:hAnsi="Arial"/>
                <w:sz w:val="18"/>
                <w:szCs w:val="18"/>
                <w:color w:val="auto"/>
                <w:w w:val="94"/>
              </w:rPr>
              <w:t>Six Months Ended</w:t>
            </w:r>
          </w:p>
        </w:tc>
        <w:tc>
          <w:tcPr>
            <w:tcW w:w="0" w:type="dxa"/>
            <w:vAlign w:val="bottom"/>
          </w:tcPr>
          <w:p>
            <w:pPr>
              <w:spacing w:after="0"/>
              <w:rPr>
                <w:sz w:val="1"/>
                <w:szCs w:val="1"/>
                <w:color w:val="auto"/>
              </w:rPr>
            </w:pPr>
          </w:p>
        </w:tc>
      </w:tr>
      <w:tr>
        <w:trPr>
          <w:trHeight w:val="219"/>
        </w:trPr>
        <w:tc>
          <w:tcPr>
            <w:tcW w:w="5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508"/>
              <w:spacing w:after="0"/>
              <w:rPr>
                <w:sz w:val="20"/>
                <w:szCs w:val="20"/>
                <w:color w:val="auto"/>
              </w:rPr>
            </w:pPr>
            <w:r>
              <w:rPr>
                <w:rFonts w:ascii="Arial" w:cs="Arial" w:eastAsia="Arial" w:hAnsi="Arial"/>
                <w:sz w:val="18"/>
                <w:szCs w:val="18"/>
                <w:color w:val="auto"/>
                <w:w w:val="89"/>
              </w:rPr>
              <w:t>June 30,</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left="548"/>
              <w:spacing w:after="0"/>
              <w:rPr>
                <w:sz w:val="20"/>
                <w:szCs w:val="20"/>
                <w:color w:val="auto"/>
              </w:rPr>
            </w:pPr>
            <w:r>
              <w:rPr>
                <w:rFonts w:ascii="Arial" w:cs="Arial" w:eastAsia="Arial" w:hAnsi="Arial"/>
                <w:sz w:val="18"/>
                <w:szCs w:val="18"/>
                <w:color w:val="auto"/>
                <w:w w:val="89"/>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6"/>
          </w:tcPr>
          <w:p>
            <w:pPr>
              <w:jc w:val="right"/>
              <w:ind w:right="680"/>
              <w:spacing w:after="0"/>
              <w:rPr>
                <w:sz w:val="20"/>
                <w:szCs w:val="20"/>
                <w:color w:val="auto"/>
              </w:rPr>
            </w:pPr>
            <w:r>
              <w:rPr>
                <w:rFonts w:ascii="Arial" w:cs="Arial" w:eastAsia="Arial" w:hAnsi="Arial"/>
                <w:sz w:val="18"/>
                <w:szCs w:val="18"/>
                <w:i w:val="1"/>
                <w:iCs w:val="1"/>
                <w:color w:val="auto"/>
              </w:rPr>
              <w:t>(Dollars in Thousands)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80" w:type="dxa"/>
            <w:vAlign w:val="bottom"/>
            <w:shd w:val="clear" w:color="auto" w:fill="CFF2FA"/>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FF2FA"/>
          </w:tcPr>
          <w:p>
            <w:pPr>
              <w:jc w:val="right"/>
              <w:ind w:right="88"/>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246,701</w:t>
            </w:r>
          </w:p>
        </w:tc>
        <w:tc>
          <w:tcPr>
            <w:tcW w:w="320" w:type="dxa"/>
            <w:vAlign w:val="bottom"/>
            <w:shd w:val="clear" w:color="auto" w:fill="CFF2FA"/>
          </w:tcPr>
          <w:p>
            <w:pPr>
              <w:spacing w:after="0"/>
              <w:rPr>
                <w:sz w:val="19"/>
                <w:szCs w:val="19"/>
                <w:color w:val="auto"/>
              </w:rPr>
            </w:pPr>
          </w:p>
        </w:tc>
        <w:tc>
          <w:tcPr>
            <w:tcW w:w="260" w:type="dxa"/>
            <w:vAlign w:val="bottom"/>
            <w:shd w:val="clear" w:color="auto" w:fill="CFF2FA"/>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200,153</w:t>
            </w:r>
          </w:p>
        </w:tc>
        <w:tc>
          <w:tcPr>
            <w:tcW w:w="180" w:type="dxa"/>
            <w:vAlign w:val="bottom"/>
            <w:shd w:val="clear" w:color="auto" w:fill="CFF2FA"/>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2FA"/>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391,335</w:t>
            </w:r>
          </w:p>
        </w:tc>
        <w:tc>
          <w:tcPr>
            <w:tcW w:w="220" w:type="dxa"/>
            <w:vAlign w:val="bottom"/>
            <w:shd w:val="clear" w:color="auto" w:fill="CFF2FA"/>
          </w:tcPr>
          <w:p>
            <w:pPr>
              <w:spacing w:after="0"/>
              <w:rPr>
                <w:sz w:val="19"/>
                <w:szCs w:val="19"/>
                <w:color w:val="auto"/>
              </w:rPr>
            </w:pPr>
          </w:p>
        </w:tc>
        <w:tc>
          <w:tcPr>
            <w:tcW w:w="360" w:type="dxa"/>
            <w:vAlign w:val="bottom"/>
            <w:gridSpan w:val="2"/>
            <w:shd w:val="clear" w:color="auto" w:fill="CFF2FA"/>
          </w:tcPr>
          <w:p>
            <w:pPr>
              <w:jc w:val="right"/>
              <w:ind w:right="103"/>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274,414</w:t>
            </w:r>
          </w:p>
        </w:tc>
        <w:tc>
          <w:tcPr>
            <w:tcW w:w="16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10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680" w:type="dxa"/>
            <w:vAlign w:val="bottom"/>
            <w:vMerge w:val="continue"/>
          </w:tcPr>
          <w:p>
            <w:pPr>
              <w:spacing w:after="0"/>
              <w:rPr>
                <w:sz w:val="17"/>
                <w:szCs w:val="17"/>
                <w:color w:val="auto"/>
              </w:rPr>
            </w:pPr>
          </w:p>
        </w:tc>
        <w:tc>
          <w:tcPr>
            <w:tcW w:w="280" w:type="dxa"/>
            <w:vAlign w:val="bottom"/>
          </w:tcPr>
          <w:p>
            <w:pPr>
              <w:jc w:val="right"/>
              <w:ind w:right="88"/>
              <w:spacing w:after="0" w:line="205"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5" w:lineRule="exact"/>
              <w:rPr>
                <w:sz w:val="20"/>
                <w:szCs w:val="20"/>
                <w:color w:val="auto"/>
              </w:rPr>
            </w:pPr>
            <w:r>
              <w:rPr>
                <w:rFonts w:ascii="Arial" w:cs="Arial" w:eastAsia="Arial" w:hAnsi="Arial"/>
                <w:sz w:val="18"/>
                <w:szCs w:val="18"/>
                <w:color w:val="auto"/>
              </w:rPr>
              <w:t>977,298</w:t>
            </w:r>
          </w:p>
        </w:tc>
        <w:tc>
          <w:tcPr>
            <w:tcW w:w="32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5" w:lineRule="exact"/>
              <w:rPr>
                <w:sz w:val="20"/>
                <w:szCs w:val="20"/>
                <w:color w:val="auto"/>
              </w:rPr>
            </w:pPr>
            <w:r>
              <w:rPr>
                <w:rFonts w:ascii="Arial" w:cs="Arial" w:eastAsia="Arial" w:hAnsi="Arial"/>
                <w:sz w:val="18"/>
                <w:szCs w:val="18"/>
                <w:color w:val="auto"/>
              </w:rPr>
              <w:t>921,419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5" w:lineRule="exact"/>
              <w:rPr>
                <w:sz w:val="20"/>
                <w:szCs w:val="20"/>
                <w:color w:val="auto"/>
              </w:rPr>
            </w:pPr>
            <w:r>
              <w:rPr>
                <w:rFonts w:ascii="Arial" w:cs="Arial" w:eastAsia="Arial" w:hAnsi="Arial"/>
                <w:sz w:val="18"/>
                <w:szCs w:val="18"/>
                <w:color w:val="auto"/>
              </w:rPr>
              <w:t>1,766,032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1,612,765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680" w:type="dxa"/>
            <w:vAlign w:val="bottom"/>
            <w:shd w:val="clear" w:color="auto" w:fill="CFF2FA"/>
          </w:tcPr>
          <w:p>
            <w:pPr>
              <w:spacing w:after="0"/>
              <w:rPr>
                <w:sz w:val="20"/>
                <w:szCs w:val="20"/>
                <w:color w:val="auto"/>
              </w:rPr>
            </w:pPr>
            <w:r>
              <w:rPr>
                <w:rFonts w:ascii="Arial" w:cs="Arial" w:eastAsia="Arial" w:hAnsi="Arial"/>
                <w:sz w:val="18"/>
                <w:szCs w:val="18"/>
                <w:color w:val="auto"/>
              </w:rPr>
              <w:t>Less: Freight and delivery revenues</w:t>
            </w:r>
          </w:p>
        </w:tc>
        <w:tc>
          <w:tcPr>
            <w:tcW w:w="280" w:type="dxa"/>
            <w:vAlign w:val="bottom"/>
            <w:shd w:val="clear" w:color="auto" w:fill="CFF2FA"/>
          </w:tcPr>
          <w:p>
            <w:pPr>
              <w:spacing w:after="0"/>
              <w:rPr>
                <w:sz w:val="19"/>
                <w:szCs w:val="19"/>
                <w:color w:val="auto"/>
              </w:rPr>
            </w:pPr>
          </w:p>
        </w:tc>
        <w:tc>
          <w:tcPr>
            <w:tcW w:w="1200" w:type="dxa"/>
            <w:vAlign w:val="bottom"/>
            <w:gridSpan w:val="2"/>
            <w:shd w:val="clear" w:color="auto" w:fill="CFF2FA"/>
          </w:tcPr>
          <w:p>
            <w:pPr>
              <w:jc w:val="right"/>
              <w:ind w:right="260"/>
              <w:spacing w:after="0"/>
              <w:rPr>
                <w:sz w:val="20"/>
                <w:szCs w:val="20"/>
                <w:color w:val="auto"/>
              </w:rPr>
            </w:pPr>
            <w:r>
              <w:rPr>
                <w:rFonts w:ascii="Arial" w:cs="Arial" w:eastAsia="Arial" w:hAnsi="Arial"/>
                <w:sz w:val="18"/>
                <w:szCs w:val="18"/>
                <w:color w:val="auto"/>
              </w:rPr>
              <w:t>(61,862)</w:t>
            </w:r>
          </w:p>
        </w:tc>
        <w:tc>
          <w:tcPr>
            <w:tcW w:w="260" w:type="dxa"/>
            <w:vAlign w:val="bottom"/>
            <w:shd w:val="clear" w:color="auto" w:fill="CFF2FA"/>
          </w:tcPr>
          <w:p>
            <w:pPr>
              <w:spacing w:after="0"/>
              <w:rPr>
                <w:sz w:val="19"/>
                <w:szCs w:val="19"/>
                <w:color w:val="auto"/>
              </w:rPr>
            </w:pPr>
          </w:p>
        </w:tc>
        <w:tc>
          <w:tcPr>
            <w:tcW w:w="1060" w:type="dxa"/>
            <w:vAlign w:val="bottom"/>
            <w:gridSpan w:val="2"/>
            <w:shd w:val="clear" w:color="auto" w:fill="CFF2FA"/>
          </w:tcPr>
          <w:p>
            <w:pPr>
              <w:jc w:val="right"/>
              <w:ind w:right="120"/>
              <w:spacing w:after="0"/>
              <w:rPr>
                <w:sz w:val="20"/>
                <w:szCs w:val="20"/>
                <w:color w:val="auto"/>
              </w:rPr>
            </w:pPr>
            <w:r>
              <w:rPr>
                <w:rFonts w:ascii="Arial" w:cs="Arial" w:eastAsia="Arial" w:hAnsi="Arial"/>
                <w:sz w:val="18"/>
                <w:szCs w:val="18"/>
                <w:color w:val="auto"/>
              </w:rPr>
              <w:t>(71,170)</w:t>
            </w:r>
          </w:p>
        </w:tc>
        <w:tc>
          <w:tcPr>
            <w:tcW w:w="140" w:type="dxa"/>
            <w:vAlign w:val="bottom"/>
            <w:shd w:val="clear" w:color="auto" w:fill="CFF0FC"/>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(116,636)</w:t>
            </w:r>
          </w:p>
        </w:tc>
        <w:tc>
          <w:tcPr>
            <w:tcW w:w="100" w:type="dxa"/>
            <w:vAlign w:val="bottom"/>
            <w:shd w:val="clear" w:color="auto" w:fill="CFF2FA"/>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106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(130,641)</w:t>
            </w:r>
          </w:p>
        </w:tc>
        <w:tc>
          <w:tcPr>
            <w:tcW w:w="0" w:type="dxa"/>
            <w:vAlign w:val="bottom"/>
          </w:tcPr>
          <w:p>
            <w:pPr>
              <w:spacing w:after="0"/>
              <w:rPr>
                <w:sz w:val="1"/>
                <w:szCs w:val="1"/>
                <w:color w:val="auto"/>
              </w:rPr>
            </w:pPr>
          </w:p>
        </w:tc>
      </w:tr>
      <w:tr>
        <w:trPr>
          <w:trHeight w:val="260"/>
        </w:trPr>
        <w:tc>
          <w:tcPr>
            <w:tcW w:w="568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915,436</w:t>
            </w:r>
          </w:p>
        </w:tc>
        <w:tc>
          <w:tcPr>
            <w:tcW w:w="320" w:type="dxa"/>
            <w:vAlign w:val="bottom"/>
            <w:tcBorders>
              <w:bottom w:val="single" w:sz="8" w:color="CFF2FA"/>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850,249</w:t>
            </w:r>
          </w:p>
        </w:tc>
        <w:tc>
          <w:tcPr>
            <w:tcW w:w="180" w:type="dxa"/>
            <w:vAlign w:val="bottom"/>
            <w:tcBorders>
              <w:bottom w:val="single" w:sz="8" w:color="CFF2FA"/>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1,649,396</w:t>
            </w:r>
          </w:p>
        </w:tc>
        <w:tc>
          <w:tcPr>
            <w:tcW w:w="220" w:type="dxa"/>
            <w:vAlign w:val="bottom"/>
            <w:tcBorders>
              <w:bottom w:val="single" w:sz="8" w:color="CFF2FA"/>
            </w:tcBorders>
          </w:tcPr>
          <w:p>
            <w:pPr>
              <w:spacing w:after="0"/>
              <w:rPr>
                <w:sz w:val="22"/>
                <w:szCs w:val="22"/>
                <w:color w:val="auto"/>
              </w:rPr>
            </w:pPr>
          </w:p>
        </w:tc>
        <w:tc>
          <w:tcPr>
            <w:tcW w:w="100" w:type="dxa"/>
            <w:vAlign w:val="bottom"/>
            <w:tcBorders>
              <w:bottom w:val="single" w:sz="8" w:color="CFF2FA"/>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1,482,124</w:t>
            </w:r>
          </w:p>
        </w:tc>
        <w:tc>
          <w:tcPr>
            <w:tcW w:w="16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68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Gross margin excluding freight and delivery revenues</w:t>
            </w:r>
          </w:p>
        </w:tc>
        <w:tc>
          <w:tcPr>
            <w:tcW w:w="280" w:type="dxa"/>
            <w:vAlign w:val="bottom"/>
            <w:shd w:val="clear" w:color="auto" w:fill="CFF2FA"/>
          </w:tcPr>
          <w:p>
            <w:pPr>
              <w:spacing w:after="0"/>
              <w:rPr>
                <w:sz w:val="17"/>
                <w:szCs w:val="17"/>
                <w:color w:val="auto"/>
              </w:rPr>
            </w:pPr>
          </w:p>
        </w:tc>
        <w:tc>
          <w:tcPr>
            <w:tcW w:w="1200" w:type="dxa"/>
            <w:vAlign w:val="bottom"/>
            <w:gridSpan w:val="2"/>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26.9%</w:t>
            </w:r>
          </w:p>
        </w:tc>
        <w:tc>
          <w:tcPr>
            <w:tcW w:w="26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23.5%</w:t>
            </w:r>
          </w:p>
        </w:tc>
        <w:tc>
          <w:tcPr>
            <w:tcW w:w="140" w:type="dxa"/>
            <w:vAlign w:val="bottom"/>
            <w:shd w:val="clear" w:color="auto" w:fill="CFF0FC"/>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140" w:type="dxa"/>
            <w:vAlign w:val="bottom"/>
            <w:gridSpan w:val="2"/>
            <w:shd w:val="clear" w:color="auto" w:fill="CFF2FA"/>
          </w:tcPr>
          <w:p>
            <w:pPr>
              <w:jc w:val="right"/>
              <w:ind w:right="80"/>
              <w:spacing w:after="0" w:line="205" w:lineRule="exact"/>
              <w:rPr>
                <w:sz w:val="20"/>
                <w:szCs w:val="20"/>
                <w:color w:val="auto"/>
              </w:rPr>
            </w:pPr>
            <w:r>
              <w:rPr>
                <w:rFonts w:ascii="Arial" w:cs="Arial" w:eastAsia="Arial" w:hAnsi="Arial"/>
                <w:sz w:val="18"/>
                <w:szCs w:val="18"/>
                <w:color w:val="auto"/>
              </w:rPr>
              <w:t>23.7%</w:t>
            </w:r>
          </w:p>
        </w:tc>
        <w:tc>
          <w:tcPr>
            <w:tcW w:w="100" w:type="dxa"/>
            <w:vAlign w:val="bottom"/>
            <w:shd w:val="clear" w:color="auto" w:fill="CFF2FA"/>
          </w:tcPr>
          <w:p>
            <w:pPr>
              <w:spacing w:after="0"/>
              <w:rPr>
                <w:sz w:val="17"/>
                <w:szCs w:val="17"/>
                <w:color w:val="auto"/>
              </w:rPr>
            </w:pPr>
          </w:p>
        </w:tc>
        <w:tc>
          <w:tcPr>
            <w:tcW w:w="26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568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18"/>
                <w:szCs w:val="18"/>
                <w:b w:val="1"/>
                <w:bCs w:val="1"/>
                <w:color w:val="auto"/>
              </w:rPr>
              <w:t>Consolidated Operating Margin in Accordance with GAAP</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10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5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5"/>
            <w:vMerge w:val="restart"/>
          </w:tcPr>
          <w:p>
            <w:pPr>
              <w:jc w:val="center"/>
              <w:ind w:right="48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6"/>
            <w:vMerge w:val="restart"/>
          </w:tcPr>
          <w:p>
            <w:pPr>
              <w:jc w:val="center"/>
              <w:ind w:right="420"/>
              <w:spacing w:after="0"/>
              <w:rPr>
                <w:sz w:val="20"/>
                <w:szCs w:val="20"/>
                <w:color w:val="auto"/>
              </w:rPr>
            </w:pPr>
            <w:r>
              <w:rPr>
                <w:rFonts w:ascii="Arial" w:cs="Arial" w:eastAsia="Arial" w:hAnsi="Arial"/>
                <w:sz w:val="18"/>
                <w:szCs w:val="18"/>
                <w:color w:val="auto"/>
                <w:w w:val="94"/>
              </w:rPr>
              <w:t>Six Months Ended</w:t>
            </w:r>
          </w:p>
        </w:tc>
        <w:tc>
          <w:tcPr>
            <w:tcW w:w="0" w:type="dxa"/>
            <w:vAlign w:val="bottom"/>
          </w:tcPr>
          <w:p>
            <w:pPr>
              <w:spacing w:after="0"/>
              <w:rPr>
                <w:sz w:val="1"/>
                <w:szCs w:val="1"/>
                <w:color w:val="auto"/>
              </w:rPr>
            </w:pPr>
          </w:p>
        </w:tc>
      </w:tr>
      <w:tr>
        <w:trPr>
          <w:trHeight w:val="219"/>
        </w:trPr>
        <w:tc>
          <w:tcPr>
            <w:tcW w:w="5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508"/>
              <w:spacing w:after="0"/>
              <w:rPr>
                <w:sz w:val="20"/>
                <w:szCs w:val="20"/>
                <w:color w:val="auto"/>
              </w:rPr>
            </w:pPr>
            <w:r>
              <w:rPr>
                <w:rFonts w:ascii="Arial" w:cs="Arial" w:eastAsia="Arial" w:hAnsi="Arial"/>
                <w:sz w:val="18"/>
                <w:szCs w:val="18"/>
                <w:color w:val="auto"/>
                <w:w w:val="89"/>
              </w:rPr>
              <w:t>June 30,</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left="548"/>
              <w:spacing w:after="0"/>
              <w:rPr>
                <w:sz w:val="20"/>
                <w:szCs w:val="20"/>
                <w:color w:val="auto"/>
              </w:rPr>
            </w:pPr>
            <w:r>
              <w:rPr>
                <w:rFonts w:ascii="Arial" w:cs="Arial" w:eastAsia="Arial" w:hAnsi="Arial"/>
                <w:sz w:val="18"/>
                <w:szCs w:val="18"/>
                <w:color w:val="auto"/>
                <w:w w:val="89"/>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6"/>
          </w:tcPr>
          <w:p>
            <w:pPr>
              <w:jc w:val="right"/>
              <w:ind w:right="680"/>
              <w:spacing w:after="0"/>
              <w:rPr>
                <w:sz w:val="20"/>
                <w:szCs w:val="20"/>
                <w:color w:val="auto"/>
              </w:rPr>
            </w:pPr>
            <w:r>
              <w:rPr>
                <w:rFonts w:ascii="Arial" w:cs="Arial" w:eastAsia="Arial" w:hAnsi="Arial"/>
                <w:sz w:val="18"/>
                <w:szCs w:val="18"/>
                <w:i w:val="1"/>
                <w:iCs w:val="1"/>
                <w:color w:val="auto"/>
              </w:rPr>
              <w:t>(Dollars in Thousands)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80" w:type="dxa"/>
            <w:vAlign w:val="bottom"/>
            <w:shd w:val="clear" w:color="auto" w:fill="CFF2FA"/>
          </w:tcPr>
          <w:p>
            <w:pPr>
              <w:spacing w:after="0"/>
              <w:rPr>
                <w:sz w:val="20"/>
                <w:szCs w:val="20"/>
                <w:color w:val="auto"/>
              </w:rPr>
            </w:pPr>
            <w:r>
              <w:rPr>
                <w:rFonts w:ascii="Arial" w:cs="Arial" w:eastAsia="Arial" w:hAnsi="Arial"/>
                <w:sz w:val="18"/>
                <w:szCs w:val="18"/>
                <w:color w:val="auto"/>
              </w:rPr>
              <w:t>Earnings from operations</w:t>
            </w:r>
          </w:p>
        </w:tc>
        <w:tc>
          <w:tcPr>
            <w:tcW w:w="280" w:type="dxa"/>
            <w:vAlign w:val="bottom"/>
            <w:shd w:val="clear" w:color="auto" w:fill="CFF2FA"/>
          </w:tcPr>
          <w:p>
            <w:pPr>
              <w:jc w:val="right"/>
              <w:ind w:right="88"/>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187,742</w:t>
            </w:r>
          </w:p>
        </w:tc>
        <w:tc>
          <w:tcPr>
            <w:tcW w:w="320" w:type="dxa"/>
            <w:vAlign w:val="bottom"/>
            <w:shd w:val="clear" w:color="auto" w:fill="CFF2FA"/>
          </w:tcPr>
          <w:p>
            <w:pPr>
              <w:spacing w:after="0"/>
              <w:rPr>
                <w:sz w:val="19"/>
                <w:szCs w:val="19"/>
                <w:color w:val="auto"/>
              </w:rPr>
            </w:pPr>
          </w:p>
        </w:tc>
        <w:tc>
          <w:tcPr>
            <w:tcW w:w="260" w:type="dxa"/>
            <w:vAlign w:val="bottom"/>
            <w:shd w:val="clear" w:color="auto" w:fill="CFF2FA"/>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136,984</w:t>
            </w:r>
          </w:p>
        </w:tc>
        <w:tc>
          <w:tcPr>
            <w:tcW w:w="180" w:type="dxa"/>
            <w:vAlign w:val="bottom"/>
            <w:shd w:val="clear" w:color="auto" w:fill="CFF2FA"/>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2FA"/>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271,512</w:t>
            </w:r>
          </w:p>
        </w:tc>
        <w:tc>
          <w:tcPr>
            <w:tcW w:w="220" w:type="dxa"/>
            <w:vAlign w:val="bottom"/>
            <w:shd w:val="clear" w:color="auto" w:fill="CFF2FA"/>
          </w:tcPr>
          <w:p>
            <w:pPr>
              <w:spacing w:after="0"/>
              <w:rPr>
                <w:sz w:val="19"/>
                <w:szCs w:val="19"/>
                <w:color w:val="auto"/>
              </w:rPr>
            </w:pPr>
          </w:p>
        </w:tc>
        <w:tc>
          <w:tcPr>
            <w:tcW w:w="360" w:type="dxa"/>
            <w:vAlign w:val="bottom"/>
            <w:gridSpan w:val="2"/>
            <w:shd w:val="clear" w:color="auto" w:fill="CFF2FA"/>
          </w:tcPr>
          <w:p>
            <w:pPr>
              <w:jc w:val="right"/>
              <w:ind w:right="103"/>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162,555</w:t>
            </w:r>
          </w:p>
        </w:tc>
        <w:tc>
          <w:tcPr>
            <w:tcW w:w="16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10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680" w:type="dxa"/>
            <w:vAlign w:val="bottom"/>
            <w:tcBorders>
              <w:bottom w:val="single" w:sz="8" w:color="CFF2FA"/>
            </w:tcBorders>
            <w:vMerge w:val="continue"/>
          </w:tcPr>
          <w:p>
            <w:pPr>
              <w:spacing w:after="0"/>
              <w:rPr>
                <w:sz w:val="21"/>
                <w:szCs w:val="21"/>
                <w:color w:val="auto"/>
              </w:rPr>
            </w:pPr>
          </w:p>
        </w:tc>
        <w:tc>
          <w:tcPr>
            <w:tcW w:w="280" w:type="dxa"/>
            <w:vAlign w:val="bottom"/>
            <w:tcBorders>
              <w:bottom w:val="single" w:sz="8" w:color="auto"/>
            </w:tcBorders>
          </w:tcPr>
          <w:p>
            <w:pPr>
              <w:jc w:val="right"/>
              <w:ind w:right="88"/>
              <w:spacing w:after="0" w:line="205"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977,298</w:t>
            </w:r>
          </w:p>
        </w:tc>
        <w:tc>
          <w:tcPr>
            <w:tcW w:w="320" w:type="dxa"/>
            <w:vAlign w:val="bottom"/>
            <w:tcBorders>
              <w:bottom w:val="single" w:sz="8" w:color="CFF2FA"/>
            </w:tcBorders>
          </w:tcPr>
          <w:p>
            <w:pPr>
              <w:spacing w:after="0"/>
              <w:rPr>
                <w:sz w:val="21"/>
                <w:szCs w:val="21"/>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921,419</w:t>
            </w:r>
          </w:p>
        </w:tc>
        <w:tc>
          <w:tcPr>
            <w:tcW w:w="180" w:type="dxa"/>
            <w:vAlign w:val="bottom"/>
            <w:tcBorders>
              <w:bottom w:val="single" w:sz="8" w:color="CFF2FA"/>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1,766,032</w:t>
            </w:r>
          </w:p>
        </w:tc>
        <w:tc>
          <w:tcPr>
            <w:tcW w:w="220" w:type="dxa"/>
            <w:vAlign w:val="bottom"/>
            <w:tcBorders>
              <w:bottom w:val="single" w:sz="8" w:color="CFF2FA"/>
            </w:tcBorders>
          </w:tcPr>
          <w:p>
            <w:pPr>
              <w:spacing w:after="0"/>
              <w:rPr>
                <w:sz w:val="21"/>
                <w:szCs w:val="21"/>
                <w:color w:val="auto"/>
              </w:rPr>
            </w:pPr>
          </w:p>
        </w:tc>
        <w:tc>
          <w:tcPr>
            <w:tcW w:w="100" w:type="dxa"/>
            <w:vAlign w:val="bottom"/>
            <w:tcBorders>
              <w:bottom w:val="single" w:sz="8" w:color="CFF2FA"/>
            </w:tcBorders>
          </w:tcPr>
          <w:p>
            <w:pPr>
              <w:spacing w:after="0"/>
              <w:rPr>
                <w:sz w:val="21"/>
                <w:szCs w:val="21"/>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1,612,765</w:t>
            </w:r>
          </w:p>
        </w:tc>
        <w:tc>
          <w:tcPr>
            <w:tcW w:w="160" w:type="dxa"/>
            <w:vAlign w:val="bottom"/>
            <w:tcBorders>
              <w:bottom w:val="single" w:sz="8" w:color="CFF2FA"/>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68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Operating margin</w:t>
            </w:r>
          </w:p>
        </w:tc>
        <w:tc>
          <w:tcPr>
            <w:tcW w:w="280" w:type="dxa"/>
            <w:vAlign w:val="bottom"/>
            <w:shd w:val="clear" w:color="auto" w:fill="CFF2FA"/>
          </w:tcPr>
          <w:p>
            <w:pPr>
              <w:spacing w:after="0"/>
              <w:rPr>
                <w:sz w:val="17"/>
                <w:szCs w:val="17"/>
                <w:color w:val="auto"/>
              </w:rPr>
            </w:pPr>
          </w:p>
        </w:tc>
        <w:tc>
          <w:tcPr>
            <w:tcW w:w="1200" w:type="dxa"/>
            <w:vAlign w:val="bottom"/>
            <w:gridSpan w:val="2"/>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19.2%</w:t>
            </w:r>
          </w:p>
        </w:tc>
        <w:tc>
          <w:tcPr>
            <w:tcW w:w="26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14.9%</w:t>
            </w:r>
          </w:p>
        </w:tc>
        <w:tc>
          <w:tcPr>
            <w:tcW w:w="140" w:type="dxa"/>
            <w:vAlign w:val="bottom"/>
            <w:shd w:val="clear" w:color="auto" w:fill="CFF0FC"/>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140" w:type="dxa"/>
            <w:vAlign w:val="bottom"/>
            <w:gridSpan w:val="2"/>
            <w:shd w:val="clear" w:color="auto" w:fill="CFF2FA"/>
          </w:tcPr>
          <w:p>
            <w:pPr>
              <w:jc w:val="right"/>
              <w:ind w:right="80"/>
              <w:spacing w:after="0" w:line="205" w:lineRule="exact"/>
              <w:rPr>
                <w:sz w:val="20"/>
                <w:szCs w:val="20"/>
                <w:color w:val="auto"/>
              </w:rPr>
            </w:pPr>
            <w:r>
              <w:rPr>
                <w:rFonts w:ascii="Arial" w:cs="Arial" w:eastAsia="Arial" w:hAnsi="Arial"/>
                <w:sz w:val="18"/>
                <w:szCs w:val="18"/>
                <w:color w:val="auto"/>
              </w:rPr>
              <w:t>15.4%</w:t>
            </w:r>
          </w:p>
        </w:tc>
        <w:tc>
          <w:tcPr>
            <w:tcW w:w="100" w:type="dxa"/>
            <w:vAlign w:val="bottom"/>
            <w:shd w:val="clear" w:color="auto" w:fill="CFF2FA"/>
          </w:tcPr>
          <w:p>
            <w:pPr>
              <w:spacing w:after="0"/>
              <w:rPr>
                <w:sz w:val="17"/>
                <w:szCs w:val="17"/>
                <w:color w:val="auto"/>
              </w:rPr>
            </w:pPr>
          </w:p>
        </w:tc>
        <w:tc>
          <w:tcPr>
            <w:tcW w:w="26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5680" w:type="dxa"/>
            <w:vAlign w:val="bottom"/>
            <w:tcBorders>
              <w:top w:val="single" w:sz="8" w:color="CFF2FA"/>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10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w w:val="94"/>
              </w:rPr>
              <w:t>Consolidated Operating Margin Excluding Freight and Delivery Revenues</w:t>
            </w:r>
          </w:p>
        </w:tc>
        <w:tc>
          <w:tcPr>
            <w:tcW w:w="2520" w:type="dxa"/>
            <w:vAlign w:val="bottom"/>
            <w:gridSpan w:val="5"/>
            <w:vMerge w:val="restart"/>
          </w:tcPr>
          <w:p>
            <w:pPr>
              <w:jc w:val="center"/>
              <w:ind w:right="48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6"/>
            <w:vMerge w:val="restart"/>
          </w:tcPr>
          <w:p>
            <w:pPr>
              <w:jc w:val="center"/>
              <w:ind w:right="420"/>
              <w:spacing w:after="0"/>
              <w:rPr>
                <w:sz w:val="20"/>
                <w:szCs w:val="20"/>
                <w:color w:val="auto"/>
              </w:rPr>
            </w:pPr>
            <w:r>
              <w:rPr>
                <w:rFonts w:ascii="Arial" w:cs="Arial" w:eastAsia="Arial" w:hAnsi="Arial"/>
                <w:sz w:val="18"/>
                <w:szCs w:val="18"/>
                <w:color w:val="auto"/>
                <w:w w:val="94"/>
              </w:rPr>
              <w:t>Six Months Ended</w:t>
            </w:r>
          </w:p>
        </w:tc>
        <w:tc>
          <w:tcPr>
            <w:tcW w:w="0" w:type="dxa"/>
            <w:vAlign w:val="bottom"/>
          </w:tcPr>
          <w:p>
            <w:pPr>
              <w:spacing w:after="0"/>
              <w:rPr>
                <w:sz w:val="1"/>
                <w:szCs w:val="1"/>
                <w:color w:val="auto"/>
              </w:rPr>
            </w:pPr>
          </w:p>
        </w:tc>
      </w:tr>
      <w:tr>
        <w:trPr>
          <w:trHeight w:val="219"/>
        </w:trPr>
        <w:tc>
          <w:tcPr>
            <w:tcW w:w="5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508"/>
              <w:spacing w:after="0"/>
              <w:rPr>
                <w:sz w:val="20"/>
                <w:szCs w:val="20"/>
                <w:color w:val="auto"/>
              </w:rPr>
            </w:pPr>
            <w:r>
              <w:rPr>
                <w:rFonts w:ascii="Arial" w:cs="Arial" w:eastAsia="Arial" w:hAnsi="Arial"/>
                <w:sz w:val="18"/>
                <w:szCs w:val="18"/>
                <w:color w:val="auto"/>
                <w:w w:val="89"/>
              </w:rPr>
              <w:t>June 30,</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left="548"/>
              <w:spacing w:after="0"/>
              <w:rPr>
                <w:sz w:val="20"/>
                <w:szCs w:val="20"/>
                <w:color w:val="auto"/>
              </w:rPr>
            </w:pPr>
            <w:r>
              <w:rPr>
                <w:rFonts w:ascii="Arial" w:cs="Arial" w:eastAsia="Arial" w:hAnsi="Arial"/>
                <w:sz w:val="18"/>
                <w:szCs w:val="18"/>
                <w:color w:val="auto"/>
                <w:w w:val="89"/>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6"/>
          </w:tcPr>
          <w:p>
            <w:pPr>
              <w:jc w:val="right"/>
              <w:ind w:right="680"/>
              <w:spacing w:after="0"/>
              <w:rPr>
                <w:sz w:val="20"/>
                <w:szCs w:val="20"/>
                <w:color w:val="auto"/>
              </w:rPr>
            </w:pPr>
            <w:r>
              <w:rPr>
                <w:rFonts w:ascii="Arial" w:cs="Arial" w:eastAsia="Arial" w:hAnsi="Arial"/>
                <w:sz w:val="18"/>
                <w:szCs w:val="18"/>
                <w:i w:val="1"/>
                <w:iCs w:val="1"/>
                <w:color w:val="auto"/>
              </w:rPr>
              <w:t>(Dollars in Thousands)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80" w:type="dxa"/>
            <w:vAlign w:val="bottom"/>
            <w:shd w:val="clear" w:color="auto" w:fill="CFF2FA"/>
          </w:tcPr>
          <w:p>
            <w:pPr>
              <w:spacing w:after="0"/>
              <w:rPr>
                <w:sz w:val="20"/>
                <w:szCs w:val="20"/>
                <w:color w:val="auto"/>
              </w:rPr>
            </w:pPr>
            <w:r>
              <w:rPr>
                <w:rFonts w:ascii="Arial" w:cs="Arial" w:eastAsia="Arial" w:hAnsi="Arial"/>
                <w:sz w:val="18"/>
                <w:szCs w:val="18"/>
                <w:color w:val="auto"/>
              </w:rPr>
              <w:t>Earnings from operations</w:t>
            </w:r>
          </w:p>
        </w:tc>
        <w:tc>
          <w:tcPr>
            <w:tcW w:w="280" w:type="dxa"/>
            <w:vAlign w:val="bottom"/>
            <w:shd w:val="clear" w:color="auto" w:fill="CFF2FA"/>
          </w:tcPr>
          <w:p>
            <w:pPr>
              <w:jc w:val="right"/>
              <w:ind w:right="88"/>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187,742</w:t>
            </w:r>
          </w:p>
        </w:tc>
        <w:tc>
          <w:tcPr>
            <w:tcW w:w="320" w:type="dxa"/>
            <w:vAlign w:val="bottom"/>
            <w:shd w:val="clear" w:color="auto" w:fill="CFF2FA"/>
          </w:tcPr>
          <w:p>
            <w:pPr>
              <w:spacing w:after="0"/>
              <w:rPr>
                <w:sz w:val="19"/>
                <w:szCs w:val="19"/>
                <w:color w:val="auto"/>
              </w:rPr>
            </w:pPr>
          </w:p>
        </w:tc>
        <w:tc>
          <w:tcPr>
            <w:tcW w:w="260" w:type="dxa"/>
            <w:vAlign w:val="bottom"/>
            <w:shd w:val="clear" w:color="auto" w:fill="CFF2FA"/>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136,984</w:t>
            </w:r>
          </w:p>
        </w:tc>
        <w:tc>
          <w:tcPr>
            <w:tcW w:w="180" w:type="dxa"/>
            <w:vAlign w:val="bottom"/>
            <w:shd w:val="clear" w:color="auto" w:fill="CFF2FA"/>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2FA"/>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271,512</w:t>
            </w:r>
          </w:p>
        </w:tc>
        <w:tc>
          <w:tcPr>
            <w:tcW w:w="220" w:type="dxa"/>
            <w:vAlign w:val="bottom"/>
            <w:shd w:val="clear" w:color="auto" w:fill="CFF2FA"/>
          </w:tcPr>
          <w:p>
            <w:pPr>
              <w:spacing w:after="0"/>
              <w:rPr>
                <w:sz w:val="19"/>
                <w:szCs w:val="19"/>
                <w:color w:val="auto"/>
              </w:rPr>
            </w:pPr>
          </w:p>
        </w:tc>
        <w:tc>
          <w:tcPr>
            <w:tcW w:w="360" w:type="dxa"/>
            <w:vAlign w:val="bottom"/>
            <w:gridSpan w:val="2"/>
            <w:shd w:val="clear" w:color="auto" w:fill="CFF2FA"/>
          </w:tcPr>
          <w:p>
            <w:pPr>
              <w:jc w:val="right"/>
              <w:ind w:right="103"/>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162,555</w:t>
            </w:r>
          </w:p>
        </w:tc>
        <w:tc>
          <w:tcPr>
            <w:tcW w:w="16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10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680" w:type="dxa"/>
            <w:vAlign w:val="bottom"/>
            <w:vMerge w:val="continue"/>
          </w:tcPr>
          <w:p>
            <w:pPr>
              <w:spacing w:after="0"/>
              <w:rPr>
                <w:sz w:val="17"/>
                <w:szCs w:val="17"/>
                <w:color w:val="auto"/>
              </w:rPr>
            </w:pPr>
          </w:p>
        </w:tc>
        <w:tc>
          <w:tcPr>
            <w:tcW w:w="280" w:type="dxa"/>
            <w:vAlign w:val="bottom"/>
          </w:tcPr>
          <w:p>
            <w:pPr>
              <w:jc w:val="right"/>
              <w:ind w:right="88"/>
              <w:spacing w:after="0" w:line="205"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5" w:lineRule="exact"/>
              <w:rPr>
                <w:sz w:val="20"/>
                <w:szCs w:val="20"/>
                <w:color w:val="auto"/>
              </w:rPr>
            </w:pPr>
            <w:r>
              <w:rPr>
                <w:rFonts w:ascii="Arial" w:cs="Arial" w:eastAsia="Arial" w:hAnsi="Arial"/>
                <w:sz w:val="18"/>
                <w:szCs w:val="18"/>
                <w:color w:val="auto"/>
              </w:rPr>
              <w:t>977,298</w:t>
            </w:r>
          </w:p>
        </w:tc>
        <w:tc>
          <w:tcPr>
            <w:tcW w:w="32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5" w:lineRule="exact"/>
              <w:rPr>
                <w:sz w:val="20"/>
                <w:szCs w:val="20"/>
                <w:color w:val="auto"/>
              </w:rPr>
            </w:pPr>
            <w:r>
              <w:rPr>
                <w:rFonts w:ascii="Arial" w:cs="Arial" w:eastAsia="Arial" w:hAnsi="Arial"/>
                <w:sz w:val="18"/>
                <w:szCs w:val="18"/>
                <w:color w:val="auto"/>
              </w:rPr>
              <w:t>921,419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5" w:lineRule="exact"/>
              <w:rPr>
                <w:sz w:val="20"/>
                <w:szCs w:val="20"/>
                <w:color w:val="auto"/>
              </w:rPr>
            </w:pPr>
            <w:r>
              <w:rPr>
                <w:rFonts w:ascii="Arial" w:cs="Arial" w:eastAsia="Arial" w:hAnsi="Arial"/>
                <w:sz w:val="18"/>
                <w:szCs w:val="18"/>
                <w:color w:val="auto"/>
              </w:rPr>
              <w:t>1,766,032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1,612,765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680" w:type="dxa"/>
            <w:vAlign w:val="bottom"/>
            <w:shd w:val="clear" w:color="auto" w:fill="CFF2FA"/>
          </w:tcPr>
          <w:p>
            <w:pPr>
              <w:spacing w:after="0"/>
              <w:rPr>
                <w:sz w:val="20"/>
                <w:szCs w:val="20"/>
                <w:color w:val="auto"/>
              </w:rPr>
            </w:pPr>
            <w:r>
              <w:rPr>
                <w:rFonts w:ascii="Arial" w:cs="Arial" w:eastAsia="Arial" w:hAnsi="Arial"/>
                <w:sz w:val="18"/>
                <w:szCs w:val="18"/>
                <w:color w:val="auto"/>
              </w:rPr>
              <w:t>Less: Freight and delivery revenues</w:t>
            </w:r>
          </w:p>
        </w:tc>
        <w:tc>
          <w:tcPr>
            <w:tcW w:w="280" w:type="dxa"/>
            <w:vAlign w:val="bottom"/>
            <w:shd w:val="clear" w:color="auto" w:fill="CFF2FA"/>
          </w:tcPr>
          <w:p>
            <w:pPr>
              <w:spacing w:after="0"/>
              <w:rPr>
                <w:sz w:val="19"/>
                <w:szCs w:val="19"/>
                <w:color w:val="auto"/>
              </w:rPr>
            </w:pPr>
          </w:p>
        </w:tc>
        <w:tc>
          <w:tcPr>
            <w:tcW w:w="1200" w:type="dxa"/>
            <w:vAlign w:val="bottom"/>
            <w:gridSpan w:val="2"/>
            <w:shd w:val="clear" w:color="auto" w:fill="CFF2FA"/>
          </w:tcPr>
          <w:p>
            <w:pPr>
              <w:jc w:val="right"/>
              <w:ind w:right="260"/>
              <w:spacing w:after="0"/>
              <w:rPr>
                <w:sz w:val="20"/>
                <w:szCs w:val="20"/>
                <w:color w:val="auto"/>
              </w:rPr>
            </w:pPr>
            <w:r>
              <w:rPr>
                <w:rFonts w:ascii="Arial" w:cs="Arial" w:eastAsia="Arial" w:hAnsi="Arial"/>
                <w:sz w:val="18"/>
                <w:szCs w:val="18"/>
                <w:color w:val="auto"/>
              </w:rPr>
              <w:t>(61,862)</w:t>
            </w:r>
          </w:p>
        </w:tc>
        <w:tc>
          <w:tcPr>
            <w:tcW w:w="260" w:type="dxa"/>
            <w:vAlign w:val="bottom"/>
            <w:shd w:val="clear" w:color="auto" w:fill="CFF2FA"/>
          </w:tcPr>
          <w:p>
            <w:pPr>
              <w:spacing w:after="0"/>
              <w:rPr>
                <w:sz w:val="19"/>
                <w:szCs w:val="19"/>
                <w:color w:val="auto"/>
              </w:rPr>
            </w:pPr>
          </w:p>
        </w:tc>
        <w:tc>
          <w:tcPr>
            <w:tcW w:w="1060" w:type="dxa"/>
            <w:vAlign w:val="bottom"/>
            <w:gridSpan w:val="2"/>
            <w:shd w:val="clear" w:color="auto" w:fill="CFF2FA"/>
          </w:tcPr>
          <w:p>
            <w:pPr>
              <w:jc w:val="right"/>
              <w:ind w:right="120"/>
              <w:spacing w:after="0"/>
              <w:rPr>
                <w:sz w:val="20"/>
                <w:szCs w:val="20"/>
                <w:color w:val="auto"/>
              </w:rPr>
            </w:pPr>
            <w:r>
              <w:rPr>
                <w:rFonts w:ascii="Arial" w:cs="Arial" w:eastAsia="Arial" w:hAnsi="Arial"/>
                <w:sz w:val="18"/>
                <w:szCs w:val="18"/>
                <w:color w:val="auto"/>
              </w:rPr>
              <w:t>(71,170)</w:t>
            </w:r>
          </w:p>
        </w:tc>
        <w:tc>
          <w:tcPr>
            <w:tcW w:w="140" w:type="dxa"/>
            <w:vAlign w:val="bottom"/>
            <w:shd w:val="clear" w:color="auto" w:fill="CFF0FC"/>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(116,636)</w:t>
            </w:r>
          </w:p>
        </w:tc>
        <w:tc>
          <w:tcPr>
            <w:tcW w:w="100" w:type="dxa"/>
            <w:vAlign w:val="bottom"/>
            <w:shd w:val="clear" w:color="auto" w:fill="CFF2FA"/>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106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(130,641)</w:t>
            </w:r>
          </w:p>
        </w:tc>
        <w:tc>
          <w:tcPr>
            <w:tcW w:w="0" w:type="dxa"/>
            <w:vAlign w:val="bottom"/>
          </w:tcPr>
          <w:p>
            <w:pPr>
              <w:spacing w:after="0"/>
              <w:rPr>
                <w:sz w:val="1"/>
                <w:szCs w:val="1"/>
                <w:color w:val="auto"/>
              </w:rPr>
            </w:pPr>
          </w:p>
        </w:tc>
      </w:tr>
      <w:tr>
        <w:trPr>
          <w:trHeight w:val="260"/>
        </w:trPr>
        <w:tc>
          <w:tcPr>
            <w:tcW w:w="568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915,436</w:t>
            </w:r>
          </w:p>
        </w:tc>
        <w:tc>
          <w:tcPr>
            <w:tcW w:w="320" w:type="dxa"/>
            <w:vAlign w:val="bottom"/>
            <w:tcBorders>
              <w:bottom w:val="single" w:sz="8" w:color="CFF2FA"/>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850,249</w:t>
            </w:r>
          </w:p>
        </w:tc>
        <w:tc>
          <w:tcPr>
            <w:tcW w:w="180" w:type="dxa"/>
            <w:vAlign w:val="bottom"/>
            <w:tcBorders>
              <w:bottom w:val="single" w:sz="8" w:color="CFF2FA"/>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1,649,396</w:t>
            </w:r>
          </w:p>
        </w:tc>
        <w:tc>
          <w:tcPr>
            <w:tcW w:w="220" w:type="dxa"/>
            <w:vAlign w:val="bottom"/>
            <w:tcBorders>
              <w:bottom w:val="single" w:sz="8" w:color="CFF2FA"/>
            </w:tcBorders>
          </w:tcPr>
          <w:p>
            <w:pPr>
              <w:spacing w:after="0"/>
              <w:rPr>
                <w:sz w:val="22"/>
                <w:szCs w:val="22"/>
                <w:color w:val="auto"/>
              </w:rPr>
            </w:pPr>
          </w:p>
        </w:tc>
        <w:tc>
          <w:tcPr>
            <w:tcW w:w="100" w:type="dxa"/>
            <w:vAlign w:val="bottom"/>
            <w:tcBorders>
              <w:bottom w:val="single" w:sz="8" w:color="CFF2FA"/>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1,482,124</w:t>
            </w:r>
          </w:p>
        </w:tc>
        <w:tc>
          <w:tcPr>
            <w:tcW w:w="16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68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Operating margin excluding freight and delivery revenues</w:t>
            </w:r>
          </w:p>
        </w:tc>
        <w:tc>
          <w:tcPr>
            <w:tcW w:w="280" w:type="dxa"/>
            <w:vAlign w:val="bottom"/>
            <w:shd w:val="clear" w:color="auto" w:fill="CFF2FA"/>
          </w:tcPr>
          <w:p>
            <w:pPr>
              <w:spacing w:after="0"/>
              <w:rPr>
                <w:sz w:val="17"/>
                <w:szCs w:val="17"/>
                <w:color w:val="auto"/>
              </w:rPr>
            </w:pPr>
          </w:p>
        </w:tc>
        <w:tc>
          <w:tcPr>
            <w:tcW w:w="1200" w:type="dxa"/>
            <w:vAlign w:val="bottom"/>
            <w:gridSpan w:val="2"/>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20.5%</w:t>
            </w:r>
          </w:p>
        </w:tc>
        <w:tc>
          <w:tcPr>
            <w:tcW w:w="26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16.1%</w:t>
            </w:r>
          </w:p>
        </w:tc>
        <w:tc>
          <w:tcPr>
            <w:tcW w:w="140" w:type="dxa"/>
            <w:vAlign w:val="bottom"/>
            <w:shd w:val="clear" w:color="auto" w:fill="CFF0FC"/>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140" w:type="dxa"/>
            <w:vAlign w:val="bottom"/>
            <w:gridSpan w:val="2"/>
            <w:shd w:val="clear" w:color="auto" w:fill="CFF2FA"/>
          </w:tcPr>
          <w:p>
            <w:pPr>
              <w:jc w:val="right"/>
              <w:ind w:right="80"/>
              <w:spacing w:after="0" w:line="205" w:lineRule="exact"/>
              <w:rPr>
                <w:sz w:val="20"/>
                <w:szCs w:val="20"/>
                <w:color w:val="auto"/>
              </w:rPr>
            </w:pPr>
            <w:r>
              <w:rPr>
                <w:rFonts w:ascii="Arial" w:cs="Arial" w:eastAsia="Arial" w:hAnsi="Arial"/>
                <w:sz w:val="18"/>
                <w:szCs w:val="18"/>
                <w:color w:val="auto"/>
              </w:rPr>
              <w:t>16.5%</w:t>
            </w:r>
          </w:p>
        </w:tc>
        <w:tc>
          <w:tcPr>
            <w:tcW w:w="100" w:type="dxa"/>
            <w:vAlign w:val="bottom"/>
            <w:shd w:val="clear" w:color="auto" w:fill="CFF2FA"/>
          </w:tcPr>
          <w:p>
            <w:pPr>
              <w:spacing w:after="0"/>
              <w:rPr>
                <w:sz w:val="17"/>
                <w:szCs w:val="17"/>
                <w:color w:val="auto"/>
              </w:rPr>
            </w:pPr>
          </w:p>
        </w:tc>
        <w:tc>
          <w:tcPr>
            <w:tcW w:w="26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5680" w:type="dxa"/>
            <w:vAlign w:val="bottom"/>
            <w:tcBorders>
              <w:top w:val="single" w:sz="8" w:color="CFF2FA"/>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10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80" w:type="dxa"/>
            <w:vAlign w:val="bottom"/>
          </w:tcPr>
          <w:p>
            <w:pPr>
              <w:spacing w:after="0"/>
              <w:rPr>
                <w:sz w:val="20"/>
                <w:szCs w:val="20"/>
                <w:color w:val="auto"/>
              </w:rPr>
            </w:pPr>
            <w:r>
              <w:rPr>
                <w:rFonts w:ascii="Arial" w:cs="Arial" w:eastAsia="Arial" w:hAnsi="Arial"/>
                <w:sz w:val="18"/>
                <w:szCs w:val="18"/>
                <w:b w:val="1"/>
                <w:bCs w:val="1"/>
                <w:color w:val="auto"/>
              </w:rPr>
              <w:t>Aggregates Business Margin in Accordance with GAAP</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7"/>
          </w:tcPr>
          <w:p>
            <w:pPr>
              <w:jc w:val="center"/>
              <w:ind w:right="460"/>
              <w:spacing w:after="0"/>
              <w:rPr>
                <w:sz w:val="20"/>
                <w:szCs w:val="20"/>
                <w:color w:val="auto"/>
              </w:rPr>
            </w:pPr>
            <w:r>
              <w:rPr>
                <w:rFonts w:ascii="Arial" w:cs="Arial" w:eastAsia="Arial" w:hAnsi="Arial"/>
                <w:sz w:val="18"/>
                <w:szCs w:val="18"/>
                <w:color w:val="auto"/>
                <w:w w:val="92"/>
              </w:rPr>
              <w:t>Three Months Ended</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7"/>
          </w:tcPr>
          <w:p>
            <w:pPr>
              <w:jc w:val="center"/>
              <w:ind w:right="420"/>
              <w:spacing w:after="0"/>
              <w:rPr>
                <w:sz w:val="20"/>
                <w:szCs w:val="20"/>
                <w:color w:val="auto"/>
              </w:rPr>
            </w:pPr>
            <w:r>
              <w:rPr>
                <w:rFonts w:ascii="Arial" w:cs="Arial" w:eastAsia="Arial" w:hAnsi="Arial"/>
                <w:sz w:val="18"/>
                <w:szCs w:val="18"/>
                <w:color w:val="auto"/>
                <w:w w:val="94"/>
              </w:rPr>
              <w:t>Six Months Ended</w:t>
            </w:r>
          </w:p>
        </w:tc>
        <w:tc>
          <w:tcPr>
            <w:tcW w:w="0" w:type="dxa"/>
            <w:vAlign w:val="bottom"/>
          </w:tcPr>
          <w:p>
            <w:pPr>
              <w:spacing w:after="0"/>
              <w:rPr>
                <w:sz w:val="1"/>
                <w:szCs w:val="1"/>
                <w:color w:val="auto"/>
              </w:rPr>
            </w:pPr>
          </w:p>
        </w:tc>
      </w:tr>
      <w:tr>
        <w:trPr>
          <w:trHeight w:val="231"/>
        </w:trPr>
        <w:tc>
          <w:tcPr>
            <w:tcW w:w="56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528"/>
              <w:spacing w:after="0"/>
              <w:rPr>
                <w:sz w:val="20"/>
                <w:szCs w:val="20"/>
                <w:color w:val="auto"/>
              </w:rPr>
            </w:pPr>
            <w:r>
              <w:rPr>
                <w:rFonts w:ascii="Arial" w:cs="Arial" w:eastAsia="Arial" w:hAnsi="Arial"/>
                <w:sz w:val="18"/>
                <w:szCs w:val="18"/>
                <w:color w:val="auto"/>
                <w:w w:val="89"/>
              </w:rPr>
              <w:t>June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5"/>
          </w:tcPr>
          <w:p>
            <w:pPr>
              <w:jc w:val="center"/>
              <w:ind w:left="548"/>
              <w:spacing w:after="0"/>
              <w:rPr>
                <w:sz w:val="20"/>
                <w:szCs w:val="20"/>
                <w:color w:val="auto"/>
              </w:rPr>
            </w:pPr>
            <w:r>
              <w:rPr>
                <w:rFonts w:ascii="Arial" w:cs="Arial" w:eastAsia="Arial" w:hAnsi="Arial"/>
                <w:sz w:val="18"/>
                <w:szCs w:val="18"/>
                <w:color w:val="auto"/>
                <w:w w:val="89"/>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gridSpan w:val="7"/>
          </w:tcPr>
          <w:p>
            <w:pPr>
              <w:jc w:val="right"/>
              <w:ind w:right="700"/>
              <w:spacing w:after="0"/>
              <w:rPr>
                <w:sz w:val="20"/>
                <w:szCs w:val="20"/>
                <w:color w:val="auto"/>
              </w:rPr>
            </w:pPr>
            <w:r>
              <w:rPr>
                <w:rFonts w:ascii="Arial" w:cs="Arial" w:eastAsia="Arial" w:hAnsi="Arial"/>
                <w:sz w:val="18"/>
                <w:szCs w:val="18"/>
                <w:i w:val="1"/>
                <w:iCs w:val="1"/>
                <w:color w:val="auto"/>
              </w:rPr>
              <w:t>(Dollars in Thousands)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80" w:type="dxa"/>
            <w:vAlign w:val="bottom"/>
            <w:shd w:val="clear" w:color="auto" w:fill="CFF2FA"/>
          </w:tcPr>
          <w:p>
            <w:pPr>
              <w:spacing w:after="0"/>
              <w:rPr>
                <w:sz w:val="20"/>
                <w:szCs w:val="20"/>
                <w:color w:val="auto"/>
              </w:rPr>
            </w:pPr>
            <w:r>
              <w:rPr>
                <w:rFonts w:ascii="Arial" w:cs="Arial" w:eastAsia="Arial" w:hAnsi="Arial"/>
                <w:sz w:val="18"/>
                <w:szCs w:val="18"/>
                <w:color w:val="auto"/>
              </w:rPr>
              <w:t>Gross profit</w:t>
            </w:r>
          </w:p>
        </w:tc>
        <w:tc>
          <w:tcPr>
            <w:tcW w:w="260" w:type="dxa"/>
            <w:vAlign w:val="bottom"/>
            <w:gridSpan w:val="2"/>
            <w:shd w:val="clear" w:color="auto" w:fill="CFF2FA"/>
          </w:tcPr>
          <w:p>
            <w:pPr>
              <w:jc w:val="right"/>
              <w:ind w:right="68"/>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202,522</w:t>
            </w:r>
          </w:p>
        </w:tc>
        <w:tc>
          <w:tcPr>
            <w:tcW w:w="320" w:type="dxa"/>
            <w:vAlign w:val="bottom"/>
            <w:shd w:val="clear" w:color="auto" w:fill="CFF2FA"/>
          </w:tcPr>
          <w:p>
            <w:pPr>
              <w:spacing w:after="0"/>
              <w:rPr>
                <w:sz w:val="19"/>
                <w:szCs w:val="19"/>
                <w:color w:val="auto"/>
              </w:rPr>
            </w:pPr>
          </w:p>
        </w:tc>
        <w:tc>
          <w:tcPr>
            <w:tcW w:w="260" w:type="dxa"/>
            <w:vAlign w:val="bottom"/>
            <w:gridSpan w:val="2"/>
            <w:shd w:val="clear" w:color="auto" w:fill="CFF2FA"/>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154,504</w:t>
            </w:r>
          </w:p>
        </w:tc>
        <w:tc>
          <w:tcPr>
            <w:tcW w:w="2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160" w:type="dxa"/>
            <w:vAlign w:val="bottom"/>
            <w:tcBorders>
              <w:right w:val="single" w:sz="8" w:color="CFF2FA"/>
            </w:tcBorders>
            <w:shd w:val="clear" w:color="auto" w:fill="CFF0FC"/>
          </w:tcPr>
          <w:p>
            <w:pPr>
              <w:spacing w:after="0"/>
              <w:rPr>
                <w:sz w:val="19"/>
                <w:szCs w:val="19"/>
                <w:color w:val="auto"/>
              </w:rPr>
            </w:pPr>
          </w:p>
        </w:tc>
        <w:tc>
          <w:tcPr>
            <w:tcW w:w="220" w:type="dxa"/>
            <w:vAlign w:val="bottom"/>
            <w:shd w:val="clear" w:color="auto" w:fill="CFF2FA"/>
          </w:tcPr>
          <w:p>
            <w:pPr>
              <w:jc w:val="right"/>
              <w:ind w:right="10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295,525</w:t>
            </w:r>
          </w:p>
        </w:tc>
        <w:tc>
          <w:tcPr>
            <w:tcW w:w="240" w:type="dxa"/>
            <w:vAlign w:val="bottom"/>
            <w:shd w:val="clear" w:color="auto" w:fill="CFF2FA"/>
          </w:tcPr>
          <w:p>
            <w:pPr>
              <w:spacing w:after="0"/>
              <w:rPr>
                <w:sz w:val="19"/>
                <w:szCs w:val="19"/>
                <w:color w:val="auto"/>
              </w:rPr>
            </w:pPr>
          </w:p>
        </w:tc>
        <w:tc>
          <w:tcPr>
            <w:tcW w:w="340" w:type="dxa"/>
            <w:vAlign w:val="bottom"/>
            <w:gridSpan w:val="3"/>
            <w:shd w:val="clear" w:color="auto" w:fill="CFF2FA"/>
          </w:tcPr>
          <w:p>
            <w:pPr>
              <w:jc w:val="right"/>
              <w:ind w:right="103"/>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193,230</w:t>
            </w:r>
          </w:p>
        </w:tc>
        <w:tc>
          <w:tcPr>
            <w:tcW w:w="16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18"/>
                <w:szCs w:val="18"/>
                <w:color w:val="auto"/>
              </w:rPr>
              <w:t>Total revenues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2FA"/>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680" w:type="dxa"/>
            <w:vAlign w:val="bottom"/>
            <w:tcBorders>
              <w:bottom w:val="single" w:sz="8" w:color="CFF2FA"/>
            </w:tcBorders>
            <w:vMerge w:val="continue"/>
          </w:tcPr>
          <w:p>
            <w:pPr>
              <w:spacing w:after="0"/>
              <w:rPr>
                <w:sz w:val="21"/>
                <w:szCs w:val="21"/>
                <w:color w:val="auto"/>
              </w:rPr>
            </w:pPr>
          </w:p>
        </w:tc>
        <w:tc>
          <w:tcPr>
            <w:tcW w:w="260" w:type="dxa"/>
            <w:vAlign w:val="bottom"/>
            <w:tcBorders>
              <w:bottom w:val="single" w:sz="8" w:color="auto"/>
            </w:tcBorders>
            <w:gridSpan w:val="2"/>
          </w:tcPr>
          <w:p>
            <w:pPr>
              <w:jc w:val="right"/>
              <w:ind w:right="68"/>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851,194</w:t>
            </w:r>
          </w:p>
        </w:tc>
        <w:tc>
          <w:tcPr>
            <w:tcW w:w="320" w:type="dxa"/>
            <w:vAlign w:val="bottom"/>
            <w:tcBorders>
              <w:bottom w:val="single" w:sz="8" w:color="CFF2FA"/>
            </w:tcBorders>
          </w:tcPr>
          <w:p>
            <w:pPr>
              <w:spacing w:after="0"/>
              <w:rPr>
                <w:sz w:val="21"/>
                <w:szCs w:val="21"/>
                <w:color w:val="auto"/>
              </w:rPr>
            </w:pPr>
          </w:p>
        </w:tc>
        <w:tc>
          <w:tcPr>
            <w:tcW w:w="260" w:type="dxa"/>
            <w:vAlign w:val="bottom"/>
            <w:tcBorders>
              <w:bottom w:val="single" w:sz="8" w:color="auto"/>
            </w:tcBorders>
            <w:gridSpan w:val="2"/>
          </w:tcPr>
          <w:p>
            <w:pPr>
              <w:spacing w:after="0" w:line="205"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750,402</w:t>
            </w:r>
          </w:p>
        </w:tc>
        <w:tc>
          <w:tcPr>
            <w:tcW w:w="20" w:type="dxa"/>
            <w:vAlign w:val="bottom"/>
            <w:tcBorders>
              <w:bottom w:val="single" w:sz="8" w:color="CFF2FA"/>
            </w:tcBorders>
          </w:tcPr>
          <w:p>
            <w:pPr>
              <w:spacing w:after="0"/>
              <w:rPr>
                <w:sz w:val="21"/>
                <w:szCs w:val="21"/>
                <w:color w:val="auto"/>
              </w:rPr>
            </w:pPr>
          </w:p>
        </w:tc>
        <w:tc>
          <w:tcPr>
            <w:tcW w:w="160" w:type="dxa"/>
            <w:vAlign w:val="bottom"/>
            <w:tcBorders>
              <w:bottom w:val="single" w:sz="8" w:color="CFF2FA"/>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10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1,502,206</w:t>
            </w:r>
          </w:p>
        </w:tc>
        <w:tc>
          <w:tcPr>
            <w:tcW w:w="240" w:type="dxa"/>
            <w:vAlign w:val="bottom"/>
            <w:tcBorders>
              <w:bottom w:val="single" w:sz="8" w:color="CFF2FA"/>
            </w:tcBorders>
          </w:tcPr>
          <w:p>
            <w:pPr>
              <w:spacing w:after="0"/>
              <w:rPr>
                <w:sz w:val="21"/>
                <w:szCs w:val="21"/>
                <w:color w:val="auto"/>
              </w:rPr>
            </w:pPr>
          </w:p>
        </w:tc>
        <w:tc>
          <w:tcPr>
            <w:tcW w:w="80" w:type="dxa"/>
            <w:vAlign w:val="bottom"/>
            <w:tcBorders>
              <w:bottom w:val="single" w:sz="8" w:color="CFF2FA"/>
            </w:tcBorders>
          </w:tcPr>
          <w:p>
            <w:pPr>
              <w:spacing w:after="0"/>
              <w:rPr>
                <w:sz w:val="21"/>
                <w:szCs w:val="21"/>
                <w:color w:val="auto"/>
              </w:rPr>
            </w:pPr>
          </w:p>
        </w:tc>
        <w:tc>
          <w:tcPr>
            <w:tcW w:w="26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1,276,484</w:t>
            </w:r>
          </w:p>
        </w:tc>
        <w:tc>
          <w:tcPr>
            <w:tcW w:w="160" w:type="dxa"/>
            <w:vAlign w:val="bottom"/>
            <w:tcBorders>
              <w:bottom w:val="single" w:sz="8" w:color="CFF2FA"/>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68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Gross margin</w:t>
            </w:r>
          </w:p>
        </w:tc>
        <w:tc>
          <w:tcPr>
            <w:tcW w:w="20" w:type="dxa"/>
            <w:vAlign w:val="bottom"/>
            <w:shd w:val="clear" w:color="auto" w:fill="CFF2FA"/>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220" w:type="dxa"/>
            <w:vAlign w:val="bottom"/>
            <w:gridSpan w:val="2"/>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23.8%</w:t>
            </w:r>
          </w:p>
        </w:tc>
        <w:tc>
          <w:tcPr>
            <w:tcW w:w="20" w:type="dxa"/>
            <w:vAlign w:val="bottom"/>
            <w:shd w:val="clear" w:color="auto" w:fill="CFF2FA"/>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060" w:type="dxa"/>
            <w:vAlign w:val="bottom"/>
            <w:gridSpan w:val="3"/>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20.6%</w:t>
            </w:r>
          </w:p>
        </w:tc>
        <w:tc>
          <w:tcPr>
            <w:tcW w:w="160" w:type="dxa"/>
            <w:vAlign w:val="bottom"/>
            <w:tcBorders>
              <w:right w:val="single" w:sz="8" w:color="CFF2FA"/>
            </w:tcBorders>
            <w:shd w:val="clear" w:color="auto" w:fill="CFF0FC"/>
          </w:tcPr>
          <w:p>
            <w:pPr>
              <w:spacing w:after="0"/>
              <w:rPr>
                <w:sz w:val="17"/>
                <w:szCs w:val="17"/>
                <w:color w:val="auto"/>
              </w:rPr>
            </w:pPr>
          </w:p>
        </w:tc>
        <w:tc>
          <w:tcPr>
            <w:tcW w:w="220" w:type="dxa"/>
            <w:vAlign w:val="bottom"/>
            <w:shd w:val="clear" w:color="auto" w:fill="CFF2FA"/>
          </w:tcPr>
          <w:p>
            <w:pPr>
              <w:spacing w:after="0"/>
              <w:rPr>
                <w:sz w:val="17"/>
                <w:szCs w:val="17"/>
                <w:color w:val="auto"/>
              </w:rPr>
            </w:pPr>
          </w:p>
        </w:tc>
        <w:tc>
          <w:tcPr>
            <w:tcW w:w="1160" w:type="dxa"/>
            <w:vAlign w:val="bottom"/>
            <w:gridSpan w:val="2"/>
            <w:shd w:val="clear" w:color="auto" w:fill="CFF2FA"/>
          </w:tcPr>
          <w:p>
            <w:pPr>
              <w:jc w:val="right"/>
              <w:ind w:right="100"/>
              <w:spacing w:after="0" w:line="205" w:lineRule="exact"/>
              <w:rPr>
                <w:sz w:val="20"/>
                <w:szCs w:val="20"/>
                <w:color w:val="auto"/>
              </w:rPr>
            </w:pPr>
            <w:r>
              <w:rPr>
                <w:rFonts w:ascii="Arial" w:cs="Arial" w:eastAsia="Arial" w:hAnsi="Arial"/>
                <w:sz w:val="18"/>
                <w:szCs w:val="18"/>
                <w:color w:val="auto"/>
              </w:rPr>
              <w:t>19.7%</w:t>
            </w:r>
          </w:p>
        </w:tc>
        <w:tc>
          <w:tcPr>
            <w:tcW w:w="80" w:type="dxa"/>
            <w:vAlign w:val="bottom"/>
            <w:shd w:val="clear" w:color="auto" w:fill="CFF2FA"/>
          </w:tcPr>
          <w:p>
            <w:pPr>
              <w:spacing w:after="0"/>
              <w:rPr>
                <w:sz w:val="17"/>
                <w:szCs w:val="17"/>
                <w:color w:val="auto"/>
              </w:rPr>
            </w:pPr>
          </w:p>
        </w:tc>
        <w:tc>
          <w:tcPr>
            <w:tcW w:w="20" w:type="dxa"/>
            <w:vAlign w:val="bottom"/>
            <w:shd w:val="clear" w:color="auto" w:fill="CFF2FA"/>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568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2FA"/>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4"/>
        </w:trPr>
        <w:tc>
          <w:tcPr>
            <w:tcW w:w="7160" w:type="dxa"/>
            <w:vAlign w:val="bottom"/>
            <w:gridSpan w:val="5"/>
          </w:tcPr>
          <w:p>
            <w:pPr>
              <w:spacing w:after="0"/>
              <w:rPr>
                <w:sz w:val="20"/>
                <w:szCs w:val="20"/>
                <w:color w:val="auto"/>
              </w:rPr>
            </w:pPr>
            <w:r>
              <w:rPr>
                <w:rFonts w:ascii="Arial" w:cs="Arial" w:eastAsia="Arial" w:hAnsi="Arial"/>
                <w:sz w:val="18"/>
                <w:szCs w:val="18"/>
                <w:b w:val="1"/>
                <w:bCs w:val="1"/>
                <w:color w:val="auto"/>
              </w:rPr>
              <w:t>Aggregates Business Gross Margin Excluding Freight and Delivery Revenues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40" w:type="dxa"/>
            <w:vAlign w:val="bottom"/>
            <w:gridSpan w:val="7"/>
          </w:tcPr>
          <w:p>
            <w:pPr>
              <w:jc w:val="center"/>
              <w:ind w:right="460"/>
              <w:spacing w:after="0"/>
              <w:rPr>
                <w:sz w:val="20"/>
                <w:szCs w:val="20"/>
                <w:color w:val="auto"/>
              </w:rPr>
            </w:pPr>
            <w:r>
              <w:rPr>
                <w:rFonts w:ascii="Arial" w:cs="Arial" w:eastAsia="Arial" w:hAnsi="Arial"/>
                <w:sz w:val="18"/>
                <w:szCs w:val="18"/>
                <w:color w:val="auto"/>
                <w:w w:val="92"/>
              </w:rPr>
              <w:t>Three Months Ended</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7"/>
          </w:tcPr>
          <w:p>
            <w:pPr>
              <w:jc w:val="center"/>
              <w:ind w:right="420"/>
              <w:spacing w:after="0"/>
              <w:rPr>
                <w:sz w:val="20"/>
                <w:szCs w:val="20"/>
                <w:color w:val="auto"/>
              </w:rPr>
            </w:pPr>
            <w:r>
              <w:rPr>
                <w:rFonts w:ascii="Arial" w:cs="Arial" w:eastAsia="Arial" w:hAnsi="Arial"/>
                <w:sz w:val="18"/>
                <w:szCs w:val="18"/>
                <w:color w:val="auto"/>
                <w:w w:val="94"/>
              </w:rPr>
              <w:t>Six Months Ended</w:t>
            </w:r>
          </w:p>
        </w:tc>
        <w:tc>
          <w:tcPr>
            <w:tcW w:w="0" w:type="dxa"/>
            <w:vAlign w:val="bottom"/>
          </w:tcPr>
          <w:p>
            <w:pPr>
              <w:spacing w:after="0"/>
              <w:rPr>
                <w:sz w:val="1"/>
                <w:szCs w:val="1"/>
                <w:color w:val="auto"/>
              </w:rPr>
            </w:pPr>
          </w:p>
        </w:tc>
      </w:tr>
      <w:tr>
        <w:trPr>
          <w:trHeight w:val="231"/>
        </w:trPr>
        <w:tc>
          <w:tcPr>
            <w:tcW w:w="56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528"/>
              <w:spacing w:after="0"/>
              <w:rPr>
                <w:sz w:val="20"/>
                <w:szCs w:val="20"/>
                <w:color w:val="auto"/>
              </w:rPr>
            </w:pPr>
            <w:r>
              <w:rPr>
                <w:rFonts w:ascii="Arial" w:cs="Arial" w:eastAsia="Arial" w:hAnsi="Arial"/>
                <w:sz w:val="18"/>
                <w:szCs w:val="18"/>
                <w:color w:val="auto"/>
                <w:w w:val="89"/>
              </w:rPr>
              <w:t>June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5"/>
          </w:tcPr>
          <w:p>
            <w:pPr>
              <w:jc w:val="center"/>
              <w:ind w:left="548"/>
              <w:spacing w:after="0"/>
              <w:rPr>
                <w:sz w:val="20"/>
                <w:szCs w:val="20"/>
                <w:color w:val="auto"/>
              </w:rPr>
            </w:pPr>
            <w:r>
              <w:rPr>
                <w:rFonts w:ascii="Arial" w:cs="Arial" w:eastAsia="Arial" w:hAnsi="Arial"/>
                <w:sz w:val="18"/>
                <w:szCs w:val="18"/>
                <w:color w:val="auto"/>
                <w:w w:val="89"/>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gridSpan w:val="7"/>
          </w:tcPr>
          <w:p>
            <w:pPr>
              <w:jc w:val="right"/>
              <w:ind w:right="700"/>
              <w:spacing w:after="0"/>
              <w:rPr>
                <w:sz w:val="20"/>
                <w:szCs w:val="20"/>
                <w:color w:val="auto"/>
              </w:rPr>
            </w:pPr>
            <w:r>
              <w:rPr>
                <w:rFonts w:ascii="Arial" w:cs="Arial" w:eastAsia="Arial" w:hAnsi="Arial"/>
                <w:sz w:val="18"/>
                <w:szCs w:val="18"/>
                <w:i w:val="1"/>
                <w:iCs w:val="1"/>
                <w:color w:val="auto"/>
              </w:rPr>
              <w:t>(Dollars in Thousands)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80" w:type="dxa"/>
            <w:vAlign w:val="bottom"/>
            <w:shd w:val="clear" w:color="auto" w:fill="CFF2FA"/>
          </w:tcPr>
          <w:p>
            <w:pPr>
              <w:spacing w:after="0"/>
              <w:rPr>
                <w:sz w:val="20"/>
                <w:szCs w:val="20"/>
                <w:color w:val="auto"/>
              </w:rPr>
            </w:pPr>
            <w:r>
              <w:rPr>
                <w:rFonts w:ascii="Arial" w:cs="Arial" w:eastAsia="Arial" w:hAnsi="Arial"/>
                <w:sz w:val="18"/>
                <w:szCs w:val="18"/>
                <w:color w:val="auto"/>
              </w:rPr>
              <w:t>Gross profit</w:t>
            </w:r>
          </w:p>
        </w:tc>
        <w:tc>
          <w:tcPr>
            <w:tcW w:w="260" w:type="dxa"/>
            <w:vAlign w:val="bottom"/>
            <w:gridSpan w:val="2"/>
            <w:shd w:val="clear" w:color="auto" w:fill="CFF2FA"/>
          </w:tcPr>
          <w:p>
            <w:pPr>
              <w:jc w:val="right"/>
              <w:ind w:right="68"/>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202,522</w:t>
            </w:r>
          </w:p>
        </w:tc>
        <w:tc>
          <w:tcPr>
            <w:tcW w:w="320" w:type="dxa"/>
            <w:vAlign w:val="bottom"/>
            <w:shd w:val="clear" w:color="auto" w:fill="CFF2FA"/>
          </w:tcPr>
          <w:p>
            <w:pPr>
              <w:spacing w:after="0"/>
              <w:rPr>
                <w:sz w:val="19"/>
                <w:szCs w:val="19"/>
                <w:color w:val="auto"/>
              </w:rPr>
            </w:pPr>
          </w:p>
        </w:tc>
        <w:tc>
          <w:tcPr>
            <w:tcW w:w="260" w:type="dxa"/>
            <w:vAlign w:val="bottom"/>
            <w:gridSpan w:val="2"/>
            <w:shd w:val="clear" w:color="auto" w:fill="CFF2FA"/>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154,504</w:t>
            </w:r>
          </w:p>
        </w:tc>
        <w:tc>
          <w:tcPr>
            <w:tcW w:w="2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160" w:type="dxa"/>
            <w:vAlign w:val="bottom"/>
            <w:tcBorders>
              <w:right w:val="single" w:sz="8" w:color="CFF2FA"/>
            </w:tcBorders>
            <w:shd w:val="clear" w:color="auto" w:fill="CFF0FC"/>
          </w:tcPr>
          <w:p>
            <w:pPr>
              <w:spacing w:after="0"/>
              <w:rPr>
                <w:sz w:val="19"/>
                <w:szCs w:val="19"/>
                <w:color w:val="auto"/>
              </w:rPr>
            </w:pPr>
          </w:p>
        </w:tc>
        <w:tc>
          <w:tcPr>
            <w:tcW w:w="220" w:type="dxa"/>
            <w:vAlign w:val="bottom"/>
            <w:shd w:val="clear" w:color="auto" w:fill="CFF2FA"/>
          </w:tcPr>
          <w:p>
            <w:pPr>
              <w:jc w:val="right"/>
              <w:ind w:right="10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295,525</w:t>
            </w:r>
          </w:p>
        </w:tc>
        <w:tc>
          <w:tcPr>
            <w:tcW w:w="240" w:type="dxa"/>
            <w:vAlign w:val="bottom"/>
            <w:shd w:val="clear" w:color="auto" w:fill="CFF2FA"/>
          </w:tcPr>
          <w:p>
            <w:pPr>
              <w:spacing w:after="0"/>
              <w:rPr>
                <w:sz w:val="19"/>
                <w:szCs w:val="19"/>
                <w:color w:val="auto"/>
              </w:rPr>
            </w:pPr>
          </w:p>
        </w:tc>
        <w:tc>
          <w:tcPr>
            <w:tcW w:w="340" w:type="dxa"/>
            <w:vAlign w:val="bottom"/>
            <w:gridSpan w:val="3"/>
            <w:shd w:val="clear" w:color="auto" w:fill="CFF2FA"/>
          </w:tcPr>
          <w:p>
            <w:pPr>
              <w:jc w:val="right"/>
              <w:ind w:right="103"/>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193,230</w:t>
            </w:r>
          </w:p>
        </w:tc>
        <w:tc>
          <w:tcPr>
            <w:tcW w:w="16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18"/>
                <w:szCs w:val="18"/>
                <w:color w:val="auto"/>
              </w:rPr>
              <w:t>Total revenues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2FA"/>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680" w:type="dxa"/>
            <w:vAlign w:val="bottom"/>
            <w:vMerge w:val="continue"/>
          </w:tcPr>
          <w:p>
            <w:pPr>
              <w:spacing w:after="0"/>
              <w:rPr>
                <w:sz w:val="17"/>
                <w:szCs w:val="17"/>
                <w:color w:val="auto"/>
              </w:rPr>
            </w:pPr>
          </w:p>
        </w:tc>
        <w:tc>
          <w:tcPr>
            <w:tcW w:w="260" w:type="dxa"/>
            <w:vAlign w:val="bottom"/>
            <w:gridSpan w:val="2"/>
          </w:tcPr>
          <w:p>
            <w:pPr>
              <w:jc w:val="right"/>
              <w:ind w:right="68"/>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851,194</w:t>
            </w:r>
          </w:p>
        </w:tc>
        <w:tc>
          <w:tcPr>
            <w:tcW w:w="320" w:type="dxa"/>
            <w:vAlign w:val="bottom"/>
          </w:tcPr>
          <w:p>
            <w:pPr>
              <w:spacing w:after="0"/>
              <w:rPr>
                <w:sz w:val="17"/>
                <w:szCs w:val="17"/>
                <w:color w:val="auto"/>
              </w:rPr>
            </w:pPr>
          </w:p>
        </w:tc>
        <w:tc>
          <w:tcPr>
            <w:tcW w:w="260" w:type="dxa"/>
            <w:vAlign w:val="bottom"/>
            <w:gridSpan w:val="2"/>
          </w:tcPr>
          <w:p>
            <w:pPr>
              <w:spacing w:after="0" w:line="205"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5" w:lineRule="exact"/>
              <w:rPr>
                <w:sz w:val="20"/>
                <w:szCs w:val="20"/>
                <w:color w:val="auto"/>
              </w:rPr>
            </w:pPr>
            <w:r>
              <w:rPr>
                <w:rFonts w:ascii="Arial" w:cs="Arial" w:eastAsia="Arial" w:hAnsi="Arial"/>
                <w:sz w:val="18"/>
                <w:szCs w:val="18"/>
                <w:color w:val="auto"/>
              </w:rPr>
              <w:t>750,402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jc w:val="right"/>
              <w:ind w:right="10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205" w:lineRule="exact"/>
              <w:rPr>
                <w:sz w:val="20"/>
                <w:szCs w:val="20"/>
                <w:color w:val="auto"/>
              </w:rPr>
            </w:pPr>
            <w:r>
              <w:rPr>
                <w:rFonts w:ascii="Arial" w:cs="Arial" w:eastAsia="Arial" w:hAnsi="Arial"/>
                <w:sz w:val="18"/>
                <w:szCs w:val="18"/>
                <w:color w:val="auto"/>
              </w:rPr>
              <w:t>1,502,206</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2"/>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1,276,484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680" w:type="dxa"/>
            <w:vAlign w:val="bottom"/>
            <w:shd w:val="clear" w:color="auto" w:fill="CFF2FA"/>
          </w:tcPr>
          <w:p>
            <w:pPr>
              <w:spacing w:after="0"/>
              <w:rPr>
                <w:sz w:val="20"/>
                <w:szCs w:val="20"/>
                <w:color w:val="auto"/>
              </w:rPr>
            </w:pPr>
            <w:r>
              <w:rPr>
                <w:rFonts w:ascii="Arial" w:cs="Arial" w:eastAsia="Arial" w:hAnsi="Arial"/>
                <w:sz w:val="18"/>
                <w:szCs w:val="18"/>
                <w:color w:val="auto"/>
              </w:rPr>
              <w:t>Less: Freight and delivery revenues</w:t>
            </w:r>
          </w:p>
        </w:tc>
        <w:tc>
          <w:tcPr>
            <w:tcW w:w="2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260"/>
              <w:spacing w:after="0"/>
              <w:rPr>
                <w:sz w:val="20"/>
                <w:szCs w:val="20"/>
                <w:color w:val="auto"/>
              </w:rPr>
            </w:pPr>
            <w:r>
              <w:rPr>
                <w:rFonts w:ascii="Arial" w:cs="Arial" w:eastAsia="Arial" w:hAnsi="Arial"/>
                <w:sz w:val="18"/>
                <w:szCs w:val="18"/>
                <w:color w:val="auto"/>
              </w:rPr>
              <w:t>(54,415)</w:t>
            </w:r>
          </w:p>
        </w:tc>
        <w:tc>
          <w:tcPr>
            <w:tcW w:w="2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060" w:type="dxa"/>
            <w:vAlign w:val="bottom"/>
            <w:gridSpan w:val="3"/>
            <w:shd w:val="clear" w:color="auto" w:fill="CFF2FA"/>
          </w:tcPr>
          <w:p>
            <w:pPr>
              <w:jc w:val="right"/>
              <w:ind w:right="120"/>
              <w:spacing w:after="0"/>
              <w:rPr>
                <w:sz w:val="20"/>
                <w:szCs w:val="20"/>
                <w:color w:val="auto"/>
              </w:rPr>
            </w:pPr>
            <w:r>
              <w:rPr>
                <w:rFonts w:ascii="Arial" w:cs="Arial" w:eastAsia="Arial" w:hAnsi="Arial"/>
                <w:sz w:val="18"/>
                <w:szCs w:val="18"/>
                <w:color w:val="auto"/>
              </w:rPr>
              <w:t>(61,015)</w:t>
            </w:r>
          </w:p>
        </w:tc>
        <w:tc>
          <w:tcPr>
            <w:tcW w:w="160" w:type="dxa"/>
            <w:vAlign w:val="bottom"/>
            <w:tcBorders>
              <w:right w:val="single" w:sz="8" w:color="CFF2FA"/>
            </w:tcBorders>
            <w:shd w:val="clear" w:color="auto" w:fill="CFF0FC"/>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1160" w:type="dxa"/>
            <w:vAlign w:val="bottom"/>
            <w:gridSpan w:val="2"/>
            <w:shd w:val="clear" w:color="auto" w:fill="CFF2FA"/>
          </w:tcPr>
          <w:p>
            <w:pPr>
              <w:jc w:val="right"/>
              <w:ind w:right="180"/>
              <w:spacing w:after="0"/>
              <w:rPr>
                <w:sz w:val="20"/>
                <w:szCs w:val="20"/>
                <w:color w:val="auto"/>
              </w:rPr>
            </w:pPr>
            <w:r>
              <w:rPr>
                <w:rFonts w:ascii="Arial" w:cs="Arial" w:eastAsia="Arial" w:hAnsi="Arial"/>
                <w:sz w:val="18"/>
                <w:szCs w:val="18"/>
                <w:color w:val="auto"/>
              </w:rPr>
              <w:t>(100,845)</w:t>
            </w:r>
          </w:p>
        </w:tc>
        <w:tc>
          <w:tcPr>
            <w:tcW w:w="8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06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(110,541)</w:t>
            </w:r>
          </w:p>
        </w:tc>
        <w:tc>
          <w:tcPr>
            <w:tcW w:w="0" w:type="dxa"/>
            <w:vAlign w:val="bottom"/>
          </w:tcPr>
          <w:p>
            <w:pPr>
              <w:spacing w:after="0"/>
              <w:rPr>
                <w:sz w:val="1"/>
                <w:szCs w:val="1"/>
                <w:color w:val="auto"/>
              </w:rPr>
            </w:pPr>
          </w:p>
        </w:tc>
      </w:tr>
      <w:tr>
        <w:trPr>
          <w:trHeight w:val="260"/>
        </w:trPr>
        <w:tc>
          <w:tcPr>
            <w:tcW w:w="568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796,779</w:t>
            </w:r>
          </w:p>
        </w:tc>
        <w:tc>
          <w:tcPr>
            <w:tcW w:w="320" w:type="dxa"/>
            <w:vAlign w:val="bottom"/>
            <w:tcBorders>
              <w:bottom w:val="single" w:sz="8" w:color="CFF2FA"/>
            </w:tcBorders>
          </w:tcPr>
          <w:p>
            <w:pPr>
              <w:spacing w:after="0"/>
              <w:rPr>
                <w:sz w:val="22"/>
                <w:szCs w:val="22"/>
                <w:color w:val="auto"/>
              </w:rPr>
            </w:pPr>
          </w:p>
        </w:tc>
        <w:tc>
          <w:tcPr>
            <w:tcW w:w="2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689,387</w:t>
            </w:r>
          </w:p>
        </w:tc>
        <w:tc>
          <w:tcPr>
            <w:tcW w:w="20" w:type="dxa"/>
            <w:vAlign w:val="bottom"/>
            <w:tcBorders>
              <w:bottom w:val="single" w:sz="8" w:color="CFF2FA"/>
            </w:tcBorders>
          </w:tcPr>
          <w:p>
            <w:pPr>
              <w:spacing w:after="0"/>
              <w:rPr>
                <w:sz w:val="22"/>
                <w:szCs w:val="22"/>
                <w:color w:val="auto"/>
              </w:rPr>
            </w:pPr>
          </w:p>
        </w:tc>
        <w:tc>
          <w:tcPr>
            <w:tcW w:w="160" w:type="dxa"/>
            <w:vAlign w:val="bottom"/>
            <w:tcBorders>
              <w:bottom w:val="single" w:sz="8" w:color="CFF2FA"/>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1,401,361</w:t>
            </w:r>
          </w:p>
        </w:tc>
        <w:tc>
          <w:tcPr>
            <w:tcW w:w="240" w:type="dxa"/>
            <w:vAlign w:val="bottom"/>
            <w:tcBorders>
              <w:bottom w:val="single" w:sz="8" w:color="CFF2FA"/>
            </w:tcBorders>
          </w:tcPr>
          <w:p>
            <w:pPr>
              <w:spacing w:after="0"/>
              <w:rPr>
                <w:sz w:val="22"/>
                <w:szCs w:val="22"/>
                <w:color w:val="auto"/>
              </w:rPr>
            </w:pPr>
          </w:p>
        </w:tc>
        <w:tc>
          <w:tcPr>
            <w:tcW w:w="80" w:type="dxa"/>
            <w:vAlign w:val="bottom"/>
            <w:tcBorders>
              <w:bottom w:val="single" w:sz="8" w:color="CFF2FA"/>
            </w:tcBorders>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1,165,943</w:t>
            </w:r>
          </w:p>
        </w:tc>
        <w:tc>
          <w:tcPr>
            <w:tcW w:w="16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68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Gross margin excluding freight and delivery revenues</w:t>
            </w:r>
          </w:p>
        </w:tc>
        <w:tc>
          <w:tcPr>
            <w:tcW w:w="20" w:type="dxa"/>
            <w:vAlign w:val="bottom"/>
            <w:shd w:val="clear" w:color="auto" w:fill="CFF2FA"/>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220" w:type="dxa"/>
            <w:vAlign w:val="bottom"/>
            <w:gridSpan w:val="2"/>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25.4%</w:t>
            </w:r>
          </w:p>
        </w:tc>
        <w:tc>
          <w:tcPr>
            <w:tcW w:w="20" w:type="dxa"/>
            <w:vAlign w:val="bottom"/>
            <w:shd w:val="clear" w:color="auto" w:fill="CFF2FA"/>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060" w:type="dxa"/>
            <w:vAlign w:val="bottom"/>
            <w:gridSpan w:val="3"/>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22.4%</w:t>
            </w:r>
          </w:p>
        </w:tc>
        <w:tc>
          <w:tcPr>
            <w:tcW w:w="160" w:type="dxa"/>
            <w:vAlign w:val="bottom"/>
            <w:tcBorders>
              <w:right w:val="single" w:sz="8" w:color="CFF2FA"/>
            </w:tcBorders>
            <w:shd w:val="clear" w:color="auto" w:fill="CFF0FC"/>
          </w:tcPr>
          <w:p>
            <w:pPr>
              <w:spacing w:after="0"/>
              <w:rPr>
                <w:sz w:val="17"/>
                <w:szCs w:val="17"/>
                <w:color w:val="auto"/>
              </w:rPr>
            </w:pPr>
          </w:p>
        </w:tc>
        <w:tc>
          <w:tcPr>
            <w:tcW w:w="220" w:type="dxa"/>
            <w:vAlign w:val="bottom"/>
            <w:shd w:val="clear" w:color="auto" w:fill="CFF2FA"/>
          </w:tcPr>
          <w:p>
            <w:pPr>
              <w:spacing w:after="0"/>
              <w:rPr>
                <w:sz w:val="17"/>
                <w:szCs w:val="17"/>
                <w:color w:val="auto"/>
              </w:rPr>
            </w:pPr>
          </w:p>
        </w:tc>
        <w:tc>
          <w:tcPr>
            <w:tcW w:w="1160" w:type="dxa"/>
            <w:vAlign w:val="bottom"/>
            <w:gridSpan w:val="2"/>
            <w:shd w:val="clear" w:color="auto" w:fill="CFF2FA"/>
          </w:tcPr>
          <w:p>
            <w:pPr>
              <w:jc w:val="right"/>
              <w:ind w:right="100"/>
              <w:spacing w:after="0" w:line="205" w:lineRule="exact"/>
              <w:rPr>
                <w:sz w:val="20"/>
                <w:szCs w:val="20"/>
                <w:color w:val="auto"/>
              </w:rPr>
            </w:pPr>
            <w:r>
              <w:rPr>
                <w:rFonts w:ascii="Arial" w:cs="Arial" w:eastAsia="Arial" w:hAnsi="Arial"/>
                <w:sz w:val="18"/>
                <w:szCs w:val="18"/>
                <w:color w:val="auto"/>
              </w:rPr>
              <w:t>21.1%</w:t>
            </w:r>
          </w:p>
        </w:tc>
        <w:tc>
          <w:tcPr>
            <w:tcW w:w="80" w:type="dxa"/>
            <w:vAlign w:val="bottom"/>
            <w:shd w:val="clear" w:color="auto" w:fill="CFF2FA"/>
          </w:tcPr>
          <w:p>
            <w:pPr>
              <w:spacing w:after="0"/>
              <w:rPr>
                <w:sz w:val="17"/>
                <w:szCs w:val="17"/>
                <w:color w:val="auto"/>
              </w:rPr>
            </w:pPr>
          </w:p>
        </w:tc>
        <w:tc>
          <w:tcPr>
            <w:tcW w:w="20" w:type="dxa"/>
            <w:vAlign w:val="bottom"/>
            <w:shd w:val="clear" w:color="auto" w:fill="CFF2FA"/>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568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18"/>
                <w:szCs w:val="18"/>
                <w:b w:val="1"/>
                <w:bCs w:val="1"/>
                <w:color w:val="auto"/>
              </w:rPr>
              <w:t>Aggregates Product Line Gross Margin in Accordance with GAAP</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2FA"/>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5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7"/>
            <w:vMerge w:val="restart"/>
          </w:tcPr>
          <w:p>
            <w:pPr>
              <w:jc w:val="center"/>
              <w:ind w:right="420"/>
              <w:spacing w:after="0"/>
              <w:rPr>
                <w:sz w:val="20"/>
                <w:szCs w:val="20"/>
                <w:color w:val="auto"/>
              </w:rPr>
            </w:pPr>
            <w:r>
              <w:rPr>
                <w:rFonts w:ascii="Arial" w:cs="Arial" w:eastAsia="Arial" w:hAnsi="Arial"/>
                <w:sz w:val="18"/>
                <w:szCs w:val="18"/>
                <w:color w:val="auto"/>
                <w:w w:val="92"/>
              </w:rPr>
              <w:t>Three Months Ended</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7"/>
            <w:vMerge w:val="restart"/>
          </w:tcPr>
          <w:p>
            <w:pPr>
              <w:jc w:val="center"/>
              <w:ind w:right="420"/>
              <w:spacing w:after="0"/>
              <w:rPr>
                <w:sz w:val="20"/>
                <w:szCs w:val="20"/>
                <w:color w:val="auto"/>
              </w:rPr>
            </w:pPr>
            <w:r>
              <w:rPr>
                <w:rFonts w:ascii="Arial" w:cs="Arial" w:eastAsia="Arial" w:hAnsi="Arial"/>
                <w:sz w:val="18"/>
                <w:szCs w:val="18"/>
                <w:color w:val="auto"/>
                <w:w w:val="94"/>
              </w:rPr>
              <w:t>Six Months Ended</w:t>
            </w:r>
          </w:p>
        </w:tc>
        <w:tc>
          <w:tcPr>
            <w:tcW w:w="0" w:type="dxa"/>
            <w:vAlign w:val="bottom"/>
          </w:tcPr>
          <w:p>
            <w:pPr>
              <w:spacing w:after="0"/>
              <w:rPr>
                <w:sz w:val="1"/>
                <w:szCs w:val="1"/>
                <w:color w:val="auto"/>
              </w:rPr>
            </w:pPr>
          </w:p>
        </w:tc>
      </w:tr>
      <w:tr>
        <w:trPr>
          <w:trHeight w:val="219"/>
        </w:trPr>
        <w:tc>
          <w:tcPr>
            <w:tcW w:w="5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40" w:type="dxa"/>
            <w:vAlign w:val="bottom"/>
            <w:gridSpan w:val="7"/>
            <w:vMerge w:val="continue"/>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548"/>
              <w:spacing w:after="0"/>
              <w:rPr>
                <w:sz w:val="20"/>
                <w:szCs w:val="20"/>
                <w:color w:val="auto"/>
              </w:rPr>
            </w:pPr>
            <w:r>
              <w:rPr>
                <w:rFonts w:ascii="Arial" w:cs="Arial" w:eastAsia="Arial" w:hAnsi="Arial"/>
                <w:sz w:val="18"/>
                <w:szCs w:val="18"/>
                <w:color w:val="auto"/>
                <w:w w:val="86"/>
              </w:rPr>
              <w:t>June 30,</w:t>
            </w: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5"/>
          </w:tcPr>
          <w:p>
            <w:pPr>
              <w:jc w:val="center"/>
              <w:ind w:left="548"/>
              <w:spacing w:after="0"/>
              <w:rPr>
                <w:sz w:val="20"/>
                <w:szCs w:val="20"/>
                <w:color w:val="auto"/>
              </w:rPr>
            </w:pPr>
            <w:r>
              <w:rPr>
                <w:rFonts w:ascii="Arial" w:cs="Arial" w:eastAsia="Arial" w:hAnsi="Arial"/>
                <w:sz w:val="18"/>
                <w:szCs w:val="18"/>
                <w:color w:val="auto"/>
                <w:w w:val="89"/>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color w:val="auto"/>
              </w:rPr>
              <w:t>2015</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gridSpan w:val="7"/>
          </w:tcPr>
          <w:p>
            <w:pPr>
              <w:jc w:val="right"/>
              <w:ind w:right="680"/>
              <w:spacing w:after="0"/>
              <w:rPr>
                <w:sz w:val="20"/>
                <w:szCs w:val="20"/>
                <w:color w:val="auto"/>
              </w:rPr>
            </w:pPr>
            <w:r>
              <w:rPr>
                <w:rFonts w:ascii="Arial" w:cs="Arial" w:eastAsia="Arial" w:hAnsi="Arial"/>
                <w:sz w:val="18"/>
                <w:szCs w:val="18"/>
                <w:i w:val="1"/>
                <w:iCs w:val="1"/>
                <w:color w:val="auto"/>
              </w:rPr>
              <w:t>(Dollars in Thousands)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80" w:type="dxa"/>
            <w:vAlign w:val="bottom"/>
            <w:shd w:val="clear" w:color="auto" w:fill="CFF2FA"/>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FF2FA"/>
          </w:tcPr>
          <w:p>
            <w:pPr>
              <w:spacing w:after="0"/>
              <w:rPr>
                <w:sz w:val="19"/>
                <w:szCs w:val="19"/>
                <w:color w:val="auto"/>
              </w:rPr>
            </w:pPr>
          </w:p>
        </w:tc>
        <w:tc>
          <w:tcPr>
            <w:tcW w:w="240" w:type="dxa"/>
            <w:vAlign w:val="bottom"/>
            <w:shd w:val="clear" w:color="auto" w:fill="CFF2FA"/>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164,353</w:t>
            </w:r>
          </w:p>
        </w:tc>
        <w:tc>
          <w:tcPr>
            <w:tcW w:w="320" w:type="dxa"/>
            <w:vAlign w:val="bottom"/>
            <w:shd w:val="clear" w:color="auto" w:fill="CFF2FA"/>
          </w:tcPr>
          <w:p>
            <w:pPr>
              <w:spacing w:after="0"/>
              <w:rPr>
                <w:sz w:val="19"/>
                <w:szCs w:val="19"/>
                <w:color w:val="auto"/>
              </w:rPr>
            </w:pPr>
          </w:p>
        </w:tc>
        <w:tc>
          <w:tcPr>
            <w:tcW w:w="260" w:type="dxa"/>
            <w:vAlign w:val="bottom"/>
            <w:gridSpan w:val="2"/>
            <w:shd w:val="clear" w:color="auto" w:fill="CFF2FA"/>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137,272</w:t>
            </w:r>
          </w:p>
        </w:tc>
        <w:tc>
          <w:tcPr>
            <w:tcW w:w="160" w:type="dxa"/>
            <w:vAlign w:val="bottom"/>
            <w:shd w:val="clear" w:color="auto" w:fill="CFF2FA"/>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2FA"/>
          </w:tcPr>
          <w:p>
            <w:pPr>
              <w:jc w:val="right"/>
              <w:ind w:right="81"/>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245,431</w:t>
            </w:r>
          </w:p>
        </w:tc>
        <w:tc>
          <w:tcPr>
            <w:tcW w:w="240" w:type="dxa"/>
            <w:vAlign w:val="bottom"/>
            <w:shd w:val="clear" w:color="auto" w:fill="CFF2FA"/>
          </w:tcPr>
          <w:p>
            <w:pPr>
              <w:spacing w:after="0"/>
              <w:rPr>
                <w:sz w:val="19"/>
                <w:szCs w:val="19"/>
                <w:color w:val="auto"/>
              </w:rPr>
            </w:pPr>
          </w:p>
        </w:tc>
        <w:tc>
          <w:tcPr>
            <w:tcW w:w="340" w:type="dxa"/>
            <w:vAlign w:val="bottom"/>
            <w:gridSpan w:val="3"/>
            <w:shd w:val="clear" w:color="auto" w:fill="CFF2FA"/>
          </w:tcPr>
          <w:p>
            <w:pPr>
              <w:jc w:val="right"/>
              <w:ind w:right="83"/>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178,690</w:t>
            </w:r>
          </w:p>
        </w:tc>
        <w:tc>
          <w:tcPr>
            <w:tcW w:w="16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18"/>
                <w:szCs w:val="18"/>
                <w:color w:val="auto"/>
              </w:rPr>
              <w:t>Total revenues</w:t>
            </w:r>
          </w:p>
        </w:tc>
        <w:tc>
          <w:tcPr>
            <w:tcW w:w="20" w:type="dxa"/>
            <w:vAlign w:val="bottom"/>
            <w:tcBorders>
              <w:top w:val="single" w:sz="8" w:color="CFF2FA"/>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CFF2FA"/>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100" w:type="dxa"/>
            <w:vAlign w:val="bottom"/>
            <w:tcBorders>
              <w:top w:val="single" w:sz="8" w:color="CFF2FA"/>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680" w:type="dxa"/>
            <w:vAlign w:val="bottom"/>
            <w:tcBorders>
              <w:bottom w:val="single" w:sz="8" w:color="CFF2FA"/>
            </w:tcBorders>
            <w:vMerge w:val="continue"/>
          </w:tcPr>
          <w:p>
            <w:pPr>
              <w:spacing w:after="0"/>
              <w:rPr>
                <w:sz w:val="21"/>
                <w:szCs w:val="21"/>
                <w:color w:val="auto"/>
              </w:rPr>
            </w:pPr>
          </w:p>
        </w:tc>
        <w:tc>
          <w:tcPr>
            <w:tcW w:w="20" w:type="dxa"/>
            <w:vAlign w:val="bottom"/>
            <w:tcBorders>
              <w:bottom w:val="single" w:sz="8" w:color="CFF2FA"/>
            </w:tcBorders>
          </w:tcPr>
          <w:p>
            <w:pPr>
              <w:spacing w:after="0"/>
              <w:rPr>
                <w:sz w:val="21"/>
                <w:szCs w:val="21"/>
                <w:color w:val="auto"/>
              </w:rPr>
            </w:pPr>
          </w:p>
        </w:tc>
        <w:tc>
          <w:tcPr>
            <w:tcW w:w="240" w:type="dxa"/>
            <w:vAlign w:val="bottom"/>
            <w:tcBorders>
              <w:bottom w:val="single" w:sz="8" w:color="auto"/>
            </w:tcBorders>
          </w:tcPr>
          <w:p>
            <w:pPr>
              <w:jc w:val="right"/>
              <w:ind w:right="48"/>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565,774</w:t>
            </w:r>
          </w:p>
        </w:tc>
        <w:tc>
          <w:tcPr>
            <w:tcW w:w="320" w:type="dxa"/>
            <w:vAlign w:val="bottom"/>
            <w:tcBorders>
              <w:bottom w:val="single" w:sz="8" w:color="CFF2FA"/>
            </w:tcBorders>
          </w:tcPr>
          <w:p>
            <w:pPr>
              <w:spacing w:after="0"/>
              <w:rPr>
                <w:sz w:val="21"/>
                <w:szCs w:val="21"/>
                <w:color w:val="auto"/>
              </w:rPr>
            </w:pPr>
          </w:p>
        </w:tc>
        <w:tc>
          <w:tcPr>
            <w:tcW w:w="20" w:type="dxa"/>
            <w:vAlign w:val="bottom"/>
            <w:tcBorders>
              <w:bottom w:val="single" w:sz="8" w:color="CFF2FA"/>
            </w:tcBorders>
          </w:tcPr>
          <w:p>
            <w:pPr>
              <w:spacing w:after="0"/>
              <w:rPr>
                <w:sz w:val="21"/>
                <w:szCs w:val="21"/>
                <w:color w:val="auto"/>
              </w:rPr>
            </w:pPr>
          </w:p>
        </w:tc>
        <w:tc>
          <w:tcPr>
            <w:tcW w:w="24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ind w:right="20"/>
              <w:spacing w:after="0" w:line="205" w:lineRule="exact"/>
              <w:rPr>
                <w:sz w:val="20"/>
                <w:szCs w:val="20"/>
                <w:color w:val="auto"/>
              </w:rPr>
            </w:pPr>
            <w:r>
              <w:rPr>
                <w:rFonts w:ascii="Arial" w:cs="Arial" w:eastAsia="Arial" w:hAnsi="Arial"/>
                <w:sz w:val="18"/>
                <w:szCs w:val="18"/>
                <w:color w:val="auto"/>
              </w:rPr>
              <w:t>536,845</w:t>
            </w:r>
          </w:p>
        </w:tc>
        <w:tc>
          <w:tcPr>
            <w:tcW w:w="160" w:type="dxa"/>
            <w:vAlign w:val="bottom"/>
            <w:tcBorders>
              <w:bottom w:val="single" w:sz="8" w:color="CFF2FA"/>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1,013,859</w:t>
            </w:r>
          </w:p>
        </w:tc>
        <w:tc>
          <w:tcPr>
            <w:tcW w:w="240" w:type="dxa"/>
            <w:vAlign w:val="bottom"/>
            <w:tcBorders>
              <w:bottom w:val="single" w:sz="8" w:color="CFF2FA"/>
            </w:tcBorders>
          </w:tcPr>
          <w:p>
            <w:pPr>
              <w:spacing w:after="0"/>
              <w:rPr>
                <w:sz w:val="21"/>
                <w:szCs w:val="21"/>
                <w:color w:val="auto"/>
              </w:rPr>
            </w:pPr>
          </w:p>
        </w:tc>
        <w:tc>
          <w:tcPr>
            <w:tcW w:w="100" w:type="dxa"/>
            <w:vAlign w:val="bottom"/>
            <w:tcBorders>
              <w:bottom w:val="single" w:sz="8" w:color="CFF2FA"/>
            </w:tcBorders>
            <w:gridSpan w:val="2"/>
          </w:tcPr>
          <w:p>
            <w:pPr>
              <w:spacing w:after="0"/>
              <w:rPr>
                <w:sz w:val="21"/>
                <w:szCs w:val="21"/>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914,802</w:t>
            </w:r>
          </w:p>
        </w:tc>
        <w:tc>
          <w:tcPr>
            <w:tcW w:w="160" w:type="dxa"/>
            <w:vAlign w:val="bottom"/>
            <w:tcBorders>
              <w:bottom w:val="single" w:sz="8" w:color="CFF2FA"/>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68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Gross margin</w:t>
            </w:r>
          </w:p>
        </w:tc>
        <w:tc>
          <w:tcPr>
            <w:tcW w:w="20" w:type="dxa"/>
            <w:vAlign w:val="bottom"/>
            <w:shd w:val="clear" w:color="auto" w:fill="CFF2FA"/>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220" w:type="dxa"/>
            <w:vAlign w:val="bottom"/>
            <w:gridSpan w:val="2"/>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29.0%</w:t>
            </w:r>
          </w:p>
        </w:tc>
        <w:tc>
          <w:tcPr>
            <w:tcW w:w="20" w:type="dxa"/>
            <w:vAlign w:val="bottom"/>
            <w:shd w:val="clear" w:color="auto" w:fill="CFF2FA"/>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060" w:type="dxa"/>
            <w:vAlign w:val="bottom"/>
            <w:gridSpan w:val="3"/>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25.6%</w:t>
            </w:r>
          </w:p>
        </w:tc>
        <w:tc>
          <w:tcPr>
            <w:tcW w:w="16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2FA"/>
          </w:tcPr>
          <w:p>
            <w:pPr>
              <w:spacing w:after="0"/>
              <w:rPr>
                <w:sz w:val="17"/>
                <w:szCs w:val="17"/>
                <w:color w:val="auto"/>
              </w:rPr>
            </w:pPr>
          </w:p>
        </w:tc>
        <w:tc>
          <w:tcPr>
            <w:tcW w:w="1160" w:type="dxa"/>
            <w:vAlign w:val="bottom"/>
            <w:gridSpan w:val="2"/>
            <w:shd w:val="clear" w:color="auto" w:fill="CFF2FA"/>
          </w:tcPr>
          <w:p>
            <w:pPr>
              <w:jc w:val="right"/>
              <w:ind w:right="80"/>
              <w:spacing w:after="0" w:line="205" w:lineRule="exact"/>
              <w:rPr>
                <w:sz w:val="20"/>
                <w:szCs w:val="20"/>
                <w:color w:val="auto"/>
              </w:rPr>
            </w:pPr>
            <w:r>
              <w:rPr>
                <w:rFonts w:ascii="Arial" w:cs="Arial" w:eastAsia="Arial" w:hAnsi="Arial"/>
                <w:sz w:val="18"/>
                <w:szCs w:val="18"/>
                <w:color w:val="auto"/>
              </w:rPr>
              <w:t>24.2%</w:t>
            </w:r>
          </w:p>
        </w:tc>
        <w:tc>
          <w:tcPr>
            <w:tcW w:w="80" w:type="dxa"/>
            <w:vAlign w:val="bottom"/>
            <w:shd w:val="clear" w:color="auto" w:fill="CFF2FA"/>
          </w:tcPr>
          <w:p>
            <w:pPr>
              <w:spacing w:after="0"/>
              <w:rPr>
                <w:sz w:val="17"/>
                <w:szCs w:val="17"/>
                <w:color w:val="auto"/>
              </w:rPr>
            </w:pPr>
          </w:p>
        </w:tc>
        <w:tc>
          <w:tcPr>
            <w:tcW w:w="20" w:type="dxa"/>
            <w:vAlign w:val="bottom"/>
            <w:shd w:val="clear" w:color="auto" w:fill="CFF2FA"/>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568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CFF2FA"/>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CFF2FA"/>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CFF2FA"/>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160" w:type="dxa"/>
            <w:vAlign w:val="bottom"/>
            <w:gridSpan w:val="6"/>
          </w:tcPr>
          <w:p>
            <w:pPr>
              <w:spacing w:after="0"/>
              <w:rPr>
                <w:sz w:val="20"/>
                <w:szCs w:val="20"/>
                <w:color w:val="auto"/>
              </w:rPr>
            </w:pPr>
            <w:r>
              <w:rPr>
                <w:rFonts w:ascii="Arial" w:cs="Arial" w:eastAsia="Arial" w:hAnsi="Arial"/>
                <w:sz w:val="18"/>
                <w:szCs w:val="18"/>
                <w:b w:val="1"/>
                <w:bCs w:val="1"/>
                <w:color w:val="auto"/>
              </w:rPr>
              <w:t>Aggregates Product Line Gross Margin Excluding Freight and Delivery Revenues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8"/>
          </w:tcPr>
          <w:p>
            <w:pPr>
              <w:jc w:val="center"/>
              <w:ind w:right="48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7"/>
          </w:tcPr>
          <w:p>
            <w:pPr>
              <w:jc w:val="center"/>
              <w:ind w:right="420"/>
              <w:spacing w:after="0"/>
              <w:rPr>
                <w:sz w:val="20"/>
                <w:szCs w:val="20"/>
                <w:color w:val="auto"/>
              </w:rPr>
            </w:pPr>
            <w:r>
              <w:rPr>
                <w:rFonts w:ascii="Arial" w:cs="Arial" w:eastAsia="Arial" w:hAnsi="Arial"/>
                <w:sz w:val="18"/>
                <w:szCs w:val="18"/>
                <w:color w:val="auto"/>
                <w:w w:val="94"/>
              </w:rPr>
              <w:t>Six Months Ended</w:t>
            </w:r>
          </w:p>
        </w:tc>
        <w:tc>
          <w:tcPr>
            <w:tcW w:w="0" w:type="dxa"/>
            <w:vAlign w:val="bottom"/>
          </w:tcPr>
          <w:p>
            <w:pPr>
              <w:spacing w:after="0"/>
              <w:rPr>
                <w:sz w:val="1"/>
                <w:szCs w:val="1"/>
                <w:color w:val="auto"/>
              </w:rPr>
            </w:pPr>
          </w:p>
        </w:tc>
      </w:tr>
      <w:tr>
        <w:trPr>
          <w:trHeight w:val="231"/>
        </w:trPr>
        <w:tc>
          <w:tcPr>
            <w:tcW w:w="56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jc w:val="center"/>
              <w:ind w:left="488"/>
              <w:spacing w:after="0"/>
              <w:rPr>
                <w:sz w:val="20"/>
                <w:szCs w:val="20"/>
                <w:color w:val="auto"/>
              </w:rPr>
            </w:pPr>
            <w:r>
              <w:rPr>
                <w:rFonts w:ascii="Arial" w:cs="Arial" w:eastAsia="Arial" w:hAnsi="Arial"/>
                <w:sz w:val="18"/>
                <w:szCs w:val="18"/>
                <w:color w:val="auto"/>
                <w:w w:val="89"/>
              </w:rPr>
              <w:t>June 30,</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5"/>
          </w:tcPr>
          <w:p>
            <w:pPr>
              <w:jc w:val="center"/>
              <w:ind w:left="548"/>
              <w:spacing w:after="0"/>
              <w:rPr>
                <w:sz w:val="20"/>
                <w:szCs w:val="20"/>
                <w:color w:val="auto"/>
              </w:rPr>
            </w:pPr>
            <w:r>
              <w:rPr>
                <w:rFonts w:ascii="Arial" w:cs="Arial" w:eastAsia="Arial" w:hAnsi="Arial"/>
                <w:sz w:val="18"/>
                <w:szCs w:val="18"/>
                <w:color w:val="auto"/>
                <w:w w:val="89"/>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6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7"/>
          </w:tcPr>
          <w:p>
            <w:pPr>
              <w:jc w:val="right"/>
              <w:ind w:right="700"/>
              <w:spacing w:after="0"/>
              <w:rPr>
                <w:sz w:val="20"/>
                <w:szCs w:val="20"/>
                <w:color w:val="auto"/>
              </w:rPr>
            </w:pPr>
            <w:r>
              <w:rPr>
                <w:rFonts w:ascii="Arial" w:cs="Arial" w:eastAsia="Arial" w:hAnsi="Arial"/>
                <w:sz w:val="18"/>
                <w:szCs w:val="18"/>
                <w:i w:val="1"/>
                <w:iCs w:val="1"/>
                <w:color w:val="auto"/>
              </w:rPr>
              <w:t>(Dollars in Thousands)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80" w:type="dxa"/>
            <w:vAlign w:val="bottom"/>
            <w:shd w:val="clear" w:color="auto" w:fill="CFF2FA"/>
          </w:tcPr>
          <w:p>
            <w:pPr>
              <w:spacing w:after="0"/>
              <w:rPr>
                <w:sz w:val="20"/>
                <w:szCs w:val="20"/>
                <w:color w:val="auto"/>
              </w:rPr>
            </w:pPr>
            <w:r>
              <w:rPr>
                <w:rFonts w:ascii="Arial" w:cs="Arial" w:eastAsia="Arial" w:hAnsi="Arial"/>
                <w:sz w:val="18"/>
                <w:szCs w:val="18"/>
                <w:color w:val="auto"/>
              </w:rPr>
              <w:t>Gross profit</w:t>
            </w:r>
          </w:p>
        </w:tc>
        <w:tc>
          <w:tcPr>
            <w:tcW w:w="260" w:type="dxa"/>
            <w:vAlign w:val="bottom"/>
            <w:gridSpan w:val="2"/>
            <w:shd w:val="clear" w:color="auto" w:fill="CFF2FA"/>
          </w:tcPr>
          <w:p>
            <w:pPr>
              <w:jc w:val="right"/>
              <w:ind w:right="83"/>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164,353</w:t>
            </w:r>
          </w:p>
        </w:tc>
        <w:tc>
          <w:tcPr>
            <w:tcW w:w="20" w:type="dxa"/>
            <w:vAlign w:val="bottom"/>
            <w:shd w:val="clear" w:color="auto" w:fill="CFF2FA"/>
          </w:tcPr>
          <w:p>
            <w:pPr>
              <w:spacing w:after="0"/>
              <w:rPr>
                <w:sz w:val="19"/>
                <w:szCs w:val="19"/>
                <w:color w:val="auto"/>
              </w:rPr>
            </w:pPr>
          </w:p>
        </w:tc>
        <w:tc>
          <w:tcPr>
            <w:tcW w:w="300" w:type="dxa"/>
            <w:vAlign w:val="bottom"/>
            <w:shd w:val="clear" w:color="auto" w:fill="CFF2FA"/>
          </w:tcPr>
          <w:p>
            <w:pPr>
              <w:spacing w:after="0"/>
              <w:rPr>
                <w:sz w:val="19"/>
                <w:szCs w:val="19"/>
                <w:color w:val="auto"/>
              </w:rPr>
            </w:pPr>
          </w:p>
        </w:tc>
        <w:tc>
          <w:tcPr>
            <w:tcW w:w="300" w:type="dxa"/>
            <w:vAlign w:val="bottom"/>
            <w:gridSpan w:val="2"/>
            <w:shd w:val="clear" w:color="auto" w:fill="CFF2FA"/>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137,272</w:t>
            </w:r>
          </w:p>
        </w:tc>
        <w:tc>
          <w:tcPr>
            <w:tcW w:w="20" w:type="dxa"/>
            <w:vAlign w:val="bottom"/>
            <w:shd w:val="clear" w:color="auto" w:fill="CFF2FA"/>
          </w:tcPr>
          <w:p>
            <w:pPr>
              <w:spacing w:after="0"/>
              <w:rPr>
                <w:sz w:val="19"/>
                <w:szCs w:val="19"/>
                <w:color w:val="auto"/>
              </w:rPr>
            </w:pPr>
          </w:p>
        </w:tc>
        <w:tc>
          <w:tcPr>
            <w:tcW w:w="180" w:type="dxa"/>
            <w:vAlign w:val="bottom"/>
            <w:tcBorders>
              <w:right w:val="single" w:sz="8" w:color="CFF0FC"/>
            </w:tcBorders>
            <w:shd w:val="clear" w:color="auto" w:fill="CFF2FA"/>
          </w:tcPr>
          <w:p>
            <w:pPr>
              <w:spacing w:after="0"/>
              <w:rPr>
                <w:sz w:val="19"/>
                <w:szCs w:val="19"/>
                <w:color w:val="auto"/>
              </w:rPr>
            </w:pPr>
          </w:p>
        </w:tc>
        <w:tc>
          <w:tcPr>
            <w:tcW w:w="140" w:type="dxa"/>
            <w:vAlign w:val="bottom"/>
            <w:tcBorders>
              <w:right w:val="single" w:sz="8" w:color="CFF2FA"/>
            </w:tcBorders>
            <w:shd w:val="clear" w:color="auto" w:fill="CFF0FC"/>
          </w:tcPr>
          <w:p>
            <w:pPr>
              <w:spacing w:after="0"/>
              <w:rPr>
                <w:sz w:val="19"/>
                <w:szCs w:val="19"/>
                <w:color w:val="auto"/>
              </w:rPr>
            </w:pPr>
          </w:p>
        </w:tc>
        <w:tc>
          <w:tcPr>
            <w:tcW w:w="220" w:type="dxa"/>
            <w:vAlign w:val="bottom"/>
            <w:shd w:val="clear" w:color="auto" w:fill="CFF2FA"/>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245,431</w:t>
            </w:r>
          </w:p>
        </w:tc>
        <w:tc>
          <w:tcPr>
            <w:tcW w:w="240" w:type="dxa"/>
            <w:vAlign w:val="bottom"/>
            <w:shd w:val="clear" w:color="auto" w:fill="CFF2FA"/>
          </w:tcPr>
          <w:p>
            <w:pPr>
              <w:spacing w:after="0"/>
              <w:rPr>
                <w:sz w:val="19"/>
                <w:szCs w:val="19"/>
                <w:color w:val="auto"/>
              </w:rPr>
            </w:pPr>
          </w:p>
        </w:tc>
        <w:tc>
          <w:tcPr>
            <w:tcW w:w="340" w:type="dxa"/>
            <w:vAlign w:val="bottom"/>
            <w:gridSpan w:val="3"/>
            <w:shd w:val="clear" w:color="auto" w:fill="CFF2FA"/>
          </w:tcPr>
          <w:p>
            <w:pPr>
              <w:jc w:val="right"/>
              <w:ind w:right="8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178,690</w:t>
            </w:r>
          </w:p>
        </w:tc>
        <w:tc>
          <w:tcPr>
            <w:tcW w:w="16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18"/>
                <w:szCs w:val="18"/>
                <w:color w:val="auto"/>
              </w:rPr>
              <w:t>Total revenues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2FA"/>
            </w:tcBorders>
          </w:tcPr>
          <w:p>
            <w:pPr>
              <w:spacing w:after="0" w:line="20" w:lineRule="exact"/>
              <w:rPr>
                <w:sz w:val="1"/>
                <w:szCs w:val="1"/>
                <w:color w:val="auto"/>
              </w:rPr>
            </w:pPr>
          </w:p>
        </w:tc>
        <w:tc>
          <w:tcPr>
            <w:tcW w:w="30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2FA"/>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680" w:type="dxa"/>
            <w:vAlign w:val="bottom"/>
            <w:vMerge w:val="continue"/>
          </w:tcPr>
          <w:p>
            <w:pPr>
              <w:spacing w:after="0"/>
              <w:rPr>
                <w:sz w:val="17"/>
                <w:szCs w:val="17"/>
                <w:color w:val="auto"/>
              </w:rPr>
            </w:pPr>
          </w:p>
        </w:tc>
        <w:tc>
          <w:tcPr>
            <w:tcW w:w="260" w:type="dxa"/>
            <w:vAlign w:val="bottom"/>
            <w:gridSpan w:val="2"/>
          </w:tcPr>
          <w:p>
            <w:pPr>
              <w:jc w:val="right"/>
              <w:ind w:right="83"/>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565,774</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gridSpan w:val="2"/>
          </w:tcPr>
          <w:p>
            <w:pPr>
              <w:spacing w:after="0" w:line="205"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5" w:lineRule="exact"/>
              <w:rPr>
                <w:sz w:val="20"/>
                <w:szCs w:val="20"/>
                <w:color w:val="auto"/>
              </w:rPr>
            </w:pPr>
            <w:r>
              <w:rPr>
                <w:rFonts w:ascii="Arial" w:cs="Arial" w:eastAsia="Arial" w:hAnsi="Arial"/>
                <w:sz w:val="18"/>
                <w:szCs w:val="18"/>
                <w:color w:val="auto"/>
              </w:rPr>
              <w:t>536,845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line="205"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5" w:lineRule="exact"/>
              <w:rPr>
                <w:sz w:val="20"/>
                <w:szCs w:val="20"/>
                <w:color w:val="auto"/>
              </w:rPr>
            </w:pPr>
            <w:r>
              <w:rPr>
                <w:rFonts w:ascii="Arial" w:cs="Arial" w:eastAsia="Arial" w:hAnsi="Arial"/>
                <w:sz w:val="18"/>
                <w:szCs w:val="18"/>
                <w:color w:val="auto"/>
              </w:rPr>
              <w:t>1,013,859</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2"/>
          </w:tcPr>
          <w:p>
            <w:pPr>
              <w:spacing w:after="0" w:line="205"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914,802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680" w:type="dxa"/>
            <w:vAlign w:val="bottom"/>
            <w:shd w:val="clear" w:color="auto" w:fill="CFF2FA"/>
          </w:tcPr>
          <w:p>
            <w:pPr>
              <w:spacing w:after="0"/>
              <w:rPr>
                <w:sz w:val="20"/>
                <w:szCs w:val="20"/>
                <w:color w:val="auto"/>
              </w:rPr>
            </w:pPr>
            <w:r>
              <w:rPr>
                <w:rFonts w:ascii="Arial" w:cs="Arial" w:eastAsia="Arial" w:hAnsi="Arial"/>
                <w:sz w:val="18"/>
                <w:szCs w:val="18"/>
                <w:color w:val="auto"/>
              </w:rPr>
              <w:t>Less: Freight and delivery revenues</w:t>
            </w:r>
          </w:p>
        </w:tc>
        <w:tc>
          <w:tcPr>
            <w:tcW w:w="40" w:type="dxa"/>
            <w:vAlign w:val="bottom"/>
            <w:shd w:val="clear" w:color="auto" w:fill="CFF2FA"/>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1220" w:type="dxa"/>
            <w:vAlign w:val="bottom"/>
            <w:gridSpan w:val="3"/>
            <w:shd w:val="clear" w:color="auto" w:fill="CFF2FA"/>
          </w:tcPr>
          <w:p>
            <w:pPr>
              <w:jc w:val="right"/>
              <w:ind w:right="260"/>
              <w:spacing w:after="0"/>
              <w:rPr>
                <w:sz w:val="20"/>
                <w:szCs w:val="20"/>
                <w:color w:val="auto"/>
              </w:rPr>
            </w:pPr>
            <w:r>
              <w:rPr>
                <w:rFonts w:ascii="Arial" w:cs="Arial" w:eastAsia="Arial" w:hAnsi="Arial"/>
                <w:sz w:val="18"/>
                <w:szCs w:val="18"/>
                <w:color w:val="auto"/>
              </w:rPr>
              <w:t>(49,491)</w:t>
            </w:r>
          </w:p>
        </w:tc>
        <w:tc>
          <w:tcPr>
            <w:tcW w:w="20" w:type="dxa"/>
            <w:vAlign w:val="bottom"/>
            <w:shd w:val="clear" w:color="auto" w:fill="CFF2FA"/>
          </w:tcPr>
          <w:p>
            <w:pPr>
              <w:spacing w:after="0"/>
              <w:rPr>
                <w:sz w:val="19"/>
                <w:szCs w:val="19"/>
                <w:color w:val="auto"/>
              </w:rPr>
            </w:pPr>
          </w:p>
        </w:tc>
        <w:tc>
          <w:tcPr>
            <w:tcW w:w="280" w:type="dxa"/>
            <w:vAlign w:val="bottom"/>
            <w:shd w:val="clear" w:color="auto" w:fill="CFF2FA"/>
          </w:tcPr>
          <w:p>
            <w:pPr>
              <w:spacing w:after="0"/>
              <w:rPr>
                <w:sz w:val="19"/>
                <w:szCs w:val="19"/>
                <w:color w:val="auto"/>
              </w:rPr>
            </w:pPr>
          </w:p>
        </w:tc>
        <w:tc>
          <w:tcPr>
            <w:tcW w:w="1040" w:type="dxa"/>
            <w:vAlign w:val="bottom"/>
            <w:tcBorders>
              <w:right w:val="single" w:sz="8" w:color="CFF0FC"/>
            </w:tcBorders>
            <w:gridSpan w:val="3"/>
            <w:shd w:val="clear" w:color="auto" w:fill="CFF2FA"/>
          </w:tcPr>
          <w:p>
            <w:pPr>
              <w:jc w:val="right"/>
              <w:ind w:right="140"/>
              <w:spacing w:after="0"/>
              <w:rPr>
                <w:sz w:val="20"/>
                <w:szCs w:val="20"/>
                <w:color w:val="auto"/>
              </w:rPr>
            </w:pPr>
            <w:r>
              <w:rPr>
                <w:rFonts w:ascii="Arial" w:cs="Arial" w:eastAsia="Arial" w:hAnsi="Arial"/>
                <w:sz w:val="18"/>
                <w:szCs w:val="18"/>
                <w:color w:val="auto"/>
              </w:rPr>
              <w:t>(55,229)</w:t>
            </w:r>
          </w:p>
        </w:tc>
        <w:tc>
          <w:tcPr>
            <w:tcW w:w="140" w:type="dxa"/>
            <w:vAlign w:val="bottom"/>
            <w:tcBorders>
              <w:right w:val="single" w:sz="8" w:color="CFF2FA"/>
            </w:tcBorders>
            <w:shd w:val="clear" w:color="auto" w:fill="CFF0FC"/>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1160" w:type="dxa"/>
            <w:vAlign w:val="bottom"/>
            <w:gridSpan w:val="2"/>
            <w:shd w:val="clear" w:color="auto" w:fill="CFF2FA"/>
          </w:tcPr>
          <w:p>
            <w:pPr>
              <w:jc w:val="right"/>
              <w:ind w:right="180"/>
              <w:spacing w:after="0"/>
              <w:rPr>
                <w:sz w:val="20"/>
                <w:szCs w:val="20"/>
                <w:color w:val="auto"/>
              </w:rPr>
            </w:pPr>
            <w:r>
              <w:rPr>
                <w:rFonts w:ascii="Arial" w:cs="Arial" w:eastAsia="Arial" w:hAnsi="Arial"/>
                <w:sz w:val="18"/>
                <w:szCs w:val="18"/>
                <w:color w:val="auto"/>
              </w:rPr>
              <w:t>(91,138)</w:t>
            </w:r>
          </w:p>
        </w:tc>
        <w:tc>
          <w:tcPr>
            <w:tcW w:w="8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06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(100,972)</w:t>
            </w:r>
          </w:p>
        </w:tc>
        <w:tc>
          <w:tcPr>
            <w:tcW w:w="0" w:type="dxa"/>
            <w:vAlign w:val="bottom"/>
          </w:tcPr>
          <w:p>
            <w:pPr>
              <w:spacing w:after="0"/>
              <w:rPr>
                <w:sz w:val="1"/>
                <w:szCs w:val="1"/>
                <w:color w:val="auto"/>
              </w:rPr>
            </w:pPr>
          </w:p>
        </w:tc>
      </w:tr>
      <w:tr>
        <w:trPr>
          <w:trHeight w:val="260"/>
        </w:trPr>
        <w:tc>
          <w:tcPr>
            <w:tcW w:w="568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bottom w:val="single" w:sz="8" w:color="auto"/>
            </w:tcBorders>
            <w:gridSpan w:val="2"/>
          </w:tcPr>
          <w:p>
            <w:pPr>
              <w:jc w:val="right"/>
              <w:ind w:right="83"/>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516,283</w:t>
            </w:r>
          </w:p>
        </w:tc>
        <w:tc>
          <w:tcPr>
            <w:tcW w:w="20" w:type="dxa"/>
            <w:vAlign w:val="bottom"/>
            <w:tcBorders>
              <w:bottom w:val="single" w:sz="8" w:color="CFF2FA"/>
            </w:tcBorders>
          </w:tcPr>
          <w:p>
            <w:pPr>
              <w:spacing w:after="0"/>
              <w:rPr>
                <w:sz w:val="22"/>
                <w:szCs w:val="22"/>
                <w:color w:val="auto"/>
              </w:rPr>
            </w:pPr>
          </w:p>
        </w:tc>
        <w:tc>
          <w:tcPr>
            <w:tcW w:w="300" w:type="dxa"/>
            <w:vAlign w:val="bottom"/>
            <w:tcBorders>
              <w:bottom w:val="single" w:sz="8" w:color="CFF2FA"/>
            </w:tcBorders>
          </w:tcPr>
          <w:p>
            <w:pPr>
              <w:spacing w:after="0"/>
              <w:rPr>
                <w:sz w:val="22"/>
                <w:szCs w:val="22"/>
                <w:color w:val="auto"/>
              </w:rPr>
            </w:pPr>
          </w:p>
        </w:tc>
        <w:tc>
          <w:tcPr>
            <w:tcW w:w="3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481,616</w:t>
            </w:r>
          </w:p>
        </w:tc>
        <w:tc>
          <w:tcPr>
            <w:tcW w:w="20" w:type="dxa"/>
            <w:vAlign w:val="bottom"/>
            <w:tcBorders>
              <w:bottom w:val="single" w:sz="8" w:color="CFF2FA"/>
            </w:tcBorders>
          </w:tcPr>
          <w:p>
            <w:pPr>
              <w:spacing w:after="0"/>
              <w:rPr>
                <w:sz w:val="22"/>
                <w:szCs w:val="22"/>
                <w:color w:val="auto"/>
              </w:rPr>
            </w:pPr>
          </w:p>
        </w:tc>
        <w:tc>
          <w:tcPr>
            <w:tcW w:w="180" w:type="dxa"/>
            <w:vAlign w:val="bottom"/>
            <w:tcBorders>
              <w:bottom w:val="single" w:sz="8" w:color="CFF2FA"/>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922,721</w:t>
            </w:r>
          </w:p>
        </w:tc>
        <w:tc>
          <w:tcPr>
            <w:tcW w:w="240" w:type="dxa"/>
            <w:vAlign w:val="bottom"/>
            <w:tcBorders>
              <w:bottom w:val="single" w:sz="8" w:color="CFF2FA"/>
            </w:tcBorders>
          </w:tcPr>
          <w:p>
            <w:pPr>
              <w:spacing w:after="0"/>
              <w:rPr>
                <w:sz w:val="22"/>
                <w:szCs w:val="22"/>
                <w:color w:val="auto"/>
              </w:rPr>
            </w:pPr>
          </w:p>
        </w:tc>
        <w:tc>
          <w:tcPr>
            <w:tcW w:w="80" w:type="dxa"/>
            <w:vAlign w:val="bottom"/>
            <w:tcBorders>
              <w:bottom w:val="single" w:sz="8" w:color="CFF2FA"/>
            </w:tcBorders>
          </w:tcPr>
          <w:p>
            <w:pPr>
              <w:spacing w:after="0"/>
              <w:rPr>
                <w:sz w:val="22"/>
                <w:szCs w:val="22"/>
                <w:color w:val="auto"/>
              </w:rPr>
            </w:pPr>
          </w:p>
        </w:tc>
        <w:tc>
          <w:tcPr>
            <w:tcW w:w="2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813,830</w:t>
            </w:r>
          </w:p>
        </w:tc>
        <w:tc>
          <w:tcPr>
            <w:tcW w:w="16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68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Gross margin excluding freight and delivery revenues</w:t>
            </w:r>
          </w:p>
        </w:tc>
        <w:tc>
          <w:tcPr>
            <w:tcW w:w="40" w:type="dxa"/>
            <w:vAlign w:val="bottom"/>
            <w:shd w:val="clear" w:color="auto" w:fill="CFF2FA"/>
          </w:tcPr>
          <w:p>
            <w:pPr>
              <w:spacing w:after="0"/>
              <w:rPr>
                <w:sz w:val="17"/>
                <w:szCs w:val="17"/>
                <w:color w:val="auto"/>
              </w:rPr>
            </w:pPr>
          </w:p>
        </w:tc>
        <w:tc>
          <w:tcPr>
            <w:tcW w:w="220" w:type="dxa"/>
            <w:vAlign w:val="bottom"/>
            <w:shd w:val="clear" w:color="auto" w:fill="CFF2FA"/>
          </w:tcPr>
          <w:p>
            <w:pPr>
              <w:spacing w:after="0"/>
              <w:rPr>
                <w:sz w:val="17"/>
                <w:szCs w:val="17"/>
                <w:color w:val="auto"/>
              </w:rPr>
            </w:pPr>
          </w:p>
        </w:tc>
        <w:tc>
          <w:tcPr>
            <w:tcW w:w="1220" w:type="dxa"/>
            <w:vAlign w:val="bottom"/>
            <w:gridSpan w:val="3"/>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31.8%</w:t>
            </w:r>
          </w:p>
        </w:tc>
        <w:tc>
          <w:tcPr>
            <w:tcW w:w="20" w:type="dxa"/>
            <w:vAlign w:val="bottom"/>
            <w:shd w:val="clear" w:color="auto" w:fill="CFF2FA"/>
          </w:tcPr>
          <w:p>
            <w:pPr>
              <w:spacing w:after="0"/>
              <w:rPr>
                <w:sz w:val="17"/>
                <w:szCs w:val="17"/>
                <w:color w:val="auto"/>
              </w:rPr>
            </w:pPr>
          </w:p>
        </w:tc>
        <w:tc>
          <w:tcPr>
            <w:tcW w:w="280" w:type="dxa"/>
            <w:vAlign w:val="bottom"/>
            <w:shd w:val="clear" w:color="auto" w:fill="CFF2FA"/>
          </w:tcPr>
          <w:p>
            <w:pPr>
              <w:spacing w:after="0"/>
              <w:rPr>
                <w:sz w:val="17"/>
                <w:szCs w:val="17"/>
                <w:color w:val="auto"/>
              </w:rPr>
            </w:pPr>
          </w:p>
        </w:tc>
        <w:tc>
          <w:tcPr>
            <w:tcW w:w="1040" w:type="dxa"/>
            <w:vAlign w:val="bottom"/>
            <w:tcBorders>
              <w:right w:val="single" w:sz="8" w:color="CFF0FC"/>
            </w:tcBorders>
            <w:gridSpan w:val="3"/>
            <w:shd w:val="clear" w:color="auto" w:fill="CFF2FA"/>
          </w:tcPr>
          <w:p>
            <w:pPr>
              <w:jc w:val="right"/>
              <w:ind w:right="40"/>
              <w:spacing w:after="0" w:line="205" w:lineRule="exact"/>
              <w:rPr>
                <w:sz w:val="20"/>
                <w:szCs w:val="20"/>
                <w:color w:val="auto"/>
              </w:rPr>
            </w:pPr>
            <w:r>
              <w:rPr>
                <w:rFonts w:ascii="Arial" w:cs="Arial" w:eastAsia="Arial" w:hAnsi="Arial"/>
                <w:sz w:val="18"/>
                <w:szCs w:val="18"/>
                <w:color w:val="auto"/>
              </w:rPr>
              <w:t>28.5%</w:t>
            </w:r>
          </w:p>
        </w:tc>
        <w:tc>
          <w:tcPr>
            <w:tcW w:w="140" w:type="dxa"/>
            <w:vAlign w:val="bottom"/>
            <w:tcBorders>
              <w:right w:val="single" w:sz="8" w:color="CFF2FA"/>
            </w:tcBorders>
            <w:shd w:val="clear" w:color="auto" w:fill="CFF0FC"/>
          </w:tcPr>
          <w:p>
            <w:pPr>
              <w:spacing w:after="0"/>
              <w:rPr>
                <w:sz w:val="17"/>
                <w:szCs w:val="17"/>
                <w:color w:val="auto"/>
              </w:rPr>
            </w:pPr>
          </w:p>
        </w:tc>
        <w:tc>
          <w:tcPr>
            <w:tcW w:w="220" w:type="dxa"/>
            <w:vAlign w:val="bottom"/>
            <w:shd w:val="clear" w:color="auto" w:fill="CFF2FA"/>
          </w:tcPr>
          <w:p>
            <w:pPr>
              <w:spacing w:after="0"/>
              <w:rPr>
                <w:sz w:val="17"/>
                <w:szCs w:val="17"/>
                <w:color w:val="auto"/>
              </w:rPr>
            </w:pPr>
          </w:p>
        </w:tc>
        <w:tc>
          <w:tcPr>
            <w:tcW w:w="1160" w:type="dxa"/>
            <w:vAlign w:val="bottom"/>
            <w:gridSpan w:val="2"/>
            <w:shd w:val="clear" w:color="auto" w:fill="CFF2FA"/>
          </w:tcPr>
          <w:p>
            <w:pPr>
              <w:jc w:val="right"/>
              <w:ind w:right="100"/>
              <w:spacing w:after="0" w:line="205" w:lineRule="exact"/>
              <w:rPr>
                <w:sz w:val="20"/>
                <w:szCs w:val="20"/>
                <w:color w:val="auto"/>
              </w:rPr>
            </w:pPr>
            <w:r>
              <w:rPr>
                <w:rFonts w:ascii="Arial" w:cs="Arial" w:eastAsia="Arial" w:hAnsi="Arial"/>
                <w:sz w:val="18"/>
                <w:szCs w:val="18"/>
                <w:color w:val="auto"/>
              </w:rPr>
              <w:t>26.6%</w:t>
            </w:r>
          </w:p>
        </w:tc>
        <w:tc>
          <w:tcPr>
            <w:tcW w:w="80" w:type="dxa"/>
            <w:vAlign w:val="bottom"/>
            <w:shd w:val="clear" w:color="auto" w:fill="CFF2FA"/>
          </w:tcPr>
          <w:p>
            <w:pPr>
              <w:spacing w:after="0"/>
              <w:rPr>
                <w:sz w:val="17"/>
                <w:szCs w:val="17"/>
                <w:color w:val="auto"/>
              </w:rPr>
            </w:pPr>
          </w:p>
        </w:tc>
        <w:tc>
          <w:tcPr>
            <w:tcW w:w="20" w:type="dxa"/>
            <w:vAlign w:val="bottom"/>
            <w:shd w:val="clear" w:color="auto" w:fill="CFF2FA"/>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5680" w:type="dxa"/>
            <w:vAlign w:val="bottom"/>
            <w:tcBorders>
              <w:top w:val="single" w:sz="8" w:color="CFF2FA"/>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FF2FA"/>
            </w:tcBorders>
          </w:tcPr>
          <w:p>
            <w:pPr>
              <w:spacing w:after="0" w:line="20" w:lineRule="exact"/>
              <w:rPr>
                <w:sz w:val="1"/>
                <w:szCs w:val="1"/>
                <w:color w:val="auto"/>
              </w:rPr>
            </w:pPr>
          </w:p>
        </w:tc>
        <w:tc>
          <w:tcPr>
            <w:tcW w:w="30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2FA"/>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7160" w:type="dxa"/>
            <w:vAlign w:val="bottom"/>
            <w:gridSpan w:val="6"/>
          </w:tcPr>
          <w:p>
            <w:pPr>
              <w:spacing w:after="0"/>
              <w:rPr>
                <w:sz w:val="20"/>
                <w:szCs w:val="20"/>
                <w:color w:val="auto"/>
              </w:rPr>
            </w:pPr>
            <w:r>
              <w:rPr>
                <w:rFonts w:ascii="Arial" w:cs="Arial" w:eastAsia="Arial" w:hAnsi="Arial"/>
                <w:sz w:val="18"/>
                <w:szCs w:val="18"/>
                <w:b w:val="1"/>
                <w:bCs w:val="1"/>
                <w:color w:val="auto"/>
              </w:rPr>
              <w:t>Ready Mixed Concrete Product Line Gross Margin in Accordance with GAAP</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8"/>
          </w:tcPr>
          <w:p>
            <w:pPr>
              <w:jc w:val="center"/>
              <w:ind w:right="40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7"/>
          </w:tcPr>
          <w:p>
            <w:pPr>
              <w:jc w:val="center"/>
              <w:ind w:right="400"/>
              <w:spacing w:after="0"/>
              <w:rPr>
                <w:sz w:val="20"/>
                <w:szCs w:val="20"/>
                <w:color w:val="auto"/>
              </w:rPr>
            </w:pPr>
            <w:r>
              <w:rPr>
                <w:rFonts w:ascii="Arial" w:cs="Arial" w:eastAsia="Arial" w:hAnsi="Arial"/>
                <w:sz w:val="18"/>
                <w:szCs w:val="18"/>
                <w:color w:val="auto"/>
                <w:w w:val="93"/>
              </w:rPr>
              <w:t>Six Months Ended</w:t>
            </w:r>
          </w:p>
        </w:tc>
        <w:tc>
          <w:tcPr>
            <w:tcW w:w="0" w:type="dxa"/>
            <w:vAlign w:val="bottom"/>
          </w:tcPr>
          <w:p>
            <w:pPr>
              <w:spacing w:after="0"/>
              <w:rPr>
                <w:sz w:val="1"/>
                <w:szCs w:val="1"/>
                <w:color w:val="auto"/>
              </w:rPr>
            </w:pPr>
          </w:p>
        </w:tc>
      </w:tr>
      <w:tr>
        <w:trPr>
          <w:trHeight w:val="231"/>
        </w:trPr>
        <w:tc>
          <w:tcPr>
            <w:tcW w:w="5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jc w:val="center"/>
              <w:ind w:left="528"/>
              <w:spacing w:after="0"/>
              <w:rPr>
                <w:sz w:val="20"/>
                <w:szCs w:val="20"/>
                <w:color w:val="auto"/>
              </w:rPr>
            </w:pPr>
            <w:r>
              <w:rPr>
                <w:rFonts w:ascii="Arial" w:cs="Arial" w:eastAsia="Arial" w:hAnsi="Arial"/>
                <w:sz w:val="18"/>
                <w:szCs w:val="18"/>
                <w:color w:val="auto"/>
                <w:w w:val="89"/>
              </w:rPr>
              <w:t>June 30,</w:t>
            </w: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5"/>
          </w:tcPr>
          <w:p>
            <w:pPr>
              <w:jc w:val="center"/>
              <w:ind w:left="568"/>
              <w:spacing w:after="0"/>
              <w:rPr>
                <w:sz w:val="20"/>
                <w:szCs w:val="20"/>
                <w:color w:val="auto"/>
              </w:rPr>
            </w:pPr>
            <w:r>
              <w:rPr>
                <w:rFonts w:ascii="Arial" w:cs="Arial" w:eastAsia="Arial" w:hAnsi="Arial"/>
                <w:sz w:val="18"/>
                <w:szCs w:val="18"/>
                <w:color w:val="auto"/>
                <w:w w:val="86"/>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color w:val="auto"/>
              </w:rPr>
              <w:t>2016</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color w:val="auto"/>
              </w:rPr>
              <w:t>2015</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7"/>
          </w:tcPr>
          <w:p>
            <w:pPr>
              <w:jc w:val="right"/>
              <w:ind w:right="680"/>
              <w:spacing w:after="0"/>
              <w:rPr>
                <w:sz w:val="20"/>
                <w:szCs w:val="20"/>
                <w:color w:val="auto"/>
              </w:rPr>
            </w:pPr>
            <w:r>
              <w:rPr>
                <w:rFonts w:ascii="Arial" w:cs="Arial" w:eastAsia="Arial" w:hAnsi="Arial"/>
                <w:sz w:val="18"/>
                <w:szCs w:val="18"/>
                <w:i w:val="1"/>
                <w:iCs w:val="1"/>
                <w:color w:val="auto"/>
              </w:rPr>
              <w:t>(Dollars in Thousands)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80" w:type="dxa"/>
            <w:vAlign w:val="bottom"/>
            <w:shd w:val="clear" w:color="auto" w:fill="CFF2FA"/>
          </w:tcPr>
          <w:p>
            <w:pPr>
              <w:spacing w:after="0"/>
              <w:rPr>
                <w:sz w:val="20"/>
                <w:szCs w:val="20"/>
                <w:color w:val="auto"/>
              </w:rPr>
            </w:pPr>
            <w:r>
              <w:rPr>
                <w:rFonts w:ascii="Arial" w:cs="Arial" w:eastAsia="Arial" w:hAnsi="Arial"/>
                <w:sz w:val="18"/>
                <w:szCs w:val="18"/>
                <w:color w:val="auto"/>
              </w:rPr>
              <w:t>Gross profit</w:t>
            </w:r>
          </w:p>
        </w:tc>
        <w:tc>
          <w:tcPr>
            <w:tcW w:w="260" w:type="dxa"/>
            <w:vAlign w:val="bottom"/>
            <w:gridSpan w:val="2"/>
            <w:shd w:val="clear" w:color="auto" w:fill="CFF2FA"/>
          </w:tcPr>
          <w:p>
            <w:pPr>
              <w:jc w:val="right"/>
              <w:ind w:right="63"/>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25,293</w:t>
            </w:r>
          </w:p>
        </w:tc>
        <w:tc>
          <w:tcPr>
            <w:tcW w:w="300" w:type="dxa"/>
            <w:vAlign w:val="bottom"/>
            <w:shd w:val="clear" w:color="auto" w:fill="CFF2FA"/>
          </w:tcPr>
          <w:p>
            <w:pPr>
              <w:spacing w:after="0"/>
              <w:rPr>
                <w:sz w:val="19"/>
                <w:szCs w:val="19"/>
                <w:color w:val="auto"/>
              </w:rPr>
            </w:pPr>
          </w:p>
        </w:tc>
        <w:tc>
          <w:tcPr>
            <w:tcW w:w="300" w:type="dxa"/>
            <w:vAlign w:val="bottom"/>
            <w:gridSpan w:val="2"/>
            <w:shd w:val="clear" w:color="auto" w:fill="CFF2FA"/>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9,341</w:t>
            </w:r>
          </w:p>
        </w:tc>
        <w:tc>
          <w:tcPr>
            <w:tcW w:w="180" w:type="dxa"/>
            <w:vAlign w:val="bottom"/>
            <w:tcBorders>
              <w:right w:val="single" w:sz="8" w:color="CFF2FA"/>
            </w:tcBorders>
            <w:shd w:val="clear" w:color="auto" w:fill="CFF2FA"/>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2FA"/>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43,380</w:t>
            </w:r>
          </w:p>
        </w:tc>
        <w:tc>
          <w:tcPr>
            <w:tcW w:w="240" w:type="dxa"/>
            <w:vAlign w:val="bottom"/>
            <w:shd w:val="clear" w:color="auto" w:fill="CFF2FA"/>
          </w:tcPr>
          <w:p>
            <w:pPr>
              <w:spacing w:after="0"/>
              <w:rPr>
                <w:sz w:val="19"/>
                <w:szCs w:val="19"/>
                <w:color w:val="auto"/>
              </w:rPr>
            </w:pPr>
          </w:p>
        </w:tc>
        <w:tc>
          <w:tcPr>
            <w:tcW w:w="340" w:type="dxa"/>
            <w:vAlign w:val="bottom"/>
            <w:gridSpan w:val="3"/>
            <w:shd w:val="clear" w:color="auto" w:fill="CFF2FA"/>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11,424</w:t>
            </w:r>
          </w:p>
        </w:tc>
        <w:tc>
          <w:tcPr>
            <w:tcW w:w="16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18"/>
                <w:szCs w:val="18"/>
                <w:color w:val="auto"/>
              </w:rPr>
              <w:t>Total revenues</w:t>
            </w:r>
          </w:p>
        </w:tc>
        <w:tc>
          <w:tcPr>
            <w:tcW w:w="40" w:type="dxa"/>
            <w:vAlign w:val="bottom"/>
            <w:tcBorders>
              <w:top w:val="single" w:sz="8" w:color="CFF2FA"/>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CFF2FA"/>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100" w:type="dxa"/>
            <w:vAlign w:val="bottom"/>
            <w:tcBorders>
              <w:top w:val="single" w:sz="8" w:color="CFF2FA"/>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680" w:type="dxa"/>
            <w:vAlign w:val="bottom"/>
            <w:tcBorders>
              <w:bottom w:val="single" w:sz="8" w:color="CFF2FA"/>
            </w:tcBorders>
            <w:vMerge w:val="continue"/>
          </w:tcPr>
          <w:p>
            <w:pPr>
              <w:spacing w:after="0"/>
              <w:rPr>
                <w:sz w:val="21"/>
                <w:szCs w:val="21"/>
                <w:color w:val="auto"/>
              </w:rPr>
            </w:pPr>
          </w:p>
        </w:tc>
        <w:tc>
          <w:tcPr>
            <w:tcW w:w="40" w:type="dxa"/>
            <w:vAlign w:val="bottom"/>
            <w:tcBorders>
              <w:bottom w:val="single" w:sz="8" w:color="CFF2FA"/>
            </w:tcBorders>
          </w:tcPr>
          <w:p>
            <w:pPr>
              <w:spacing w:after="0"/>
              <w:rPr>
                <w:sz w:val="21"/>
                <w:szCs w:val="21"/>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ind w:right="20"/>
              <w:spacing w:after="0" w:line="205" w:lineRule="exact"/>
              <w:rPr>
                <w:sz w:val="20"/>
                <w:szCs w:val="20"/>
                <w:color w:val="auto"/>
              </w:rPr>
            </w:pPr>
            <w:r>
              <w:rPr>
                <w:rFonts w:ascii="Arial" w:cs="Arial" w:eastAsia="Arial" w:hAnsi="Arial"/>
                <w:sz w:val="18"/>
                <w:szCs w:val="18"/>
                <w:color w:val="auto"/>
              </w:rPr>
              <w:t>215,248</w:t>
            </w:r>
          </w:p>
        </w:tc>
        <w:tc>
          <w:tcPr>
            <w:tcW w:w="300" w:type="dxa"/>
            <w:vAlign w:val="bottom"/>
            <w:tcBorders>
              <w:bottom w:val="single" w:sz="8" w:color="CFF2FA"/>
            </w:tcBorders>
          </w:tcPr>
          <w:p>
            <w:pPr>
              <w:spacing w:after="0"/>
              <w:rPr>
                <w:sz w:val="21"/>
                <w:szCs w:val="21"/>
                <w:color w:val="auto"/>
              </w:rPr>
            </w:pPr>
          </w:p>
        </w:tc>
        <w:tc>
          <w:tcPr>
            <w:tcW w:w="20" w:type="dxa"/>
            <w:vAlign w:val="bottom"/>
            <w:tcBorders>
              <w:bottom w:val="single" w:sz="8" w:color="CFF2FA"/>
            </w:tcBorders>
          </w:tcPr>
          <w:p>
            <w:pPr>
              <w:spacing w:after="0"/>
              <w:rPr>
                <w:sz w:val="21"/>
                <w:szCs w:val="21"/>
                <w:color w:val="auto"/>
              </w:rPr>
            </w:pPr>
          </w:p>
        </w:tc>
        <w:tc>
          <w:tcPr>
            <w:tcW w:w="28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150,052</w:t>
            </w:r>
          </w:p>
        </w:tc>
        <w:tc>
          <w:tcPr>
            <w:tcW w:w="180" w:type="dxa"/>
            <w:vAlign w:val="bottom"/>
            <w:tcBorders>
              <w:bottom w:val="single" w:sz="8" w:color="CFF2FA"/>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402,331</w:t>
            </w:r>
          </w:p>
        </w:tc>
        <w:tc>
          <w:tcPr>
            <w:tcW w:w="240" w:type="dxa"/>
            <w:vAlign w:val="bottom"/>
            <w:tcBorders>
              <w:bottom w:val="single" w:sz="8" w:color="CFF2FA"/>
            </w:tcBorders>
          </w:tcPr>
          <w:p>
            <w:pPr>
              <w:spacing w:after="0"/>
              <w:rPr>
                <w:sz w:val="21"/>
                <w:szCs w:val="21"/>
                <w:color w:val="auto"/>
              </w:rPr>
            </w:pPr>
          </w:p>
        </w:tc>
        <w:tc>
          <w:tcPr>
            <w:tcW w:w="100" w:type="dxa"/>
            <w:vAlign w:val="bottom"/>
            <w:tcBorders>
              <w:bottom w:val="single" w:sz="8" w:color="CFF2FA"/>
            </w:tcBorders>
            <w:gridSpan w:val="2"/>
          </w:tcPr>
          <w:p>
            <w:pPr>
              <w:spacing w:after="0"/>
              <w:rPr>
                <w:sz w:val="21"/>
                <w:szCs w:val="21"/>
                <w:color w:val="auto"/>
              </w:rPr>
            </w:pPr>
          </w:p>
        </w:tc>
        <w:tc>
          <w:tcPr>
            <w:tcW w:w="24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277,855</w:t>
            </w:r>
          </w:p>
        </w:tc>
        <w:tc>
          <w:tcPr>
            <w:tcW w:w="160" w:type="dxa"/>
            <w:vAlign w:val="bottom"/>
            <w:tcBorders>
              <w:bottom w:val="single" w:sz="8" w:color="CFF2FA"/>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68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Gross margin</w:t>
            </w:r>
          </w:p>
        </w:tc>
        <w:tc>
          <w:tcPr>
            <w:tcW w:w="40" w:type="dxa"/>
            <w:vAlign w:val="bottom"/>
            <w:shd w:val="clear" w:color="auto" w:fill="CFF2FA"/>
          </w:tcPr>
          <w:p>
            <w:pPr>
              <w:spacing w:after="0"/>
              <w:rPr>
                <w:sz w:val="17"/>
                <w:szCs w:val="17"/>
                <w:color w:val="auto"/>
              </w:rPr>
            </w:pPr>
          </w:p>
        </w:tc>
        <w:tc>
          <w:tcPr>
            <w:tcW w:w="220" w:type="dxa"/>
            <w:vAlign w:val="bottom"/>
            <w:shd w:val="clear" w:color="auto" w:fill="CFF2FA"/>
          </w:tcPr>
          <w:p>
            <w:pPr>
              <w:spacing w:after="0"/>
              <w:rPr>
                <w:sz w:val="17"/>
                <w:szCs w:val="17"/>
                <w:color w:val="auto"/>
              </w:rPr>
            </w:pPr>
          </w:p>
        </w:tc>
        <w:tc>
          <w:tcPr>
            <w:tcW w:w="1220" w:type="dxa"/>
            <w:vAlign w:val="bottom"/>
            <w:gridSpan w:val="3"/>
            <w:shd w:val="clear" w:color="auto" w:fill="CFF2FA"/>
          </w:tcPr>
          <w:p>
            <w:pPr>
              <w:jc w:val="right"/>
              <w:ind w:right="140"/>
              <w:spacing w:after="0" w:line="205" w:lineRule="exact"/>
              <w:rPr>
                <w:sz w:val="20"/>
                <w:szCs w:val="20"/>
                <w:color w:val="auto"/>
              </w:rPr>
            </w:pPr>
            <w:r>
              <w:rPr>
                <w:rFonts w:ascii="Arial" w:cs="Arial" w:eastAsia="Arial" w:hAnsi="Arial"/>
                <w:sz w:val="18"/>
                <w:szCs w:val="18"/>
                <w:color w:val="auto"/>
              </w:rPr>
              <w:t>11.8%</w:t>
            </w:r>
          </w:p>
        </w:tc>
        <w:tc>
          <w:tcPr>
            <w:tcW w:w="20" w:type="dxa"/>
            <w:vAlign w:val="bottom"/>
            <w:shd w:val="clear" w:color="auto" w:fill="CFF2FA"/>
          </w:tcPr>
          <w:p>
            <w:pPr>
              <w:spacing w:after="0"/>
              <w:rPr>
                <w:sz w:val="17"/>
                <w:szCs w:val="17"/>
                <w:color w:val="auto"/>
              </w:rPr>
            </w:pPr>
          </w:p>
        </w:tc>
        <w:tc>
          <w:tcPr>
            <w:tcW w:w="280" w:type="dxa"/>
            <w:vAlign w:val="bottom"/>
            <w:shd w:val="clear" w:color="auto" w:fill="CFF2FA"/>
          </w:tcPr>
          <w:p>
            <w:pPr>
              <w:spacing w:after="0"/>
              <w:rPr>
                <w:sz w:val="17"/>
                <w:szCs w:val="17"/>
                <w:color w:val="auto"/>
              </w:rPr>
            </w:pPr>
          </w:p>
        </w:tc>
        <w:tc>
          <w:tcPr>
            <w:tcW w:w="1040" w:type="dxa"/>
            <w:vAlign w:val="bottom"/>
            <w:tcBorders>
              <w:right w:val="single" w:sz="8" w:color="CFF2FA"/>
            </w:tcBorders>
            <w:gridSpan w:val="3"/>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6.2%</w:t>
            </w:r>
          </w:p>
        </w:tc>
        <w:tc>
          <w:tcPr>
            <w:tcW w:w="14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2FA"/>
          </w:tcPr>
          <w:p>
            <w:pPr>
              <w:spacing w:after="0"/>
              <w:rPr>
                <w:sz w:val="17"/>
                <w:szCs w:val="17"/>
                <w:color w:val="auto"/>
              </w:rPr>
            </w:pPr>
          </w:p>
        </w:tc>
        <w:tc>
          <w:tcPr>
            <w:tcW w:w="1160" w:type="dxa"/>
            <w:vAlign w:val="bottom"/>
            <w:gridSpan w:val="2"/>
            <w:shd w:val="clear" w:color="auto" w:fill="CFF2FA"/>
          </w:tcPr>
          <w:p>
            <w:pPr>
              <w:jc w:val="right"/>
              <w:ind w:right="80"/>
              <w:spacing w:after="0" w:line="205" w:lineRule="exact"/>
              <w:rPr>
                <w:sz w:val="20"/>
                <w:szCs w:val="20"/>
                <w:color w:val="auto"/>
              </w:rPr>
            </w:pPr>
            <w:r>
              <w:rPr>
                <w:rFonts w:ascii="Arial" w:cs="Arial" w:eastAsia="Arial" w:hAnsi="Arial"/>
                <w:sz w:val="18"/>
                <w:szCs w:val="18"/>
                <w:color w:val="auto"/>
              </w:rPr>
              <w:t>10.8%</w:t>
            </w:r>
          </w:p>
        </w:tc>
        <w:tc>
          <w:tcPr>
            <w:tcW w:w="80" w:type="dxa"/>
            <w:vAlign w:val="bottom"/>
            <w:shd w:val="clear" w:color="auto" w:fill="CFF2FA"/>
          </w:tcPr>
          <w:p>
            <w:pPr>
              <w:spacing w:after="0"/>
              <w:rPr>
                <w:sz w:val="17"/>
                <w:szCs w:val="17"/>
                <w:color w:val="auto"/>
              </w:rPr>
            </w:pPr>
          </w:p>
        </w:tc>
        <w:tc>
          <w:tcPr>
            <w:tcW w:w="20" w:type="dxa"/>
            <w:vAlign w:val="bottom"/>
            <w:shd w:val="clear" w:color="auto" w:fill="CFF2FA"/>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720" w:type="dxa"/>
            <w:vAlign w:val="bottom"/>
            <w:tcBorders>
              <w:top w:val="single" w:sz="8" w:color="CFF2FA"/>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3"/>
          </w:tcPr>
          <w:p>
            <w:pPr>
              <w:spacing w:after="0" w:line="20" w:lineRule="exact"/>
              <w:rPr>
                <w:sz w:val="1"/>
                <w:szCs w:val="1"/>
                <w:color w:val="auto"/>
              </w:rPr>
            </w:pPr>
          </w:p>
        </w:tc>
        <w:tc>
          <w:tcPr>
            <w:tcW w:w="320" w:type="dxa"/>
            <w:vAlign w:val="bottom"/>
            <w:tcBorders>
              <w:top w:val="single" w:sz="8" w:color="CFF2FA"/>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CFF2FA"/>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7460" w:type="dxa"/>
            <w:vAlign w:val="bottom"/>
            <w:gridSpan w:val="8"/>
          </w:tcPr>
          <w:p>
            <w:pPr>
              <w:spacing w:after="0"/>
              <w:rPr>
                <w:sz w:val="20"/>
                <w:szCs w:val="20"/>
                <w:color w:val="auto"/>
              </w:rPr>
            </w:pPr>
            <w:r>
              <w:rPr>
                <w:rFonts w:ascii="Arial" w:cs="Arial" w:eastAsia="Arial" w:hAnsi="Arial"/>
                <w:sz w:val="18"/>
                <w:szCs w:val="18"/>
                <w:b w:val="1"/>
                <w:bCs w:val="1"/>
                <w:color w:val="auto"/>
                <w:w w:val="94"/>
              </w:rPr>
              <w:t>Ready Mixed Concrete Product Line Gross Margin Excluding Freight and Delivery Revenues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8"/>
          </w:tcPr>
          <w:p>
            <w:pPr>
              <w:jc w:val="center"/>
              <w:ind w:right="40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7"/>
          </w:tcPr>
          <w:p>
            <w:pPr>
              <w:jc w:val="center"/>
              <w:ind w:right="400"/>
              <w:spacing w:after="0"/>
              <w:rPr>
                <w:sz w:val="20"/>
                <w:szCs w:val="20"/>
                <w:color w:val="auto"/>
              </w:rPr>
            </w:pPr>
            <w:r>
              <w:rPr>
                <w:rFonts w:ascii="Arial" w:cs="Arial" w:eastAsia="Arial" w:hAnsi="Arial"/>
                <w:sz w:val="18"/>
                <w:szCs w:val="18"/>
                <w:color w:val="auto"/>
                <w:w w:val="93"/>
              </w:rPr>
              <w:t>Six Months Ended</w:t>
            </w:r>
          </w:p>
        </w:tc>
        <w:tc>
          <w:tcPr>
            <w:tcW w:w="0" w:type="dxa"/>
            <w:vAlign w:val="bottom"/>
          </w:tcPr>
          <w:p>
            <w:pPr>
              <w:spacing w:after="0"/>
              <w:rPr>
                <w:sz w:val="1"/>
                <w:szCs w:val="1"/>
                <w:color w:val="auto"/>
              </w:rPr>
            </w:pPr>
          </w:p>
        </w:tc>
      </w:tr>
      <w:tr>
        <w:trPr>
          <w:trHeight w:val="231"/>
        </w:trPr>
        <w:tc>
          <w:tcPr>
            <w:tcW w:w="5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jc w:val="center"/>
              <w:ind w:left="528"/>
              <w:spacing w:after="0"/>
              <w:rPr>
                <w:sz w:val="20"/>
                <w:szCs w:val="20"/>
                <w:color w:val="auto"/>
              </w:rPr>
            </w:pPr>
            <w:r>
              <w:rPr>
                <w:rFonts w:ascii="Arial" w:cs="Arial" w:eastAsia="Arial" w:hAnsi="Arial"/>
                <w:sz w:val="18"/>
                <w:szCs w:val="18"/>
                <w:color w:val="auto"/>
                <w:w w:val="89"/>
              </w:rPr>
              <w:t>June 30,</w:t>
            </w: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5"/>
          </w:tcPr>
          <w:p>
            <w:pPr>
              <w:jc w:val="center"/>
              <w:ind w:left="568"/>
              <w:spacing w:after="0"/>
              <w:rPr>
                <w:sz w:val="20"/>
                <w:szCs w:val="20"/>
                <w:color w:val="auto"/>
              </w:rPr>
            </w:pPr>
            <w:r>
              <w:rPr>
                <w:rFonts w:ascii="Arial" w:cs="Arial" w:eastAsia="Arial" w:hAnsi="Arial"/>
                <w:sz w:val="18"/>
                <w:szCs w:val="18"/>
                <w:color w:val="auto"/>
                <w:w w:val="86"/>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color w:val="auto"/>
              </w:rPr>
              <w:t>2016</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color w:val="auto"/>
              </w:rPr>
              <w:t>2015</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7"/>
          </w:tcPr>
          <w:p>
            <w:pPr>
              <w:jc w:val="right"/>
              <w:ind w:right="680"/>
              <w:spacing w:after="0"/>
              <w:rPr>
                <w:sz w:val="20"/>
                <w:szCs w:val="20"/>
                <w:color w:val="auto"/>
              </w:rPr>
            </w:pPr>
            <w:r>
              <w:rPr>
                <w:rFonts w:ascii="Arial" w:cs="Arial" w:eastAsia="Arial" w:hAnsi="Arial"/>
                <w:sz w:val="18"/>
                <w:szCs w:val="18"/>
                <w:i w:val="1"/>
                <w:iCs w:val="1"/>
                <w:color w:val="auto"/>
              </w:rPr>
              <w:t>(Dollars in Thousands)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80" w:type="dxa"/>
            <w:vAlign w:val="bottom"/>
            <w:shd w:val="clear" w:color="auto" w:fill="CFF2FA"/>
          </w:tcPr>
          <w:p>
            <w:pPr>
              <w:spacing w:after="0"/>
              <w:rPr>
                <w:sz w:val="20"/>
                <w:szCs w:val="20"/>
                <w:color w:val="auto"/>
              </w:rPr>
            </w:pPr>
            <w:r>
              <w:rPr>
                <w:rFonts w:ascii="Arial" w:cs="Arial" w:eastAsia="Arial" w:hAnsi="Arial"/>
                <w:sz w:val="18"/>
                <w:szCs w:val="18"/>
                <w:color w:val="auto"/>
              </w:rPr>
              <w:t>Gross profit</w:t>
            </w:r>
          </w:p>
        </w:tc>
        <w:tc>
          <w:tcPr>
            <w:tcW w:w="260" w:type="dxa"/>
            <w:vAlign w:val="bottom"/>
            <w:gridSpan w:val="2"/>
            <w:shd w:val="clear" w:color="auto" w:fill="CFF2FA"/>
          </w:tcPr>
          <w:p>
            <w:pPr>
              <w:jc w:val="right"/>
              <w:ind w:right="63"/>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25,293</w:t>
            </w:r>
          </w:p>
        </w:tc>
        <w:tc>
          <w:tcPr>
            <w:tcW w:w="300" w:type="dxa"/>
            <w:vAlign w:val="bottom"/>
            <w:shd w:val="clear" w:color="auto" w:fill="CFF2FA"/>
          </w:tcPr>
          <w:p>
            <w:pPr>
              <w:spacing w:after="0"/>
              <w:rPr>
                <w:sz w:val="19"/>
                <w:szCs w:val="19"/>
                <w:color w:val="auto"/>
              </w:rPr>
            </w:pPr>
          </w:p>
        </w:tc>
        <w:tc>
          <w:tcPr>
            <w:tcW w:w="300" w:type="dxa"/>
            <w:vAlign w:val="bottom"/>
            <w:gridSpan w:val="2"/>
            <w:shd w:val="clear" w:color="auto" w:fill="CFF2FA"/>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9,341</w:t>
            </w:r>
          </w:p>
        </w:tc>
        <w:tc>
          <w:tcPr>
            <w:tcW w:w="180" w:type="dxa"/>
            <w:vAlign w:val="bottom"/>
            <w:tcBorders>
              <w:right w:val="single" w:sz="8" w:color="CFF2FA"/>
            </w:tcBorders>
            <w:shd w:val="clear" w:color="auto" w:fill="CFF2FA"/>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2FA"/>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43,380</w:t>
            </w:r>
          </w:p>
        </w:tc>
        <w:tc>
          <w:tcPr>
            <w:tcW w:w="240" w:type="dxa"/>
            <w:vAlign w:val="bottom"/>
            <w:shd w:val="clear" w:color="auto" w:fill="CFF2FA"/>
          </w:tcPr>
          <w:p>
            <w:pPr>
              <w:spacing w:after="0"/>
              <w:rPr>
                <w:sz w:val="19"/>
                <w:szCs w:val="19"/>
                <w:color w:val="auto"/>
              </w:rPr>
            </w:pPr>
          </w:p>
        </w:tc>
        <w:tc>
          <w:tcPr>
            <w:tcW w:w="340" w:type="dxa"/>
            <w:vAlign w:val="bottom"/>
            <w:gridSpan w:val="3"/>
            <w:shd w:val="clear" w:color="auto" w:fill="CFF2FA"/>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11,424</w:t>
            </w:r>
          </w:p>
        </w:tc>
        <w:tc>
          <w:tcPr>
            <w:tcW w:w="16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18"/>
                <w:szCs w:val="18"/>
                <w:color w:val="auto"/>
              </w:rPr>
              <w:t>Total revenues</w:t>
            </w:r>
          </w:p>
        </w:tc>
        <w:tc>
          <w:tcPr>
            <w:tcW w:w="40" w:type="dxa"/>
            <w:vAlign w:val="bottom"/>
            <w:tcBorders>
              <w:top w:val="single" w:sz="8" w:color="CFF2FA"/>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CFF2FA"/>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100" w:type="dxa"/>
            <w:vAlign w:val="bottom"/>
            <w:tcBorders>
              <w:top w:val="single" w:sz="8" w:color="CFF2FA"/>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auto"/>
              </w:rPr>
              <w:t>215,248</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line="205"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150,052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line="205"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5" w:lineRule="exact"/>
              <w:rPr>
                <w:sz w:val="20"/>
                <w:szCs w:val="20"/>
                <w:color w:val="auto"/>
              </w:rPr>
            </w:pPr>
            <w:r>
              <w:rPr>
                <w:rFonts w:ascii="Arial" w:cs="Arial" w:eastAsia="Arial" w:hAnsi="Arial"/>
                <w:sz w:val="18"/>
                <w:szCs w:val="18"/>
                <w:color w:val="auto"/>
              </w:rPr>
              <w:t>402,331</w:t>
            </w:r>
          </w:p>
        </w:tc>
        <w:tc>
          <w:tcPr>
            <w:tcW w:w="24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240" w:type="dxa"/>
            <w:vAlign w:val="bottom"/>
          </w:tcPr>
          <w:p>
            <w:pPr>
              <w:spacing w:after="0" w:line="205"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277,855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680" w:type="dxa"/>
            <w:vAlign w:val="bottom"/>
            <w:shd w:val="clear" w:color="auto" w:fill="CFF2FA"/>
          </w:tcPr>
          <w:p>
            <w:pPr>
              <w:spacing w:after="0"/>
              <w:rPr>
                <w:sz w:val="20"/>
                <w:szCs w:val="20"/>
                <w:color w:val="auto"/>
              </w:rPr>
            </w:pPr>
            <w:r>
              <w:rPr>
                <w:rFonts w:ascii="Arial" w:cs="Arial" w:eastAsia="Arial" w:hAnsi="Arial"/>
                <w:sz w:val="18"/>
                <w:szCs w:val="18"/>
                <w:color w:val="auto"/>
              </w:rPr>
              <w:t>Less: Freight and delivery revenues</w:t>
            </w:r>
          </w:p>
        </w:tc>
        <w:tc>
          <w:tcPr>
            <w:tcW w:w="40" w:type="dxa"/>
            <w:vAlign w:val="bottom"/>
            <w:shd w:val="clear" w:color="auto" w:fill="CFF2FA"/>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1220" w:type="dxa"/>
            <w:vAlign w:val="bottom"/>
            <w:gridSpan w:val="3"/>
            <w:shd w:val="clear" w:color="auto" w:fill="CFF2FA"/>
          </w:tcPr>
          <w:p>
            <w:pPr>
              <w:jc w:val="right"/>
              <w:ind w:right="240"/>
              <w:spacing w:after="0"/>
              <w:rPr>
                <w:sz w:val="20"/>
                <w:szCs w:val="20"/>
                <w:color w:val="auto"/>
              </w:rPr>
            </w:pPr>
            <w:r>
              <w:rPr>
                <w:rFonts w:ascii="Arial" w:cs="Arial" w:eastAsia="Arial" w:hAnsi="Arial"/>
                <w:sz w:val="18"/>
                <w:szCs w:val="18"/>
                <w:color w:val="auto"/>
              </w:rPr>
              <w:t>(361)</w:t>
            </w:r>
          </w:p>
        </w:tc>
        <w:tc>
          <w:tcPr>
            <w:tcW w:w="20" w:type="dxa"/>
            <w:vAlign w:val="bottom"/>
            <w:shd w:val="clear" w:color="auto" w:fill="CFF2FA"/>
          </w:tcPr>
          <w:p>
            <w:pPr>
              <w:spacing w:after="0"/>
              <w:rPr>
                <w:sz w:val="19"/>
                <w:szCs w:val="19"/>
                <w:color w:val="auto"/>
              </w:rPr>
            </w:pPr>
          </w:p>
        </w:tc>
        <w:tc>
          <w:tcPr>
            <w:tcW w:w="280" w:type="dxa"/>
            <w:vAlign w:val="bottom"/>
            <w:shd w:val="clear" w:color="auto" w:fill="CFF2FA"/>
          </w:tcPr>
          <w:p>
            <w:pPr>
              <w:spacing w:after="0"/>
              <w:rPr>
                <w:sz w:val="19"/>
                <w:szCs w:val="19"/>
                <w:color w:val="auto"/>
              </w:rPr>
            </w:pPr>
          </w:p>
        </w:tc>
        <w:tc>
          <w:tcPr>
            <w:tcW w:w="1040" w:type="dxa"/>
            <w:vAlign w:val="bottom"/>
            <w:tcBorders>
              <w:right w:val="single" w:sz="8" w:color="CFF2FA"/>
            </w:tcBorders>
            <w:gridSpan w:val="3"/>
            <w:shd w:val="clear" w:color="auto" w:fill="CFF2FA"/>
          </w:tcPr>
          <w:p>
            <w:pPr>
              <w:jc w:val="right"/>
              <w:ind w:right="120"/>
              <w:spacing w:after="0"/>
              <w:rPr>
                <w:sz w:val="20"/>
                <w:szCs w:val="20"/>
                <w:color w:val="auto"/>
              </w:rPr>
            </w:pPr>
            <w:r>
              <w:rPr>
                <w:rFonts w:ascii="Arial" w:cs="Arial" w:eastAsia="Arial" w:hAnsi="Arial"/>
                <w:sz w:val="18"/>
                <w:szCs w:val="18"/>
                <w:color w:val="auto"/>
              </w:rPr>
              <w:t>(302)</w:t>
            </w:r>
          </w:p>
        </w:tc>
        <w:tc>
          <w:tcPr>
            <w:tcW w:w="14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1160" w:type="dxa"/>
            <w:vAlign w:val="bottom"/>
            <w:gridSpan w:val="2"/>
            <w:shd w:val="clear" w:color="auto" w:fill="CFF2FA"/>
          </w:tcPr>
          <w:p>
            <w:pPr>
              <w:jc w:val="right"/>
              <w:ind w:right="180"/>
              <w:spacing w:after="0"/>
              <w:rPr>
                <w:sz w:val="20"/>
                <w:szCs w:val="20"/>
                <w:color w:val="auto"/>
              </w:rPr>
            </w:pPr>
            <w:r>
              <w:rPr>
                <w:rFonts w:ascii="Arial" w:cs="Arial" w:eastAsia="Arial" w:hAnsi="Arial"/>
                <w:sz w:val="18"/>
                <w:szCs w:val="18"/>
                <w:color w:val="auto"/>
              </w:rPr>
              <w:t>(658)</w:t>
            </w:r>
          </w:p>
        </w:tc>
        <w:tc>
          <w:tcPr>
            <w:tcW w:w="8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06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60"/>
        </w:trPr>
        <w:tc>
          <w:tcPr>
            <w:tcW w:w="568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Net sales</w:t>
            </w:r>
          </w:p>
        </w:tc>
        <w:tc>
          <w:tcPr>
            <w:tcW w:w="40" w:type="dxa"/>
            <w:vAlign w:val="bottom"/>
            <w:tcBorders>
              <w:bottom w:val="single" w:sz="8" w:color="CFF2FA"/>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214,887</w:t>
            </w:r>
          </w:p>
        </w:tc>
        <w:tc>
          <w:tcPr>
            <w:tcW w:w="300" w:type="dxa"/>
            <w:vAlign w:val="bottom"/>
            <w:tcBorders>
              <w:bottom w:val="single" w:sz="8" w:color="CFF2FA"/>
            </w:tcBorders>
          </w:tcPr>
          <w:p>
            <w:pPr>
              <w:spacing w:after="0"/>
              <w:rPr>
                <w:sz w:val="22"/>
                <w:szCs w:val="22"/>
                <w:color w:val="auto"/>
              </w:rPr>
            </w:pPr>
          </w:p>
        </w:tc>
        <w:tc>
          <w:tcPr>
            <w:tcW w:w="20" w:type="dxa"/>
            <w:vAlign w:val="bottom"/>
            <w:tcBorders>
              <w:bottom w:val="single" w:sz="8" w:color="CFF2FA"/>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149,750</w:t>
            </w:r>
          </w:p>
        </w:tc>
        <w:tc>
          <w:tcPr>
            <w:tcW w:w="180" w:type="dxa"/>
            <w:vAlign w:val="bottom"/>
            <w:tcBorders>
              <w:bottom w:val="single" w:sz="8" w:color="CFF2FA"/>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401,673</w:t>
            </w:r>
          </w:p>
        </w:tc>
        <w:tc>
          <w:tcPr>
            <w:tcW w:w="240" w:type="dxa"/>
            <w:vAlign w:val="bottom"/>
            <w:tcBorders>
              <w:bottom w:val="single" w:sz="8" w:color="CFF2FA"/>
            </w:tcBorders>
          </w:tcPr>
          <w:p>
            <w:pPr>
              <w:spacing w:after="0"/>
              <w:rPr>
                <w:sz w:val="22"/>
                <w:szCs w:val="22"/>
                <w:color w:val="auto"/>
              </w:rPr>
            </w:pPr>
          </w:p>
        </w:tc>
        <w:tc>
          <w:tcPr>
            <w:tcW w:w="100" w:type="dxa"/>
            <w:vAlign w:val="bottom"/>
            <w:tcBorders>
              <w:bottom w:val="single" w:sz="8" w:color="CFF2FA"/>
            </w:tcBorders>
            <w:gridSpan w:val="2"/>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277,323</w:t>
            </w:r>
          </w:p>
        </w:tc>
        <w:tc>
          <w:tcPr>
            <w:tcW w:w="16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68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Gross margin excluding freight and delivery revenues</w:t>
            </w:r>
          </w:p>
        </w:tc>
        <w:tc>
          <w:tcPr>
            <w:tcW w:w="40" w:type="dxa"/>
            <w:vAlign w:val="bottom"/>
            <w:shd w:val="clear" w:color="auto" w:fill="CFF2FA"/>
          </w:tcPr>
          <w:p>
            <w:pPr>
              <w:spacing w:after="0"/>
              <w:rPr>
                <w:sz w:val="17"/>
                <w:szCs w:val="17"/>
                <w:color w:val="auto"/>
              </w:rPr>
            </w:pPr>
          </w:p>
        </w:tc>
        <w:tc>
          <w:tcPr>
            <w:tcW w:w="220" w:type="dxa"/>
            <w:vAlign w:val="bottom"/>
            <w:shd w:val="clear" w:color="auto" w:fill="CFF2FA"/>
          </w:tcPr>
          <w:p>
            <w:pPr>
              <w:spacing w:after="0"/>
              <w:rPr>
                <w:sz w:val="17"/>
                <w:szCs w:val="17"/>
                <w:color w:val="auto"/>
              </w:rPr>
            </w:pPr>
          </w:p>
        </w:tc>
        <w:tc>
          <w:tcPr>
            <w:tcW w:w="1220" w:type="dxa"/>
            <w:vAlign w:val="bottom"/>
            <w:gridSpan w:val="3"/>
            <w:shd w:val="clear" w:color="auto" w:fill="CFF2FA"/>
          </w:tcPr>
          <w:p>
            <w:pPr>
              <w:jc w:val="right"/>
              <w:ind w:right="140"/>
              <w:spacing w:after="0" w:line="205" w:lineRule="exact"/>
              <w:rPr>
                <w:sz w:val="20"/>
                <w:szCs w:val="20"/>
                <w:color w:val="auto"/>
              </w:rPr>
            </w:pPr>
            <w:r>
              <w:rPr>
                <w:rFonts w:ascii="Arial" w:cs="Arial" w:eastAsia="Arial" w:hAnsi="Arial"/>
                <w:sz w:val="18"/>
                <w:szCs w:val="18"/>
                <w:color w:val="auto"/>
              </w:rPr>
              <w:t>11.8%</w:t>
            </w:r>
          </w:p>
        </w:tc>
        <w:tc>
          <w:tcPr>
            <w:tcW w:w="20" w:type="dxa"/>
            <w:vAlign w:val="bottom"/>
            <w:shd w:val="clear" w:color="auto" w:fill="CFF2FA"/>
          </w:tcPr>
          <w:p>
            <w:pPr>
              <w:spacing w:after="0"/>
              <w:rPr>
                <w:sz w:val="17"/>
                <w:szCs w:val="17"/>
                <w:color w:val="auto"/>
              </w:rPr>
            </w:pPr>
          </w:p>
        </w:tc>
        <w:tc>
          <w:tcPr>
            <w:tcW w:w="280" w:type="dxa"/>
            <w:vAlign w:val="bottom"/>
            <w:shd w:val="clear" w:color="auto" w:fill="CFF2FA"/>
          </w:tcPr>
          <w:p>
            <w:pPr>
              <w:spacing w:after="0"/>
              <w:rPr>
                <w:sz w:val="17"/>
                <w:szCs w:val="17"/>
                <w:color w:val="auto"/>
              </w:rPr>
            </w:pPr>
          </w:p>
        </w:tc>
        <w:tc>
          <w:tcPr>
            <w:tcW w:w="1040" w:type="dxa"/>
            <w:vAlign w:val="bottom"/>
            <w:tcBorders>
              <w:right w:val="single" w:sz="8" w:color="CFF2FA"/>
            </w:tcBorders>
            <w:gridSpan w:val="3"/>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6.2%</w:t>
            </w:r>
          </w:p>
        </w:tc>
        <w:tc>
          <w:tcPr>
            <w:tcW w:w="14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2FA"/>
          </w:tcPr>
          <w:p>
            <w:pPr>
              <w:spacing w:after="0"/>
              <w:rPr>
                <w:sz w:val="17"/>
                <w:szCs w:val="17"/>
                <w:color w:val="auto"/>
              </w:rPr>
            </w:pPr>
          </w:p>
        </w:tc>
        <w:tc>
          <w:tcPr>
            <w:tcW w:w="1160" w:type="dxa"/>
            <w:vAlign w:val="bottom"/>
            <w:gridSpan w:val="2"/>
            <w:shd w:val="clear" w:color="auto" w:fill="CFF2FA"/>
          </w:tcPr>
          <w:p>
            <w:pPr>
              <w:jc w:val="right"/>
              <w:ind w:right="80"/>
              <w:spacing w:after="0" w:line="205" w:lineRule="exact"/>
              <w:rPr>
                <w:sz w:val="20"/>
                <w:szCs w:val="20"/>
                <w:color w:val="auto"/>
              </w:rPr>
            </w:pPr>
            <w:r>
              <w:rPr>
                <w:rFonts w:ascii="Arial" w:cs="Arial" w:eastAsia="Arial" w:hAnsi="Arial"/>
                <w:sz w:val="18"/>
                <w:szCs w:val="18"/>
                <w:color w:val="auto"/>
              </w:rPr>
              <w:t>10.8%</w:t>
            </w:r>
          </w:p>
        </w:tc>
        <w:tc>
          <w:tcPr>
            <w:tcW w:w="80" w:type="dxa"/>
            <w:vAlign w:val="bottom"/>
            <w:shd w:val="clear" w:color="auto" w:fill="CFF2FA"/>
          </w:tcPr>
          <w:p>
            <w:pPr>
              <w:spacing w:after="0"/>
              <w:rPr>
                <w:sz w:val="17"/>
                <w:szCs w:val="17"/>
                <w:color w:val="auto"/>
              </w:rPr>
            </w:pPr>
          </w:p>
        </w:tc>
        <w:tc>
          <w:tcPr>
            <w:tcW w:w="20" w:type="dxa"/>
            <w:vAlign w:val="bottom"/>
            <w:shd w:val="clear" w:color="auto" w:fill="CFF2FA"/>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680" w:type="dxa"/>
            <w:vAlign w:val="bottom"/>
            <w:tcBorders>
              <w:top w:val="single" w:sz="8" w:color="CFF2FA"/>
            </w:tcBorders>
          </w:tcPr>
          <w:p>
            <w:pPr>
              <w:spacing w:after="0" w:line="20" w:lineRule="exact"/>
              <w:rPr>
                <w:sz w:val="1"/>
                <w:szCs w:val="1"/>
                <w:color w:val="auto"/>
              </w:rPr>
            </w:pPr>
          </w:p>
        </w:tc>
        <w:tc>
          <w:tcPr>
            <w:tcW w:w="40" w:type="dxa"/>
            <w:vAlign w:val="bottom"/>
            <w:tcBorders>
              <w:top w:val="single" w:sz="8" w:color="CFF2FA"/>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CFF2FA"/>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20" w:type="dxa"/>
            <w:vAlign w:val="bottom"/>
            <w:tcBorders>
              <w:top w:val="single" w:sz="8" w:color="CFF2FA"/>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80" w:type="dxa"/>
            <w:vAlign w:val="bottom"/>
            <w:gridSpan w:val="4"/>
          </w:tcPr>
          <w:p>
            <w:pPr>
              <w:spacing w:after="0"/>
              <w:rPr>
                <w:sz w:val="20"/>
                <w:szCs w:val="20"/>
                <w:color w:val="auto"/>
              </w:rPr>
            </w:pPr>
            <w:r>
              <w:rPr>
                <w:rFonts w:ascii="Arial" w:cs="Arial" w:eastAsia="Arial" w:hAnsi="Arial"/>
                <w:sz w:val="18"/>
                <w:szCs w:val="18"/>
                <w:b w:val="1"/>
                <w:bCs w:val="1"/>
                <w:color w:val="auto"/>
                <w:w w:val="97"/>
              </w:rPr>
              <w:t>Aggregates-Related Downstream Operations Gross Margin in Accordance with GAAP</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5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center"/>
              <w:ind w:right="420"/>
              <w:spacing w:after="0"/>
              <w:rPr>
                <w:sz w:val="20"/>
                <w:szCs w:val="20"/>
                <w:color w:val="auto"/>
              </w:rPr>
            </w:pPr>
            <w:r>
              <w:rPr>
                <w:rFonts w:ascii="Arial" w:cs="Arial" w:eastAsia="Arial" w:hAnsi="Arial"/>
                <w:sz w:val="18"/>
                <w:szCs w:val="18"/>
                <w:color w:val="auto"/>
                <w:w w:val="93"/>
              </w:rPr>
              <w:t>Six Months Ended</w:t>
            </w: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8"/>
                <w:szCs w:val="18"/>
                <w:color w:val="auto"/>
                <w:w w:val="89"/>
              </w:rPr>
              <w:t>June 30,</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548"/>
              <w:spacing w:after="0"/>
              <w:rPr>
                <w:sz w:val="20"/>
                <w:szCs w:val="20"/>
                <w:color w:val="auto"/>
              </w:rPr>
            </w:pPr>
            <w:r>
              <w:rPr>
                <w:rFonts w:ascii="Arial" w:cs="Arial" w:eastAsia="Arial" w:hAnsi="Arial"/>
                <w:sz w:val="18"/>
                <w:szCs w:val="18"/>
                <w:color w:val="auto"/>
                <w:w w:val="86"/>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6"/>
          </w:tcPr>
          <w:p>
            <w:pPr>
              <w:jc w:val="right"/>
              <w:ind w:right="680"/>
              <w:spacing w:after="0"/>
              <w:rPr>
                <w:sz w:val="20"/>
                <w:szCs w:val="20"/>
                <w:color w:val="auto"/>
              </w:rPr>
            </w:pPr>
            <w:r>
              <w:rPr>
                <w:rFonts w:ascii="Arial" w:cs="Arial" w:eastAsia="Arial" w:hAnsi="Arial"/>
                <w:sz w:val="18"/>
                <w:szCs w:val="18"/>
                <w:i w:val="1"/>
                <w:iCs w:val="1"/>
                <w:color w:val="auto"/>
              </w:rPr>
              <w:t>(Dollars in Thousands)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FF2FA"/>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38,169</w:t>
            </w:r>
          </w:p>
        </w:tc>
        <w:tc>
          <w:tcPr>
            <w:tcW w:w="320" w:type="dxa"/>
            <w:vAlign w:val="bottom"/>
            <w:tcBorders>
              <w:bottom w:val="single" w:sz="8" w:color="CFF2FA"/>
            </w:tcBorders>
            <w:shd w:val="clear" w:color="auto" w:fill="CFF2FA"/>
          </w:tcPr>
          <w:p>
            <w:pPr>
              <w:spacing w:after="0"/>
              <w:rPr>
                <w:sz w:val="19"/>
                <w:szCs w:val="19"/>
                <w:color w:val="auto"/>
              </w:rPr>
            </w:pPr>
          </w:p>
        </w:tc>
        <w:tc>
          <w:tcPr>
            <w:tcW w:w="260" w:type="dxa"/>
            <w:vAlign w:val="bottom"/>
            <w:tcBorders>
              <w:bottom w:val="single" w:sz="8" w:color="auto"/>
            </w:tcBorders>
            <w:shd w:val="clear" w:color="auto" w:fill="CFF2FA"/>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17,232</w:t>
            </w:r>
          </w:p>
        </w:tc>
        <w:tc>
          <w:tcPr>
            <w:tcW w:w="180" w:type="dxa"/>
            <w:vAlign w:val="bottom"/>
            <w:tcBorders>
              <w:bottom w:val="single" w:sz="8" w:color="CFF2FA"/>
            </w:tcBorders>
            <w:shd w:val="clear" w:color="auto" w:fill="CFF2FA"/>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2FA"/>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50,094</w:t>
            </w:r>
          </w:p>
        </w:tc>
        <w:tc>
          <w:tcPr>
            <w:tcW w:w="240" w:type="dxa"/>
            <w:vAlign w:val="bottom"/>
            <w:tcBorders>
              <w:bottom w:val="single" w:sz="8" w:color="CFF2FA"/>
            </w:tcBorders>
            <w:shd w:val="clear" w:color="auto" w:fill="CFF2FA"/>
          </w:tcPr>
          <w:p>
            <w:pPr>
              <w:spacing w:after="0"/>
              <w:rPr>
                <w:sz w:val="19"/>
                <w:szCs w:val="19"/>
                <w:color w:val="auto"/>
              </w:rPr>
            </w:pPr>
          </w:p>
        </w:tc>
        <w:tc>
          <w:tcPr>
            <w:tcW w:w="80" w:type="dxa"/>
            <w:vAlign w:val="bottom"/>
            <w:tcBorders>
              <w:bottom w:val="single" w:sz="8" w:color="CFF2FA"/>
            </w:tcBorders>
            <w:shd w:val="clear" w:color="auto" w:fill="CFF2FA"/>
          </w:tcPr>
          <w:p>
            <w:pPr>
              <w:spacing w:after="0"/>
              <w:rPr>
                <w:sz w:val="19"/>
                <w:szCs w:val="19"/>
                <w:color w:val="auto"/>
              </w:rPr>
            </w:pPr>
          </w:p>
        </w:tc>
        <w:tc>
          <w:tcPr>
            <w:tcW w:w="260" w:type="dxa"/>
            <w:vAlign w:val="bottom"/>
            <w:tcBorders>
              <w:bottom w:val="single" w:sz="8" w:color="auto"/>
            </w:tcBorders>
            <w:shd w:val="clear" w:color="auto" w:fill="CFF2FA"/>
          </w:tcPr>
          <w:p>
            <w:pPr>
              <w:jc w:val="right"/>
              <w:ind w:right="6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14,540</w:t>
            </w:r>
          </w:p>
        </w:tc>
        <w:tc>
          <w:tcPr>
            <w:tcW w:w="160" w:type="dxa"/>
            <w:vAlign w:val="bottom"/>
            <w:tcBorders>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720" w:type="dxa"/>
            <w:vAlign w:val="bottom"/>
            <w:tcBorders>
              <w:bottom w:val="single" w:sz="8" w:color="CFF2FA"/>
            </w:tcBorders>
            <w:vMerge w:val="continue"/>
          </w:tcPr>
          <w:p>
            <w:pPr>
              <w:spacing w:after="0"/>
              <w:rPr>
                <w:sz w:val="21"/>
                <w:szCs w:val="21"/>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285,420</w:t>
            </w:r>
          </w:p>
        </w:tc>
        <w:tc>
          <w:tcPr>
            <w:tcW w:w="320" w:type="dxa"/>
            <w:vAlign w:val="bottom"/>
            <w:tcBorders>
              <w:bottom w:val="single" w:sz="8" w:color="CFF2FA"/>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213,557</w:t>
            </w:r>
          </w:p>
        </w:tc>
        <w:tc>
          <w:tcPr>
            <w:tcW w:w="180" w:type="dxa"/>
            <w:vAlign w:val="bottom"/>
            <w:tcBorders>
              <w:bottom w:val="single" w:sz="8" w:color="CFF2FA"/>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488,348</w:t>
            </w:r>
          </w:p>
        </w:tc>
        <w:tc>
          <w:tcPr>
            <w:tcW w:w="240" w:type="dxa"/>
            <w:vAlign w:val="bottom"/>
            <w:tcBorders>
              <w:bottom w:val="single" w:sz="8" w:color="CFF2FA"/>
            </w:tcBorders>
          </w:tcPr>
          <w:p>
            <w:pPr>
              <w:spacing w:after="0"/>
              <w:rPr>
                <w:sz w:val="21"/>
                <w:szCs w:val="21"/>
                <w:color w:val="auto"/>
              </w:rPr>
            </w:pPr>
          </w:p>
        </w:tc>
        <w:tc>
          <w:tcPr>
            <w:tcW w:w="80" w:type="dxa"/>
            <w:vAlign w:val="bottom"/>
            <w:tcBorders>
              <w:bottom w:val="single" w:sz="8" w:color="CFF2FA"/>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68"/>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361,682</w:t>
            </w:r>
          </w:p>
        </w:tc>
        <w:tc>
          <w:tcPr>
            <w:tcW w:w="160" w:type="dxa"/>
            <w:vAlign w:val="bottom"/>
            <w:tcBorders>
              <w:bottom w:val="single" w:sz="8" w:color="CFF2FA"/>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72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Gross margin</w:t>
            </w:r>
          </w:p>
        </w:tc>
        <w:tc>
          <w:tcPr>
            <w:tcW w:w="240" w:type="dxa"/>
            <w:vAlign w:val="bottom"/>
            <w:shd w:val="clear" w:color="auto" w:fill="CFF2FA"/>
          </w:tcPr>
          <w:p>
            <w:pPr>
              <w:spacing w:after="0"/>
              <w:rPr>
                <w:sz w:val="17"/>
                <w:szCs w:val="17"/>
                <w:color w:val="auto"/>
              </w:rPr>
            </w:pPr>
          </w:p>
        </w:tc>
        <w:tc>
          <w:tcPr>
            <w:tcW w:w="1220" w:type="dxa"/>
            <w:vAlign w:val="bottom"/>
            <w:gridSpan w:val="2"/>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13.4%</w:t>
            </w:r>
          </w:p>
        </w:tc>
        <w:tc>
          <w:tcPr>
            <w:tcW w:w="26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8.1%</w:t>
            </w:r>
          </w:p>
        </w:tc>
        <w:tc>
          <w:tcPr>
            <w:tcW w:w="140" w:type="dxa"/>
            <w:vAlign w:val="bottom"/>
            <w:shd w:val="clear" w:color="auto" w:fill="CFF0FC"/>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140" w:type="dxa"/>
            <w:vAlign w:val="bottom"/>
            <w:gridSpan w:val="2"/>
            <w:shd w:val="clear" w:color="auto" w:fill="CFF2FA"/>
          </w:tcPr>
          <w:p>
            <w:pPr>
              <w:jc w:val="right"/>
              <w:ind w:right="80"/>
              <w:spacing w:after="0" w:line="205" w:lineRule="exact"/>
              <w:rPr>
                <w:sz w:val="20"/>
                <w:szCs w:val="20"/>
                <w:color w:val="auto"/>
              </w:rPr>
            </w:pPr>
            <w:r>
              <w:rPr>
                <w:rFonts w:ascii="Arial" w:cs="Arial" w:eastAsia="Arial" w:hAnsi="Arial"/>
                <w:sz w:val="18"/>
                <w:szCs w:val="18"/>
                <w:color w:val="auto"/>
              </w:rPr>
              <w:t>10.3%</w:t>
            </w:r>
          </w:p>
        </w:tc>
        <w:tc>
          <w:tcPr>
            <w:tcW w:w="80" w:type="dxa"/>
            <w:vAlign w:val="bottom"/>
            <w:shd w:val="clear" w:color="auto" w:fill="CFF2FA"/>
          </w:tcPr>
          <w:p>
            <w:pPr>
              <w:spacing w:after="0"/>
              <w:rPr>
                <w:sz w:val="17"/>
                <w:szCs w:val="17"/>
                <w:color w:val="auto"/>
              </w:rPr>
            </w:pPr>
          </w:p>
        </w:tc>
        <w:tc>
          <w:tcPr>
            <w:tcW w:w="26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720" w:type="dxa"/>
            <w:vAlign w:val="bottom"/>
            <w:tcBorders>
              <w:top w:val="single" w:sz="8" w:color="CFF2FA"/>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8500" w:type="dxa"/>
            <w:vAlign w:val="bottom"/>
            <w:gridSpan w:val="7"/>
          </w:tcPr>
          <w:p>
            <w:pPr>
              <w:spacing w:after="0"/>
              <w:rPr>
                <w:sz w:val="20"/>
                <w:szCs w:val="20"/>
                <w:color w:val="auto"/>
              </w:rPr>
            </w:pPr>
            <w:r>
              <w:rPr>
                <w:rFonts w:ascii="Arial" w:cs="Arial" w:eastAsia="Arial" w:hAnsi="Arial"/>
                <w:sz w:val="18"/>
                <w:szCs w:val="18"/>
                <w:b w:val="1"/>
                <w:bCs w:val="1"/>
                <w:color w:val="auto"/>
                <w:w w:val="98"/>
              </w:rPr>
              <w:t>Aggregates-Related Downstream Operations Gross Margin Excluding Freight and Delivery Revenues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5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center"/>
              <w:ind w:right="420"/>
              <w:spacing w:after="0"/>
              <w:rPr>
                <w:sz w:val="20"/>
                <w:szCs w:val="20"/>
                <w:color w:val="auto"/>
              </w:rPr>
            </w:pPr>
            <w:r>
              <w:rPr>
                <w:rFonts w:ascii="Arial" w:cs="Arial" w:eastAsia="Arial" w:hAnsi="Arial"/>
                <w:sz w:val="18"/>
                <w:szCs w:val="18"/>
                <w:color w:val="auto"/>
                <w:w w:val="93"/>
              </w:rPr>
              <w:t>Six Months Ended</w:t>
            </w: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8"/>
                <w:szCs w:val="18"/>
                <w:color w:val="auto"/>
                <w:w w:val="89"/>
              </w:rPr>
              <w:t>June 30,</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548"/>
              <w:spacing w:after="0"/>
              <w:rPr>
                <w:sz w:val="20"/>
                <w:szCs w:val="20"/>
                <w:color w:val="auto"/>
              </w:rPr>
            </w:pPr>
            <w:r>
              <w:rPr>
                <w:rFonts w:ascii="Arial" w:cs="Arial" w:eastAsia="Arial" w:hAnsi="Arial"/>
                <w:sz w:val="18"/>
                <w:szCs w:val="18"/>
                <w:color w:val="auto"/>
                <w:w w:val="86"/>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6"/>
          </w:tcPr>
          <w:p>
            <w:pPr>
              <w:jc w:val="right"/>
              <w:ind w:right="680"/>
              <w:spacing w:after="0"/>
              <w:rPr>
                <w:sz w:val="20"/>
                <w:szCs w:val="20"/>
                <w:color w:val="auto"/>
              </w:rPr>
            </w:pPr>
            <w:r>
              <w:rPr>
                <w:rFonts w:ascii="Arial" w:cs="Arial" w:eastAsia="Arial" w:hAnsi="Arial"/>
                <w:sz w:val="18"/>
                <w:szCs w:val="18"/>
                <w:i w:val="1"/>
                <w:iCs w:val="1"/>
                <w:color w:val="auto"/>
              </w:rPr>
              <w:t>(Dollars in Thousands)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FF2FA"/>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38,169</w:t>
            </w:r>
          </w:p>
        </w:tc>
        <w:tc>
          <w:tcPr>
            <w:tcW w:w="320" w:type="dxa"/>
            <w:vAlign w:val="bottom"/>
            <w:tcBorders>
              <w:bottom w:val="single" w:sz="8" w:color="CFF2FA"/>
            </w:tcBorders>
            <w:shd w:val="clear" w:color="auto" w:fill="CFF2FA"/>
          </w:tcPr>
          <w:p>
            <w:pPr>
              <w:spacing w:after="0"/>
              <w:rPr>
                <w:sz w:val="19"/>
                <w:szCs w:val="19"/>
                <w:color w:val="auto"/>
              </w:rPr>
            </w:pPr>
          </w:p>
        </w:tc>
        <w:tc>
          <w:tcPr>
            <w:tcW w:w="260" w:type="dxa"/>
            <w:vAlign w:val="bottom"/>
            <w:tcBorders>
              <w:bottom w:val="single" w:sz="8" w:color="auto"/>
            </w:tcBorders>
            <w:shd w:val="clear" w:color="auto" w:fill="CFF2FA"/>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17,232</w:t>
            </w:r>
          </w:p>
        </w:tc>
        <w:tc>
          <w:tcPr>
            <w:tcW w:w="180" w:type="dxa"/>
            <w:vAlign w:val="bottom"/>
            <w:tcBorders>
              <w:bottom w:val="single" w:sz="8" w:color="CFF2FA"/>
            </w:tcBorders>
            <w:shd w:val="clear" w:color="auto" w:fill="CFF2FA"/>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2FA"/>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50,094</w:t>
            </w:r>
          </w:p>
        </w:tc>
        <w:tc>
          <w:tcPr>
            <w:tcW w:w="240" w:type="dxa"/>
            <w:vAlign w:val="bottom"/>
            <w:tcBorders>
              <w:bottom w:val="single" w:sz="8" w:color="CFF2FA"/>
            </w:tcBorders>
            <w:shd w:val="clear" w:color="auto" w:fill="CFF2FA"/>
          </w:tcPr>
          <w:p>
            <w:pPr>
              <w:spacing w:after="0"/>
              <w:rPr>
                <w:sz w:val="19"/>
                <w:szCs w:val="19"/>
                <w:color w:val="auto"/>
              </w:rPr>
            </w:pPr>
          </w:p>
        </w:tc>
        <w:tc>
          <w:tcPr>
            <w:tcW w:w="80" w:type="dxa"/>
            <w:vAlign w:val="bottom"/>
            <w:tcBorders>
              <w:bottom w:val="single" w:sz="8" w:color="CFF2FA"/>
            </w:tcBorders>
            <w:shd w:val="clear" w:color="auto" w:fill="CFF2FA"/>
          </w:tcPr>
          <w:p>
            <w:pPr>
              <w:spacing w:after="0"/>
              <w:rPr>
                <w:sz w:val="19"/>
                <w:szCs w:val="19"/>
                <w:color w:val="auto"/>
              </w:rPr>
            </w:pPr>
          </w:p>
        </w:tc>
        <w:tc>
          <w:tcPr>
            <w:tcW w:w="260" w:type="dxa"/>
            <w:vAlign w:val="bottom"/>
            <w:tcBorders>
              <w:bottom w:val="single" w:sz="8" w:color="auto"/>
            </w:tcBorders>
            <w:shd w:val="clear" w:color="auto" w:fill="CFF2FA"/>
          </w:tcPr>
          <w:p>
            <w:pPr>
              <w:jc w:val="right"/>
              <w:ind w:right="6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14,540</w:t>
            </w:r>
          </w:p>
        </w:tc>
        <w:tc>
          <w:tcPr>
            <w:tcW w:w="160" w:type="dxa"/>
            <w:vAlign w:val="bottom"/>
            <w:tcBorders>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720" w:type="dxa"/>
            <w:vAlign w:val="bottom"/>
            <w:vMerge w:val="continue"/>
          </w:tcPr>
          <w:p>
            <w:pPr>
              <w:spacing w:after="0"/>
              <w:rPr>
                <w:sz w:val="17"/>
                <w:szCs w:val="17"/>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285,420</w:t>
            </w:r>
          </w:p>
        </w:tc>
        <w:tc>
          <w:tcPr>
            <w:tcW w:w="320" w:type="dxa"/>
            <w:vAlign w:val="bottom"/>
          </w:tcPr>
          <w:p>
            <w:pPr>
              <w:spacing w:after="0"/>
              <w:rPr>
                <w:sz w:val="17"/>
                <w:szCs w:val="17"/>
                <w:color w:val="auto"/>
              </w:rPr>
            </w:pPr>
          </w:p>
        </w:tc>
        <w:tc>
          <w:tcPr>
            <w:tcW w:w="2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213,557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jc w:val="right"/>
              <w:ind w:right="48"/>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488,348</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jc w:val="right"/>
              <w:ind w:right="68"/>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361,682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720" w:type="dxa"/>
            <w:vAlign w:val="bottom"/>
            <w:shd w:val="clear" w:color="auto" w:fill="CFF2FA"/>
          </w:tcPr>
          <w:p>
            <w:pPr>
              <w:spacing w:after="0"/>
              <w:rPr>
                <w:sz w:val="20"/>
                <w:szCs w:val="20"/>
                <w:color w:val="auto"/>
              </w:rPr>
            </w:pPr>
            <w:r>
              <w:rPr>
                <w:rFonts w:ascii="Arial" w:cs="Arial" w:eastAsia="Arial" w:hAnsi="Arial"/>
                <w:sz w:val="18"/>
                <w:szCs w:val="18"/>
                <w:color w:val="auto"/>
              </w:rPr>
              <w:t>Less: Freight and delivery revenues</w:t>
            </w:r>
          </w:p>
        </w:tc>
        <w:tc>
          <w:tcPr>
            <w:tcW w:w="24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260"/>
              <w:spacing w:after="0"/>
              <w:rPr>
                <w:sz w:val="20"/>
                <w:szCs w:val="20"/>
                <w:color w:val="auto"/>
              </w:rPr>
            </w:pPr>
            <w:r>
              <w:rPr>
                <w:rFonts w:ascii="Arial" w:cs="Arial" w:eastAsia="Arial" w:hAnsi="Arial"/>
                <w:sz w:val="18"/>
                <w:szCs w:val="18"/>
                <w:color w:val="auto"/>
              </w:rPr>
              <w:t>(4,924)</w:t>
            </w:r>
          </w:p>
        </w:tc>
        <w:tc>
          <w:tcPr>
            <w:tcW w:w="260" w:type="dxa"/>
            <w:vAlign w:val="bottom"/>
            <w:shd w:val="clear" w:color="auto" w:fill="CFF2FA"/>
          </w:tcPr>
          <w:p>
            <w:pPr>
              <w:spacing w:after="0"/>
              <w:rPr>
                <w:sz w:val="19"/>
                <w:szCs w:val="19"/>
                <w:color w:val="auto"/>
              </w:rPr>
            </w:pPr>
          </w:p>
        </w:tc>
        <w:tc>
          <w:tcPr>
            <w:tcW w:w="1060" w:type="dxa"/>
            <w:vAlign w:val="bottom"/>
            <w:gridSpan w:val="2"/>
            <w:shd w:val="clear" w:color="auto" w:fill="CFF2FA"/>
          </w:tcPr>
          <w:p>
            <w:pPr>
              <w:jc w:val="right"/>
              <w:ind w:right="120"/>
              <w:spacing w:after="0"/>
              <w:rPr>
                <w:sz w:val="20"/>
                <w:szCs w:val="20"/>
                <w:color w:val="auto"/>
              </w:rPr>
            </w:pPr>
            <w:r>
              <w:rPr>
                <w:rFonts w:ascii="Arial" w:cs="Arial" w:eastAsia="Arial" w:hAnsi="Arial"/>
                <w:sz w:val="18"/>
                <w:szCs w:val="18"/>
                <w:color w:val="auto"/>
              </w:rPr>
              <w:t>(5,786)</w:t>
            </w:r>
          </w:p>
        </w:tc>
        <w:tc>
          <w:tcPr>
            <w:tcW w:w="140" w:type="dxa"/>
            <w:vAlign w:val="bottom"/>
            <w:shd w:val="clear" w:color="auto" w:fill="CFF0FC"/>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180"/>
              <w:spacing w:after="0"/>
              <w:rPr>
                <w:sz w:val="20"/>
                <w:szCs w:val="20"/>
                <w:color w:val="auto"/>
              </w:rPr>
            </w:pPr>
            <w:r>
              <w:rPr>
                <w:rFonts w:ascii="Arial" w:cs="Arial" w:eastAsia="Arial" w:hAnsi="Arial"/>
                <w:sz w:val="18"/>
                <w:szCs w:val="18"/>
                <w:color w:val="auto"/>
              </w:rPr>
              <w:t>(9,708)</w:t>
            </w:r>
          </w:p>
        </w:tc>
        <w:tc>
          <w:tcPr>
            <w:tcW w:w="80" w:type="dxa"/>
            <w:vAlign w:val="bottom"/>
            <w:shd w:val="clear" w:color="auto" w:fill="CFF2FA"/>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106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(9,569)</w:t>
            </w:r>
          </w:p>
        </w:tc>
        <w:tc>
          <w:tcPr>
            <w:tcW w:w="0" w:type="dxa"/>
            <w:vAlign w:val="bottom"/>
          </w:tcPr>
          <w:p>
            <w:pPr>
              <w:spacing w:after="0"/>
              <w:rPr>
                <w:sz w:val="1"/>
                <w:szCs w:val="1"/>
                <w:color w:val="auto"/>
              </w:rPr>
            </w:pPr>
          </w:p>
        </w:tc>
      </w:tr>
      <w:tr>
        <w:trPr>
          <w:trHeight w:val="260"/>
        </w:trPr>
        <w:tc>
          <w:tcPr>
            <w:tcW w:w="572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280,496</w:t>
            </w:r>
          </w:p>
        </w:tc>
        <w:tc>
          <w:tcPr>
            <w:tcW w:w="320" w:type="dxa"/>
            <w:vAlign w:val="bottom"/>
            <w:tcBorders>
              <w:bottom w:val="single" w:sz="8" w:color="CFF2FA"/>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207,771</w:t>
            </w:r>
          </w:p>
        </w:tc>
        <w:tc>
          <w:tcPr>
            <w:tcW w:w="180" w:type="dxa"/>
            <w:vAlign w:val="bottom"/>
            <w:tcBorders>
              <w:bottom w:val="single" w:sz="8" w:color="CFF2FA"/>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478,640</w:t>
            </w:r>
          </w:p>
        </w:tc>
        <w:tc>
          <w:tcPr>
            <w:tcW w:w="240" w:type="dxa"/>
            <w:vAlign w:val="bottom"/>
            <w:tcBorders>
              <w:bottom w:val="single" w:sz="8" w:color="CFF2FA"/>
            </w:tcBorders>
          </w:tcPr>
          <w:p>
            <w:pPr>
              <w:spacing w:after="0"/>
              <w:rPr>
                <w:sz w:val="22"/>
                <w:szCs w:val="22"/>
                <w:color w:val="auto"/>
              </w:rPr>
            </w:pPr>
          </w:p>
        </w:tc>
        <w:tc>
          <w:tcPr>
            <w:tcW w:w="80" w:type="dxa"/>
            <w:vAlign w:val="bottom"/>
            <w:tcBorders>
              <w:bottom w:val="single" w:sz="8" w:color="CFF2FA"/>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352,113</w:t>
            </w:r>
          </w:p>
        </w:tc>
        <w:tc>
          <w:tcPr>
            <w:tcW w:w="16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72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Gross margin excluding freight and delivery revenues</w:t>
            </w:r>
          </w:p>
        </w:tc>
        <w:tc>
          <w:tcPr>
            <w:tcW w:w="240" w:type="dxa"/>
            <w:vAlign w:val="bottom"/>
            <w:shd w:val="clear" w:color="auto" w:fill="CFF2FA"/>
          </w:tcPr>
          <w:p>
            <w:pPr>
              <w:spacing w:after="0"/>
              <w:rPr>
                <w:sz w:val="17"/>
                <w:szCs w:val="17"/>
                <w:color w:val="auto"/>
              </w:rPr>
            </w:pPr>
          </w:p>
        </w:tc>
        <w:tc>
          <w:tcPr>
            <w:tcW w:w="1220" w:type="dxa"/>
            <w:vAlign w:val="bottom"/>
            <w:gridSpan w:val="2"/>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13.6%</w:t>
            </w:r>
          </w:p>
        </w:tc>
        <w:tc>
          <w:tcPr>
            <w:tcW w:w="26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8.3%</w:t>
            </w:r>
          </w:p>
        </w:tc>
        <w:tc>
          <w:tcPr>
            <w:tcW w:w="140" w:type="dxa"/>
            <w:vAlign w:val="bottom"/>
            <w:shd w:val="clear" w:color="auto" w:fill="CFF0FC"/>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140" w:type="dxa"/>
            <w:vAlign w:val="bottom"/>
            <w:gridSpan w:val="2"/>
            <w:shd w:val="clear" w:color="auto" w:fill="CFF2FA"/>
          </w:tcPr>
          <w:p>
            <w:pPr>
              <w:jc w:val="right"/>
              <w:ind w:right="80"/>
              <w:spacing w:after="0" w:line="205" w:lineRule="exact"/>
              <w:rPr>
                <w:sz w:val="20"/>
                <w:szCs w:val="20"/>
                <w:color w:val="auto"/>
              </w:rPr>
            </w:pPr>
            <w:r>
              <w:rPr>
                <w:rFonts w:ascii="Arial" w:cs="Arial" w:eastAsia="Arial" w:hAnsi="Arial"/>
                <w:sz w:val="18"/>
                <w:szCs w:val="18"/>
                <w:color w:val="auto"/>
              </w:rPr>
              <w:t>10.5%</w:t>
            </w:r>
          </w:p>
        </w:tc>
        <w:tc>
          <w:tcPr>
            <w:tcW w:w="80" w:type="dxa"/>
            <w:vAlign w:val="bottom"/>
            <w:shd w:val="clear" w:color="auto" w:fill="CFF2FA"/>
          </w:tcPr>
          <w:p>
            <w:pPr>
              <w:spacing w:after="0"/>
              <w:rPr>
                <w:sz w:val="17"/>
                <w:szCs w:val="17"/>
                <w:color w:val="auto"/>
              </w:rPr>
            </w:pPr>
          </w:p>
        </w:tc>
        <w:tc>
          <w:tcPr>
            <w:tcW w:w="26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720" w:type="dxa"/>
            <w:vAlign w:val="bottom"/>
            <w:tcBorders>
              <w:top w:val="single" w:sz="8" w:color="CFF2FA"/>
              <w:bottom w:val="single" w:sz="8" w:color="CFF2FA"/>
            </w:tcBorders>
            <w:vMerge w:val="restart"/>
          </w:tcPr>
          <w:p>
            <w:pPr>
              <w:spacing w:after="0"/>
              <w:rPr>
                <w:sz w:val="20"/>
                <w:szCs w:val="20"/>
                <w:color w:val="auto"/>
              </w:rPr>
            </w:pPr>
            <w:r>
              <w:rPr>
                <w:rFonts w:ascii="Arial" w:cs="Arial" w:eastAsia="Arial" w:hAnsi="Arial"/>
                <w:sz w:val="18"/>
                <w:szCs w:val="18"/>
                <w:b w:val="1"/>
                <w:bCs w:val="1"/>
                <w:color w:val="auto"/>
              </w:rPr>
              <w:t>Cement Business Gross Margin in Accordance with GAAP</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5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vMerge w:val="restart"/>
          </w:tcPr>
          <w:p>
            <w:pPr>
              <w:jc w:val="center"/>
              <w:ind w:right="42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vMerge w:val="restart"/>
          </w:tcPr>
          <w:p>
            <w:pPr>
              <w:jc w:val="center"/>
              <w:ind w:right="420"/>
              <w:spacing w:after="0"/>
              <w:rPr>
                <w:sz w:val="20"/>
                <w:szCs w:val="20"/>
                <w:color w:val="auto"/>
              </w:rPr>
            </w:pPr>
            <w:r>
              <w:rPr>
                <w:rFonts w:ascii="Arial" w:cs="Arial" w:eastAsia="Arial" w:hAnsi="Arial"/>
                <w:sz w:val="18"/>
                <w:szCs w:val="18"/>
                <w:color w:val="auto"/>
                <w:w w:val="93"/>
              </w:rPr>
              <w:t>Six Months Ended</w:t>
            </w:r>
          </w:p>
        </w:tc>
        <w:tc>
          <w:tcPr>
            <w:tcW w:w="0" w:type="dxa"/>
            <w:vAlign w:val="bottom"/>
          </w:tcPr>
          <w:p>
            <w:pPr>
              <w:spacing w:after="0"/>
              <w:rPr>
                <w:sz w:val="1"/>
                <w:szCs w:val="1"/>
                <w:color w:val="auto"/>
              </w:rPr>
            </w:pPr>
          </w:p>
        </w:tc>
      </w:tr>
      <w:tr>
        <w:trPr>
          <w:trHeight w:val="219"/>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4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4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8"/>
                <w:szCs w:val="18"/>
                <w:color w:val="auto"/>
                <w:w w:val="89"/>
              </w:rPr>
              <w:t>June 30,</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548"/>
              <w:spacing w:after="0"/>
              <w:rPr>
                <w:sz w:val="20"/>
                <w:szCs w:val="20"/>
                <w:color w:val="auto"/>
              </w:rPr>
            </w:pPr>
            <w:r>
              <w:rPr>
                <w:rFonts w:ascii="Arial" w:cs="Arial" w:eastAsia="Arial" w:hAnsi="Arial"/>
                <w:sz w:val="18"/>
                <w:szCs w:val="18"/>
                <w:color w:val="auto"/>
                <w:w w:val="86"/>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6"/>
          </w:tcPr>
          <w:p>
            <w:pPr>
              <w:jc w:val="right"/>
              <w:ind w:right="680"/>
              <w:spacing w:after="0"/>
              <w:rPr>
                <w:sz w:val="20"/>
                <w:szCs w:val="20"/>
                <w:color w:val="auto"/>
              </w:rPr>
            </w:pPr>
            <w:r>
              <w:rPr>
                <w:rFonts w:ascii="Arial" w:cs="Arial" w:eastAsia="Arial" w:hAnsi="Arial"/>
                <w:sz w:val="18"/>
                <w:szCs w:val="18"/>
                <w:i w:val="1"/>
                <w:iCs w:val="1"/>
                <w:color w:val="auto"/>
              </w:rPr>
              <w:t>(Dollars in Thousands)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FF2FA"/>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24,002</w:t>
            </w:r>
          </w:p>
        </w:tc>
        <w:tc>
          <w:tcPr>
            <w:tcW w:w="320" w:type="dxa"/>
            <w:vAlign w:val="bottom"/>
            <w:tcBorders>
              <w:bottom w:val="single" w:sz="8" w:color="CFF2FA"/>
            </w:tcBorders>
            <w:shd w:val="clear" w:color="auto" w:fill="CFF2FA"/>
          </w:tcPr>
          <w:p>
            <w:pPr>
              <w:spacing w:after="0"/>
              <w:rPr>
                <w:sz w:val="19"/>
                <w:szCs w:val="19"/>
                <w:color w:val="auto"/>
              </w:rPr>
            </w:pPr>
          </w:p>
        </w:tc>
        <w:tc>
          <w:tcPr>
            <w:tcW w:w="260" w:type="dxa"/>
            <w:vAlign w:val="bottom"/>
            <w:tcBorders>
              <w:bottom w:val="single" w:sz="8" w:color="auto"/>
            </w:tcBorders>
            <w:shd w:val="clear" w:color="auto" w:fill="CFF2FA"/>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30,414</w:t>
            </w:r>
          </w:p>
        </w:tc>
        <w:tc>
          <w:tcPr>
            <w:tcW w:w="180" w:type="dxa"/>
            <w:vAlign w:val="bottom"/>
            <w:tcBorders>
              <w:bottom w:val="single" w:sz="8" w:color="CFF2FA"/>
            </w:tcBorders>
            <w:shd w:val="clear" w:color="auto" w:fill="CFF2FA"/>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2FA"/>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56,559</w:t>
            </w:r>
          </w:p>
        </w:tc>
        <w:tc>
          <w:tcPr>
            <w:tcW w:w="240" w:type="dxa"/>
            <w:vAlign w:val="bottom"/>
            <w:tcBorders>
              <w:bottom w:val="single" w:sz="8" w:color="CFF2FA"/>
            </w:tcBorders>
            <w:shd w:val="clear" w:color="auto" w:fill="CFF2FA"/>
          </w:tcPr>
          <w:p>
            <w:pPr>
              <w:spacing w:after="0"/>
              <w:rPr>
                <w:sz w:val="19"/>
                <w:szCs w:val="19"/>
                <w:color w:val="auto"/>
              </w:rPr>
            </w:pPr>
          </w:p>
        </w:tc>
        <w:tc>
          <w:tcPr>
            <w:tcW w:w="80" w:type="dxa"/>
            <w:vAlign w:val="bottom"/>
            <w:tcBorders>
              <w:bottom w:val="single" w:sz="8" w:color="CFF2FA"/>
            </w:tcBorders>
            <w:shd w:val="clear" w:color="auto" w:fill="CFF2FA"/>
          </w:tcPr>
          <w:p>
            <w:pPr>
              <w:spacing w:after="0"/>
              <w:rPr>
                <w:sz w:val="19"/>
                <w:szCs w:val="19"/>
                <w:color w:val="auto"/>
              </w:rPr>
            </w:pPr>
          </w:p>
        </w:tc>
        <w:tc>
          <w:tcPr>
            <w:tcW w:w="260" w:type="dxa"/>
            <w:vAlign w:val="bottom"/>
            <w:tcBorders>
              <w:bottom w:val="single" w:sz="8" w:color="auto"/>
            </w:tcBorders>
            <w:shd w:val="clear" w:color="auto" w:fill="CFF2FA"/>
          </w:tcPr>
          <w:p>
            <w:pPr>
              <w:jc w:val="right"/>
              <w:ind w:right="6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49,400</w:t>
            </w:r>
          </w:p>
        </w:tc>
        <w:tc>
          <w:tcPr>
            <w:tcW w:w="160" w:type="dxa"/>
            <w:vAlign w:val="bottom"/>
            <w:tcBorders>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720" w:type="dxa"/>
            <w:vAlign w:val="bottom"/>
            <w:tcBorders>
              <w:bottom w:val="single" w:sz="8" w:color="CFF2FA"/>
            </w:tcBorders>
            <w:vMerge w:val="continue"/>
          </w:tcPr>
          <w:p>
            <w:pPr>
              <w:spacing w:after="0"/>
              <w:rPr>
                <w:sz w:val="21"/>
                <w:szCs w:val="21"/>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62,468</w:t>
            </w:r>
          </w:p>
        </w:tc>
        <w:tc>
          <w:tcPr>
            <w:tcW w:w="320" w:type="dxa"/>
            <w:vAlign w:val="bottom"/>
            <w:tcBorders>
              <w:bottom w:val="single" w:sz="8" w:color="CFF2FA"/>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105,899</w:t>
            </w:r>
          </w:p>
        </w:tc>
        <w:tc>
          <w:tcPr>
            <w:tcW w:w="180" w:type="dxa"/>
            <w:vAlign w:val="bottom"/>
            <w:tcBorders>
              <w:bottom w:val="single" w:sz="8" w:color="CFF2FA"/>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136,019</w:t>
            </w:r>
          </w:p>
        </w:tc>
        <w:tc>
          <w:tcPr>
            <w:tcW w:w="240" w:type="dxa"/>
            <w:vAlign w:val="bottom"/>
            <w:tcBorders>
              <w:bottom w:val="single" w:sz="8" w:color="CFF2FA"/>
            </w:tcBorders>
          </w:tcPr>
          <w:p>
            <w:pPr>
              <w:spacing w:after="0"/>
              <w:rPr>
                <w:sz w:val="21"/>
                <w:szCs w:val="21"/>
                <w:color w:val="auto"/>
              </w:rPr>
            </w:pPr>
          </w:p>
        </w:tc>
        <w:tc>
          <w:tcPr>
            <w:tcW w:w="80" w:type="dxa"/>
            <w:vAlign w:val="bottom"/>
            <w:tcBorders>
              <w:bottom w:val="single" w:sz="8" w:color="CFF2FA"/>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68"/>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207,999</w:t>
            </w:r>
          </w:p>
        </w:tc>
        <w:tc>
          <w:tcPr>
            <w:tcW w:w="160" w:type="dxa"/>
            <w:vAlign w:val="bottom"/>
            <w:tcBorders>
              <w:bottom w:val="single" w:sz="8" w:color="CFF2FA"/>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72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Gross margin</w:t>
            </w:r>
          </w:p>
        </w:tc>
        <w:tc>
          <w:tcPr>
            <w:tcW w:w="240" w:type="dxa"/>
            <w:vAlign w:val="bottom"/>
            <w:shd w:val="clear" w:color="auto" w:fill="CFF2FA"/>
          </w:tcPr>
          <w:p>
            <w:pPr>
              <w:spacing w:after="0"/>
              <w:rPr>
                <w:sz w:val="17"/>
                <w:szCs w:val="17"/>
                <w:color w:val="auto"/>
              </w:rPr>
            </w:pPr>
          </w:p>
        </w:tc>
        <w:tc>
          <w:tcPr>
            <w:tcW w:w="1220" w:type="dxa"/>
            <w:vAlign w:val="bottom"/>
            <w:gridSpan w:val="2"/>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38.4%</w:t>
            </w:r>
          </w:p>
        </w:tc>
        <w:tc>
          <w:tcPr>
            <w:tcW w:w="26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28.7%</w:t>
            </w:r>
          </w:p>
        </w:tc>
        <w:tc>
          <w:tcPr>
            <w:tcW w:w="140" w:type="dxa"/>
            <w:vAlign w:val="bottom"/>
            <w:shd w:val="clear" w:color="auto" w:fill="CFF0FC"/>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140" w:type="dxa"/>
            <w:vAlign w:val="bottom"/>
            <w:gridSpan w:val="2"/>
            <w:shd w:val="clear" w:color="auto" w:fill="CFF2FA"/>
          </w:tcPr>
          <w:p>
            <w:pPr>
              <w:jc w:val="right"/>
              <w:ind w:right="80"/>
              <w:spacing w:after="0" w:line="205" w:lineRule="exact"/>
              <w:rPr>
                <w:sz w:val="20"/>
                <w:szCs w:val="20"/>
                <w:color w:val="auto"/>
              </w:rPr>
            </w:pPr>
            <w:r>
              <w:rPr>
                <w:rFonts w:ascii="Arial" w:cs="Arial" w:eastAsia="Arial" w:hAnsi="Arial"/>
                <w:sz w:val="18"/>
                <w:szCs w:val="18"/>
                <w:color w:val="auto"/>
              </w:rPr>
              <w:t>41.6%</w:t>
            </w:r>
          </w:p>
        </w:tc>
        <w:tc>
          <w:tcPr>
            <w:tcW w:w="80" w:type="dxa"/>
            <w:vAlign w:val="bottom"/>
            <w:shd w:val="clear" w:color="auto" w:fill="CFF2FA"/>
          </w:tcPr>
          <w:p>
            <w:pPr>
              <w:spacing w:after="0"/>
              <w:rPr>
                <w:sz w:val="17"/>
                <w:szCs w:val="17"/>
                <w:color w:val="auto"/>
              </w:rPr>
            </w:pPr>
          </w:p>
        </w:tc>
        <w:tc>
          <w:tcPr>
            <w:tcW w:w="26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5720" w:type="dxa"/>
            <w:vAlign w:val="bottom"/>
            <w:tcBorders>
              <w:top w:val="single" w:sz="8" w:color="CFF2FA"/>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w w:val="94"/>
              </w:rPr>
              <w:t>Cement Business Gross Margin Excluding Freight and Delivery Revenues</w:t>
            </w:r>
          </w:p>
        </w:tc>
        <w:tc>
          <w:tcPr>
            <w:tcW w:w="2540" w:type="dxa"/>
            <w:vAlign w:val="bottom"/>
            <w:gridSpan w:val="5"/>
            <w:vMerge w:val="restart"/>
          </w:tcPr>
          <w:p>
            <w:pPr>
              <w:jc w:val="center"/>
              <w:ind w:right="42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6"/>
            <w:vMerge w:val="restart"/>
          </w:tcPr>
          <w:p>
            <w:pPr>
              <w:jc w:val="center"/>
              <w:ind w:right="420"/>
              <w:spacing w:after="0"/>
              <w:rPr>
                <w:sz w:val="20"/>
                <w:szCs w:val="20"/>
                <w:color w:val="auto"/>
              </w:rPr>
            </w:pPr>
            <w:r>
              <w:rPr>
                <w:rFonts w:ascii="Arial" w:cs="Arial" w:eastAsia="Arial" w:hAnsi="Arial"/>
                <w:sz w:val="18"/>
                <w:szCs w:val="18"/>
                <w:color w:val="auto"/>
                <w:w w:val="93"/>
              </w:rPr>
              <w:t>Six Months Ended</w:t>
            </w:r>
          </w:p>
        </w:tc>
        <w:tc>
          <w:tcPr>
            <w:tcW w:w="0" w:type="dxa"/>
            <w:vAlign w:val="bottom"/>
          </w:tcPr>
          <w:p>
            <w:pPr>
              <w:spacing w:after="0"/>
              <w:rPr>
                <w:sz w:val="1"/>
                <w:szCs w:val="1"/>
                <w:color w:val="auto"/>
              </w:rPr>
            </w:pPr>
          </w:p>
        </w:tc>
      </w:tr>
      <w:tr>
        <w:trPr>
          <w:trHeight w:val="219"/>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4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4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8"/>
                <w:szCs w:val="18"/>
                <w:color w:val="auto"/>
                <w:w w:val="89"/>
              </w:rPr>
              <w:t>June 30,</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548"/>
              <w:spacing w:after="0"/>
              <w:rPr>
                <w:sz w:val="20"/>
                <w:szCs w:val="20"/>
                <w:color w:val="auto"/>
              </w:rPr>
            </w:pPr>
            <w:r>
              <w:rPr>
                <w:rFonts w:ascii="Arial" w:cs="Arial" w:eastAsia="Arial" w:hAnsi="Arial"/>
                <w:sz w:val="18"/>
                <w:szCs w:val="18"/>
                <w:color w:val="auto"/>
                <w:w w:val="86"/>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6"/>
          </w:tcPr>
          <w:p>
            <w:pPr>
              <w:jc w:val="right"/>
              <w:ind w:right="680"/>
              <w:spacing w:after="0"/>
              <w:rPr>
                <w:sz w:val="20"/>
                <w:szCs w:val="20"/>
                <w:color w:val="auto"/>
              </w:rPr>
            </w:pPr>
            <w:r>
              <w:rPr>
                <w:rFonts w:ascii="Arial" w:cs="Arial" w:eastAsia="Arial" w:hAnsi="Arial"/>
                <w:sz w:val="18"/>
                <w:szCs w:val="18"/>
                <w:i w:val="1"/>
                <w:iCs w:val="1"/>
                <w:color w:val="auto"/>
              </w:rPr>
              <w:t>(Dollars in Thousands)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FF2FA"/>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24,002</w:t>
            </w:r>
          </w:p>
        </w:tc>
        <w:tc>
          <w:tcPr>
            <w:tcW w:w="320" w:type="dxa"/>
            <w:vAlign w:val="bottom"/>
            <w:tcBorders>
              <w:bottom w:val="single" w:sz="8" w:color="CFF2FA"/>
            </w:tcBorders>
            <w:shd w:val="clear" w:color="auto" w:fill="CFF2FA"/>
          </w:tcPr>
          <w:p>
            <w:pPr>
              <w:spacing w:after="0"/>
              <w:rPr>
                <w:sz w:val="19"/>
                <w:szCs w:val="19"/>
                <w:color w:val="auto"/>
              </w:rPr>
            </w:pPr>
          </w:p>
        </w:tc>
        <w:tc>
          <w:tcPr>
            <w:tcW w:w="260" w:type="dxa"/>
            <w:vAlign w:val="bottom"/>
            <w:tcBorders>
              <w:bottom w:val="single" w:sz="8" w:color="auto"/>
            </w:tcBorders>
            <w:shd w:val="clear" w:color="auto" w:fill="CFF2FA"/>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30,414</w:t>
            </w:r>
          </w:p>
        </w:tc>
        <w:tc>
          <w:tcPr>
            <w:tcW w:w="180" w:type="dxa"/>
            <w:vAlign w:val="bottom"/>
            <w:tcBorders>
              <w:bottom w:val="single" w:sz="8" w:color="CFF2FA"/>
            </w:tcBorders>
            <w:shd w:val="clear" w:color="auto" w:fill="CFF2FA"/>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2FA"/>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56,559</w:t>
            </w:r>
          </w:p>
        </w:tc>
        <w:tc>
          <w:tcPr>
            <w:tcW w:w="240" w:type="dxa"/>
            <w:vAlign w:val="bottom"/>
            <w:tcBorders>
              <w:bottom w:val="single" w:sz="8" w:color="CFF2FA"/>
            </w:tcBorders>
            <w:shd w:val="clear" w:color="auto" w:fill="CFF2FA"/>
          </w:tcPr>
          <w:p>
            <w:pPr>
              <w:spacing w:after="0"/>
              <w:rPr>
                <w:sz w:val="19"/>
                <w:szCs w:val="19"/>
                <w:color w:val="auto"/>
              </w:rPr>
            </w:pPr>
          </w:p>
        </w:tc>
        <w:tc>
          <w:tcPr>
            <w:tcW w:w="80" w:type="dxa"/>
            <w:vAlign w:val="bottom"/>
            <w:tcBorders>
              <w:bottom w:val="single" w:sz="8" w:color="CFF2FA"/>
            </w:tcBorders>
            <w:shd w:val="clear" w:color="auto" w:fill="CFF2FA"/>
          </w:tcPr>
          <w:p>
            <w:pPr>
              <w:spacing w:after="0"/>
              <w:rPr>
                <w:sz w:val="19"/>
                <w:szCs w:val="19"/>
                <w:color w:val="auto"/>
              </w:rPr>
            </w:pPr>
          </w:p>
        </w:tc>
        <w:tc>
          <w:tcPr>
            <w:tcW w:w="260" w:type="dxa"/>
            <w:vAlign w:val="bottom"/>
            <w:tcBorders>
              <w:bottom w:val="single" w:sz="8" w:color="auto"/>
            </w:tcBorders>
            <w:shd w:val="clear" w:color="auto" w:fill="CFF2FA"/>
          </w:tcPr>
          <w:p>
            <w:pPr>
              <w:jc w:val="right"/>
              <w:ind w:right="6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49,400</w:t>
            </w:r>
          </w:p>
        </w:tc>
        <w:tc>
          <w:tcPr>
            <w:tcW w:w="160" w:type="dxa"/>
            <w:vAlign w:val="bottom"/>
            <w:tcBorders>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720" w:type="dxa"/>
            <w:vAlign w:val="bottom"/>
            <w:vMerge w:val="continue"/>
          </w:tcPr>
          <w:p>
            <w:pPr>
              <w:spacing w:after="0"/>
              <w:rPr>
                <w:sz w:val="17"/>
                <w:szCs w:val="17"/>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62,468</w:t>
            </w:r>
          </w:p>
        </w:tc>
        <w:tc>
          <w:tcPr>
            <w:tcW w:w="320" w:type="dxa"/>
            <w:vAlign w:val="bottom"/>
          </w:tcPr>
          <w:p>
            <w:pPr>
              <w:spacing w:after="0"/>
              <w:rPr>
                <w:sz w:val="17"/>
                <w:szCs w:val="17"/>
                <w:color w:val="auto"/>
              </w:rPr>
            </w:pPr>
          </w:p>
        </w:tc>
        <w:tc>
          <w:tcPr>
            <w:tcW w:w="2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105,899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jc w:val="right"/>
              <w:ind w:right="48"/>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136,019</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jc w:val="right"/>
              <w:ind w:right="68"/>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207,999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720" w:type="dxa"/>
            <w:vAlign w:val="bottom"/>
            <w:shd w:val="clear" w:color="auto" w:fill="CFF2FA"/>
          </w:tcPr>
          <w:p>
            <w:pPr>
              <w:spacing w:after="0"/>
              <w:rPr>
                <w:sz w:val="20"/>
                <w:szCs w:val="20"/>
                <w:color w:val="auto"/>
              </w:rPr>
            </w:pPr>
            <w:r>
              <w:rPr>
                <w:rFonts w:ascii="Arial" w:cs="Arial" w:eastAsia="Arial" w:hAnsi="Arial"/>
                <w:sz w:val="18"/>
                <w:szCs w:val="18"/>
                <w:color w:val="auto"/>
              </w:rPr>
              <w:t>Less: Freight and delivery revenues</w:t>
            </w:r>
          </w:p>
        </w:tc>
        <w:tc>
          <w:tcPr>
            <w:tcW w:w="24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260"/>
              <w:spacing w:after="0"/>
              <w:rPr>
                <w:sz w:val="20"/>
                <w:szCs w:val="20"/>
                <w:color w:val="auto"/>
              </w:rPr>
            </w:pPr>
            <w:r>
              <w:rPr>
                <w:rFonts w:ascii="Arial" w:cs="Arial" w:eastAsia="Arial" w:hAnsi="Arial"/>
                <w:sz w:val="18"/>
                <w:szCs w:val="18"/>
                <w:color w:val="auto"/>
              </w:rPr>
              <w:t>(2,677)</w:t>
            </w:r>
          </w:p>
        </w:tc>
        <w:tc>
          <w:tcPr>
            <w:tcW w:w="260" w:type="dxa"/>
            <w:vAlign w:val="bottom"/>
            <w:shd w:val="clear" w:color="auto" w:fill="CFF2FA"/>
          </w:tcPr>
          <w:p>
            <w:pPr>
              <w:spacing w:after="0"/>
              <w:rPr>
                <w:sz w:val="19"/>
                <w:szCs w:val="19"/>
                <w:color w:val="auto"/>
              </w:rPr>
            </w:pPr>
          </w:p>
        </w:tc>
        <w:tc>
          <w:tcPr>
            <w:tcW w:w="1060" w:type="dxa"/>
            <w:vAlign w:val="bottom"/>
            <w:gridSpan w:val="2"/>
            <w:shd w:val="clear" w:color="auto" w:fill="CFF2FA"/>
          </w:tcPr>
          <w:p>
            <w:pPr>
              <w:jc w:val="right"/>
              <w:ind w:right="120"/>
              <w:spacing w:after="0"/>
              <w:rPr>
                <w:sz w:val="20"/>
                <w:szCs w:val="20"/>
                <w:color w:val="auto"/>
              </w:rPr>
            </w:pPr>
            <w:r>
              <w:rPr>
                <w:rFonts w:ascii="Arial" w:cs="Arial" w:eastAsia="Arial" w:hAnsi="Arial"/>
                <w:sz w:val="18"/>
                <w:szCs w:val="18"/>
                <w:color w:val="auto"/>
              </w:rPr>
              <w:t>(5,494)</w:t>
            </w:r>
          </w:p>
        </w:tc>
        <w:tc>
          <w:tcPr>
            <w:tcW w:w="140" w:type="dxa"/>
            <w:vAlign w:val="bottom"/>
            <w:shd w:val="clear" w:color="auto" w:fill="CFF0FC"/>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180"/>
              <w:spacing w:after="0"/>
              <w:rPr>
                <w:sz w:val="20"/>
                <w:szCs w:val="20"/>
                <w:color w:val="auto"/>
              </w:rPr>
            </w:pPr>
            <w:r>
              <w:rPr>
                <w:rFonts w:ascii="Arial" w:cs="Arial" w:eastAsia="Arial" w:hAnsi="Arial"/>
                <w:sz w:val="18"/>
                <w:szCs w:val="18"/>
                <w:color w:val="auto"/>
              </w:rPr>
              <w:t>(6,355)</w:t>
            </w:r>
          </w:p>
        </w:tc>
        <w:tc>
          <w:tcPr>
            <w:tcW w:w="80" w:type="dxa"/>
            <w:vAlign w:val="bottom"/>
            <w:shd w:val="clear" w:color="auto" w:fill="CFF2FA"/>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106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60"/>
        </w:trPr>
        <w:tc>
          <w:tcPr>
            <w:tcW w:w="572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59,791</w:t>
            </w:r>
          </w:p>
        </w:tc>
        <w:tc>
          <w:tcPr>
            <w:tcW w:w="320" w:type="dxa"/>
            <w:vAlign w:val="bottom"/>
            <w:tcBorders>
              <w:bottom w:val="single" w:sz="8" w:color="CFF2FA"/>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100,405</w:t>
            </w:r>
          </w:p>
        </w:tc>
        <w:tc>
          <w:tcPr>
            <w:tcW w:w="180" w:type="dxa"/>
            <w:vAlign w:val="bottom"/>
            <w:tcBorders>
              <w:bottom w:val="single" w:sz="8" w:color="CFF2FA"/>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129,664</w:t>
            </w:r>
          </w:p>
        </w:tc>
        <w:tc>
          <w:tcPr>
            <w:tcW w:w="240" w:type="dxa"/>
            <w:vAlign w:val="bottom"/>
            <w:tcBorders>
              <w:bottom w:val="single" w:sz="8" w:color="CFF2FA"/>
            </w:tcBorders>
          </w:tcPr>
          <w:p>
            <w:pPr>
              <w:spacing w:after="0"/>
              <w:rPr>
                <w:sz w:val="22"/>
                <w:szCs w:val="22"/>
                <w:color w:val="auto"/>
              </w:rPr>
            </w:pPr>
          </w:p>
        </w:tc>
        <w:tc>
          <w:tcPr>
            <w:tcW w:w="80" w:type="dxa"/>
            <w:vAlign w:val="bottom"/>
            <w:tcBorders>
              <w:bottom w:val="single" w:sz="8" w:color="CFF2FA"/>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196,970</w:t>
            </w:r>
          </w:p>
        </w:tc>
        <w:tc>
          <w:tcPr>
            <w:tcW w:w="16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72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Gross margin excluding freight and delivery revenues</w:t>
            </w:r>
          </w:p>
        </w:tc>
        <w:tc>
          <w:tcPr>
            <w:tcW w:w="240" w:type="dxa"/>
            <w:vAlign w:val="bottom"/>
            <w:shd w:val="clear" w:color="auto" w:fill="CFF2FA"/>
          </w:tcPr>
          <w:p>
            <w:pPr>
              <w:spacing w:after="0"/>
              <w:rPr>
                <w:sz w:val="17"/>
                <w:szCs w:val="17"/>
                <w:color w:val="auto"/>
              </w:rPr>
            </w:pPr>
          </w:p>
        </w:tc>
        <w:tc>
          <w:tcPr>
            <w:tcW w:w="1220" w:type="dxa"/>
            <w:vAlign w:val="bottom"/>
            <w:gridSpan w:val="2"/>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40.1%</w:t>
            </w:r>
          </w:p>
        </w:tc>
        <w:tc>
          <w:tcPr>
            <w:tcW w:w="26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30.3%</w:t>
            </w:r>
          </w:p>
        </w:tc>
        <w:tc>
          <w:tcPr>
            <w:tcW w:w="140" w:type="dxa"/>
            <w:vAlign w:val="bottom"/>
            <w:shd w:val="clear" w:color="auto" w:fill="CFF0FC"/>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140" w:type="dxa"/>
            <w:vAlign w:val="bottom"/>
            <w:gridSpan w:val="2"/>
            <w:shd w:val="clear" w:color="auto" w:fill="CFF2FA"/>
          </w:tcPr>
          <w:p>
            <w:pPr>
              <w:jc w:val="right"/>
              <w:ind w:right="80"/>
              <w:spacing w:after="0" w:line="205" w:lineRule="exact"/>
              <w:rPr>
                <w:sz w:val="20"/>
                <w:szCs w:val="20"/>
                <w:color w:val="auto"/>
              </w:rPr>
            </w:pPr>
            <w:r>
              <w:rPr>
                <w:rFonts w:ascii="Arial" w:cs="Arial" w:eastAsia="Arial" w:hAnsi="Arial"/>
                <w:sz w:val="18"/>
                <w:szCs w:val="18"/>
                <w:color w:val="auto"/>
              </w:rPr>
              <w:t>43.6%</w:t>
            </w:r>
          </w:p>
        </w:tc>
        <w:tc>
          <w:tcPr>
            <w:tcW w:w="80" w:type="dxa"/>
            <w:vAlign w:val="bottom"/>
            <w:shd w:val="clear" w:color="auto" w:fill="CFF2FA"/>
          </w:tcPr>
          <w:p>
            <w:pPr>
              <w:spacing w:after="0"/>
              <w:rPr>
                <w:sz w:val="17"/>
                <w:szCs w:val="17"/>
                <w:color w:val="auto"/>
              </w:rPr>
            </w:pPr>
          </w:p>
        </w:tc>
        <w:tc>
          <w:tcPr>
            <w:tcW w:w="26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5720" w:type="dxa"/>
            <w:vAlign w:val="bottom"/>
            <w:tcBorders>
              <w:top w:val="single" w:sz="8" w:color="CFF2FA"/>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8500" w:type="dxa"/>
            <w:vAlign w:val="bottom"/>
            <w:gridSpan w:val="7"/>
          </w:tcPr>
          <w:p>
            <w:pPr>
              <w:spacing w:after="0"/>
              <w:rPr>
                <w:sz w:val="20"/>
                <w:szCs w:val="20"/>
                <w:color w:val="auto"/>
              </w:rPr>
            </w:pPr>
            <w:r>
              <w:rPr>
                <w:rFonts w:ascii="Arial" w:cs="Arial" w:eastAsia="Arial" w:hAnsi="Arial"/>
                <w:sz w:val="18"/>
                <w:szCs w:val="18"/>
                <w:b w:val="1"/>
                <w:bCs w:val="1"/>
                <w:color w:val="auto"/>
                <w:w w:val="98"/>
              </w:rPr>
              <w:t>Cement Business, Excluding California Cement Operations, Gross Margin in Accordance with GAAP</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center"/>
              <w:ind w:right="420"/>
              <w:spacing w:after="0"/>
              <w:rPr>
                <w:sz w:val="20"/>
                <w:szCs w:val="20"/>
                <w:color w:val="auto"/>
              </w:rPr>
            </w:pPr>
            <w:r>
              <w:rPr>
                <w:rFonts w:ascii="Arial" w:cs="Arial" w:eastAsia="Arial" w:hAnsi="Arial"/>
                <w:sz w:val="18"/>
                <w:szCs w:val="18"/>
                <w:color w:val="auto"/>
                <w:w w:val="93"/>
              </w:rPr>
              <w:t>Six Months Ended</w:t>
            </w: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8"/>
                <w:szCs w:val="18"/>
                <w:color w:val="auto"/>
                <w:w w:val="89"/>
              </w:rPr>
              <w:t>June 30,</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548"/>
              <w:spacing w:after="0"/>
              <w:rPr>
                <w:sz w:val="20"/>
                <w:szCs w:val="20"/>
                <w:color w:val="auto"/>
              </w:rPr>
            </w:pPr>
            <w:r>
              <w:rPr>
                <w:rFonts w:ascii="Arial" w:cs="Arial" w:eastAsia="Arial" w:hAnsi="Arial"/>
                <w:sz w:val="18"/>
                <w:szCs w:val="18"/>
                <w:color w:val="auto"/>
                <w:w w:val="86"/>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6"/>
          </w:tcPr>
          <w:p>
            <w:pPr>
              <w:jc w:val="right"/>
              <w:ind w:right="680"/>
              <w:spacing w:after="0"/>
              <w:rPr>
                <w:sz w:val="20"/>
                <w:szCs w:val="20"/>
                <w:color w:val="auto"/>
              </w:rPr>
            </w:pPr>
            <w:r>
              <w:rPr>
                <w:rFonts w:ascii="Arial" w:cs="Arial" w:eastAsia="Arial" w:hAnsi="Arial"/>
                <w:sz w:val="18"/>
                <w:szCs w:val="18"/>
                <w:i w:val="1"/>
                <w:iCs w:val="1"/>
                <w:color w:val="auto"/>
              </w:rPr>
              <w:t>(Dollars in Thousands)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FF2FA"/>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24,002</w:t>
            </w:r>
          </w:p>
        </w:tc>
        <w:tc>
          <w:tcPr>
            <w:tcW w:w="320" w:type="dxa"/>
            <w:vAlign w:val="bottom"/>
            <w:tcBorders>
              <w:bottom w:val="single" w:sz="8" w:color="CFF2FA"/>
            </w:tcBorders>
            <w:shd w:val="clear" w:color="auto" w:fill="CFF2FA"/>
          </w:tcPr>
          <w:p>
            <w:pPr>
              <w:spacing w:after="0"/>
              <w:rPr>
                <w:sz w:val="19"/>
                <w:szCs w:val="19"/>
                <w:color w:val="auto"/>
              </w:rPr>
            </w:pPr>
          </w:p>
        </w:tc>
        <w:tc>
          <w:tcPr>
            <w:tcW w:w="260" w:type="dxa"/>
            <w:vAlign w:val="bottom"/>
            <w:tcBorders>
              <w:bottom w:val="single" w:sz="8" w:color="auto"/>
            </w:tcBorders>
            <w:shd w:val="clear" w:color="auto" w:fill="CFF2FA"/>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26,990</w:t>
            </w:r>
          </w:p>
        </w:tc>
        <w:tc>
          <w:tcPr>
            <w:tcW w:w="180" w:type="dxa"/>
            <w:vAlign w:val="bottom"/>
            <w:tcBorders>
              <w:bottom w:val="single" w:sz="8" w:color="CFF2FA"/>
            </w:tcBorders>
            <w:shd w:val="clear" w:color="auto" w:fill="CFF2FA"/>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2FA"/>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56,559</w:t>
            </w:r>
          </w:p>
        </w:tc>
        <w:tc>
          <w:tcPr>
            <w:tcW w:w="240" w:type="dxa"/>
            <w:vAlign w:val="bottom"/>
            <w:tcBorders>
              <w:bottom w:val="single" w:sz="8" w:color="CFF2FA"/>
            </w:tcBorders>
            <w:shd w:val="clear" w:color="auto" w:fill="CFF2FA"/>
          </w:tcPr>
          <w:p>
            <w:pPr>
              <w:spacing w:after="0"/>
              <w:rPr>
                <w:sz w:val="19"/>
                <w:szCs w:val="19"/>
                <w:color w:val="auto"/>
              </w:rPr>
            </w:pPr>
          </w:p>
        </w:tc>
        <w:tc>
          <w:tcPr>
            <w:tcW w:w="80" w:type="dxa"/>
            <w:vAlign w:val="bottom"/>
            <w:tcBorders>
              <w:bottom w:val="single" w:sz="8" w:color="CFF2FA"/>
            </w:tcBorders>
            <w:shd w:val="clear" w:color="auto" w:fill="CFF2FA"/>
          </w:tcPr>
          <w:p>
            <w:pPr>
              <w:spacing w:after="0"/>
              <w:rPr>
                <w:sz w:val="19"/>
                <w:szCs w:val="19"/>
                <w:color w:val="auto"/>
              </w:rPr>
            </w:pPr>
          </w:p>
        </w:tc>
        <w:tc>
          <w:tcPr>
            <w:tcW w:w="260" w:type="dxa"/>
            <w:vAlign w:val="bottom"/>
            <w:tcBorders>
              <w:bottom w:val="single" w:sz="8" w:color="auto"/>
            </w:tcBorders>
            <w:shd w:val="clear" w:color="auto" w:fill="CFF2FA"/>
          </w:tcPr>
          <w:p>
            <w:pPr>
              <w:jc w:val="right"/>
              <w:ind w:right="6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50,047</w:t>
            </w:r>
          </w:p>
        </w:tc>
        <w:tc>
          <w:tcPr>
            <w:tcW w:w="160" w:type="dxa"/>
            <w:vAlign w:val="bottom"/>
            <w:tcBorders>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720" w:type="dxa"/>
            <w:vAlign w:val="bottom"/>
            <w:tcBorders>
              <w:bottom w:val="single" w:sz="8" w:color="CFF2FA"/>
            </w:tcBorders>
            <w:vMerge w:val="continue"/>
          </w:tcPr>
          <w:p>
            <w:pPr>
              <w:spacing w:after="0"/>
              <w:rPr>
                <w:sz w:val="21"/>
                <w:szCs w:val="21"/>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62,468</w:t>
            </w:r>
          </w:p>
        </w:tc>
        <w:tc>
          <w:tcPr>
            <w:tcW w:w="320" w:type="dxa"/>
            <w:vAlign w:val="bottom"/>
            <w:tcBorders>
              <w:bottom w:val="single" w:sz="8" w:color="CFF2FA"/>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70,580</w:t>
            </w:r>
          </w:p>
        </w:tc>
        <w:tc>
          <w:tcPr>
            <w:tcW w:w="180" w:type="dxa"/>
            <w:vAlign w:val="bottom"/>
            <w:tcBorders>
              <w:bottom w:val="single" w:sz="8" w:color="CFF2FA"/>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136,019</w:t>
            </w:r>
          </w:p>
        </w:tc>
        <w:tc>
          <w:tcPr>
            <w:tcW w:w="240" w:type="dxa"/>
            <w:vAlign w:val="bottom"/>
            <w:tcBorders>
              <w:bottom w:val="single" w:sz="8" w:color="CFF2FA"/>
            </w:tcBorders>
          </w:tcPr>
          <w:p>
            <w:pPr>
              <w:spacing w:after="0"/>
              <w:rPr>
                <w:sz w:val="21"/>
                <w:szCs w:val="21"/>
                <w:color w:val="auto"/>
              </w:rPr>
            </w:pPr>
          </w:p>
        </w:tc>
        <w:tc>
          <w:tcPr>
            <w:tcW w:w="80" w:type="dxa"/>
            <w:vAlign w:val="bottom"/>
            <w:tcBorders>
              <w:bottom w:val="single" w:sz="8" w:color="CFF2FA"/>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68"/>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138,325</w:t>
            </w:r>
          </w:p>
        </w:tc>
        <w:tc>
          <w:tcPr>
            <w:tcW w:w="160" w:type="dxa"/>
            <w:vAlign w:val="bottom"/>
            <w:tcBorders>
              <w:bottom w:val="single" w:sz="8" w:color="CFF2FA"/>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72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Gross margin</w:t>
            </w:r>
          </w:p>
        </w:tc>
        <w:tc>
          <w:tcPr>
            <w:tcW w:w="240" w:type="dxa"/>
            <w:vAlign w:val="bottom"/>
            <w:shd w:val="clear" w:color="auto" w:fill="CFF2FA"/>
          </w:tcPr>
          <w:p>
            <w:pPr>
              <w:spacing w:after="0"/>
              <w:rPr>
                <w:sz w:val="17"/>
                <w:szCs w:val="17"/>
                <w:color w:val="auto"/>
              </w:rPr>
            </w:pPr>
          </w:p>
        </w:tc>
        <w:tc>
          <w:tcPr>
            <w:tcW w:w="1220" w:type="dxa"/>
            <w:vAlign w:val="bottom"/>
            <w:gridSpan w:val="2"/>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38.4%</w:t>
            </w:r>
          </w:p>
        </w:tc>
        <w:tc>
          <w:tcPr>
            <w:tcW w:w="26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38.2%</w:t>
            </w:r>
          </w:p>
        </w:tc>
        <w:tc>
          <w:tcPr>
            <w:tcW w:w="140" w:type="dxa"/>
            <w:vAlign w:val="bottom"/>
            <w:shd w:val="clear" w:color="auto" w:fill="CFF0FC"/>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140" w:type="dxa"/>
            <w:vAlign w:val="bottom"/>
            <w:gridSpan w:val="2"/>
            <w:shd w:val="clear" w:color="auto" w:fill="CFF2FA"/>
          </w:tcPr>
          <w:p>
            <w:pPr>
              <w:jc w:val="right"/>
              <w:ind w:right="80"/>
              <w:spacing w:after="0" w:line="205" w:lineRule="exact"/>
              <w:rPr>
                <w:sz w:val="20"/>
                <w:szCs w:val="20"/>
                <w:color w:val="auto"/>
              </w:rPr>
            </w:pPr>
            <w:r>
              <w:rPr>
                <w:rFonts w:ascii="Arial" w:cs="Arial" w:eastAsia="Arial" w:hAnsi="Arial"/>
                <w:sz w:val="18"/>
                <w:szCs w:val="18"/>
                <w:color w:val="auto"/>
              </w:rPr>
              <w:t>41.6%</w:t>
            </w:r>
          </w:p>
        </w:tc>
        <w:tc>
          <w:tcPr>
            <w:tcW w:w="80" w:type="dxa"/>
            <w:vAlign w:val="bottom"/>
            <w:shd w:val="clear" w:color="auto" w:fill="CFF2FA"/>
          </w:tcPr>
          <w:p>
            <w:pPr>
              <w:spacing w:after="0"/>
              <w:rPr>
                <w:sz w:val="17"/>
                <w:szCs w:val="17"/>
                <w:color w:val="auto"/>
              </w:rPr>
            </w:pPr>
          </w:p>
        </w:tc>
        <w:tc>
          <w:tcPr>
            <w:tcW w:w="26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5720" w:type="dxa"/>
            <w:vAlign w:val="bottom"/>
            <w:tcBorders>
              <w:top w:val="single" w:sz="8" w:color="CFF2FA"/>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10020" w:type="dxa"/>
            <w:vAlign w:val="bottom"/>
            <w:gridSpan w:val="11"/>
          </w:tcPr>
          <w:p>
            <w:pPr>
              <w:spacing w:after="0"/>
              <w:rPr>
                <w:sz w:val="20"/>
                <w:szCs w:val="20"/>
                <w:color w:val="auto"/>
              </w:rPr>
            </w:pPr>
            <w:r>
              <w:rPr>
                <w:rFonts w:ascii="Arial" w:cs="Arial" w:eastAsia="Arial" w:hAnsi="Arial"/>
                <w:sz w:val="18"/>
                <w:szCs w:val="18"/>
                <w:b w:val="1"/>
                <w:bCs w:val="1"/>
                <w:color w:val="auto"/>
              </w:rPr>
              <w:t>Cement Business, Excluding California Cement Operations, Gross Margin Excluding Freight and Delivery Revenues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center"/>
              <w:ind w:right="420"/>
              <w:spacing w:after="0"/>
              <w:rPr>
                <w:sz w:val="20"/>
                <w:szCs w:val="20"/>
                <w:color w:val="auto"/>
              </w:rPr>
            </w:pPr>
            <w:r>
              <w:rPr>
                <w:rFonts w:ascii="Arial" w:cs="Arial" w:eastAsia="Arial" w:hAnsi="Arial"/>
                <w:sz w:val="18"/>
                <w:szCs w:val="18"/>
                <w:color w:val="auto"/>
                <w:w w:val="93"/>
              </w:rPr>
              <w:t>Six Months Ended</w:t>
            </w: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8"/>
                <w:szCs w:val="18"/>
                <w:color w:val="auto"/>
                <w:w w:val="89"/>
              </w:rPr>
              <w:t>June 30,</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548"/>
              <w:spacing w:after="0"/>
              <w:rPr>
                <w:sz w:val="20"/>
                <w:szCs w:val="20"/>
                <w:color w:val="auto"/>
              </w:rPr>
            </w:pPr>
            <w:r>
              <w:rPr>
                <w:rFonts w:ascii="Arial" w:cs="Arial" w:eastAsia="Arial" w:hAnsi="Arial"/>
                <w:sz w:val="18"/>
                <w:szCs w:val="18"/>
                <w:color w:val="auto"/>
                <w:w w:val="86"/>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6"/>
          </w:tcPr>
          <w:p>
            <w:pPr>
              <w:jc w:val="right"/>
              <w:ind w:right="680"/>
              <w:spacing w:after="0"/>
              <w:rPr>
                <w:sz w:val="20"/>
                <w:szCs w:val="20"/>
                <w:color w:val="auto"/>
              </w:rPr>
            </w:pPr>
            <w:r>
              <w:rPr>
                <w:rFonts w:ascii="Arial" w:cs="Arial" w:eastAsia="Arial" w:hAnsi="Arial"/>
                <w:sz w:val="18"/>
                <w:szCs w:val="18"/>
                <w:i w:val="1"/>
                <w:iCs w:val="1"/>
                <w:color w:val="auto"/>
              </w:rPr>
              <w:t>(Dollars in Thousands)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FF2FA"/>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24,002</w:t>
            </w:r>
          </w:p>
        </w:tc>
        <w:tc>
          <w:tcPr>
            <w:tcW w:w="320" w:type="dxa"/>
            <w:vAlign w:val="bottom"/>
            <w:tcBorders>
              <w:bottom w:val="single" w:sz="8" w:color="CFF2FA"/>
            </w:tcBorders>
            <w:shd w:val="clear" w:color="auto" w:fill="CFF2FA"/>
          </w:tcPr>
          <w:p>
            <w:pPr>
              <w:spacing w:after="0"/>
              <w:rPr>
                <w:sz w:val="19"/>
                <w:szCs w:val="19"/>
                <w:color w:val="auto"/>
              </w:rPr>
            </w:pPr>
          </w:p>
        </w:tc>
        <w:tc>
          <w:tcPr>
            <w:tcW w:w="260" w:type="dxa"/>
            <w:vAlign w:val="bottom"/>
            <w:tcBorders>
              <w:bottom w:val="single" w:sz="8" w:color="auto"/>
            </w:tcBorders>
            <w:shd w:val="clear" w:color="auto" w:fill="CFF2FA"/>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26,990</w:t>
            </w:r>
          </w:p>
        </w:tc>
        <w:tc>
          <w:tcPr>
            <w:tcW w:w="180" w:type="dxa"/>
            <w:vAlign w:val="bottom"/>
            <w:tcBorders>
              <w:bottom w:val="single" w:sz="8" w:color="CFF2FA"/>
            </w:tcBorders>
            <w:shd w:val="clear" w:color="auto" w:fill="CFF2FA"/>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2FA"/>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56,559</w:t>
            </w:r>
          </w:p>
        </w:tc>
        <w:tc>
          <w:tcPr>
            <w:tcW w:w="240" w:type="dxa"/>
            <w:vAlign w:val="bottom"/>
            <w:tcBorders>
              <w:bottom w:val="single" w:sz="8" w:color="CFF2FA"/>
            </w:tcBorders>
            <w:shd w:val="clear" w:color="auto" w:fill="CFF2FA"/>
          </w:tcPr>
          <w:p>
            <w:pPr>
              <w:spacing w:after="0"/>
              <w:rPr>
                <w:sz w:val="19"/>
                <w:szCs w:val="19"/>
                <w:color w:val="auto"/>
              </w:rPr>
            </w:pPr>
          </w:p>
        </w:tc>
        <w:tc>
          <w:tcPr>
            <w:tcW w:w="80" w:type="dxa"/>
            <w:vAlign w:val="bottom"/>
            <w:tcBorders>
              <w:bottom w:val="single" w:sz="8" w:color="CFF2FA"/>
            </w:tcBorders>
            <w:shd w:val="clear" w:color="auto" w:fill="CFF2FA"/>
          </w:tcPr>
          <w:p>
            <w:pPr>
              <w:spacing w:after="0"/>
              <w:rPr>
                <w:sz w:val="19"/>
                <w:szCs w:val="19"/>
                <w:color w:val="auto"/>
              </w:rPr>
            </w:pPr>
          </w:p>
        </w:tc>
        <w:tc>
          <w:tcPr>
            <w:tcW w:w="260" w:type="dxa"/>
            <w:vAlign w:val="bottom"/>
            <w:tcBorders>
              <w:bottom w:val="single" w:sz="8" w:color="auto"/>
            </w:tcBorders>
            <w:shd w:val="clear" w:color="auto" w:fill="CFF2FA"/>
          </w:tcPr>
          <w:p>
            <w:pPr>
              <w:jc w:val="right"/>
              <w:ind w:right="6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50,047</w:t>
            </w:r>
          </w:p>
        </w:tc>
        <w:tc>
          <w:tcPr>
            <w:tcW w:w="160" w:type="dxa"/>
            <w:vAlign w:val="bottom"/>
            <w:tcBorders>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720" w:type="dxa"/>
            <w:vAlign w:val="bottom"/>
            <w:vMerge w:val="continue"/>
          </w:tcPr>
          <w:p>
            <w:pPr>
              <w:spacing w:after="0"/>
              <w:rPr>
                <w:sz w:val="17"/>
                <w:szCs w:val="17"/>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62,468</w:t>
            </w:r>
          </w:p>
        </w:tc>
        <w:tc>
          <w:tcPr>
            <w:tcW w:w="320" w:type="dxa"/>
            <w:vAlign w:val="bottom"/>
          </w:tcPr>
          <w:p>
            <w:pPr>
              <w:spacing w:after="0"/>
              <w:rPr>
                <w:sz w:val="17"/>
                <w:szCs w:val="17"/>
                <w:color w:val="auto"/>
              </w:rPr>
            </w:pPr>
          </w:p>
        </w:tc>
        <w:tc>
          <w:tcPr>
            <w:tcW w:w="2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70,580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jc w:val="right"/>
              <w:ind w:right="48"/>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136,019</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jc w:val="right"/>
              <w:ind w:right="68"/>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138,325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720" w:type="dxa"/>
            <w:vAlign w:val="bottom"/>
            <w:shd w:val="clear" w:color="auto" w:fill="CFF2FA"/>
          </w:tcPr>
          <w:p>
            <w:pPr>
              <w:spacing w:after="0"/>
              <w:rPr>
                <w:sz w:val="20"/>
                <w:szCs w:val="20"/>
                <w:color w:val="auto"/>
              </w:rPr>
            </w:pPr>
            <w:r>
              <w:rPr>
                <w:rFonts w:ascii="Arial" w:cs="Arial" w:eastAsia="Arial" w:hAnsi="Arial"/>
                <w:sz w:val="18"/>
                <w:szCs w:val="18"/>
                <w:color w:val="auto"/>
              </w:rPr>
              <w:t>Less: Freight and delivery revenues</w:t>
            </w:r>
          </w:p>
        </w:tc>
        <w:tc>
          <w:tcPr>
            <w:tcW w:w="24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260"/>
              <w:spacing w:after="0"/>
              <w:rPr>
                <w:sz w:val="20"/>
                <w:szCs w:val="20"/>
                <w:color w:val="auto"/>
              </w:rPr>
            </w:pPr>
            <w:r>
              <w:rPr>
                <w:rFonts w:ascii="Arial" w:cs="Arial" w:eastAsia="Arial" w:hAnsi="Arial"/>
                <w:sz w:val="18"/>
                <w:szCs w:val="18"/>
                <w:color w:val="auto"/>
              </w:rPr>
              <w:t>(2,677)</w:t>
            </w:r>
          </w:p>
        </w:tc>
        <w:tc>
          <w:tcPr>
            <w:tcW w:w="260" w:type="dxa"/>
            <w:vAlign w:val="bottom"/>
            <w:shd w:val="clear" w:color="auto" w:fill="CFF2FA"/>
          </w:tcPr>
          <w:p>
            <w:pPr>
              <w:spacing w:after="0"/>
              <w:rPr>
                <w:sz w:val="19"/>
                <w:szCs w:val="19"/>
                <w:color w:val="auto"/>
              </w:rPr>
            </w:pPr>
          </w:p>
        </w:tc>
        <w:tc>
          <w:tcPr>
            <w:tcW w:w="1060" w:type="dxa"/>
            <w:vAlign w:val="bottom"/>
            <w:gridSpan w:val="2"/>
            <w:shd w:val="clear" w:color="auto" w:fill="CFF2FA"/>
          </w:tcPr>
          <w:p>
            <w:pPr>
              <w:jc w:val="right"/>
              <w:ind w:right="120"/>
              <w:spacing w:after="0"/>
              <w:rPr>
                <w:sz w:val="20"/>
                <w:szCs w:val="20"/>
                <w:color w:val="auto"/>
              </w:rPr>
            </w:pPr>
            <w:r>
              <w:rPr>
                <w:rFonts w:ascii="Arial" w:cs="Arial" w:eastAsia="Arial" w:hAnsi="Arial"/>
                <w:sz w:val="18"/>
                <w:szCs w:val="18"/>
                <w:color w:val="auto"/>
              </w:rPr>
              <w:t>(4,335)</w:t>
            </w:r>
          </w:p>
        </w:tc>
        <w:tc>
          <w:tcPr>
            <w:tcW w:w="140" w:type="dxa"/>
            <w:vAlign w:val="bottom"/>
            <w:shd w:val="clear" w:color="auto" w:fill="CFF0FC"/>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180"/>
              <w:spacing w:after="0"/>
              <w:rPr>
                <w:sz w:val="20"/>
                <w:szCs w:val="20"/>
                <w:color w:val="auto"/>
              </w:rPr>
            </w:pPr>
            <w:r>
              <w:rPr>
                <w:rFonts w:ascii="Arial" w:cs="Arial" w:eastAsia="Arial" w:hAnsi="Arial"/>
                <w:sz w:val="18"/>
                <w:szCs w:val="18"/>
                <w:color w:val="auto"/>
              </w:rPr>
              <w:t>(6,355)</w:t>
            </w:r>
          </w:p>
        </w:tc>
        <w:tc>
          <w:tcPr>
            <w:tcW w:w="80" w:type="dxa"/>
            <w:vAlign w:val="bottom"/>
            <w:shd w:val="clear" w:color="auto" w:fill="CFF2FA"/>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106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(8,622)</w:t>
            </w:r>
          </w:p>
        </w:tc>
        <w:tc>
          <w:tcPr>
            <w:tcW w:w="0" w:type="dxa"/>
            <w:vAlign w:val="bottom"/>
          </w:tcPr>
          <w:p>
            <w:pPr>
              <w:spacing w:after="0"/>
              <w:rPr>
                <w:sz w:val="1"/>
                <w:szCs w:val="1"/>
                <w:color w:val="auto"/>
              </w:rPr>
            </w:pPr>
          </w:p>
        </w:tc>
      </w:tr>
      <w:tr>
        <w:trPr>
          <w:trHeight w:val="260"/>
        </w:trPr>
        <w:tc>
          <w:tcPr>
            <w:tcW w:w="572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59,791</w:t>
            </w:r>
          </w:p>
        </w:tc>
        <w:tc>
          <w:tcPr>
            <w:tcW w:w="320" w:type="dxa"/>
            <w:vAlign w:val="bottom"/>
            <w:tcBorders>
              <w:bottom w:val="single" w:sz="8" w:color="CFF2FA"/>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66,245</w:t>
            </w:r>
          </w:p>
        </w:tc>
        <w:tc>
          <w:tcPr>
            <w:tcW w:w="180" w:type="dxa"/>
            <w:vAlign w:val="bottom"/>
            <w:tcBorders>
              <w:bottom w:val="single" w:sz="8" w:color="CFF2FA"/>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129,664</w:t>
            </w:r>
          </w:p>
        </w:tc>
        <w:tc>
          <w:tcPr>
            <w:tcW w:w="240" w:type="dxa"/>
            <w:vAlign w:val="bottom"/>
            <w:tcBorders>
              <w:bottom w:val="single" w:sz="8" w:color="CFF2FA"/>
            </w:tcBorders>
          </w:tcPr>
          <w:p>
            <w:pPr>
              <w:spacing w:after="0"/>
              <w:rPr>
                <w:sz w:val="22"/>
                <w:szCs w:val="22"/>
                <w:color w:val="auto"/>
              </w:rPr>
            </w:pPr>
          </w:p>
        </w:tc>
        <w:tc>
          <w:tcPr>
            <w:tcW w:w="80" w:type="dxa"/>
            <w:vAlign w:val="bottom"/>
            <w:tcBorders>
              <w:bottom w:val="single" w:sz="8" w:color="CFF2FA"/>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129,703</w:t>
            </w:r>
          </w:p>
        </w:tc>
        <w:tc>
          <w:tcPr>
            <w:tcW w:w="16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72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Gross margin excluding freight and delivery revenues</w:t>
            </w:r>
          </w:p>
        </w:tc>
        <w:tc>
          <w:tcPr>
            <w:tcW w:w="240" w:type="dxa"/>
            <w:vAlign w:val="bottom"/>
            <w:shd w:val="clear" w:color="auto" w:fill="CFF2FA"/>
          </w:tcPr>
          <w:p>
            <w:pPr>
              <w:spacing w:after="0"/>
              <w:rPr>
                <w:sz w:val="17"/>
                <w:szCs w:val="17"/>
                <w:color w:val="auto"/>
              </w:rPr>
            </w:pPr>
          </w:p>
        </w:tc>
        <w:tc>
          <w:tcPr>
            <w:tcW w:w="1220" w:type="dxa"/>
            <w:vAlign w:val="bottom"/>
            <w:gridSpan w:val="2"/>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40.1%</w:t>
            </w:r>
          </w:p>
        </w:tc>
        <w:tc>
          <w:tcPr>
            <w:tcW w:w="26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40.7%</w:t>
            </w:r>
          </w:p>
        </w:tc>
        <w:tc>
          <w:tcPr>
            <w:tcW w:w="140" w:type="dxa"/>
            <w:vAlign w:val="bottom"/>
            <w:shd w:val="clear" w:color="auto" w:fill="CFF0FC"/>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140" w:type="dxa"/>
            <w:vAlign w:val="bottom"/>
            <w:gridSpan w:val="2"/>
            <w:shd w:val="clear" w:color="auto" w:fill="CFF2FA"/>
          </w:tcPr>
          <w:p>
            <w:pPr>
              <w:jc w:val="right"/>
              <w:ind w:right="80"/>
              <w:spacing w:after="0" w:line="205" w:lineRule="exact"/>
              <w:rPr>
                <w:sz w:val="20"/>
                <w:szCs w:val="20"/>
                <w:color w:val="auto"/>
              </w:rPr>
            </w:pPr>
            <w:r>
              <w:rPr>
                <w:rFonts w:ascii="Arial" w:cs="Arial" w:eastAsia="Arial" w:hAnsi="Arial"/>
                <w:sz w:val="18"/>
                <w:szCs w:val="18"/>
                <w:color w:val="auto"/>
              </w:rPr>
              <w:t>43.6%</w:t>
            </w:r>
          </w:p>
        </w:tc>
        <w:tc>
          <w:tcPr>
            <w:tcW w:w="80" w:type="dxa"/>
            <w:vAlign w:val="bottom"/>
            <w:shd w:val="clear" w:color="auto" w:fill="CFF2FA"/>
          </w:tcPr>
          <w:p>
            <w:pPr>
              <w:spacing w:after="0"/>
              <w:rPr>
                <w:sz w:val="17"/>
                <w:szCs w:val="17"/>
                <w:color w:val="auto"/>
              </w:rPr>
            </w:pPr>
          </w:p>
        </w:tc>
        <w:tc>
          <w:tcPr>
            <w:tcW w:w="26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
        </w:trPr>
        <w:tc>
          <w:tcPr>
            <w:tcW w:w="5720" w:type="dxa"/>
            <w:vAlign w:val="bottom"/>
            <w:tcBorders>
              <w:top w:val="single" w:sz="8" w:color="CFF2FA"/>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20" w:type="dxa"/>
            <w:vAlign w:val="bottom"/>
          </w:tcPr>
          <w:p>
            <w:pPr>
              <w:spacing w:after="0"/>
              <w:rPr>
                <w:sz w:val="20"/>
                <w:szCs w:val="20"/>
                <w:color w:val="auto"/>
              </w:rPr>
            </w:pPr>
            <w:r>
              <w:rPr>
                <w:rFonts w:ascii="Arial" w:cs="Arial" w:eastAsia="Arial" w:hAnsi="Arial"/>
                <w:sz w:val="18"/>
                <w:szCs w:val="18"/>
                <w:b w:val="1"/>
                <w:bCs w:val="1"/>
                <w:color w:val="auto"/>
              </w:rPr>
              <w:t>Magnesia Specialties Gross Margin in Accordance with GAAP</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5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center"/>
              <w:ind w:right="420"/>
              <w:spacing w:after="0"/>
              <w:rPr>
                <w:sz w:val="20"/>
                <w:szCs w:val="20"/>
                <w:color w:val="auto"/>
              </w:rPr>
            </w:pPr>
            <w:r>
              <w:rPr>
                <w:rFonts w:ascii="Arial" w:cs="Arial" w:eastAsia="Arial" w:hAnsi="Arial"/>
                <w:sz w:val="18"/>
                <w:szCs w:val="18"/>
                <w:color w:val="auto"/>
                <w:w w:val="93"/>
              </w:rPr>
              <w:t>Six Months Ended</w:t>
            </w: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8"/>
                <w:szCs w:val="18"/>
                <w:color w:val="auto"/>
                <w:w w:val="89"/>
              </w:rPr>
              <w:t>June 30,</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548"/>
              <w:spacing w:after="0"/>
              <w:rPr>
                <w:sz w:val="20"/>
                <w:szCs w:val="20"/>
                <w:color w:val="auto"/>
              </w:rPr>
            </w:pPr>
            <w:r>
              <w:rPr>
                <w:rFonts w:ascii="Arial" w:cs="Arial" w:eastAsia="Arial" w:hAnsi="Arial"/>
                <w:sz w:val="18"/>
                <w:szCs w:val="18"/>
                <w:color w:val="auto"/>
                <w:w w:val="86"/>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6"/>
          </w:tcPr>
          <w:p>
            <w:pPr>
              <w:jc w:val="right"/>
              <w:ind w:right="680"/>
              <w:spacing w:after="0"/>
              <w:rPr>
                <w:sz w:val="20"/>
                <w:szCs w:val="20"/>
                <w:color w:val="auto"/>
              </w:rPr>
            </w:pPr>
            <w:r>
              <w:rPr>
                <w:rFonts w:ascii="Arial" w:cs="Arial" w:eastAsia="Arial" w:hAnsi="Arial"/>
                <w:sz w:val="18"/>
                <w:szCs w:val="18"/>
                <w:i w:val="1"/>
                <w:iCs w:val="1"/>
                <w:color w:val="auto"/>
              </w:rPr>
              <w:t>(Dollars in Thousands)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FF2FA"/>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21,692</w:t>
            </w:r>
          </w:p>
        </w:tc>
        <w:tc>
          <w:tcPr>
            <w:tcW w:w="320" w:type="dxa"/>
            <w:vAlign w:val="bottom"/>
            <w:tcBorders>
              <w:bottom w:val="single" w:sz="8" w:color="CFF2FA"/>
            </w:tcBorders>
            <w:shd w:val="clear" w:color="auto" w:fill="CFF2FA"/>
          </w:tcPr>
          <w:p>
            <w:pPr>
              <w:spacing w:after="0"/>
              <w:rPr>
                <w:sz w:val="19"/>
                <w:szCs w:val="19"/>
                <w:color w:val="auto"/>
              </w:rPr>
            </w:pPr>
          </w:p>
        </w:tc>
        <w:tc>
          <w:tcPr>
            <w:tcW w:w="260" w:type="dxa"/>
            <w:vAlign w:val="bottom"/>
            <w:tcBorders>
              <w:bottom w:val="single" w:sz="8" w:color="auto"/>
            </w:tcBorders>
            <w:shd w:val="clear" w:color="auto" w:fill="CFF2FA"/>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21,224</w:t>
            </w:r>
          </w:p>
        </w:tc>
        <w:tc>
          <w:tcPr>
            <w:tcW w:w="180" w:type="dxa"/>
            <w:vAlign w:val="bottom"/>
            <w:tcBorders>
              <w:bottom w:val="single" w:sz="8" w:color="CFF2FA"/>
            </w:tcBorders>
            <w:shd w:val="clear" w:color="auto" w:fill="CFF2FA"/>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2FA"/>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44,662</w:t>
            </w:r>
          </w:p>
        </w:tc>
        <w:tc>
          <w:tcPr>
            <w:tcW w:w="240" w:type="dxa"/>
            <w:vAlign w:val="bottom"/>
            <w:tcBorders>
              <w:bottom w:val="single" w:sz="8" w:color="CFF2FA"/>
            </w:tcBorders>
            <w:shd w:val="clear" w:color="auto" w:fill="CFF2FA"/>
          </w:tcPr>
          <w:p>
            <w:pPr>
              <w:spacing w:after="0"/>
              <w:rPr>
                <w:sz w:val="19"/>
                <w:szCs w:val="19"/>
                <w:color w:val="auto"/>
              </w:rPr>
            </w:pPr>
          </w:p>
        </w:tc>
        <w:tc>
          <w:tcPr>
            <w:tcW w:w="80" w:type="dxa"/>
            <w:vAlign w:val="bottom"/>
            <w:tcBorders>
              <w:bottom w:val="single" w:sz="8" w:color="CFF2FA"/>
            </w:tcBorders>
            <w:shd w:val="clear" w:color="auto" w:fill="CFF2FA"/>
          </w:tcPr>
          <w:p>
            <w:pPr>
              <w:spacing w:after="0"/>
              <w:rPr>
                <w:sz w:val="19"/>
                <w:szCs w:val="19"/>
                <w:color w:val="auto"/>
              </w:rPr>
            </w:pPr>
          </w:p>
        </w:tc>
        <w:tc>
          <w:tcPr>
            <w:tcW w:w="260" w:type="dxa"/>
            <w:vAlign w:val="bottom"/>
            <w:tcBorders>
              <w:bottom w:val="single" w:sz="8" w:color="auto"/>
            </w:tcBorders>
            <w:shd w:val="clear" w:color="auto" w:fill="CFF2FA"/>
          </w:tcPr>
          <w:p>
            <w:pPr>
              <w:jc w:val="right"/>
              <w:ind w:right="6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41,402</w:t>
            </w:r>
          </w:p>
        </w:tc>
        <w:tc>
          <w:tcPr>
            <w:tcW w:w="160" w:type="dxa"/>
            <w:vAlign w:val="bottom"/>
            <w:tcBorders>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720" w:type="dxa"/>
            <w:vAlign w:val="bottom"/>
            <w:tcBorders>
              <w:bottom w:val="single" w:sz="8" w:color="CFF2FA"/>
            </w:tcBorders>
            <w:vMerge w:val="continue"/>
          </w:tcPr>
          <w:p>
            <w:pPr>
              <w:spacing w:after="0"/>
              <w:rPr>
                <w:sz w:val="21"/>
                <w:szCs w:val="21"/>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63,636</w:t>
            </w:r>
          </w:p>
        </w:tc>
        <w:tc>
          <w:tcPr>
            <w:tcW w:w="320" w:type="dxa"/>
            <w:vAlign w:val="bottom"/>
            <w:tcBorders>
              <w:bottom w:val="single" w:sz="8" w:color="CFF2FA"/>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65,118</w:t>
            </w:r>
          </w:p>
        </w:tc>
        <w:tc>
          <w:tcPr>
            <w:tcW w:w="180" w:type="dxa"/>
            <w:vAlign w:val="bottom"/>
            <w:tcBorders>
              <w:bottom w:val="single" w:sz="8" w:color="CFF2FA"/>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48"/>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127,806</w:t>
            </w:r>
          </w:p>
        </w:tc>
        <w:tc>
          <w:tcPr>
            <w:tcW w:w="240" w:type="dxa"/>
            <w:vAlign w:val="bottom"/>
            <w:tcBorders>
              <w:bottom w:val="single" w:sz="8" w:color="CFF2FA"/>
            </w:tcBorders>
          </w:tcPr>
          <w:p>
            <w:pPr>
              <w:spacing w:after="0"/>
              <w:rPr>
                <w:sz w:val="21"/>
                <w:szCs w:val="21"/>
                <w:color w:val="auto"/>
              </w:rPr>
            </w:pPr>
          </w:p>
        </w:tc>
        <w:tc>
          <w:tcPr>
            <w:tcW w:w="80" w:type="dxa"/>
            <w:vAlign w:val="bottom"/>
            <w:tcBorders>
              <w:bottom w:val="single" w:sz="8" w:color="CFF2FA"/>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68"/>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128,282</w:t>
            </w:r>
          </w:p>
        </w:tc>
        <w:tc>
          <w:tcPr>
            <w:tcW w:w="160" w:type="dxa"/>
            <w:vAlign w:val="bottom"/>
            <w:tcBorders>
              <w:bottom w:val="single" w:sz="8" w:color="CFF2FA"/>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72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Gross margin</w:t>
            </w:r>
          </w:p>
        </w:tc>
        <w:tc>
          <w:tcPr>
            <w:tcW w:w="240" w:type="dxa"/>
            <w:vAlign w:val="bottom"/>
            <w:shd w:val="clear" w:color="auto" w:fill="CFF2FA"/>
          </w:tcPr>
          <w:p>
            <w:pPr>
              <w:spacing w:after="0"/>
              <w:rPr>
                <w:sz w:val="17"/>
                <w:szCs w:val="17"/>
                <w:color w:val="auto"/>
              </w:rPr>
            </w:pPr>
          </w:p>
        </w:tc>
        <w:tc>
          <w:tcPr>
            <w:tcW w:w="1220" w:type="dxa"/>
            <w:vAlign w:val="bottom"/>
            <w:gridSpan w:val="2"/>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34.1%</w:t>
            </w:r>
          </w:p>
        </w:tc>
        <w:tc>
          <w:tcPr>
            <w:tcW w:w="26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32.6%</w:t>
            </w:r>
          </w:p>
        </w:tc>
        <w:tc>
          <w:tcPr>
            <w:tcW w:w="140" w:type="dxa"/>
            <w:vAlign w:val="bottom"/>
            <w:shd w:val="clear" w:color="auto" w:fill="CFF0FC"/>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140" w:type="dxa"/>
            <w:vAlign w:val="bottom"/>
            <w:gridSpan w:val="2"/>
            <w:shd w:val="clear" w:color="auto" w:fill="CFF2FA"/>
          </w:tcPr>
          <w:p>
            <w:pPr>
              <w:jc w:val="right"/>
              <w:ind w:right="80"/>
              <w:spacing w:after="0" w:line="205" w:lineRule="exact"/>
              <w:rPr>
                <w:sz w:val="20"/>
                <w:szCs w:val="20"/>
                <w:color w:val="auto"/>
              </w:rPr>
            </w:pPr>
            <w:r>
              <w:rPr>
                <w:rFonts w:ascii="Arial" w:cs="Arial" w:eastAsia="Arial" w:hAnsi="Arial"/>
                <w:sz w:val="18"/>
                <w:szCs w:val="18"/>
                <w:color w:val="auto"/>
              </w:rPr>
              <w:t>34.9%</w:t>
            </w:r>
          </w:p>
        </w:tc>
        <w:tc>
          <w:tcPr>
            <w:tcW w:w="80" w:type="dxa"/>
            <w:vAlign w:val="bottom"/>
            <w:shd w:val="clear" w:color="auto" w:fill="CFF2FA"/>
          </w:tcPr>
          <w:p>
            <w:pPr>
              <w:spacing w:after="0"/>
              <w:rPr>
                <w:sz w:val="17"/>
                <w:szCs w:val="17"/>
                <w:color w:val="auto"/>
              </w:rPr>
            </w:pPr>
          </w:p>
        </w:tc>
        <w:tc>
          <w:tcPr>
            <w:tcW w:w="26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5720" w:type="dxa"/>
            <w:vAlign w:val="bottom"/>
            <w:tcBorders>
              <w:top w:val="single" w:sz="8" w:color="CFF2FA"/>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7180" w:type="dxa"/>
            <w:vAlign w:val="bottom"/>
            <w:gridSpan w:val="4"/>
          </w:tcPr>
          <w:p>
            <w:pPr>
              <w:spacing w:after="0"/>
              <w:rPr>
                <w:sz w:val="20"/>
                <w:szCs w:val="20"/>
                <w:color w:val="auto"/>
              </w:rPr>
            </w:pPr>
            <w:r>
              <w:rPr>
                <w:rFonts w:ascii="Arial" w:cs="Arial" w:eastAsia="Arial" w:hAnsi="Arial"/>
                <w:sz w:val="18"/>
                <w:szCs w:val="18"/>
                <w:b w:val="1"/>
                <w:bCs w:val="1"/>
                <w:color w:val="auto"/>
              </w:rPr>
              <w:t>Magnesia Specialties Gross Margin Excluding Freight and Delivery Revenues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8"/>
                <w:szCs w:val="18"/>
                <w:color w:val="auto"/>
                <w:w w:val="92"/>
              </w:rPr>
              <w:t>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center"/>
              <w:ind w:right="420"/>
              <w:spacing w:after="0"/>
              <w:rPr>
                <w:sz w:val="20"/>
                <w:szCs w:val="20"/>
                <w:color w:val="auto"/>
              </w:rPr>
            </w:pPr>
            <w:r>
              <w:rPr>
                <w:rFonts w:ascii="Arial" w:cs="Arial" w:eastAsia="Arial" w:hAnsi="Arial"/>
                <w:sz w:val="18"/>
                <w:szCs w:val="18"/>
                <w:color w:val="auto"/>
                <w:w w:val="93"/>
              </w:rPr>
              <w:t>Six Months Ended</w:t>
            </w: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8"/>
                <w:szCs w:val="18"/>
                <w:color w:val="auto"/>
                <w:w w:val="89"/>
              </w:rPr>
              <w:t>June 30,</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548"/>
              <w:spacing w:after="0"/>
              <w:rPr>
                <w:sz w:val="20"/>
                <w:szCs w:val="20"/>
                <w:color w:val="auto"/>
              </w:rPr>
            </w:pPr>
            <w:r>
              <w:rPr>
                <w:rFonts w:ascii="Arial" w:cs="Arial" w:eastAsia="Arial" w:hAnsi="Arial"/>
                <w:sz w:val="18"/>
                <w:szCs w:val="18"/>
                <w:color w:val="auto"/>
                <w:w w:val="86"/>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6"/>
          </w:tcPr>
          <w:p>
            <w:pPr>
              <w:jc w:val="right"/>
              <w:ind w:right="680"/>
              <w:spacing w:after="0"/>
              <w:rPr>
                <w:sz w:val="20"/>
                <w:szCs w:val="20"/>
                <w:color w:val="auto"/>
              </w:rPr>
            </w:pPr>
            <w:r>
              <w:rPr>
                <w:rFonts w:ascii="Arial" w:cs="Arial" w:eastAsia="Arial" w:hAnsi="Arial"/>
                <w:sz w:val="18"/>
                <w:szCs w:val="18"/>
                <w:i w:val="1"/>
                <w:iCs w:val="1"/>
                <w:color w:val="auto"/>
              </w:rPr>
              <w:t>(Dollars in Thousands)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FF2FA"/>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21,692</w:t>
            </w:r>
          </w:p>
        </w:tc>
        <w:tc>
          <w:tcPr>
            <w:tcW w:w="320" w:type="dxa"/>
            <w:vAlign w:val="bottom"/>
            <w:tcBorders>
              <w:bottom w:val="single" w:sz="8" w:color="CFF2FA"/>
            </w:tcBorders>
            <w:shd w:val="clear" w:color="auto" w:fill="CFF2FA"/>
          </w:tcPr>
          <w:p>
            <w:pPr>
              <w:spacing w:after="0"/>
              <w:rPr>
                <w:sz w:val="19"/>
                <w:szCs w:val="19"/>
                <w:color w:val="auto"/>
              </w:rPr>
            </w:pPr>
          </w:p>
        </w:tc>
        <w:tc>
          <w:tcPr>
            <w:tcW w:w="260" w:type="dxa"/>
            <w:vAlign w:val="bottom"/>
            <w:tcBorders>
              <w:bottom w:val="single" w:sz="8" w:color="auto"/>
            </w:tcBorders>
            <w:shd w:val="clear" w:color="auto" w:fill="CFF2FA"/>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21,224</w:t>
            </w:r>
          </w:p>
        </w:tc>
        <w:tc>
          <w:tcPr>
            <w:tcW w:w="180" w:type="dxa"/>
            <w:vAlign w:val="bottom"/>
            <w:tcBorders>
              <w:bottom w:val="single" w:sz="8" w:color="CFF2FA"/>
            </w:tcBorders>
            <w:shd w:val="clear" w:color="auto" w:fill="CFF2FA"/>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2FA"/>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44,662</w:t>
            </w:r>
          </w:p>
        </w:tc>
        <w:tc>
          <w:tcPr>
            <w:tcW w:w="240" w:type="dxa"/>
            <w:vAlign w:val="bottom"/>
            <w:tcBorders>
              <w:bottom w:val="single" w:sz="8" w:color="CFF2FA"/>
            </w:tcBorders>
            <w:shd w:val="clear" w:color="auto" w:fill="CFF2FA"/>
          </w:tcPr>
          <w:p>
            <w:pPr>
              <w:spacing w:after="0"/>
              <w:rPr>
                <w:sz w:val="19"/>
                <w:szCs w:val="19"/>
                <w:color w:val="auto"/>
              </w:rPr>
            </w:pPr>
          </w:p>
        </w:tc>
        <w:tc>
          <w:tcPr>
            <w:tcW w:w="80" w:type="dxa"/>
            <w:vAlign w:val="bottom"/>
            <w:tcBorders>
              <w:bottom w:val="single" w:sz="8" w:color="CFF2FA"/>
            </w:tcBorders>
            <w:shd w:val="clear" w:color="auto" w:fill="CFF2FA"/>
          </w:tcPr>
          <w:p>
            <w:pPr>
              <w:spacing w:after="0"/>
              <w:rPr>
                <w:sz w:val="19"/>
                <w:szCs w:val="19"/>
                <w:color w:val="auto"/>
              </w:rPr>
            </w:pPr>
          </w:p>
        </w:tc>
        <w:tc>
          <w:tcPr>
            <w:tcW w:w="260" w:type="dxa"/>
            <w:vAlign w:val="bottom"/>
            <w:tcBorders>
              <w:bottom w:val="single" w:sz="8" w:color="auto"/>
            </w:tcBorders>
            <w:shd w:val="clear" w:color="auto" w:fill="CFF2FA"/>
          </w:tcPr>
          <w:p>
            <w:pPr>
              <w:jc w:val="right"/>
              <w:ind w:right="6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41,402</w:t>
            </w:r>
          </w:p>
        </w:tc>
        <w:tc>
          <w:tcPr>
            <w:tcW w:w="160" w:type="dxa"/>
            <w:vAlign w:val="bottom"/>
            <w:tcBorders>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720" w:type="dxa"/>
            <w:vAlign w:val="bottom"/>
            <w:vMerge w:val="continue"/>
          </w:tcPr>
          <w:p>
            <w:pPr>
              <w:spacing w:after="0"/>
              <w:rPr>
                <w:sz w:val="17"/>
                <w:szCs w:val="17"/>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63,636</w:t>
            </w:r>
          </w:p>
        </w:tc>
        <w:tc>
          <w:tcPr>
            <w:tcW w:w="320" w:type="dxa"/>
            <w:vAlign w:val="bottom"/>
          </w:tcPr>
          <w:p>
            <w:pPr>
              <w:spacing w:after="0"/>
              <w:rPr>
                <w:sz w:val="17"/>
                <w:szCs w:val="17"/>
                <w:color w:val="auto"/>
              </w:rPr>
            </w:pPr>
          </w:p>
        </w:tc>
        <w:tc>
          <w:tcPr>
            <w:tcW w:w="2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65,118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jc w:val="right"/>
              <w:ind w:right="48"/>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127,806</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jc w:val="right"/>
              <w:ind w:right="68"/>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128,282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720" w:type="dxa"/>
            <w:vAlign w:val="bottom"/>
            <w:shd w:val="clear" w:color="auto" w:fill="CFF2FA"/>
          </w:tcPr>
          <w:p>
            <w:pPr>
              <w:spacing w:after="0"/>
              <w:rPr>
                <w:sz w:val="20"/>
                <w:szCs w:val="20"/>
                <w:color w:val="auto"/>
              </w:rPr>
            </w:pPr>
            <w:r>
              <w:rPr>
                <w:rFonts w:ascii="Arial" w:cs="Arial" w:eastAsia="Arial" w:hAnsi="Arial"/>
                <w:sz w:val="18"/>
                <w:szCs w:val="18"/>
                <w:color w:val="auto"/>
              </w:rPr>
              <w:t>Less: Freight and delivery revenues</w:t>
            </w:r>
          </w:p>
        </w:tc>
        <w:tc>
          <w:tcPr>
            <w:tcW w:w="240" w:type="dxa"/>
            <w:vAlign w:val="bottom"/>
            <w:shd w:val="clear" w:color="auto" w:fill="CFF2FA"/>
          </w:tcPr>
          <w:p>
            <w:pPr>
              <w:spacing w:after="0"/>
              <w:rPr>
                <w:sz w:val="19"/>
                <w:szCs w:val="19"/>
                <w:color w:val="auto"/>
              </w:rPr>
            </w:pPr>
          </w:p>
        </w:tc>
        <w:tc>
          <w:tcPr>
            <w:tcW w:w="1220" w:type="dxa"/>
            <w:vAlign w:val="bottom"/>
            <w:gridSpan w:val="2"/>
            <w:shd w:val="clear" w:color="auto" w:fill="CFF2FA"/>
          </w:tcPr>
          <w:p>
            <w:pPr>
              <w:jc w:val="right"/>
              <w:ind w:right="260"/>
              <w:spacing w:after="0"/>
              <w:rPr>
                <w:sz w:val="20"/>
                <w:szCs w:val="20"/>
                <w:color w:val="auto"/>
              </w:rPr>
            </w:pPr>
            <w:r>
              <w:rPr>
                <w:rFonts w:ascii="Arial" w:cs="Arial" w:eastAsia="Arial" w:hAnsi="Arial"/>
                <w:sz w:val="18"/>
                <w:szCs w:val="18"/>
                <w:color w:val="auto"/>
              </w:rPr>
              <w:t>(4,770)</w:t>
            </w:r>
          </w:p>
        </w:tc>
        <w:tc>
          <w:tcPr>
            <w:tcW w:w="260" w:type="dxa"/>
            <w:vAlign w:val="bottom"/>
            <w:shd w:val="clear" w:color="auto" w:fill="CFF2FA"/>
          </w:tcPr>
          <w:p>
            <w:pPr>
              <w:spacing w:after="0"/>
              <w:rPr>
                <w:sz w:val="19"/>
                <w:szCs w:val="19"/>
                <w:color w:val="auto"/>
              </w:rPr>
            </w:pPr>
          </w:p>
        </w:tc>
        <w:tc>
          <w:tcPr>
            <w:tcW w:w="1060" w:type="dxa"/>
            <w:vAlign w:val="bottom"/>
            <w:gridSpan w:val="2"/>
            <w:shd w:val="clear" w:color="auto" w:fill="CFF2FA"/>
          </w:tcPr>
          <w:p>
            <w:pPr>
              <w:jc w:val="right"/>
              <w:ind w:right="120"/>
              <w:spacing w:after="0"/>
              <w:rPr>
                <w:sz w:val="20"/>
                <w:szCs w:val="20"/>
                <w:color w:val="auto"/>
              </w:rPr>
            </w:pPr>
            <w:r>
              <w:rPr>
                <w:rFonts w:ascii="Arial" w:cs="Arial" w:eastAsia="Arial" w:hAnsi="Arial"/>
                <w:sz w:val="18"/>
                <w:szCs w:val="18"/>
                <w:color w:val="auto"/>
              </w:rPr>
              <w:t>(4,661)</w:t>
            </w:r>
          </w:p>
        </w:tc>
        <w:tc>
          <w:tcPr>
            <w:tcW w:w="140" w:type="dxa"/>
            <w:vAlign w:val="bottom"/>
            <w:shd w:val="clear" w:color="auto" w:fill="CFF0FC"/>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140" w:type="dxa"/>
            <w:vAlign w:val="bottom"/>
            <w:gridSpan w:val="2"/>
            <w:shd w:val="clear" w:color="auto" w:fill="CFF2FA"/>
          </w:tcPr>
          <w:p>
            <w:pPr>
              <w:jc w:val="right"/>
              <w:ind w:right="180"/>
              <w:spacing w:after="0"/>
              <w:rPr>
                <w:sz w:val="20"/>
                <w:szCs w:val="20"/>
                <w:color w:val="auto"/>
              </w:rPr>
            </w:pPr>
            <w:r>
              <w:rPr>
                <w:rFonts w:ascii="Arial" w:cs="Arial" w:eastAsia="Arial" w:hAnsi="Arial"/>
                <w:sz w:val="18"/>
                <w:szCs w:val="18"/>
                <w:color w:val="auto"/>
              </w:rPr>
              <w:t>(9,435)</w:t>
            </w:r>
          </w:p>
        </w:tc>
        <w:tc>
          <w:tcPr>
            <w:tcW w:w="80" w:type="dxa"/>
            <w:vAlign w:val="bottom"/>
            <w:shd w:val="clear" w:color="auto" w:fill="CFF2FA"/>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106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(9,071)</w:t>
            </w:r>
          </w:p>
        </w:tc>
        <w:tc>
          <w:tcPr>
            <w:tcW w:w="0" w:type="dxa"/>
            <w:vAlign w:val="bottom"/>
          </w:tcPr>
          <w:p>
            <w:pPr>
              <w:spacing w:after="0"/>
              <w:rPr>
                <w:sz w:val="1"/>
                <w:szCs w:val="1"/>
                <w:color w:val="auto"/>
              </w:rPr>
            </w:pPr>
          </w:p>
        </w:tc>
      </w:tr>
      <w:tr>
        <w:trPr>
          <w:trHeight w:val="260"/>
        </w:trPr>
        <w:tc>
          <w:tcPr>
            <w:tcW w:w="572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58,866</w:t>
            </w:r>
          </w:p>
        </w:tc>
        <w:tc>
          <w:tcPr>
            <w:tcW w:w="320" w:type="dxa"/>
            <w:vAlign w:val="bottom"/>
            <w:tcBorders>
              <w:bottom w:val="single" w:sz="8" w:color="CFF2FA"/>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60,457</w:t>
            </w:r>
          </w:p>
        </w:tc>
        <w:tc>
          <w:tcPr>
            <w:tcW w:w="180" w:type="dxa"/>
            <w:vAlign w:val="bottom"/>
            <w:tcBorders>
              <w:bottom w:val="single" w:sz="8" w:color="CFF2FA"/>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118,371</w:t>
            </w:r>
          </w:p>
        </w:tc>
        <w:tc>
          <w:tcPr>
            <w:tcW w:w="240" w:type="dxa"/>
            <w:vAlign w:val="bottom"/>
            <w:tcBorders>
              <w:bottom w:val="single" w:sz="8" w:color="CFF2FA"/>
            </w:tcBorders>
          </w:tcPr>
          <w:p>
            <w:pPr>
              <w:spacing w:after="0"/>
              <w:rPr>
                <w:sz w:val="22"/>
                <w:szCs w:val="22"/>
                <w:color w:val="auto"/>
              </w:rPr>
            </w:pPr>
          </w:p>
        </w:tc>
        <w:tc>
          <w:tcPr>
            <w:tcW w:w="80" w:type="dxa"/>
            <w:vAlign w:val="bottom"/>
            <w:tcBorders>
              <w:bottom w:val="single" w:sz="8" w:color="CFF2FA"/>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119,211</w:t>
            </w:r>
          </w:p>
        </w:tc>
        <w:tc>
          <w:tcPr>
            <w:tcW w:w="160" w:type="dxa"/>
            <w:vAlign w:val="bottom"/>
            <w:tcBorders>
              <w:bottom w:val="single" w:sz="8" w:color="CFF2FA"/>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720" w:type="dxa"/>
            <w:vAlign w:val="bottom"/>
            <w:shd w:val="clear" w:color="auto" w:fill="CFF2FA"/>
          </w:tcPr>
          <w:p>
            <w:pPr>
              <w:spacing w:after="0" w:line="205" w:lineRule="exact"/>
              <w:rPr>
                <w:sz w:val="20"/>
                <w:szCs w:val="20"/>
                <w:color w:val="auto"/>
              </w:rPr>
            </w:pPr>
            <w:r>
              <w:rPr>
                <w:rFonts w:ascii="Arial" w:cs="Arial" w:eastAsia="Arial" w:hAnsi="Arial"/>
                <w:sz w:val="18"/>
                <w:szCs w:val="18"/>
                <w:color w:val="auto"/>
              </w:rPr>
              <w:t>Gross margin excluding freight and delivery revenues</w:t>
            </w:r>
          </w:p>
        </w:tc>
        <w:tc>
          <w:tcPr>
            <w:tcW w:w="240" w:type="dxa"/>
            <w:vAlign w:val="bottom"/>
            <w:shd w:val="clear" w:color="auto" w:fill="CFF2FA"/>
          </w:tcPr>
          <w:p>
            <w:pPr>
              <w:spacing w:after="0"/>
              <w:rPr>
                <w:sz w:val="17"/>
                <w:szCs w:val="17"/>
                <w:color w:val="auto"/>
              </w:rPr>
            </w:pPr>
          </w:p>
        </w:tc>
        <w:tc>
          <w:tcPr>
            <w:tcW w:w="1220" w:type="dxa"/>
            <w:vAlign w:val="bottom"/>
            <w:gridSpan w:val="2"/>
            <w:shd w:val="clear" w:color="auto" w:fill="CFF2FA"/>
          </w:tcPr>
          <w:p>
            <w:pPr>
              <w:jc w:val="right"/>
              <w:ind w:right="160"/>
              <w:spacing w:after="0" w:line="205" w:lineRule="exact"/>
              <w:rPr>
                <w:sz w:val="20"/>
                <w:szCs w:val="20"/>
                <w:color w:val="auto"/>
              </w:rPr>
            </w:pPr>
            <w:r>
              <w:rPr>
                <w:rFonts w:ascii="Arial" w:cs="Arial" w:eastAsia="Arial" w:hAnsi="Arial"/>
                <w:sz w:val="18"/>
                <w:szCs w:val="18"/>
                <w:color w:val="auto"/>
              </w:rPr>
              <w:t>36.8%</w:t>
            </w:r>
          </w:p>
        </w:tc>
        <w:tc>
          <w:tcPr>
            <w:tcW w:w="26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35.1%</w:t>
            </w:r>
          </w:p>
        </w:tc>
        <w:tc>
          <w:tcPr>
            <w:tcW w:w="140" w:type="dxa"/>
            <w:vAlign w:val="bottom"/>
            <w:shd w:val="clear" w:color="auto" w:fill="CFF0FC"/>
          </w:tcPr>
          <w:p>
            <w:pPr>
              <w:spacing w:after="0"/>
              <w:rPr>
                <w:sz w:val="17"/>
                <w:szCs w:val="17"/>
                <w:color w:val="auto"/>
              </w:rPr>
            </w:pPr>
          </w:p>
        </w:tc>
        <w:tc>
          <w:tcPr>
            <w:tcW w:w="240" w:type="dxa"/>
            <w:vAlign w:val="bottom"/>
            <w:shd w:val="clear" w:color="auto" w:fill="CFF2FA"/>
          </w:tcPr>
          <w:p>
            <w:pPr>
              <w:spacing w:after="0"/>
              <w:rPr>
                <w:sz w:val="17"/>
                <w:szCs w:val="17"/>
                <w:color w:val="auto"/>
              </w:rPr>
            </w:pPr>
          </w:p>
        </w:tc>
        <w:tc>
          <w:tcPr>
            <w:tcW w:w="1140" w:type="dxa"/>
            <w:vAlign w:val="bottom"/>
            <w:gridSpan w:val="2"/>
            <w:shd w:val="clear" w:color="auto" w:fill="CFF2FA"/>
          </w:tcPr>
          <w:p>
            <w:pPr>
              <w:jc w:val="right"/>
              <w:ind w:right="80"/>
              <w:spacing w:after="0" w:line="205" w:lineRule="exact"/>
              <w:rPr>
                <w:sz w:val="20"/>
                <w:szCs w:val="20"/>
                <w:color w:val="auto"/>
              </w:rPr>
            </w:pPr>
            <w:r>
              <w:rPr>
                <w:rFonts w:ascii="Arial" w:cs="Arial" w:eastAsia="Arial" w:hAnsi="Arial"/>
                <w:sz w:val="18"/>
                <w:szCs w:val="18"/>
                <w:color w:val="auto"/>
              </w:rPr>
              <w:t>37.7%</w:t>
            </w:r>
          </w:p>
        </w:tc>
        <w:tc>
          <w:tcPr>
            <w:tcW w:w="80" w:type="dxa"/>
            <w:vAlign w:val="bottom"/>
            <w:shd w:val="clear" w:color="auto" w:fill="CFF2FA"/>
          </w:tcPr>
          <w:p>
            <w:pPr>
              <w:spacing w:after="0"/>
              <w:rPr>
                <w:sz w:val="17"/>
                <w:szCs w:val="17"/>
                <w:color w:val="auto"/>
              </w:rPr>
            </w:pPr>
          </w:p>
        </w:tc>
        <w:tc>
          <w:tcPr>
            <w:tcW w:w="260" w:type="dxa"/>
            <w:vAlign w:val="bottom"/>
            <w:shd w:val="clear" w:color="auto" w:fill="CFF2FA"/>
          </w:tcPr>
          <w:p>
            <w:pPr>
              <w:spacing w:after="0"/>
              <w:rPr>
                <w:sz w:val="17"/>
                <w:szCs w:val="17"/>
                <w:color w:val="auto"/>
              </w:rPr>
            </w:pPr>
          </w:p>
        </w:tc>
        <w:tc>
          <w:tcPr>
            <w:tcW w:w="1060" w:type="dxa"/>
            <w:vAlign w:val="bottom"/>
            <w:gridSpan w:val="2"/>
            <w:shd w:val="clear" w:color="auto" w:fill="CFF2FA"/>
          </w:tcPr>
          <w:p>
            <w:pPr>
              <w:jc w:val="right"/>
              <w:ind w:right="20"/>
              <w:spacing w:after="0" w:line="205" w:lineRule="exact"/>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5720" w:type="dxa"/>
            <w:vAlign w:val="bottom"/>
            <w:tcBorders>
              <w:top w:val="single" w:sz="8" w:color="CFF2FA"/>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2FA"/>
            </w:tcBorders>
          </w:tcPr>
          <w:p>
            <w:pPr>
              <w:spacing w:after="0" w:line="20" w:lineRule="exact"/>
              <w:rPr>
                <w:sz w:val="1"/>
                <w:szCs w:val="1"/>
                <w:color w:val="auto"/>
              </w:rPr>
            </w:pPr>
          </w:p>
        </w:tc>
        <w:tc>
          <w:tcPr>
            <w:tcW w:w="80" w:type="dxa"/>
            <w:vAlign w:val="bottom"/>
            <w:tcBorders>
              <w:top w:val="single" w:sz="8" w:color="CFF2FA"/>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Earnings before interest, income taxes, depreciation, depletion and amortization (“EBITDA”) is a widely accepted financial indicator of a company’s ability to service and/or incur indebtedness. EBITDA is not defined by generally accepted accounting principles and, as such, should not be construed as an alternative to net earnings or operating cash flow. EBITDA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00" w:type="dxa"/>
            <w:vAlign w:val="bottom"/>
            <w:gridSpan w:val="5"/>
          </w:tcPr>
          <w:p>
            <w:pPr>
              <w:ind w:left="140"/>
              <w:spacing w:after="0"/>
              <w:rPr>
                <w:sz w:val="20"/>
                <w:szCs w:val="20"/>
                <w:color w:val="auto"/>
              </w:rPr>
            </w:pPr>
            <w:r>
              <w:rPr>
                <w:rFonts w:ascii="Arial" w:cs="Arial" w:eastAsia="Arial" w:hAnsi="Arial"/>
                <w:sz w:val="18"/>
                <w:szCs w:val="18"/>
                <w:color w:val="auto"/>
              </w:rPr>
              <w:t>Three Months Ended</w:t>
            </w:r>
          </w:p>
        </w:tc>
        <w:tc>
          <w:tcPr>
            <w:tcW w:w="2080" w:type="dxa"/>
            <w:vAlign w:val="bottom"/>
            <w:gridSpan w:val="5"/>
          </w:tcPr>
          <w:p>
            <w:pPr>
              <w:jc w:val="center"/>
              <w:ind w:right="100"/>
              <w:spacing w:after="0"/>
              <w:rPr>
                <w:sz w:val="20"/>
                <w:szCs w:val="20"/>
                <w:color w:val="auto"/>
              </w:rPr>
            </w:pPr>
            <w:r>
              <w:rPr>
                <w:rFonts w:ascii="Arial" w:cs="Arial" w:eastAsia="Arial" w:hAnsi="Arial"/>
                <w:sz w:val="18"/>
                <w:szCs w:val="18"/>
                <w:color w:val="auto"/>
                <w:w w:val="94"/>
              </w:rPr>
              <w:t>Six Months Ended</w:t>
            </w:r>
          </w:p>
        </w:tc>
      </w:tr>
      <w:tr>
        <w:trPr>
          <w:trHeight w:val="231"/>
        </w:trPr>
        <w:tc>
          <w:tcPr>
            <w:tcW w:w="5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color w:val="auto"/>
                <w:w w:val="95"/>
              </w:rPr>
              <w:t>June 30,</w:t>
            </w:r>
          </w:p>
        </w:tc>
        <w:tc>
          <w:tcPr>
            <w:tcW w:w="7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Borders>
              <w:bottom w:val="single" w:sz="8" w:color="auto"/>
            </w:tcBorders>
            <w:gridSpan w:val="3"/>
          </w:tcPr>
          <w:p>
            <w:pPr>
              <w:jc w:val="center"/>
              <w:ind w:left="568"/>
              <w:spacing w:after="0"/>
              <w:rPr>
                <w:sz w:val="20"/>
                <w:szCs w:val="20"/>
                <w:color w:val="auto"/>
              </w:rPr>
            </w:pPr>
            <w:r>
              <w:rPr>
                <w:rFonts w:ascii="Arial" w:cs="Arial" w:eastAsia="Arial" w:hAnsi="Arial"/>
                <w:sz w:val="18"/>
                <w:szCs w:val="18"/>
                <w:color w:val="auto"/>
                <w:w w:val="89"/>
              </w:rPr>
              <w:t>June 30,</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940" w:type="dxa"/>
            <w:vAlign w:val="bottom"/>
            <w:tcBorders>
              <w:bottom w:val="single" w:sz="8" w:color="CFF0FD"/>
            </w:tcBorders>
          </w:tcPr>
          <w:p>
            <w:pPr>
              <w:spacing w:after="0"/>
              <w:rPr>
                <w:sz w:val="20"/>
                <w:szCs w:val="20"/>
                <w:color w:val="auto"/>
              </w:rPr>
            </w:pPr>
            <w:r>
              <w:rPr>
                <w:rFonts w:ascii="Arial" w:cs="Arial" w:eastAsia="Arial" w:hAnsi="Arial"/>
                <w:sz w:val="18"/>
                <w:szCs w:val="18"/>
                <w:i w:val="1"/>
                <w:iCs w:val="1"/>
                <w:color w:val="auto"/>
              </w:rPr>
              <w:t>(dollars in thousands)</w:t>
            </w:r>
          </w:p>
        </w:tc>
        <w:tc>
          <w:tcPr>
            <w:tcW w:w="900" w:type="dxa"/>
            <w:vAlign w:val="bottom"/>
            <w:tcBorders>
              <w:bottom w:val="single" w:sz="8" w:color="CFF0FD"/>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CFF0FD"/>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CFF0FD"/>
            </w:tcBorders>
          </w:tcPr>
          <w:p>
            <w:pPr>
              <w:spacing w:after="0"/>
              <w:rPr>
                <w:sz w:val="21"/>
                <w:szCs w:val="21"/>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CFF0FD"/>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D"/>
            </w:tcBorders>
          </w:tcPr>
          <w:p>
            <w:pPr>
              <w:spacing w:after="0"/>
              <w:rPr>
                <w:sz w:val="21"/>
                <w:szCs w:val="21"/>
                <w:color w:val="auto"/>
              </w:rPr>
            </w:pPr>
          </w:p>
        </w:tc>
      </w:tr>
      <w:tr>
        <w:trPr>
          <w:trHeight w:val="203"/>
        </w:trPr>
        <w:tc>
          <w:tcPr>
            <w:tcW w:w="5940" w:type="dxa"/>
            <w:vAlign w:val="bottom"/>
            <w:shd w:val="clear" w:color="auto" w:fill="CFF0FD"/>
          </w:tcPr>
          <w:p>
            <w:pPr>
              <w:spacing w:after="0" w:line="203" w:lineRule="exact"/>
              <w:rPr>
                <w:sz w:val="20"/>
                <w:szCs w:val="20"/>
                <w:color w:val="auto"/>
              </w:rPr>
            </w:pPr>
            <w:r>
              <w:rPr>
                <w:rFonts w:ascii="Arial" w:cs="Arial" w:eastAsia="Arial" w:hAnsi="Arial"/>
                <w:sz w:val="18"/>
                <w:szCs w:val="18"/>
                <w:color w:val="auto"/>
              </w:rPr>
              <w:t>Consolidated Earnings Before Interest, Income Taxes, Depreciation,</w:t>
            </w:r>
          </w:p>
        </w:tc>
        <w:tc>
          <w:tcPr>
            <w:tcW w:w="900" w:type="dxa"/>
            <w:vAlign w:val="bottom"/>
            <w:shd w:val="clear" w:color="auto" w:fill="CFF0FD"/>
          </w:tcPr>
          <w:p>
            <w:pPr>
              <w:spacing w:after="0"/>
              <w:rPr>
                <w:sz w:val="17"/>
                <w:szCs w:val="17"/>
                <w:color w:val="auto"/>
              </w:rPr>
            </w:pPr>
          </w:p>
        </w:tc>
        <w:tc>
          <w:tcPr>
            <w:tcW w:w="200" w:type="dxa"/>
            <w:vAlign w:val="bottom"/>
            <w:shd w:val="clear" w:color="auto" w:fill="CFF0FD"/>
          </w:tcPr>
          <w:p>
            <w:pPr>
              <w:spacing w:after="0"/>
              <w:rPr>
                <w:sz w:val="17"/>
                <w:szCs w:val="17"/>
                <w:color w:val="auto"/>
              </w:rPr>
            </w:pPr>
          </w:p>
        </w:tc>
        <w:tc>
          <w:tcPr>
            <w:tcW w:w="840" w:type="dxa"/>
            <w:vAlign w:val="bottom"/>
            <w:shd w:val="clear" w:color="auto" w:fill="CFF0FD"/>
          </w:tcPr>
          <w:p>
            <w:pPr>
              <w:spacing w:after="0"/>
              <w:rPr>
                <w:sz w:val="17"/>
                <w:szCs w:val="17"/>
                <w:color w:val="auto"/>
              </w:rPr>
            </w:pPr>
          </w:p>
        </w:tc>
        <w:tc>
          <w:tcPr>
            <w:tcW w:w="260" w:type="dxa"/>
            <w:vAlign w:val="bottom"/>
            <w:shd w:val="clear" w:color="auto" w:fill="CFF0FD"/>
          </w:tcPr>
          <w:p>
            <w:pPr>
              <w:spacing w:after="0"/>
              <w:rPr>
                <w:sz w:val="17"/>
                <w:szCs w:val="17"/>
                <w:color w:val="auto"/>
              </w:rPr>
            </w:pPr>
          </w:p>
        </w:tc>
        <w:tc>
          <w:tcPr>
            <w:tcW w:w="200" w:type="dxa"/>
            <w:vAlign w:val="bottom"/>
            <w:shd w:val="clear" w:color="auto" w:fill="CFF0FD"/>
          </w:tcPr>
          <w:p>
            <w:pPr>
              <w:spacing w:after="0"/>
              <w:rPr>
                <w:sz w:val="17"/>
                <w:szCs w:val="17"/>
                <w:color w:val="auto"/>
              </w:rPr>
            </w:pPr>
          </w:p>
        </w:tc>
        <w:tc>
          <w:tcPr>
            <w:tcW w:w="760" w:type="dxa"/>
            <w:vAlign w:val="bottom"/>
            <w:shd w:val="clear" w:color="auto" w:fill="CFF0FD"/>
          </w:tcPr>
          <w:p>
            <w:pPr>
              <w:spacing w:after="0"/>
              <w:rPr>
                <w:sz w:val="17"/>
                <w:szCs w:val="17"/>
                <w:color w:val="auto"/>
              </w:rPr>
            </w:pPr>
          </w:p>
        </w:tc>
        <w:tc>
          <w:tcPr>
            <w:tcW w:w="240" w:type="dxa"/>
            <w:vAlign w:val="bottom"/>
            <w:shd w:val="clear" w:color="auto" w:fill="CFF0FD"/>
          </w:tcPr>
          <w:p>
            <w:pPr>
              <w:spacing w:after="0"/>
              <w:rPr>
                <w:sz w:val="17"/>
                <w:szCs w:val="17"/>
                <w:color w:val="auto"/>
              </w:rPr>
            </w:pPr>
          </w:p>
        </w:tc>
        <w:tc>
          <w:tcPr>
            <w:tcW w:w="860" w:type="dxa"/>
            <w:vAlign w:val="bottom"/>
            <w:shd w:val="clear" w:color="auto" w:fill="CFF0FD"/>
          </w:tcPr>
          <w:p>
            <w:pPr>
              <w:spacing w:after="0"/>
              <w:rPr>
                <w:sz w:val="17"/>
                <w:szCs w:val="17"/>
                <w:color w:val="auto"/>
              </w:rPr>
            </w:pPr>
          </w:p>
        </w:tc>
        <w:tc>
          <w:tcPr>
            <w:tcW w:w="260" w:type="dxa"/>
            <w:vAlign w:val="bottom"/>
            <w:shd w:val="clear" w:color="auto" w:fill="CFF0FD"/>
          </w:tcPr>
          <w:p>
            <w:pPr>
              <w:spacing w:after="0"/>
              <w:rPr>
                <w:sz w:val="17"/>
                <w:szCs w:val="17"/>
                <w:color w:val="auto"/>
              </w:rPr>
            </w:pPr>
          </w:p>
        </w:tc>
        <w:tc>
          <w:tcPr>
            <w:tcW w:w="200" w:type="dxa"/>
            <w:vAlign w:val="bottom"/>
            <w:shd w:val="clear" w:color="auto" w:fill="CFF0FD"/>
          </w:tcPr>
          <w:p>
            <w:pPr>
              <w:spacing w:after="0"/>
              <w:rPr>
                <w:sz w:val="17"/>
                <w:szCs w:val="17"/>
                <w:color w:val="auto"/>
              </w:rPr>
            </w:pPr>
          </w:p>
        </w:tc>
        <w:tc>
          <w:tcPr>
            <w:tcW w:w="660" w:type="dxa"/>
            <w:vAlign w:val="bottom"/>
            <w:shd w:val="clear" w:color="auto" w:fill="CFF0FD"/>
          </w:tcPr>
          <w:p>
            <w:pPr>
              <w:spacing w:after="0"/>
              <w:rPr>
                <w:sz w:val="17"/>
                <w:szCs w:val="17"/>
                <w:color w:val="auto"/>
              </w:rPr>
            </w:pPr>
          </w:p>
        </w:tc>
        <w:tc>
          <w:tcPr>
            <w:tcW w:w="100" w:type="dxa"/>
            <w:vAlign w:val="bottom"/>
            <w:shd w:val="clear" w:color="auto" w:fill="CFF0FD"/>
          </w:tcPr>
          <w:p>
            <w:pPr>
              <w:spacing w:after="0"/>
              <w:rPr>
                <w:sz w:val="17"/>
                <w:szCs w:val="17"/>
                <w:color w:val="auto"/>
              </w:rPr>
            </w:pPr>
          </w:p>
        </w:tc>
      </w:tr>
      <w:tr>
        <w:trPr>
          <w:trHeight w:val="231"/>
        </w:trPr>
        <w:tc>
          <w:tcPr>
            <w:tcW w:w="5940" w:type="dxa"/>
            <w:vAlign w:val="bottom"/>
            <w:shd w:val="clear" w:color="auto" w:fill="CFF0FD"/>
          </w:tcPr>
          <w:p>
            <w:pPr>
              <w:ind w:left="240"/>
              <w:spacing w:after="0"/>
              <w:rPr>
                <w:sz w:val="20"/>
                <w:szCs w:val="20"/>
                <w:color w:val="auto"/>
              </w:rPr>
            </w:pPr>
            <w:r>
              <w:rPr>
                <w:rFonts w:ascii="Arial" w:cs="Arial" w:eastAsia="Arial" w:hAnsi="Arial"/>
                <w:sz w:val="18"/>
                <w:szCs w:val="18"/>
                <w:color w:val="auto"/>
              </w:rPr>
              <w:t>Depletion and Amortization</w:t>
            </w:r>
          </w:p>
        </w:tc>
        <w:tc>
          <w:tcPr>
            <w:tcW w:w="1100" w:type="dxa"/>
            <w:vAlign w:val="bottom"/>
            <w:gridSpan w:val="2"/>
            <w:shd w:val="clear" w:color="auto" w:fill="CFF0FD"/>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D"/>
          </w:tcPr>
          <w:p>
            <w:pPr>
              <w:jc w:val="right"/>
              <w:spacing w:after="0"/>
              <w:rPr>
                <w:sz w:val="20"/>
                <w:szCs w:val="20"/>
                <w:color w:val="auto"/>
              </w:rPr>
            </w:pPr>
            <w:r>
              <w:rPr>
                <w:rFonts w:ascii="Arial" w:cs="Arial" w:eastAsia="Arial" w:hAnsi="Arial"/>
                <w:sz w:val="18"/>
                <w:szCs w:val="18"/>
                <w:color w:val="auto"/>
              </w:rPr>
              <w:t>266,480</w:t>
            </w:r>
          </w:p>
        </w:tc>
        <w:tc>
          <w:tcPr>
            <w:tcW w:w="460" w:type="dxa"/>
            <w:vAlign w:val="bottom"/>
            <w:gridSpan w:val="2"/>
            <w:shd w:val="clear" w:color="auto" w:fill="CFF0FD"/>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D"/>
          </w:tcPr>
          <w:p>
            <w:pPr>
              <w:jc w:val="right"/>
              <w:spacing w:after="0"/>
              <w:rPr>
                <w:sz w:val="20"/>
                <w:szCs w:val="20"/>
                <w:color w:val="auto"/>
              </w:rPr>
            </w:pPr>
            <w:r>
              <w:rPr>
                <w:rFonts w:ascii="Arial" w:cs="Arial" w:eastAsia="Arial" w:hAnsi="Arial"/>
                <w:sz w:val="18"/>
                <w:szCs w:val="18"/>
                <w:color w:val="auto"/>
              </w:rPr>
              <w:t>206,903</w:t>
            </w:r>
          </w:p>
        </w:tc>
        <w:tc>
          <w:tcPr>
            <w:tcW w:w="240" w:type="dxa"/>
            <w:vAlign w:val="bottom"/>
            <w:shd w:val="clear" w:color="auto" w:fill="CFF0FD"/>
          </w:tcPr>
          <w:p>
            <w:pPr>
              <w:spacing w:after="0"/>
              <w:rPr>
                <w:sz w:val="20"/>
                <w:szCs w:val="20"/>
                <w:color w:val="auto"/>
              </w:rPr>
            </w:pPr>
          </w:p>
        </w:tc>
        <w:tc>
          <w:tcPr>
            <w:tcW w:w="860" w:type="dxa"/>
            <w:vAlign w:val="bottom"/>
            <w:shd w:val="clear" w:color="auto" w:fill="CFF0FD"/>
          </w:tcPr>
          <w:p>
            <w:pPr>
              <w:jc w:val="right"/>
              <w:spacing w:after="0"/>
              <w:rPr>
                <w:sz w:val="20"/>
                <w:szCs w:val="20"/>
                <w:color w:val="auto"/>
              </w:rPr>
            </w:pPr>
            <w:r>
              <w:rPr>
                <w:rFonts w:ascii="Arial" w:cs="Arial" w:eastAsia="Arial" w:hAnsi="Arial"/>
                <w:sz w:val="18"/>
                <w:szCs w:val="18"/>
                <w:color w:val="auto"/>
                <w:w w:val="98"/>
              </w:rPr>
              <w:t>$  419,102</w:t>
            </w:r>
          </w:p>
        </w:tc>
        <w:tc>
          <w:tcPr>
            <w:tcW w:w="460" w:type="dxa"/>
            <w:vAlign w:val="bottom"/>
            <w:gridSpan w:val="2"/>
            <w:shd w:val="clear" w:color="auto" w:fill="CFF0FD"/>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D"/>
          </w:tcPr>
          <w:p>
            <w:pPr>
              <w:ind w:left="40"/>
              <w:spacing w:after="0"/>
              <w:rPr>
                <w:sz w:val="20"/>
                <w:szCs w:val="20"/>
                <w:color w:val="auto"/>
              </w:rPr>
            </w:pPr>
            <w:r>
              <w:rPr>
                <w:rFonts w:ascii="Arial" w:cs="Arial" w:eastAsia="Arial" w:hAnsi="Arial"/>
                <w:sz w:val="18"/>
                <w:szCs w:val="18"/>
                <w:color w:val="auto"/>
                <w:w w:val="92"/>
              </w:rPr>
              <w:t>298,109</w:t>
            </w:r>
          </w:p>
        </w:tc>
        <w:tc>
          <w:tcPr>
            <w:tcW w:w="100" w:type="dxa"/>
            <w:vAlign w:val="bottom"/>
            <w:shd w:val="clear" w:color="auto" w:fill="CFF0FD"/>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Net Earnings Attributable to Martin Marietta Materials, Inc. to Consolidated EBITDA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gridSpan w:val="5"/>
          </w:tcPr>
          <w:p>
            <w:pPr>
              <w:ind w:left="10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5"/>
          </w:tcPr>
          <w:p>
            <w:pPr>
              <w:jc w:val="right"/>
              <w:ind w:right="52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5"/>
          </w:tcPr>
          <w:p>
            <w:pPr>
              <w:jc w:val="right"/>
              <w:ind w:right="90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2016</w:t>
            </w:r>
          </w:p>
        </w:tc>
        <w:tc>
          <w:tcPr>
            <w:tcW w:w="3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8"/>
                <w:szCs w:val="18"/>
                <w:color w:val="auto"/>
              </w:rPr>
              <w:t>2016</w:t>
            </w:r>
          </w:p>
        </w:tc>
        <w:tc>
          <w:tcPr>
            <w:tcW w:w="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6"/>
          </w:tcPr>
          <w:p>
            <w:pPr>
              <w:jc w:val="right"/>
              <w:ind w:right="560"/>
              <w:spacing w:after="0"/>
              <w:rPr>
                <w:sz w:val="20"/>
                <w:szCs w:val="20"/>
                <w:color w:val="auto"/>
              </w:rPr>
            </w:pPr>
            <w:r>
              <w:rPr>
                <w:rFonts w:ascii="Arial" w:cs="Arial" w:eastAsia="Arial" w:hAnsi="Arial"/>
                <w:sz w:val="18"/>
                <w:szCs w:val="18"/>
                <w:i w:val="1"/>
                <w:iCs w:val="1"/>
                <w:color w:val="auto"/>
                <w:w w:val="95"/>
              </w:rPr>
              <w:t>(Dollars in thousands)</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122,052</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81,938</w:t>
            </w:r>
          </w:p>
        </w:tc>
        <w:tc>
          <w:tcPr>
            <w:tcW w:w="2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167,047</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88,065</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Add back:</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20,294</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40,328</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38,418</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00" w:type="dxa"/>
            <w:vAlign w:val="bottom"/>
          </w:tcPr>
          <w:p>
            <w:pPr>
              <w:ind w:left="220"/>
              <w:spacing w:after="0"/>
              <w:rPr>
                <w:sz w:val="20"/>
                <w:szCs w:val="20"/>
                <w:color w:val="auto"/>
              </w:rPr>
            </w:pPr>
            <w:r>
              <w:rPr>
                <w:rFonts w:ascii="Arial" w:cs="Arial" w:eastAsia="Arial" w:hAnsi="Arial"/>
                <w:sz w:val="18"/>
                <w:szCs w:val="18"/>
                <w:color w:val="auto"/>
              </w:rPr>
              <w:t>Income tax expense for controlling interests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53,406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38,914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73,073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38,088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Depreciation, depletion and amortization expense</w:t>
            </w: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70,728</w:t>
            </w:r>
          </w:p>
        </w:tc>
        <w:tc>
          <w:tcPr>
            <w:tcW w:w="3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66,964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138,654</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133,538</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6720" w:type="dxa"/>
            <w:vAlign w:val="bottom"/>
            <w:gridSpan w:val="2"/>
          </w:tcPr>
          <w:p>
            <w:pPr>
              <w:spacing w:after="0"/>
              <w:rPr>
                <w:sz w:val="20"/>
                <w:szCs w:val="20"/>
                <w:color w:val="auto"/>
              </w:rPr>
            </w:pPr>
            <w:r>
              <w:rPr>
                <w:rFonts w:ascii="Arial" w:cs="Arial" w:eastAsia="Arial" w:hAnsi="Arial"/>
                <w:sz w:val="18"/>
                <w:szCs w:val="18"/>
                <w:color w:val="auto"/>
              </w:rPr>
              <w:t>Consolidated EBITDA</w:t>
            </w: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266,480</w:t>
            </w:r>
          </w:p>
        </w:tc>
        <w:tc>
          <w:tcPr>
            <w:tcW w:w="3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206,903</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419,102</w:t>
            </w:r>
          </w:p>
        </w:tc>
        <w:tc>
          <w:tcPr>
            <w:tcW w:w="3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298,109</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7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vMerge w:val="continue"/>
          </w:tcPr>
          <w:p>
            <w:pPr>
              <w:spacing w:after="0"/>
              <w:rPr>
                <w:sz w:val="23"/>
                <w:szCs w:val="23"/>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915,436</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850,249</w:t>
            </w:r>
          </w:p>
        </w:tc>
        <w:tc>
          <w:tcPr>
            <w:tcW w:w="2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1,649,396</w:t>
            </w:r>
          </w:p>
        </w:tc>
        <w:tc>
          <w:tcPr>
            <w:tcW w:w="3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1,482,124</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7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EBITDA Margin as a Percentage of Net Sales</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Incremental consolidated gross margin (excluding freight and delivery revenues) is a non-GAAP measure. The Corporation presents this metric to enhance analysts’ and investors’ understanding of the impact of increased net sales on profitability. Due to the significant amount of fixed costs, gross margin (excluding freight and delivery revenues) typically increases at a disproportionate rate in periods of increased shipments. The following shows the calculation of incremental consolidated gross margin (excluding freight and delivery revenues) for the period ended June 30:</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7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Three Months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Six Months</w:t>
            </w:r>
          </w:p>
        </w:tc>
      </w:tr>
      <w:tr>
        <w:trPr>
          <w:trHeight w:val="231"/>
        </w:trPr>
        <w:tc>
          <w:tcPr>
            <w:tcW w:w="7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Ended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Ended</w:t>
            </w:r>
          </w:p>
        </w:tc>
      </w:tr>
      <w:tr>
        <w:trPr>
          <w:trHeight w:val="220"/>
        </w:trPr>
        <w:tc>
          <w:tcPr>
            <w:tcW w:w="79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5"/>
          </w:tcPr>
          <w:p>
            <w:pPr>
              <w:jc w:val="right"/>
              <w:ind w:right="688"/>
              <w:spacing w:after="0"/>
              <w:rPr>
                <w:sz w:val="20"/>
                <w:szCs w:val="20"/>
                <w:color w:val="auto"/>
              </w:rPr>
            </w:pPr>
            <w:r>
              <w:rPr>
                <w:rFonts w:ascii="Arial" w:cs="Arial" w:eastAsia="Arial" w:hAnsi="Arial"/>
                <w:sz w:val="18"/>
                <w:szCs w:val="18"/>
                <w:i w:val="1"/>
                <w:iCs w:val="1"/>
                <w:color w:val="auto"/>
              </w:rPr>
              <w:t>(Dollars in thousands)</w:t>
            </w:r>
          </w:p>
        </w:tc>
        <w:tc>
          <w:tcPr>
            <w:tcW w:w="180" w:type="dxa"/>
            <w:vAlign w:val="bottom"/>
          </w:tcPr>
          <w:p>
            <w:pPr>
              <w:spacing w:after="0"/>
              <w:rPr>
                <w:sz w:val="19"/>
                <w:szCs w:val="19"/>
                <w:color w:val="auto"/>
              </w:rPr>
            </w:pPr>
          </w:p>
        </w:tc>
      </w:tr>
      <w:tr>
        <w:trPr>
          <w:trHeight w:val="227"/>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sales for the period ended June 30, 2016</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915,436</w:t>
            </w:r>
          </w:p>
        </w:tc>
        <w:tc>
          <w:tcPr>
            <w:tcW w:w="2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3"/>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1,649,396</w:t>
            </w:r>
          </w:p>
        </w:tc>
        <w:tc>
          <w:tcPr>
            <w:tcW w:w="180" w:type="dxa"/>
            <w:vAlign w:val="bottom"/>
            <w:shd w:val="clear" w:color="auto" w:fill="CFF0FC"/>
          </w:tcPr>
          <w:p>
            <w:pPr>
              <w:spacing w:after="0"/>
              <w:rPr>
                <w:sz w:val="19"/>
                <w:szCs w:val="19"/>
                <w:color w:val="auto"/>
              </w:rPr>
            </w:pPr>
          </w:p>
        </w:tc>
      </w:tr>
      <w:tr>
        <w:trPr>
          <w:trHeight w:val="227"/>
        </w:trPr>
        <w:tc>
          <w:tcPr>
            <w:tcW w:w="7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Consolidated net sales for the period ended June 30, 2015</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850,249</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1,482,124</w:t>
            </w:r>
          </w:p>
        </w:tc>
        <w:tc>
          <w:tcPr>
            <w:tcW w:w="180" w:type="dxa"/>
            <w:vAlign w:val="bottom"/>
            <w:tcBorders>
              <w:bottom w:val="single" w:sz="8" w:color="CFF0FC"/>
            </w:tcBorders>
          </w:tcPr>
          <w:p>
            <w:pPr>
              <w:spacing w:after="0"/>
              <w:rPr>
                <w:sz w:val="19"/>
                <w:szCs w:val="19"/>
                <w:color w:val="auto"/>
              </w:rPr>
            </w:pPr>
          </w:p>
        </w:tc>
      </w:tr>
      <w:tr>
        <w:trPr>
          <w:trHeight w:val="220"/>
        </w:trPr>
        <w:tc>
          <w:tcPr>
            <w:tcW w:w="7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Incremental net sales</w:t>
            </w:r>
          </w:p>
        </w:tc>
        <w:tc>
          <w:tcPr>
            <w:tcW w:w="16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65,187</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167,272</w:t>
            </w:r>
          </w:p>
        </w:tc>
        <w:tc>
          <w:tcPr>
            <w:tcW w:w="180" w:type="dxa"/>
            <w:vAlign w:val="bottom"/>
            <w:tcBorders>
              <w:bottom w:val="single" w:sz="8" w:color="CFF0FC"/>
            </w:tcBorders>
            <w:shd w:val="clear" w:color="auto" w:fill="CFF0FC"/>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7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7"/>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Consolidated gross profit for the period ended June 30, 2016</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246,701</w:t>
            </w:r>
          </w:p>
        </w:tc>
        <w:tc>
          <w:tcPr>
            <w:tcW w:w="2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3"/>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391,335</w:t>
            </w:r>
          </w:p>
        </w:tc>
        <w:tc>
          <w:tcPr>
            <w:tcW w:w="180" w:type="dxa"/>
            <w:vAlign w:val="bottom"/>
            <w:shd w:val="clear" w:color="auto" w:fill="CFF0FC"/>
          </w:tcPr>
          <w:p>
            <w:pPr>
              <w:spacing w:after="0"/>
              <w:rPr>
                <w:sz w:val="19"/>
                <w:szCs w:val="19"/>
                <w:color w:val="auto"/>
              </w:rPr>
            </w:pPr>
          </w:p>
        </w:tc>
      </w:tr>
      <w:tr>
        <w:trPr>
          <w:trHeight w:val="227"/>
        </w:trPr>
        <w:tc>
          <w:tcPr>
            <w:tcW w:w="7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Consolidated gross profit for the period ended June 30, 2015</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200,153</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274,414</w:t>
            </w:r>
          </w:p>
        </w:tc>
        <w:tc>
          <w:tcPr>
            <w:tcW w:w="180" w:type="dxa"/>
            <w:vAlign w:val="bottom"/>
            <w:tcBorders>
              <w:bottom w:val="single" w:sz="8" w:color="CFF0FC"/>
            </w:tcBorders>
          </w:tcPr>
          <w:p>
            <w:pPr>
              <w:spacing w:after="0"/>
              <w:rPr>
                <w:sz w:val="19"/>
                <w:szCs w:val="19"/>
                <w:color w:val="auto"/>
              </w:rPr>
            </w:pPr>
          </w:p>
        </w:tc>
      </w:tr>
      <w:tr>
        <w:trPr>
          <w:trHeight w:val="220"/>
        </w:trPr>
        <w:tc>
          <w:tcPr>
            <w:tcW w:w="7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Incremental gross profit</w:t>
            </w:r>
          </w:p>
        </w:tc>
        <w:tc>
          <w:tcPr>
            <w:tcW w:w="16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46,548</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116,921</w:t>
            </w:r>
          </w:p>
        </w:tc>
        <w:tc>
          <w:tcPr>
            <w:tcW w:w="180" w:type="dxa"/>
            <w:vAlign w:val="bottom"/>
            <w:tcBorders>
              <w:bottom w:val="single" w:sz="8" w:color="CFF0FC"/>
            </w:tcBorders>
            <w:shd w:val="clear" w:color="auto" w:fill="CFF0FC"/>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7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0"/>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Incremental consolidated gross margin (excluding freight and delivery</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1"/>
        </w:trPr>
        <w:tc>
          <w:tcPr>
            <w:tcW w:w="7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revenues) for period ended June 30, 2016</w:t>
            </w:r>
          </w:p>
        </w:tc>
        <w:tc>
          <w:tcPr>
            <w:tcW w:w="16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71.4%</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69.9%</w:t>
            </w:r>
          </w:p>
        </w:tc>
      </w:tr>
      <w:tr>
        <w:trPr>
          <w:trHeight w:val="20"/>
        </w:trPr>
        <w:tc>
          <w:tcPr>
            <w:tcW w:w="79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Corporation presents the increase in cement business shipments, excluding shipments attributable to the California cement operations which were divested in September 2015, from the prior-year quarter. Management presents this measure as it presents the growth in cement shipments on a comparable basis. (shipments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2460" w:type="dxa"/>
            <w:vAlign w:val="bottom"/>
            <w:gridSpan w:val="4"/>
          </w:tcPr>
          <w:p>
            <w:pPr>
              <w:jc w:val="center"/>
              <w:ind w:left="328"/>
              <w:spacing w:after="0"/>
              <w:rPr>
                <w:sz w:val="20"/>
                <w:szCs w:val="20"/>
                <w:color w:val="auto"/>
              </w:rPr>
            </w:pPr>
            <w:r>
              <w:rPr>
                <w:rFonts w:ascii="Arial" w:cs="Arial" w:eastAsia="Arial" w:hAnsi="Arial"/>
                <w:sz w:val="18"/>
                <w:szCs w:val="18"/>
                <w:color w:val="auto"/>
                <w:w w:val="92"/>
              </w:rPr>
              <w:t>Three Months Ended</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8"/>
                <w:szCs w:val="18"/>
                <w:color w:val="auto"/>
                <w:w w:val="89"/>
              </w:rPr>
              <w:t>June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420" w:type="dxa"/>
            <w:vAlign w:val="bottom"/>
            <w:gridSpan w:val="2"/>
          </w:tcPr>
          <w:p>
            <w:pPr>
              <w:spacing w:after="0"/>
              <w:rPr>
                <w:sz w:val="19"/>
                <w:szCs w:val="19"/>
                <w:color w:val="auto"/>
              </w:rPr>
            </w:pPr>
          </w:p>
        </w:tc>
        <w:tc>
          <w:tcPr>
            <w:tcW w:w="940" w:type="dxa"/>
            <w:vAlign w:val="bottom"/>
          </w:tcPr>
          <w:p>
            <w:pPr>
              <w:jc w:val="right"/>
              <w:ind w:right="8"/>
              <w:spacing w:after="0"/>
              <w:rPr>
                <w:sz w:val="20"/>
                <w:szCs w:val="20"/>
                <w:color w:val="auto"/>
              </w:rPr>
            </w:pPr>
            <w:r>
              <w:rPr>
                <w:rFonts w:ascii="Arial" w:cs="Arial" w:eastAsia="Arial" w:hAnsi="Arial"/>
                <w:sz w:val="18"/>
                <w:szCs w:val="18"/>
                <w:color w:val="auto"/>
              </w:rPr>
              <w:t>2016</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2015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420" w:type="dxa"/>
            <w:vAlign w:val="bottom"/>
            <w:gridSpan w:val="2"/>
          </w:tcPr>
          <w:p>
            <w:pPr>
              <w:spacing w:after="0"/>
              <w:rPr>
                <w:sz w:val="20"/>
                <w:szCs w:val="20"/>
                <w:color w:val="auto"/>
              </w:rPr>
            </w:pPr>
            <w:r>
              <w:rPr>
                <w:rFonts w:ascii="Arial" w:cs="Arial" w:eastAsia="Arial" w:hAnsi="Arial"/>
                <w:sz w:val="18"/>
                <w:szCs w:val="18"/>
                <w:color w:val="auto"/>
              </w:rPr>
              <w:t>Cement shipments</w:t>
            </w:r>
          </w:p>
        </w:tc>
        <w:tc>
          <w:tcPr>
            <w:tcW w:w="9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3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9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Cement shipments attributable to the California cement operations</w:t>
            </w:r>
          </w:p>
        </w:tc>
        <w:tc>
          <w:tcPr>
            <w:tcW w:w="1520" w:type="dxa"/>
            <w:vAlign w:val="bottom"/>
            <w:gridSpan w:val="3"/>
            <w:shd w:val="clear" w:color="auto" w:fill="CFF0FC"/>
          </w:tcPr>
          <w:p>
            <w:pPr>
              <w:jc w:val="right"/>
              <w:ind w:right="1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60"/>
        </w:trPr>
        <w:tc>
          <w:tcPr>
            <w:tcW w:w="8420" w:type="dxa"/>
            <w:vAlign w:val="bottom"/>
            <w:gridSpan w:val="2"/>
          </w:tcPr>
          <w:p>
            <w:pPr>
              <w:spacing w:after="0"/>
              <w:rPr>
                <w:sz w:val="20"/>
                <w:szCs w:val="20"/>
                <w:color w:val="auto"/>
              </w:rPr>
            </w:pPr>
            <w:r>
              <w:rPr>
                <w:rFonts w:ascii="Arial" w:cs="Arial" w:eastAsia="Arial" w:hAnsi="Arial"/>
                <w:sz w:val="18"/>
                <w:szCs w:val="18"/>
                <w:color w:val="auto"/>
              </w:rPr>
              <w:t>Cement shipments excluding shipments attributable to the California cement operations</w:t>
            </w:r>
          </w:p>
        </w:tc>
        <w:tc>
          <w:tcPr>
            <w:tcW w:w="94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360" w:type="dxa"/>
            <w:vAlign w:val="bottom"/>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40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Increase in cement shipments, excluding shipments attributable to the California</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340" w:type="dxa"/>
            <w:vAlign w:val="bottom"/>
            <w:gridSpan w:val="2"/>
          </w:tcPr>
          <w:p>
            <w:pPr>
              <w:jc w:val="right"/>
              <w:ind w:right="7688"/>
              <w:spacing w:after="0"/>
              <w:rPr>
                <w:sz w:val="20"/>
                <w:szCs w:val="20"/>
                <w:color w:val="auto"/>
              </w:rPr>
            </w:pPr>
            <w:r>
              <w:rPr>
                <w:rFonts w:ascii="Arial" w:cs="Arial" w:eastAsia="Arial" w:hAnsi="Arial"/>
                <w:sz w:val="18"/>
                <w:szCs w:val="18"/>
                <w:color w:val="auto"/>
              </w:rPr>
              <w:t>cement operations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for the quarter ended June 30, 2016 (unless noted, all comparisons are versus the prior-year quarter):</w:t>
      </w:r>
    </w:p>
    <w:p>
      <w:pPr>
        <w:spacing w:after="0" w:line="108" w:lineRule="exact"/>
        <w:rPr>
          <w:sz w:val="20"/>
          <w:szCs w:val="20"/>
          <w:color w:val="auto"/>
        </w:rPr>
      </w:pPr>
    </w:p>
    <w:p>
      <w:pPr>
        <w:ind w:left="760" w:hanging="381"/>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Record consolidated net sales of $915.4 million compared with $850.2 million, an increase of 7.7%</w:t>
      </w:r>
    </w:p>
    <w:p>
      <w:pPr>
        <w:spacing w:after="0" w:line="57" w:lineRule="exact"/>
        <w:rPr>
          <w:rFonts w:ascii="Arial" w:cs="Arial" w:eastAsia="Arial" w:hAnsi="Arial"/>
          <w:sz w:val="18"/>
          <w:szCs w:val="18"/>
          <w:color w:val="auto"/>
        </w:rPr>
      </w:pPr>
    </w:p>
    <w:p>
      <w:pPr>
        <w:ind w:left="760" w:hanging="381"/>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Aggregates product line price increase of 6.8%; aggregates product line volume increase of 1.3%</w:t>
      </w:r>
    </w:p>
    <w:p>
      <w:pPr>
        <w:spacing w:after="0" w:line="57" w:lineRule="exact"/>
        <w:rPr>
          <w:rFonts w:ascii="Arial" w:cs="Arial" w:eastAsia="Arial" w:hAnsi="Arial"/>
          <w:sz w:val="18"/>
          <w:szCs w:val="18"/>
          <w:color w:val="auto"/>
        </w:rPr>
      </w:pPr>
    </w:p>
    <w:p>
      <w:pPr>
        <w:ind w:left="1220" w:hanging="374"/>
        <w:spacing w:after="0"/>
        <w:tabs>
          <w:tab w:leader="none" w:pos="12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Aggregates product line volume increase in Mid-America and Southeast Groups of 4.9% and 1.9%, respectively</w:t>
      </w:r>
    </w:p>
    <w:p>
      <w:pPr>
        <w:spacing w:after="0" w:line="57" w:lineRule="exact"/>
        <w:rPr>
          <w:rFonts w:ascii="Arial" w:cs="Arial" w:eastAsia="Arial" w:hAnsi="Arial"/>
          <w:sz w:val="18"/>
          <w:szCs w:val="18"/>
          <w:color w:val="auto"/>
        </w:rPr>
      </w:pPr>
    </w:p>
    <w:p>
      <w:pPr>
        <w:ind w:left="760" w:hanging="381"/>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Cement business net sales of $59.8 million and gross profit of $24.0 million</w:t>
      </w:r>
    </w:p>
    <w:p>
      <w:pPr>
        <w:spacing w:after="0" w:line="57" w:lineRule="exact"/>
        <w:rPr>
          <w:rFonts w:ascii="Arial" w:cs="Arial" w:eastAsia="Arial" w:hAnsi="Arial"/>
          <w:sz w:val="18"/>
          <w:szCs w:val="18"/>
          <w:color w:val="auto"/>
        </w:rPr>
      </w:pPr>
    </w:p>
    <w:p>
      <w:pPr>
        <w:ind w:left="760" w:hanging="381"/>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Magnesia Specialties net sales of $58.9 million and gross profit of $21.7 million</w:t>
      </w:r>
    </w:p>
    <w:p>
      <w:pPr>
        <w:spacing w:after="0" w:line="57" w:lineRule="exact"/>
        <w:rPr>
          <w:rFonts w:ascii="Arial" w:cs="Arial" w:eastAsia="Arial" w:hAnsi="Arial"/>
          <w:sz w:val="18"/>
          <w:szCs w:val="18"/>
          <w:color w:val="auto"/>
        </w:rPr>
      </w:pPr>
    </w:p>
    <w:p>
      <w:pPr>
        <w:ind w:left="760" w:hanging="381"/>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Consolidated gross margin (excluding freight and delivery revenues) of 26.9%, an increase of 340 basis points</w:t>
      </w:r>
    </w:p>
    <w:p>
      <w:pPr>
        <w:spacing w:after="0" w:line="57" w:lineRule="exact"/>
        <w:rPr>
          <w:rFonts w:ascii="Arial" w:cs="Arial" w:eastAsia="Arial" w:hAnsi="Arial"/>
          <w:sz w:val="18"/>
          <w:szCs w:val="18"/>
          <w:color w:val="auto"/>
        </w:rPr>
      </w:pPr>
    </w:p>
    <w:p>
      <w:pPr>
        <w:ind w:left="760" w:hanging="381"/>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Consolidated selling, general and administrative expenses (“SG&amp;A”) of $61.5 million, or 6.7% of net sales</w:t>
      </w:r>
    </w:p>
    <w:p>
      <w:pPr>
        <w:spacing w:after="0" w:line="57" w:lineRule="exact"/>
        <w:rPr>
          <w:rFonts w:ascii="Arial" w:cs="Arial" w:eastAsia="Arial" w:hAnsi="Arial"/>
          <w:sz w:val="18"/>
          <w:szCs w:val="18"/>
          <w:color w:val="auto"/>
        </w:rPr>
      </w:pPr>
    </w:p>
    <w:p>
      <w:pPr>
        <w:ind w:left="760" w:hanging="381"/>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Consolidated earnings from operations of $187.7 million compared with $137.0 million</w:t>
      </w:r>
    </w:p>
    <w:p>
      <w:pPr>
        <w:spacing w:after="0" w:line="57" w:lineRule="exact"/>
        <w:rPr>
          <w:rFonts w:ascii="Arial" w:cs="Arial" w:eastAsia="Arial" w:hAnsi="Arial"/>
          <w:sz w:val="18"/>
          <w:szCs w:val="18"/>
          <w:color w:val="auto"/>
        </w:rPr>
      </w:pPr>
    </w:p>
    <w:p>
      <w:pPr>
        <w:ind w:left="760" w:hanging="381"/>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Earnings per diluted share of $1.90 compared with $1.22</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net sales, gross profit (loss), selling, general and administrative expenses and earnings (loss) from operations data for the Corporation and its reportable segments for the three months ended June 30, 2016 and 2015. In each case, the data is stated as a percentage of net sales of the Corporation or the relevant segment, as the case may be.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center"/>
              <w:ind w:right="700"/>
              <w:spacing w:after="0"/>
              <w:rPr>
                <w:sz w:val="20"/>
                <w:szCs w:val="20"/>
                <w:color w:val="auto"/>
              </w:rPr>
            </w:pPr>
            <w:r>
              <w:rPr>
                <w:rFonts w:ascii="Arial" w:cs="Arial" w:eastAsia="Arial" w:hAnsi="Arial"/>
                <w:sz w:val="18"/>
                <w:szCs w:val="18"/>
                <w:color w:val="auto"/>
                <w:w w:val="91"/>
              </w:rPr>
              <w:t>Three Months Ended June 30,</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2016</w:t>
            </w:r>
          </w:p>
        </w:tc>
        <w:tc>
          <w:tcPr>
            <w:tcW w:w="12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2015</w:t>
            </w: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428"/>
              <w:spacing w:after="0" w:line="203" w:lineRule="exact"/>
              <w:rPr>
                <w:sz w:val="20"/>
                <w:szCs w:val="20"/>
                <w:color w:val="auto"/>
              </w:rPr>
            </w:pPr>
            <w:r>
              <w:rPr>
                <w:rFonts w:ascii="Arial" w:cs="Arial" w:eastAsia="Arial" w:hAnsi="Arial"/>
                <w:sz w:val="18"/>
                <w:szCs w:val="18"/>
                <w:color w:val="auto"/>
              </w:rPr>
              <w:t>% of</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108"/>
              <w:spacing w:after="0" w:line="203" w:lineRule="exact"/>
              <w:rPr>
                <w:sz w:val="20"/>
                <w:szCs w:val="20"/>
                <w:color w:val="auto"/>
              </w:rPr>
            </w:pPr>
            <w:r>
              <w:rPr>
                <w:rFonts w:ascii="Arial" w:cs="Arial" w:eastAsia="Arial" w:hAnsi="Arial"/>
                <w:sz w:val="18"/>
                <w:szCs w:val="18"/>
                <w:color w:val="auto"/>
                <w:w w:val="99"/>
              </w:rPr>
              <w:t>% of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3"/>
          </w:tcPr>
          <w:p>
            <w:pPr>
              <w:jc w:val="right"/>
              <w:ind w:right="900"/>
              <w:spacing w:after="0"/>
              <w:rPr>
                <w:sz w:val="20"/>
                <w:szCs w:val="20"/>
                <w:color w:val="auto"/>
              </w:rPr>
            </w:pPr>
            <w:r>
              <w:rPr>
                <w:rFonts w:ascii="Arial" w:cs="Arial" w:eastAsia="Arial" w:hAnsi="Arial"/>
                <w:sz w:val="18"/>
                <w:szCs w:val="18"/>
                <w:color w:val="auto"/>
              </w:rPr>
              <w:t>Amount</w:t>
            </w:r>
          </w:p>
        </w:tc>
        <w:tc>
          <w:tcPr>
            <w:tcW w:w="1200" w:type="dxa"/>
            <w:vAlign w:val="bottom"/>
          </w:tcPr>
          <w:p>
            <w:pPr>
              <w:jc w:val="right"/>
              <w:ind w:right="248"/>
              <w:spacing w:after="0"/>
              <w:rPr>
                <w:sz w:val="20"/>
                <w:szCs w:val="20"/>
                <w:color w:val="auto"/>
              </w:rPr>
            </w:pPr>
            <w:r>
              <w:rPr>
                <w:rFonts w:ascii="Arial" w:cs="Arial" w:eastAsia="Arial" w:hAnsi="Arial"/>
                <w:sz w:val="18"/>
                <w:szCs w:val="18"/>
                <w:color w:val="auto"/>
              </w:rPr>
              <w:t>Net Sales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3"/>
          </w:tcPr>
          <w:p>
            <w:pPr>
              <w:jc w:val="right"/>
              <w:ind w:right="840"/>
              <w:spacing w:after="0"/>
              <w:rPr>
                <w:sz w:val="20"/>
                <w:szCs w:val="20"/>
                <w:color w:val="auto"/>
              </w:rPr>
            </w:pPr>
            <w:r>
              <w:rPr>
                <w:rFonts w:ascii="Arial" w:cs="Arial" w:eastAsia="Arial" w:hAnsi="Arial"/>
                <w:sz w:val="18"/>
                <w:szCs w:val="18"/>
                <w:color w:val="auto"/>
              </w:rPr>
              <w:t>Amount</w:t>
            </w: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Net Sales</w:t>
            </w:r>
          </w:p>
        </w:tc>
        <w:tc>
          <w:tcPr>
            <w:tcW w:w="0" w:type="dxa"/>
            <w:vAlign w:val="bottom"/>
          </w:tcPr>
          <w:p>
            <w:pPr>
              <w:spacing w:after="0"/>
              <w:rPr>
                <w:sz w:val="1"/>
                <w:szCs w:val="1"/>
                <w:color w:val="auto"/>
              </w:rPr>
            </w:pPr>
          </w:p>
        </w:tc>
      </w:tr>
      <w:tr>
        <w:trPr>
          <w:trHeight w:val="227"/>
        </w:trPr>
        <w:tc>
          <w:tcPr>
            <w:tcW w:w="4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280" w:type="dxa"/>
            <w:vAlign w:val="bottom"/>
            <w:tcBorders>
              <w:top w:val="single" w:sz="8" w:color="auto"/>
            </w:tcBorders>
            <w:gridSpan w:val="6"/>
          </w:tcPr>
          <w:p>
            <w:pPr>
              <w:jc w:val="center"/>
              <w:ind w:right="680"/>
              <w:spacing w:after="0"/>
              <w:rPr>
                <w:sz w:val="20"/>
                <w:szCs w:val="20"/>
                <w:color w:val="auto"/>
              </w:rPr>
            </w:pPr>
            <w:r>
              <w:rPr>
                <w:rFonts w:ascii="Arial" w:cs="Arial" w:eastAsia="Arial" w:hAnsi="Arial"/>
                <w:sz w:val="18"/>
                <w:szCs w:val="18"/>
                <w:i w:val="1"/>
                <w:iCs w:val="1"/>
                <w:color w:val="auto"/>
                <w:w w:val="94"/>
              </w:rPr>
              <w:t>(Dollars in Thousands)</w:t>
            </w: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Heritage:</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Pr>
          <w:p>
            <w:pPr>
              <w:ind w:left="440"/>
              <w:spacing w:after="0"/>
              <w:rPr>
                <w:sz w:val="20"/>
                <w:szCs w:val="20"/>
                <w:color w:val="auto"/>
              </w:rPr>
            </w:pPr>
            <w:r>
              <w:rPr>
                <w:rFonts w:ascii="Arial" w:cs="Arial" w:eastAsia="Arial" w:hAnsi="Arial"/>
                <w:sz w:val="18"/>
                <w:szCs w:val="18"/>
                <w:color w:val="auto"/>
              </w:rPr>
              <w:t>Mid-America Group</w:t>
            </w:r>
          </w:p>
        </w:tc>
        <w:tc>
          <w:tcPr>
            <w:tcW w:w="240" w:type="dxa"/>
            <w:vAlign w:val="bottom"/>
          </w:tcPr>
          <w:p>
            <w:pPr>
              <w:jc w:val="right"/>
              <w:ind w:right="48"/>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258,988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237,415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Southeast Group</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82,676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76,483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West Group</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443,387</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375,489</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Heritage Aggregates Business</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785,051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689,387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Pr>
          <w:p>
            <w:pPr>
              <w:ind w:left="220"/>
              <w:spacing w:after="0"/>
              <w:rPr>
                <w:sz w:val="20"/>
                <w:szCs w:val="20"/>
                <w:color w:val="auto"/>
              </w:rPr>
            </w:pPr>
            <w:r>
              <w:rPr>
                <w:rFonts w:ascii="Arial" w:cs="Arial" w:eastAsia="Arial" w:hAnsi="Arial"/>
                <w:sz w:val="18"/>
                <w:szCs w:val="18"/>
                <w:color w:val="auto"/>
              </w:rPr>
              <w:t>Cement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59,791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100,405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Magnesia Specialties</w:t>
            </w: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58,866</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60,457</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gridSpan w:val="2"/>
          </w:tcPr>
          <w:p>
            <w:pPr>
              <w:spacing w:after="0"/>
              <w:rPr>
                <w:sz w:val="20"/>
                <w:szCs w:val="20"/>
                <w:color w:val="auto"/>
              </w:rPr>
            </w:pPr>
            <w:r>
              <w:rPr>
                <w:rFonts w:ascii="Arial" w:cs="Arial" w:eastAsia="Arial" w:hAnsi="Arial"/>
                <w:sz w:val="18"/>
                <w:szCs w:val="18"/>
                <w:color w:val="auto"/>
              </w:rPr>
              <w:t>Total Heritage Consolidated</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903,708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850,249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Acquisitions:</w:t>
            </w:r>
          </w:p>
        </w:tc>
        <w:tc>
          <w:tcPr>
            <w:tcW w:w="2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Pr>
          <w:p>
            <w:pPr>
              <w:ind w:left="220"/>
              <w:spacing w:after="0"/>
              <w:rPr>
                <w:sz w:val="20"/>
                <w:szCs w:val="20"/>
                <w:color w:val="auto"/>
              </w:rPr>
            </w:pPr>
            <w:r>
              <w:rPr>
                <w:rFonts w:ascii="Arial" w:cs="Arial" w:eastAsia="Arial" w:hAnsi="Arial"/>
                <w:sz w:val="18"/>
                <w:szCs w:val="18"/>
                <w:color w:val="auto"/>
              </w:rPr>
              <w:t>Aggregates Business – West Group</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11,728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915,436</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850,249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 (loss):</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Heritage:</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Mid-America Group</w:t>
            </w:r>
          </w:p>
        </w:tc>
        <w:tc>
          <w:tcPr>
            <w:tcW w:w="2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92,610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5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80,177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Pr>
          <w:p>
            <w:pPr>
              <w:ind w:left="440"/>
              <w:spacing w:after="0"/>
              <w:rPr>
                <w:sz w:val="20"/>
                <w:szCs w:val="20"/>
                <w:color w:val="auto"/>
              </w:rPr>
            </w:pPr>
            <w:r>
              <w:rPr>
                <w:rFonts w:ascii="Arial" w:cs="Arial" w:eastAsia="Arial" w:hAnsi="Arial"/>
                <w:sz w:val="18"/>
                <w:szCs w:val="18"/>
                <w:color w:val="auto"/>
              </w:rPr>
              <w:t>Southeast Group</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15,547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9,493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West Group</w:t>
            </w: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94,473</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64,834</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tcPr>
          <w:p>
            <w:pPr>
              <w:ind w:left="220"/>
              <w:spacing w:after="0"/>
              <w:rPr>
                <w:sz w:val="20"/>
                <w:szCs w:val="20"/>
                <w:color w:val="auto"/>
              </w:rPr>
            </w:pPr>
            <w:r>
              <w:rPr>
                <w:rFonts w:ascii="Arial" w:cs="Arial" w:eastAsia="Arial" w:hAnsi="Arial"/>
                <w:sz w:val="18"/>
                <w:szCs w:val="18"/>
                <w:color w:val="auto"/>
              </w:rPr>
              <w:t>Total Heritage Aggregates Business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202,630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154,504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Cement</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30,414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Pr>
          <w:p>
            <w:pPr>
              <w:ind w:left="220"/>
              <w:spacing w:after="0"/>
              <w:rPr>
                <w:sz w:val="20"/>
                <w:szCs w:val="20"/>
                <w:color w:val="auto"/>
              </w:rPr>
            </w:pPr>
            <w:r>
              <w:rPr>
                <w:rFonts w:ascii="Arial" w:cs="Arial" w:eastAsia="Arial" w:hAnsi="Arial"/>
                <w:sz w:val="18"/>
                <w:szCs w:val="18"/>
                <w:color w:val="auto"/>
              </w:rPr>
              <w:t>Magnesia Specialties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21,692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21,224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Corporate</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(1,515)</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(5,989)</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gridSpan w:val="2"/>
          </w:tcPr>
          <w:p>
            <w:pPr>
              <w:spacing w:after="0"/>
              <w:rPr>
                <w:sz w:val="20"/>
                <w:szCs w:val="20"/>
                <w:color w:val="auto"/>
              </w:rPr>
            </w:pPr>
            <w:r>
              <w:rPr>
                <w:rFonts w:ascii="Arial" w:cs="Arial" w:eastAsia="Arial" w:hAnsi="Arial"/>
                <w:sz w:val="18"/>
                <w:szCs w:val="18"/>
                <w:color w:val="auto"/>
              </w:rPr>
              <w:t>Total Heritage Consolidated</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246,809</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200,153</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Acquisitions:</w:t>
            </w:r>
          </w:p>
        </w:tc>
        <w:tc>
          <w:tcPr>
            <w:tcW w:w="2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Pr>
          <w:p>
            <w:pPr>
              <w:ind w:left="220"/>
              <w:spacing w:after="0"/>
              <w:rPr>
                <w:sz w:val="20"/>
                <w:szCs w:val="20"/>
                <w:color w:val="auto"/>
              </w:rPr>
            </w:pPr>
            <w:r>
              <w:rPr>
                <w:rFonts w:ascii="Arial" w:cs="Arial" w:eastAsia="Arial" w:hAnsi="Arial"/>
                <w:sz w:val="18"/>
                <w:szCs w:val="18"/>
                <w:color w:val="auto"/>
              </w:rPr>
              <w:t>Aggregates Business – West Group</w:t>
            </w:r>
          </w:p>
        </w:tc>
        <w:tc>
          <w:tcPr>
            <w:tcW w:w="2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246,701</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200,153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7"/>
          </w:tcPr>
          <w:p>
            <w:pPr>
              <w:jc w:val="center"/>
              <w:ind w:right="700"/>
              <w:spacing w:after="0"/>
              <w:rPr>
                <w:sz w:val="20"/>
                <w:szCs w:val="20"/>
                <w:color w:val="auto"/>
              </w:rPr>
            </w:pPr>
            <w:r>
              <w:rPr>
                <w:rFonts w:ascii="Arial" w:cs="Arial" w:eastAsia="Arial" w:hAnsi="Arial"/>
                <w:sz w:val="18"/>
                <w:szCs w:val="18"/>
                <w:color w:val="auto"/>
                <w:w w:val="91"/>
              </w:rPr>
              <w:t>Three Months Ended June 30,</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2016</w:t>
            </w: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2015</w:t>
            </w: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center"/>
              <w:ind w:left="48"/>
              <w:spacing w:after="0" w:line="203" w:lineRule="exact"/>
              <w:rPr>
                <w:sz w:val="20"/>
                <w:szCs w:val="20"/>
                <w:color w:val="auto"/>
              </w:rPr>
            </w:pPr>
            <w:r>
              <w:rPr>
                <w:rFonts w:ascii="Arial" w:cs="Arial" w:eastAsia="Arial" w:hAnsi="Arial"/>
                <w:sz w:val="18"/>
                <w:szCs w:val="18"/>
                <w:color w:val="auto"/>
                <w:w w:val="99"/>
              </w:rPr>
              <w:t>% of</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108"/>
              <w:spacing w:after="0" w:line="203" w:lineRule="exact"/>
              <w:rPr>
                <w:sz w:val="20"/>
                <w:szCs w:val="20"/>
                <w:color w:val="auto"/>
              </w:rPr>
            </w:pPr>
            <w:r>
              <w:rPr>
                <w:rFonts w:ascii="Arial" w:cs="Arial" w:eastAsia="Arial" w:hAnsi="Arial"/>
                <w:sz w:val="18"/>
                <w:szCs w:val="18"/>
                <w:color w:val="auto"/>
                <w:w w:val="99"/>
              </w:rPr>
              <w:t>% of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3"/>
          </w:tcPr>
          <w:p>
            <w:pPr>
              <w:jc w:val="right"/>
              <w:ind w:right="900"/>
              <w:spacing w:after="0"/>
              <w:rPr>
                <w:sz w:val="20"/>
                <w:szCs w:val="20"/>
                <w:color w:val="auto"/>
              </w:rPr>
            </w:pPr>
            <w:r>
              <w:rPr>
                <w:rFonts w:ascii="Arial" w:cs="Arial" w:eastAsia="Arial" w:hAnsi="Arial"/>
                <w:sz w:val="18"/>
                <w:szCs w:val="18"/>
                <w:color w:val="auto"/>
              </w:rPr>
              <w:t>Amount</w:t>
            </w:r>
          </w:p>
        </w:tc>
        <w:tc>
          <w:tcPr>
            <w:tcW w:w="860" w:type="dxa"/>
            <w:vAlign w:val="bottom"/>
          </w:tcPr>
          <w:p>
            <w:pPr>
              <w:jc w:val="center"/>
              <w:ind w:left="48"/>
              <w:spacing w:after="0"/>
              <w:rPr>
                <w:sz w:val="20"/>
                <w:szCs w:val="20"/>
                <w:color w:val="auto"/>
              </w:rPr>
            </w:pPr>
            <w:r>
              <w:rPr>
                <w:rFonts w:ascii="Arial" w:cs="Arial" w:eastAsia="Arial" w:hAnsi="Arial"/>
                <w:sz w:val="18"/>
                <w:szCs w:val="18"/>
                <w:color w:val="auto"/>
                <w:w w:val="92"/>
              </w:rPr>
              <w:t>Net Sales</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3"/>
          </w:tcPr>
          <w:p>
            <w:pPr>
              <w:jc w:val="right"/>
              <w:ind w:right="840"/>
              <w:spacing w:after="0"/>
              <w:rPr>
                <w:sz w:val="20"/>
                <w:szCs w:val="20"/>
                <w:color w:val="auto"/>
              </w:rPr>
            </w:pPr>
            <w:r>
              <w:rPr>
                <w:rFonts w:ascii="Arial" w:cs="Arial" w:eastAsia="Arial" w:hAnsi="Arial"/>
                <w:sz w:val="18"/>
                <w:szCs w:val="18"/>
                <w:color w:val="auto"/>
              </w:rPr>
              <w:t>Amount</w:t>
            </w: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Net Sales</w:t>
            </w:r>
          </w:p>
        </w:tc>
        <w:tc>
          <w:tcPr>
            <w:tcW w:w="0" w:type="dxa"/>
            <w:vAlign w:val="bottom"/>
          </w:tcPr>
          <w:p>
            <w:pPr>
              <w:spacing w:after="0"/>
              <w:rPr>
                <w:sz w:val="1"/>
                <w:szCs w:val="1"/>
                <w:color w:val="auto"/>
              </w:rPr>
            </w:pPr>
          </w:p>
        </w:tc>
      </w:tr>
      <w:tr>
        <w:trPr>
          <w:trHeight w:val="227"/>
        </w:trPr>
        <w:tc>
          <w:tcPr>
            <w:tcW w:w="4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Selling, general &amp; administrative expenses:</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280" w:type="dxa"/>
            <w:vAlign w:val="bottom"/>
            <w:tcBorders>
              <w:top w:val="single" w:sz="8" w:color="auto"/>
            </w:tcBorders>
            <w:gridSpan w:val="7"/>
          </w:tcPr>
          <w:p>
            <w:pPr>
              <w:jc w:val="center"/>
              <w:ind w:right="680"/>
              <w:spacing w:after="0"/>
              <w:rPr>
                <w:sz w:val="20"/>
                <w:szCs w:val="20"/>
                <w:color w:val="auto"/>
              </w:rPr>
            </w:pPr>
            <w:r>
              <w:rPr>
                <w:rFonts w:ascii="Arial" w:cs="Arial" w:eastAsia="Arial" w:hAnsi="Arial"/>
                <w:sz w:val="18"/>
                <w:szCs w:val="18"/>
                <w:i w:val="1"/>
                <w:iCs w:val="1"/>
                <w:color w:val="auto"/>
                <w:w w:val="94"/>
              </w:rPr>
              <w:t>(Dollars in Thousands)</w:t>
            </w: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Heritage:</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Pr>
          <w:p>
            <w:pPr>
              <w:ind w:left="440"/>
              <w:spacing w:after="0"/>
              <w:rPr>
                <w:sz w:val="20"/>
                <w:szCs w:val="20"/>
                <w:color w:val="auto"/>
              </w:rPr>
            </w:pPr>
            <w:r>
              <w:rPr>
                <w:rFonts w:ascii="Arial" w:cs="Arial" w:eastAsia="Arial" w:hAnsi="Arial"/>
                <w:sz w:val="18"/>
                <w:szCs w:val="18"/>
                <w:color w:val="auto"/>
              </w:rPr>
              <w:t>Mid-America Group</w:t>
            </w:r>
          </w:p>
        </w:tc>
        <w:tc>
          <w:tcPr>
            <w:tcW w:w="240" w:type="dxa"/>
            <w:vAlign w:val="bottom"/>
          </w:tcPr>
          <w:p>
            <w:pPr>
              <w:jc w:val="right"/>
              <w:ind w:right="48"/>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13,416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c>
          <w:tcPr>
            <w:tcW w:w="5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13,304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Southeast Group</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West Group</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17,434</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16,055</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Heritage Aggregates Business</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35,402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33,862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Pr>
          <w:p>
            <w:pPr>
              <w:ind w:left="220"/>
              <w:spacing w:after="0"/>
              <w:rPr>
                <w:sz w:val="20"/>
                <w:szCs w:val="20"/>
                <w:color w:val="auto"/>
              </w:rPr>
            </w:pPr>
            <w:r>
              <w:rPr>
                <w:rFonts w:ascii="Arial" w:cs="Arial" w:eastAsia="Arial" w:hAnsi="Arial"/>
                <w:sz w:val="18"/>
                <w:szCs w:val="18"/>
                <w:color w:val="auto"/>
              </w:rPr>
              <w:t>Cement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6,095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10.2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6,647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Magnesia Specialties</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17,388</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13,883</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Total Heritage Consolidated</w:t>
            </w: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61,337</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56,783</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Aggregates Business – West Group</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4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61,509</w:t>
            </w:r>
          </w:p>
        </w:tc>
        <w:tc>
          <w:tcPr>
            <w:tcW w:w="3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56,783</w:t>
            </w:r>
          </w:p>
        </w:tc>
        <w:tc>
          <w:tcPr>
            <w:tcW w:w="26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9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Earnings (Loss) from operations: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Heritage:</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Pr>
          <w:p>
            <w:pPr>
              <w:ind w:left="440"/>
              <w:spacing w:after="0"/>
              <w:rPr>
                <w:sz w:val="20"/>
                <w:szCs w:val="20"/>
                <w:color w:val="auto"/>
              </w:rPr>
            </w:pPr>
            <w:r>
              <w:rPr>
                <w:rFonts w:ascii="Arial" w:cs="Arial" w:eastAsia="Arial" w:hAnsi="Arial"/>
                <w:sz w:val="18"/>
                <w:szCs w:val="18"/>
                <w:color w:val="auto"/>
              </w:rPr>
              <w:t>Mid-America Group</w:t>
            </w:r>
          </w:p>
        </w:tc>
        <w:tc>
          <w:tcPr>
            <w:tcW w:w="240" w:type="dxa"/>
            <w:vAlign w:val="bottom"/>
          </w:tcPr>
          <w:p>
            <w:pPr>
              <w:jc w:val="right"/>
              <w:ind w:right="48"/>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80,552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31.1</w:t>
            </w:r>
          </w:p>
        </w:tc>
        <w:tc>
          <w:tcPr>
            <w:tcW w:w="5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66,894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Southeast Group</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14.0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West Group</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77,688</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17.5</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49,177</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Heritage Aggregates Business</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169,788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21.6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120,889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Pr>
          <w:p>
            <w:pPr>
              <w:ind w:left="220"/>
              <w:spacing w:after="0"/>
              <w:rPr>
                <w:sz w:val="20"/>
                <w:szCs w:val="20"/>
                <w:color w:val="auto"/>
              </w:rPr>
            </w:pPr>
            <w:r>
              <w:rPr>
                <w:rFonts w:ascii="Arial" w:cs="Arial" w:eastAsia="Arial" w:hAnsi="Arial"/>
                <w:sz w:val="18"/>
                <w:szCs w:val="18"/>
                <w:color w:val="auto"/>
              </w:rPr>
              <w:t>Cement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21,309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35.6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22,468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Magnesia Specialties</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32.7</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tcPr>
          <w:p>
            <w:pPr>
              <w:ind w:left="220"/>
              <w:spacing w:after="0"/>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(22,298)</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(25,124)</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Heritage Consolidated</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188,026</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20.8</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136,984</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Aggregates Business – West Group</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187,742</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20.5</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136,984</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For the three months ended June 30, 2015, net sales, gross profit, SG&amp;A and loss from operations for the California cement operations were $34,160,000, $3,424,000, $2,491,000 and $485,000, respectively.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Aggregates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Net sales by product line for the Aggregates business, which reflect the elimination of inter-product line sales,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0" w:type="dxa"/>
            <w:vAlign w:val="bottom"/>
            <w:gridSpan w:val="3"/>
          </w:tcPr>
          <w:p>
            <w:pPr>
              <w:jc w:val="center"/>
              <w:spacing w:after="0"/>
              <w:rPr>
                <w:sz w:val="20"/>
                <w:szCs w:val="20"/>
                <w:color w:val="auto"/>
              </w:rPr>
            </w:pPr>
            <w:r>
              <w:rPr>
                <w:rFonts w:ascii="Arial" w:cs="Arial" w:eastAsia="Arial" w:hAnsi="Arial"/>
                <w:sz w:val="18"/>
                <w:szCs w:val="18"/>
                <w:color w:val="auto"/>
                <w:w w:val="92"/>
              </w:rPr>
              <w:t>Three Months Ended</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36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June 30,</w:t>
            </w:r>
          </w:p>
        </w:tc>
        <w:tc>
          <w:tcPr>
            <w:tcW w:w="1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360" w:type="dxa"/>
            <w:vAlign w:val="bottom"/>
          </w:tcPr>
          <w:p>
            <w:pPr>
              <w:spacing w:after="0"/>
              <w:rPr>
                <w:sz w:val="19"/>
                <w:szCs w:val="19"/>
                <w:color w:val="auto"/>
              </w:rPr>
            </w:pPr>
          </w:p>
        </w:tc>
        <w:tc>
          <w:tcPr>
            <w:tcW w:w="14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2016</w:t>
            </w:r>
          </w:p>
        </w:tc>
        <w:tc>
          <w:tcPr>
            <w:tcW w:w="8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68"/>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Net sales:</w:t>
            </w:r>
          </w:p>
        </w:tc>
        <w:tc>
          <w:tcPr>
            <w:tcW w:w="1460" w:type="dxa"/>
            <w:vAlign w:val="bottom"/>
          </w:tcPr>
          <w:p>
            <w:pPr>
              <w:spacing w:after="0"/>
              <w:rPr>
                <w:sz w:val="19"/>
                <w:szCs w:val="19"/>
                <w:color w:val="auto"/>
              </w:rPr>
            </w:pPr>
          </w:p>
        </w:tc>
        <w:tc>
          <w:tcPr>
            <w:tcW w:w="200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(Dollars in Thousands)</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360" w:type="dxa"/>
            <w:vAlign w:val="bottom"/>
            <w:vMerge w:val="continue"/>
          </w:tcPr>
          <w:p>
            <w:pPr>
              <w:spacing w:after="0"/>
              <w:rPr>
                <w:sz w:val="19"/>
                <w:szCs w:val="19"/>
                <w:color w:val="auto"/>
              </w:rPr>
            </w:pPr>
          </w:p>
        </w:tc>
        <w:tc>
          <w:tcPr>
            <w:tcW w:w="1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Heritage:</w:t>
            </w:r>
          </w:p>
        </w:tc>
        <w:tc>
          <w:tcPr>
            <w:tcW w:w="14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tcPr>
          <w:p>
            <w:pPr>
              <w:ind w:left="240"/>
              <w:spacing w:after="0"/>
              <w:rPr>
                <w:sz w:val="20"/>
                <w:szCs w:val="20"/>
                <w:color w:val="auto"/>
              </w:rPr>
            </w:pPr>
            <w:r>
              <w:rPr>
                <w:rFonts w:ascii="Arial" w:cs="Arial" w:eastAsia="Arial" w:hAnsi="Arial"/>
                <w:sz w:val="18"/>
                <w:szCs w:val="18"/>
                <w:color w:val="auto"/>
              </w:rPr>
              <w:t>Aggregates</w:t>
            </w:r>
          </w:p>
        </w:tc>
        <w:tc>
          <w:tcPr>
            <w:tcW w:w="1460" w:type="dxa"/>
            <w:vAlign w:val="bottom"/>
          </w:tcPr>
          <w:p>
            <w:pPr>
              <w:jc w:val="right"/>
              <w:ind w:right="1298"/>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511,623</w:t>
            </w:r>
          </w:p>
        </w:tc>
        <w:tc>
          <w:tcPr>
            <w:tcW w:w="118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481,616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Asphalt and Paving</w:t>
            </w:r>
          </w:p>
        </w:tc>
        <w:tc>
          <w:tcPr>
            <w:tcW w:w="14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64,951</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Ready Mixed Concrete</w:t>
            </w:r>
          </w:p>
        </w:tc>
        <w:tc>
          <w:tcPr>
            <w:tcW w:w="1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208,477</w:t>
            </w:r>
          </w:p>
        </w:tc>
        <w:tc>
          <w:tcPr>
            <w:tcW w:w="3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Total Heritage</w:t>
            </w:r>
          </w:p>
        </w:tc>
        <w:tc>
          <w:tcPr>
            <w:tcW w:w="14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785,051</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689,387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tcPr>
          <w:p>
            <w:pPr>
              <w:spacing w:after="0"/>
              <w:rPr>
                <w:sz w:val="20"/>
                <w:szCs w:val="20"/>
                <w:color w:val="auto"/>
              </w:rPr>
            </w:pPr>
            <w:r>
              <w:rPr>
                <w:rFonts w:ascii="Arial" w:cs="Arial" w:eastAsia="Arial" w:hAnsi="Arial"/>
                <w:sz w:val="18"/>
                <w:szCs w:val="18"/>
                <w:color w:val="auto"/>
              </w:rPr>
              <w:t>Acquisitions:</w:t>
            </w:r>
          </w:p>
        </w:tc>
        <w:tc>
          <w:tcPr>
            <w:tcW w:w="1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Aggregates</w:t>
            </w:r>
          </w:p>
        </w:tc>
        <w:tc>
          <w:tcPr>
            <w:tcW w:w="14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4,660</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360" w:type="dxa"/>
            <w:vAlign w:val="bottom"/>
          </w:tcPr>
          <w:p>
            <w:pPr>
              <w:ind w:left="240"/>
              <w:spacing w:after="0"/>
              <w:rPr>
                <w:sz w:val="20"/>
                <w:szCs w:val="20"/>
                <w:color w:val="auto"/>
              </w:rPr>
            </w:pPr>
            <w:r>
              <w:rPr>
                <w:rFonts w:ascii="Arial" w:cs="Arial" w:eastAsia="Arial" w:hAnsi="Arial"/>
                <w:sz w:val="18"/>
                <w:szCs w:val="18"/>
                <w:color w:val="auto"/>
              </w:rPr>
              <w:t>Asphalt and Paving</w:t>
            </w:r>
          </w:p>
        </w:tc>
        <w:tc>
          <w:tcPr>
            <w:tcW w:w="1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658</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Ready Mixed Concrete</w:t>
            </w:r>
          </w:p>
        </w:tc>
        <w:tc>
          <w:tcPr>
            <w:tcW w:w="14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6,410</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6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Acquisitions</w:t>
            </w:r>
          </w:p>
        </w:tc>
        <w:tc>
          <w:tcPr>
            <w:tcW w:w="14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11,728</w:t>
            </w:r>
          </w:p>
        </w:tc>
        <w:tc>
          <w:tcPr>
            <w:tcW w:w="36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Aggregates Business</w:t>
            </w:r>
          </w:p>
        </w:tc>
        <w:tc>
          <w:tcPr>
            <w:tcW w:w="1460" w:type="dxa"/>
            <w:vAlign w:val="bottom"/>
            <w:tcBorders>
              <w:bottom w:val="single" w:sz="8" w:color="auto"/>
            </w:tcBorders>
            <w:shd w:val="clear" w:color="auto" w:fill="CFF0FC"/>
          </w:tcPr>
          <w:p>
            <w:pPr>
              <w:jc w:val="right"/>
              <w:ind w:right="1298"/>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796,779</w:t>
            </w:r>
          </w:p>
        </w:tc>
        <w:tc>
          <w:tcPr>
            <w:tcW w:w="3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28"/>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689,387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volume and pricing data and shipments data for the aggregates product line.</w:t>
      </w:r>
    </w:p>
    <w:p>
      <w:pPr>
        <w:spacing w:after="0" w:line="234" w:lineRule="exact"/>
        <w:rPr>
          <w:sz w:val="20"/>
          <w:szCs w:val="20"/>
          <w:color w:val="auto"/>
        </w:rPr>
      </w:pPr>
    </w:p>
    <w:p>
      <w:pPr>
        <w:jc w:val="center"/>
        <w:ind w:left="752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p>
      <w:pPr>
        <w:jc w:val="center"/>
        <w:ind w:left="7520"/>
        <w:spacing w:after="0"/>
        <w:rPr>
          <w:sz w:val="20"/>
          <w:szCs w:val="20"/>
          <w:color w:val="auto"/>
        </w:rPr>
      </w:pPr>
      <w:r>
        <w:rPr>
          <w:rFonts w:ascii="Arial" w:cs="Arial" w:eastAsia="Arial" w:hAnsi="Arial"/>
          <w:sz w:val="18"/>
          <w:szCs w:val="18"/>
          <w:color w:val="auto"/>
        </w:rPr>
        <w:t>June 30, 2016</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700" w:type="dxa"/>
            <w:vAlign w:val="bottom"/>
            <w:tcBorders>
              <w:bottom w:val="single" w:sz="8" w:color="CFF0FC"/>
            </w:tcBorders>
          </w:tcPr>
          <w:p>
            <w:pPr>
              <w:spacing w:after="0"/>
              <w:rPr>
                <w:sz w:val="19"/>
                <w:szCs w:val="19"/>
                <w:color w:val="auto"/>
              </w:rPr>
            </w:pPr>
          </w:p>
        </w:tc>
        <w:tc>
          <w:tcPr>
            <w:tcW w:w="11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Volume</w:t>
            </w:r>
          </w:p>
        </w:tc>
        <w:tc>
          <w:tcPr>
            <w:tcW w:w="4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CFF0FC"/>
            </w:tcBorders>
          </w:tcPr>
          <w:p>
            <w:pPr>
              <w:spacing w:after="0"/>
              <w:rPr>
                <w:sz w:val="19"/>
                <w:szCs w:val="19"/>
                <w:color w:val="auto"/>
              </w:rPr>
            </w:pPr>
          </w:p>
        </w:tc>
        <w:tc>
          <w:tcPr>
            <w:tcW w:w="15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Pricing</w:t>
            </w:r>
          </w:p>
        </w:tc>
        <w:tc>
          <w:tcPr>
            <w:tcW w:w="160" w:type="dxa"/>
            <w:vAlign w:val="bottom"/>
            <w:tcBorders>
              <w:bottom w:val="single" w:sz="8" w:color="CFF0FC"/>
            </w:tcBorders>
          </w:tcPr>
          <w:p>
            <w:pPr>
              <w:spacing w:after="0"/>
              <w:rPr>
                <w:sz w:val="19"/>
                <w:szCs w:val="19"/>
                <w:color w:val="auto"/>
              </w:rPr>
            </w:pPr>
          </w:p>
        </w:tc>
      </w:tr>
      <w:tr>
        <w:trPr>
          <w:trHeight w:val="220"/>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Volume/Pricing Variance </w:t>
            </w:r>
            <w:r>
              <w:rPr>
                <w:rFonts w:ascii="Arial" w:cs="Arial" w:eastAsia="Arial" w:hAnsi="Arial"/>
                <w:sz w:val="15"/>
                <w:szCs w:val="15"/>
                <w:color w:val="auto"/>
              </w:rPr>
              <w:t>(1)</w:t>
            </w:r>
          </w:p>
        </w:tc>
        <w:tc>
          <w:tcPr>
            <w:tcW w:w="1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r>
      <w:tr>
        <w:trPr>
          <w:trHeight w:val="227"/>
        </w:trPr>
        <w:tc>
          <w:tcPr>
            <w:tcW w:w="8860" w:type="dxa"/>
            <w:vAlign w:val="bottom"/>
            <w:gridSpan w:val="2"/>
          </w:tcPr>
          <w:p>
            <w:pPr>
              <w:spacing w:after="0"/>
              <w:rPr>
                <w:sz w:val="20"/>
                <w:szCs w:val="20"/>
                <w:color w:val="auto"/>
              </w:rPr>
            </w:pPr>
            <w:r>
              <w:rPr>
                <w:rFonts w:ascii="Arial" w:cs="Arial" w:eastAsia="Arial" w:hAnsi="Arial"/>
                <w:sz w:val="18"/>
                <w:szCs w:val="18"/>
                <w:color w:val="auto"/>
              </w:rPr>
              <w:t xml:space="preserve">Heritage Aggregates Product Line </w:t>
            </w:r>
            <w:r>
              <w:rPr>
                <w:rFonts w:ascii="Arial" w:cs="Arial" w:eastAsia="Arial" w:hAnsi="Arial"/>
                <w:sz w:val="15"/>
                <w:szCs w:val="15"/>
                <w:color w:val="auto"/>
              </w:rPr>
              <w:t>(2)</w:t>
            </w: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7"/>
        </w:trPr>
        <w:tc>
          <w:tcPr>
            <w:tcW w:w="8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Mid-America Group</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4.9%</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r>
      <w:tr>
        <w:trPr>
          <w:trHeight w:val="227"/>
        </w:trPr>
        <w:tc>
          <w:tcPr>
            <w:tcW w:w="8860" w:type="dxa"/>
            <w:vAlign w:val="bottom"/>
            <w:gridSpan w:val="2"/>
          </w:tcPr>
          <w:p>
            <w:pPr>
              <w:ind w:left="240"/>
              <w:spacing w:after="0"/>
              <w:rPr>
                <w:sz w:val="20"/>
                <w:szCs w:val="20"/>
                <w:color w:val="auto"/>
              </w:rPr>
            </w:pPr>
            <w:r>
              <w:rPr>
                <w:rFonts w:ascii="Arial" w:cs="Arial" w:eastAsia="Arial" w:hAnsi="Arial"/>
                <w:sz w:val="18"/>
                <w:szCs w:val="18"/>
                <w:color w:val="auto"/>
              </w:rPr>
              <w:t>Southeast Group</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r>
      <w:tr>
        <w:trPr>
          <w:trHeight w:val="227"/>
        </w:trPr>
        <w:tc>
          <w:tcPr>
            <w:tcW w:w="8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 xml:space="preserve">West Group </w:t>
            </w:r>
            <w:r>
              <w:rPr>
                <w:rFonts w:ascii="Arial" w:cs="Arial" w:eastAsia="Arial" w:hAnsi="Arial"/>
                <w:sz w:val="15"/>
                <w:szCs w:val="15"/>
                <w:color w:val="auto"/>
              </w:rPr>
              <w:t>(3)</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w:t>
            </w:r>
          </w:p>
        </w:tc>
      </w:tr>
      <w:tr>
        <w:trPr>
          <w:trHeight w:val="227"/>
        </w:trPr>
        <w:tc>
          <w:tcPr>
            <w:tcW w:w="8860" w:type="dxa"/>
            <w:vAlign w:val="bottom"/>
            <w:gridSpan w:val="2"/>
          </w:tcPr>
          <w:p>
            <w:pPr>
              <w:spacing w:after="0"/>
              <w:rPr>
                <w:sz w:val="20"/>
                <w:szCs w:val="20"/>
                <w:color w:val="auto"/>
              </w:rPr>
            </w:pPr>
            <w:r>
              <w:rPr>
                <w:rFonts w:ascii="Arial" w:cs="Arial" w:eastAsia="Arial" w:hAnsi="Arial"/>
                <w:sz w:val="18"/>
                <w:szCs w:val="18"/>
                <w:color w:val="auto"/>
              </w:rPr>
              <w:t>Heritage Aggregates Operations</w:t>
            </w:r>
            <w:r>
              <w:rPr>
                <w:rFonts w:ascii="Arial" w:cs="Arial" w:eastAsia="Arial" w:hAnsi="Arial"/>
                <w:sz w:val="15"/>
                <w:szCs w:val="15"/>
                <w:color w:val="auto"/>
              </w:rPr>
              <w:t>(2)</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r>
      <w:tr>
        <w:trPr>
          <w:trHeight w:val="227"/>
        </w:trPr>
        <w:tc>
          <w:tcPr>
            <w:tcW w:w="8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Aggregates Product Line </w:t>
            </w:r>
            <w:r>
              <w:rPr>
                <w:rFonts w:ascii="Arial" w:cs="Arial" w:eastAsia="Arial" w:hAnsi="Arial"/>
                <w:sz w:val="15"/>
                <w:szCs w:val="15"/>
                <w:color w:val="auto"/>
              </w:rPr>
              <w:t>(4)</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1.3%</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36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gridSpan w:val="7"/>
          </w:tcPr>
          <w:p>
            <w:pPr>
              <w:jc w:val="center"/>
              <w:ind w:right="140"/>
              <w:spacing w:after="0"/>
              <w:rPr>
                <w:sz w:val="20"/>
                <w:szCs w:val="20"/>
                <w:color w:val="auto"/>
              </w:rPr>
            </w:pPr>
            <w:r>
              <w:rPr>
                <w:rFonts w:ascii="Arial" w:cs="Arial" w:eastAsia="Arial" w:hAnsi="Arial"/>
                <w:sz w:val="18"/>
                <w:szCs w:val="18"/>
                <w:color w:val="auto"/>
                <w:w w:val="92"/>
              </w:rPr>
              <w:t>Three Months Ended</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8"/>
                <w:szCs w:val="18"/>
                <w:color w:val="auto"/>
                <w:w w:val="89"/>
              </w:rPr>
              <w:t>June 30,</w:t>
            </w: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Shipments</w:t>
            </w:r>
          </w:p>
        </w:tc>
        <w:tc>
          <w:tcPr>
            <w:tcW w:w="3460" w:type="dxa"/>
            <w:vAlign w:val="bottom"/>
            <w:gridSpan w:val="6"/>
          </w:tcPr>
          <w:p>
            <w:pPr>
              <w:jc w:val="center"/>
              <w:spacing w:after="0"/>
              <w:rPr>
                <w:sz w:val="20"/>
                <w:szCs w:val="20"/>
                <w:color w:val="auto"/>
              </w:rPr>
            </w:pPr>
            <w:r>
              <w:rPr>
                <w:rFonts w:ascii="Arial" w:cs="Arial" w:eastAsia="Arial" w:hAnsi="Arial"/>
                <w:sz w:val="18"/>
                <w:szCs w:val="18"/>
                <w:i w:val="1"/>
                <w:iCs w:val="1"/>
                <w:color w:val="auto"/>
                <w:w w:val="90"/>
              </w:rPr>
              <w:t>(Tons in Thousands)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40" w:type="dxa"/>
            <w:vAlign w:val="bottom"/>
            <w:gridSpan w:val="3"/>
            <w:vMerge w:val="continue"/>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Heritage Aggregates Product Line </w:t>
            </w:r>
            <w:r>
              <w:rPr>
                <w:rFonts w:ascii="Arial" w:cs="Arial" w:eastAsia="Arial" w:hAnsi="Arial"/>
                <w:sz w:val="15"/>
                <w:szCs w:val="15"/>
                <w:color w:val="auto"/>
              </w:rPr>
              <w:t>(2)</w:t>
            </w:r>
            <w:r>
              <w:rPr>
                <w:rFonts w:ascii="Arial" w:cs="Arial" w:eastAsia="Arial" w:hAnsi="Arial"/>
                <w:sz w:val="18"/>
                <w:szCs w:val="18"/>
                <w:color w:val="auto"/>
              </w:rPr>
              <w:t>:</w:t>
            </w: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20" w:type="dxa"/>
            <w:vAlign w:val="bottom"/>
            <w:gridSpan w:val="2"/>
          </w:tcPr>
          <w:p>
            <w:pPr>
              <w:ind w:left="220"/>
              <w:spacing w:after="0"/>
              <w:rPr>
                <w:sz w:val="20"/>
                <w:szCs w:val="20"/>
                <w:color w:val="auto"/>
              </w:rPr>
            </w:pPr>
            <w:r>
              <w:rPr>
                <w:rFonts w:ascii="Arial" w:cs="Arial" w:eastAsia="Arial" w:hAnsi="Arial"/>
                <w:sz w:val="18"/>
                <w:szCs w:val="18"/>
                <w:color w:val="auto"/>
              </w:rPr>
              <w:t>Mid-America Group</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20,088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Southeast Group</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5,375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20" w:type="dxa"/>
            <w:vAlign w:val="bottom"/>
            <w:tcBorders>
              <w:bottom w:val="single" w:sz="8" w:color="CFF0FC"/>
            </w:tcBorders>
            <w:gridSpan w:val="2"/>
          </w:tcPr>
          <w:p>
            <w:pPr>
              <w:ind w:left="220"/>
              <w:spacing w:after="0"/>
              <w:rPr>
                <w:sz w:val="20"/>
                <w:szCs w:val="20"/>
                <w:color w:val="auto"/>
              </w:rPr>
            </w:pPr>
            <w:r>
              <w:rPr>
                <w:rFonts w:ascii="Arial" w:cs="Arial" w:eastAsia="Arial" w:hAnsi="Arial"/>
                <w:sz w:val="18"/>
                <w:szCs w:val="18"/>
                <w:color w:val="auto"/>
              </w:rPr>
              <w:t>West Group</w:t>
            </w:r>
            <w:r>
              <w:rPr>
                <w:rFonts w:ascii="Arial" w:cs="Arial" w:eastAsia="Arial" w:hAnsi="Arial"/>
                <w:sz w:val="15"/>
                <w:szCs w:val="15"/>
                <w:color w:val="auto"/>
              </w:rPr>
              <w:t>(3)</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16,700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Heritage Aggregates Operations</w:t>
            </w:r>
            <w:r>
              <w:rPr>
                <w:rFonts w:ascii="Arial" w:cs="Arial" w:eastAsia="Arial" w:hAnsi="Arial"/>
                <w:sz w:val="15"/>
                <w:szCs w:val="15"/>
                <w:color w:val="auto"/>
              </w:rPr>
              <w:t>(2)</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42,163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Aggregates Product Line </w:t>
            </w:r>
            <w:r>
              <w:rPr>
                <w:rFonts w:ascii="Arial" w:cs="Arial" w:eastAsia="Arial" w:hAnsi="Arial"/>
                <w:sz w:val="15"/>
                <w:szCs w:val="15"/>
                <w:color w:val="auto"/>
              </w:rPr>
              <w:t>(4)</w:t>
            </w:r>
          </w:p>
        </w:tc>
        <w:tc>
          <w:tcPr>
            <w:tcW w:w="1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42,554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60" w:type="dxa"/>
            <w:vAlign w:val="bottom"/>
            <w:gridSpan w:val="5"/>
          </w:tcPr>
          <w:p>
            <w:pPr>
              <w:jc w:val="center"/>
              <w:ind w:left="628"/>
              <w:spacing w:after="0"/>
              <w:rPr>
                <w:sz w:val="20"/>
                <w:szCs w:val="20"/>
                <w:color w:val="auto"/>
              </w:rPr>
            </w:pPr>
            <w:r>
              <w:rPr>
                <w:rFonts w:ascii="Arial" w:cs="Arial" w:eastAsia="Arial" w:hAnsi="Arial"/>
                <w:sz w:val="18"/>
                <w:szCs w:val="18"/>
                <w:color w:val="auto"/>
                <w:w w:val="92"/>
              </w:rPr>
              <w:t>Three Months Ended</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ind w:left="648"/>
              <w:spacing w:after="0"/>
              <w:rPr>
                <w:sz w:val="20"/>
                <w:szCs w:val="20"/>
                <w:color w:val="auto"/>
              </w:rPr>
            </w:pPr>
            <w:r>
              <w:rPr>
                <w:rFonts w:ascii="Arial" w:cs="Arial" w:eastAsia="Arial" w:hAnsi="Arial"/>
                <w:sz w:val="18"/>
                <w:szCs w:val="18"/>
                <w:color w:val="auto"/>
                <w:w w:val="89"/>
              </w:rPr>
              <w:t>June 30,</w:t>
            </w: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08"/>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08"/>
              <w:spacing w:after="0"/>
              <w:rPr>
                <w:sz w:val="20"/>
                <w:szCs w:val="20"/>
                <w:color w:val="auto"/>
              </w:rPr>
            </w:pPr>
            <w:r>
              <w:rPr>
                <w:rFonts w:ascii="Arial" w:cs="Arial" w:eastAsia="Arial" w:hAnsi="Arial"/>
                <w:sz w:val="18"/>
                <w:szCs w:val="18"/>
                <w:color w:val="auto"/>
                <w:w w:val="94"/>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Shipments</w:t>
            </w:r>
          </w:p>
        </w:tc>
        <w:tc>
          <w:tcPr>
            <w:tcW w:w="2360" w:type="dxa"/>
            <w:vAlign w:val="bottom"/>
            <w:gridSpan w:val="5"/>
          </w:tcPr>
          <w:p>
            <w:pPr>
              <w:jc w:val="center"/>
              <w:ind w:left="648"/>
              <w:spacing w:after="0"/>
              <w:rPr>
                <w:sz w:val="20"/>
                <w:szCs w:val="20"/>
                <w:color w:val="auto"/>
              </w:rPr>
            </w:pPr>
            <w:r>
              <w:rPr>
                <w:rFonts w:ascii="Arial" w:cs="Arial" w:eastAsia="Arial" w:hAnsi="Arial"/>
                <w:sz w:val="18"/>
                <w:szCs w:val="18"/>
                <w:i w:val="1"/>
                <w:iCs w:val="1"/>
                <w:color w:val="auto"/>
                <w:w w:val="90"/>
              </w:rPr>
              <w:t>(Tons in Thousands)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40" w:type="dxa"/>
            <w:vAlign w:val="bottom"/>
            <w:gridSpan w:val="3"/>
            <w:vMerge w:val="continue"/>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Heritage Aggregates Product Line </w:t>
            </w:r>
            <w:r>
              <w:rPr>
                <w:rFonts w:ascii="Arial" w:cs="Arial" w:eastAsia="Arial" w:hAnsi="Arial"/>
                <w:sz w:val="15"/>
                <w:szCs w:val="15"/>
                <w:color w:val="auto"/>
              </w:rPr>
              <w:t>(2)</w:t>
            </w:r>
            <w:r>
              <w:rPr>
                <w:rFonts w:ascii="Arial" w:cs="Arial" w:eastAsia="Arial" w:hAnsi="Arial"/>
                <w:sz w:val="18"/>
                <w:szCs w:val="18"/>
                <w:color w:val="auto"/>
              </w:rPr>
              <w:t>:</w:t>
            </w: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20" w:type="dxa"/>
            <w:vAlign w:val="bottom"/>
            <w:gridSpan w:val="2"/>
          </w:tcPr>
          <w:p>
            <w:pPr>
              <w:ind w:left="220"/>
              <w:spacing w:after="0"/>
              <w:rPr>
                <w:sz w:val="20"/>
                <w:szCs w:val="20"/>
                <w:color w:val="auto"/>
              </w:rPr>
            </w:pPr>
            <w:r>
              <w:rPr>
                <w:rFonts w:ascii="Arial" w:cs="Arial" w:eastAsia="Arial" w:hAnsi="Arial"/>
                <w:sz w:val="18"/>
                <w:szCs w:val="18"/>
                <w:color w:val="auto"/>
              </w:rPr>
              <w:t>Tons to external customers</w:t>
            </w:r>
          </w:p>
        </w:tc>
        <w:tc>
          <w:tcPr>
            <w:tcW w:w="1400" w:type="dxa"/>
            <w:vAlign w:val="bottom"/>
          </w:tcPr>
          <w:p>
            <w:pPr>
              <w:jc w:val="right"/>
              <w:spacing w:after="0"/>
              <w:rPr>
                <w:sz w:val="20"/>
                <w:szCs w:val="20"/>
                <w:color w:val="auto"/>
              </w:rPr>
            </w:pPr>
            <w:r>
              <w:rPr>
                <w:rFonts w:ascii="Arial" w:cs="Arial" w:eastAsia="Arial" w:hAnsi="Arial"/>
                <w:sz w:val="18"/>
                <w:szCs w:val="18"/>
                <w:color w:val="auto"/>
              </w:rPr>
              <w:t>39,557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39,651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Internal tons used in other product lines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7480" w:type="dxa"/>
            <w:vAlign w:val="bottom"/>
            <w:gridSpan w:val="2"/>
          </w:tcPr>
          <w:p>
            <w:pPr>
              <w:spacing w:after="0"/>
              <w:rPr>
                <w:sz w:val="20"/>
                <w:szCs w:val="20"/>
                <w:color w:val="auto"/>
              </w:rPr>
            </w:pPr>
            <w:r>
              <w:rPr>
                <w:rFonts w:ascii="Arial" w:cs="Arial" w:eastAsia="Arial" w:hAnsi="Arial"/>
                <w:sz w:val="18"/>
                <w:szCs w:val="18"/>
                <w:color w:val="auto"/>
              </w:rPr>
              <w:t>Total heritage aggregates tons</w:t>
            </w:r>
          </w:p>
        </w:tc>
        <w:tc>
          <w:tcPr>
            <w:tcW w:w="36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42,163</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42,003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4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Tons to external customers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20" w:type="dxa"/>
            <w:vAlign w:val="bottom"/>
            <w:gridSpan w:val="2"/>
          </w:tcPr>
          <w:p>
            <w:pPr>
              <w:ind w:left="220"/>
              <w:spacing w:after="0"/>
              <w:rPr>
                <w:sz w:val="20"/>
                <w:szCs w:val="20"/>
                <w:color w:val="auto"/>
              </w:rPr>
            </w:pPr>
            <w:r>
              <w:rPr>
                <w:rFonts w:ascii="Arial" w:cs="Arial" w:eastAsia="Arial" w:hAnsi="Arial"/>
                <w:sz w:val="18"/>
                <w:szCs w:val="18"/>
                <w:color w:val="auto"/>
              </w:rPr>
              <w:t>Internal tons used in other product lines</w:t>
            </w:r>
          </w:p>
        </w:tc>
        <w:tc>
          <w:tcPr>
            <w:tcW w:w="140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acquisition aggregates tons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260" w:hanging="259"/>
        <w:spacing w:after="0"/>
        <w:tabs>
          <w:tab w:leader="none" w:pos="260" w:val="left"/>
        </w:tabs>
        <w:numPr>
          <w:ilvl w:val="0"/>
          <w:numId w:val="20"/>
        </w:numPr>
        <w:rPr>
          <w:rFonts w:ascii="Arial" w:cs="Arial" w:eastAsia="Arial" w:hAnsi="Arial"/>
          <w:sz w:val="14"/>
          <w:szCs w:val="14"/>
          <w:i w:val="1"/>
          <w:iCs w:val="1"/>
          <w:color w:val="auto"/>
        </w:rPr>
      </w:pPr>
      <w:r>
        <w:rPr>
          <w:rFonts w:ascii="Arial" w:cs="Arial" w:eastAsia="Arial" w:hAnsi="Arial"/>
          <w:sz w:val="17"/>
          <w:szCs w:val="17"/>
          <w:i w:val="1"/>
          <w:iCs w:val="1"/>
          <w:color w:val="auto"/>
        </w:rPr>
        <w:t>Volume/pricing variances reflect the percentage increase/(decrease) from the comparable period in the prior year.</w:t>
      </w:r>
    </w:p>
    <w:p>
      <w:pPr>
        <w:spacing w:after="0" w:line="18" w:lineRule="exact"/>
        <w:rPr>
          <w:rFonts w:ascii="Arial" w:cs="Arial" w:eastAsia="Arial" w:hAnsi="Arial"/>
          <w:sz w:val="14"/>
          <w:szCs w:val="14"/>
          <w:i w:val="1"/>
          <w:iCs w:val="1"/>
          <w:color w:val="auto"/>
        </w:rPr>
      </w:pPr>
    </w:p>
    <w:p>
      <w:pPr>
        <w:ind w:left="260" w:hanging="259"/>
        <w:spacing w:after="0" w:line="247" w:lineRule="auto"/>
        <w:tabs>
          <w:tab w:leader="none" w:pos="260" w:val="left"/>
        </w:tabs>
        <w:numPr>
          <w:ilvl w:val="0"/>
          <w:numId w:val="20"/>
        </w:numPr>
        <w:rPr>
          <w:rFonts w:ascii="Arial" w:cs="Arial" w:eastAsia="Arial" w:hAnsi="Arial"/>
          <w:sz w:val="14"/>
          <w:szCs w:val="14"/>
          <w:i w:val="1"/>
          <w:iCs w:val="1"/>
          <w:color w:val="auto"/>
        </w:rPr>
      </w:pPr>
      <w:r>
        <w:rPr>
          <w:rFonts w:ascii="Arial" w:cs="Arial" w:eastAsia="Arial" w:hAnsi="Arial"/>
          <w:sz w:val="17"/>
          <w:szCs w:val="17"/>
          <w:i w:val="1"/>
          <w:iCs w:val="1"/>
          <w:color w:val="auto"/>
        </w:rPr>
        <w:t>Heritage Aggregates Product Line and Heritage Aggregates Operations exclude volume and pricing data for acquisitions that have not been included in operations for a full year.</w:t>
      </w:r>
    </w:p>
    <w:p>
      <w:pPr>
        <w:spacing w:after="0" w:line="1" w:lineRule="exact"/>
        <w:rPr>
          <w:rFonts w:ascii="Arial" w:cs="Arial" w:eastAsia="Arial" w:hAnsi="Arial"/>
          <w:sz w:val="14"/>
          <w:szCs w:val="14"/>
          <w:i w:val="1"/>
          <w:iCs w:val="1"/>
          <w:color w:val="auto"/>
        </w:rPr>
      </w:pPr>
    </w:p>
    <w:p>
      <w:pPr>
        <w:ind w:left="260" w:hanging="259"/>
        <w:spacing w:after="0" w:line="247" w:lineRule="auto"/>
        <w:tabs>
          <w:tab w:leader="none" w:pos="260" w:val="left"/>
        </w:tabs>
        <w:numPr>
          <w:ilvl w:val="0"/>
          <w:numId w:val="20"/>
        </w:numPr>
        <w:rPr>
          <w:rFonts w:ascii="Arial" w:cs="Arial" w:eastAsia="Arial" w:hAnsi="Arial"/>
          <w:sz w:val="14"/>
          <w:szCs w:val="14"/>
          <w:i w:val="1"/>
          <w:iCs w:val="1"/>
          <w:color w:val="auto"/>
        </w:rPr>
      </w:pPr>
      <w:r>
        <w:rPr>
          <w:rFonts w:ascii="Arial" w:cs="Arial" w:eastAsia="Arial" w:hAnsi="Arial"/>
          <w:sz w:val="17"/>
          <w:szCs w:val="17"/>
          <w:i w:val="1"/>
          <w:iCs w:val="1"/>
          <w:color w:val="auto"/>
        </w:rPr>
        <w:t>Including the recently acquired Colorado operations in the current-year quarter, the volume variance is (2.8)% and the pricing variance is 10.0% for the three months ended June 30, 2016.</w:t>
      </w:r>
    </w:p>
    <w:p>
      <w:pPr>
        <w:spacing w:after="0" w:line="1" w:lineRule="exact"/>
        <w:rPr>
          <w:rFonts w:ascii="Arial" w:cs="Arial" w:eastAsia="Arial" w:hAnsi="Arial"/>
          <w:sz w:val="14"/>
          <w:szCs w:val="14"/>
          <w:i w:val="1"/>
          <w:iCs w:val="1"/>
          <w:color w:val="auto"/>
        </w:rPr>
      </w:pPr>
    </w:p>
    <w:p>
      <w:pPr>
        <w:ind w:left="260" w:hanging="259"/>
        <w:spacing w:after="0"/>
        <w:tabs>
          <w:tab w:leader="none" w:pos="260" w:val="left"/>
        </w:tabs>
        <w:numPr>
          <w:ilvl w:val="0"/>
          <w:numId w:val="20"/>
        </w:numPr>
        <w:rPr>
          <w:rFonts w:ascii="Arial" w:cs="Arial" w:eastAsia="Arial" w:hAnsi="Arial"/>
          <w:sz w:val="14"/>
          <w:szCs w:val="14"/>
          <w:i w:val="1"/>
          <w:iCs w:val="1"/>
          <w:color w:val="auto"/>
        </w:rPr>
      </w:pPr>
      <w:r>
        <w:rPr>
          <w:rFonts w:ascii="Arial" w:cs="Arial" w:eastAsia="Arial" w:hAnsi="Arial"/>
          <w:sz w:val="17"/>
          <w:szCs w:val="17"/>
          <w:i w:val="1"/>
          <w:iCs w:val="1"/>
          <w:color w:val="auto"/>
        </w:rPr>
        <w:t>Aggregates Product Line includes all acquisitions from the date of acquisition and divestitures through the date of disposal.</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Aggregates product line shipments to the infrastructure market comprised 43% of quarterly volumes and increased 1.3%. Growth was led by the Southeast Group, which increased 8.9%. The Mid-America and West Groups were impacted by significant rainfall and project delays in April and May, which deferred shipments and led to flat public-sector volumes. Growth in the Southeast was primarily attributable to large projects in Georgia, a state that is benefitting from legislation passed in 2015 increasing near- and long-term state infrastructure spending. In a January 2016 study, SC Market Analytics, Inc. estimated the Fixing America’s Surface Transportation Act (“FAST Act”) could allow</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37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state departments of transportation to purchase and use an additional 114 million tons of aggregates over the 5-year tenor of the FAST Act. The analysis further indicates certain areas of the United States – including the Southeast, West, Mountain and Northeastern regions – are expected to reap the benefits under the FAST Act.</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nonresidential market represented 33% of quarterly aggregates product line shipments and increased 2.8%. The Mid-America Group achieved a 13.7% increase, followed by an increase of 1.6% in the Southeast Group. Notably, a broader improving economy is driving business investment in office and retail development, which are experiencing a rebound in markets not seen in the past several years. The West Group noted a decline in nonresidential activity, primarily related to weather deferrals and further reductions in shale energy demand.</w:t>
      </w:r>
    </w:p>
    <w:p>
      <w:pPr>
        <w:spacing w:after="0" w:line="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residential market accounted for 17% of quarterly aggregates product line shipments. Volumes to this segment increased 10.8%, due to the continued and expanding housing recovery, notably in the southeastern region of the country. While housing activity in the United States generally remains well below historic averages, strong growth in permits, starts and completions among the Corporation’s top states reflects steady momentum in housing construction and indicates additional future gains from increased residential investment. In fact, Dallas and Atlanta, key Martin Marietta markets, are ranked first and second in the country, respectively, in permits growth. Further, during the second quarter, North Carolina, Iowa, Florida and South Carolina all reported double-digit growth in housing starts. The ChemRock/Rail market accounted for the remaining 7% of aggregates product line volumes. The volume decline to this segment reflects reduced ballast driven by reduced coal demand, which impacts transportation and results in lower capital and maintenance activity by railroads.</w:t>
      </w:r>
    </w:p>
    <w:p>
      <w:pPr>
        <w:spacing w:after="0" w:line="7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Overall, aggregates product line shipments increased 1.3%. Geographically, growth was led by the Mid-America Group, which increased 4.9%, while the Southeast Group achieved a 1.9% increase. This growth offset the weather-impacted decline in the West Group.</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average per-ton selling price for the heritage aggregates product line was $12.78 and $11.94 for the three months ended June 30, 2016 and 2015, respectively. The heritage aggregates product line pricing increase of 7.0% reflects growth in all reportable groups, led by the 10.4% increase in the West Group. The most significant improvement was achieved in the north Texas/Oklahoma region. The Southeast Group and Mid-America Group reported increases of 6.2% and 4.2%, respectively. For the three months ended June 30, 2016 the average per-ton selling price for the acquired aggregates product line was $10.21. The acquired locations, which are in the Colorado market, have a lower average selling price due to its inherent trucking market compared to the Corporation’s overall aggregates business.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38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0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Corporation’s aggregates-related downstream product lines include ready mixed concrete, asphalt and paving businesses in Arkansas, Colorado, Texas and Wyoming. Average selling prices by product line for the Corporation’s aggregates-related downstream product lines are as follows:</w:t>
      </w:r>
    </w:p>
    <w:p>
      <w:pPr>
        <w:spacing w:after="0" w:line="1" w:lineRule="exact"/>
        <w:rPr>
          <w:sz w:val="20"/>
          <w:szCs w:val="20"/>
          <w:color w:val="auto"/>
        </w:rPr>
      </w:pPr>
    </w:p>
    <w:p>
      <w:pPr>
        <w:jc w:val="center"/>
        <w:ind w:left="668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p>
    <w:p>
      <w:pPr>
        <w:jc w:val="center"/>
        <w:ind w:left="6680"/>
        <w:spacing w:after="0"/>
        <w:rPr>
          <w:sz w:val="20"/>
          <w:szCs w:val="20"/>
          <w:color w:val="auto"/>
        </w:rPr>
      </w:pPr>
      <w:r>
        <w:rPr>
          <w:rFonts w:ascii="Arial" w:cs="Arial" w:eastAsia="Arial" w:hAnsi="Arial"/>
          <w:sz w:val="18"/>
          <w:szCs w:val="18"/>
          <w:color w:val="auto"/>
        </w:rPr>
        <w:t>June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00" w:type="dxa"/>
            <w:vAlign w:val="bottom"/>
            <w:tcBorders>
              <w:bottom w:val="single" w:sz="8" w:color="CFF0FC"/>
            </w:tcBorders>
          </w:tcPr>
          <w:p>
            <w:pPr>
              <w:spacing w:after="0"/>
              <w:rPr>
                <w:sz w:val="19"/>
                <w:szCs w:val="19"/>
                <w:color w:val="auto"/>
              </w:rPr>
            </w:pPr>
          </w:p>
        </w:tc>
        <w:tc>
          <w:tcPr>
            <w:tcW w:w="2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2016</w:t>
            </w:r>
          </w:p>
        </w:tc>
        <w:tc>
          <w:tcPr>
            <w:tcW w:w="220" w:type="dxa"/>
            <w:vAlign w:val="bottom"/>
            <w:tcBorders>
              <w:top w:val="single" w:sz="8" w:color="auto"/>
              <w:bottom w:val="single" w:sz="8" w:color="CFF0FC"/>
            </w:tcBorders>
          </w:tcPr>
          <w:p>
            <w:pPr>
              <w:spacing w:after="0"/>
              <w:rPr>
                <w:sz w:val="19"/>
                <w:szCs w:val="19"/>
                <w:color w:val="auto"/>
              </w:rPr>
            </w:pPr>
          </w:p>
        </w:tc>
        <w:tc>
          <w:tcPr>
            <w:tcW w:w="2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FF0FC"/>
            </w:tcBorders>
          </w:tcPr>
          <w:p>
            <w:pPr>
              <w:spacing w:after="0"/>
              <w:rPr>
                <w:sz w:val="19"/>
                <w:szCs w:val="19"/>
                <w:color w:val="auto"/>
              </w:rPr>
            </w:pPr>
          </w:p>
        </w:tc>
      </w:tr>
      <w:tr>
        <w:trPr>
          <w:trHeight w:val="22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Heritage:</w:t>
            </w:r>
          </w:p>
        </w:tc>
        <w:tc>
          <w:tcPr>
            <w:tcW w:w="2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6800" w:type="dxa"/>
            <w:vAlign w:val="bottom"/>
          </w:tcPr>
          <w:p>
            <w:pPr>
              <w:ind w:left="120"/>
              <w:spacing w:after="0"/>
              <w:rPr>
                <w:sz w:val="20"/>
                <w:szCs w:val="20"/>
                <w:color w:val="auto"/>
              </w:rPr>
            </w:pPr>
            <w:r>
              <w:rPr>
                <w:rFonts w:ascii="Arial" w:cs="Arial" w:eastAsia="Arial" w:hAnsi="Arial"/>
                <w:sz w:val="18"/>
                <w:szCs w:val="18"/>
                <w:color w:val="auto"/>
              </w:rPr>
              <w:t>Asphalt</w:t>
            </w: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$37.20/ton</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$42.20/ton</w:t>
            </w:r>
          </w:p>
        </w:tc>
      </w:tr>
      <w:tr>
        <w:trPr>
          <w:trHeight w:val="227"/>
        </w:trPr>
        <w:tc>
          <w:tcPr>
            <w:tcW w:w="6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Ready Mixed Concrete</w:t>
            </w:r>
          </w:p>
        </w:tc>
        <w:tc>
          <w:tcPr>
            <w:tcW w:w="24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2"/>
              </w:rPr>
              <w:t>$105.16/yd</w:t>
            </w:r>
            <w:r>
              <w:rPr>
                <w:rFonts w:ascii="Arial" w:cs="Arial" w:eastAsia="Arial" w:hAnsi="Arial"/>
                <w:sz w:val="15"/>
                <w:szCs w:val="15"/>
                <w:color w:val="auto"/>
                <w:w w:val="92"/>
              </w:rPr>
              <w:t>3</w:t>
            </w:r>
          </w:p>
        </w:tc>
        <w:tc>
          <w:tcPr>
            <w:tcW w:w="22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4"/>
              </w:rPr>
              <w:t>$91.35/yd³</w:t>
            </w:r>
          </w:p>
        </w:tc>
      </w:tr>
      <w:tr>
        <w:trPr>
          <w:trHeight w:val="227"/>
        </w:trPr>
        <w:tc>
          <w:tcPr>
            <w:tcW w:w="6800" w:type="dxa"/>
            <w:vAlign w:val="bottom"/>
          </w:tcPr>
          <w:p>
            <w:pPr>
              <w:spacing w:after="0"/>
              <w:rPr>
                <w:sz w:val="20"/>
                <w:szCs w:val="20"/>
                <w:color w:val="auto"/>
              </w:rPr>
            </w:pPr>
            <w:r>
              <w:rPr>
                <w:rFonts w:ascii="Arial" w:cs="Arial" w:eastAsia="Arial" w:hAnsi="Arial"/>
                <w:sz w:val="18"/>
                <w:szCs w:val="18"/>
                <w:color w:val="auto"/>
              </w:rPr>
              <w:t>Acquisitions:</w:t>
            </w:r>
          </w:p>
        </w:tc>
        <w:tc>
          <w:tcPr>
            <w:tcW w:w="2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Asphalt</w:t>
            </w:r>
          </w:p>
        </w:tc>
        <w:tc>
          <w:tcPr>
            <w:tcW w:w="24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1"/>
              </w:rPr>
              <w:t>$44.13/ton</w:t>
            </w:r>
          </w:p>
        </w:tc>
        <w:tc>
          <w:tcPr>
            <w:tcW w:w="220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rPr>
              <w:t>—</w:t>
            </w:r>
          </w:p>
        </w:tc>
      </w:tr>
      <w:tr>
        <w:trPr>
          <w:trHeight w:val="235"/>
        </w:trPr>
        <w:tc>
          <w:tcPr>
            <w:tcW w:w="6800" w:type="dxa"/>
            <w:vAlign w:val="bottom"/>
          </w:tcPr>
          <w:p>
            <w:pPr>
              <w:ind w:left="120"/>
              <w:spacing w:after="0"/>
              <w:rPr>
                <w:sz w:val="20"/>
                <w:szCs w:val="20"/>
                <w:color w:val="auto"/>
              </w:rPr>
            </w:pPr>
            <w:r>
              <w:rPr>
                <w:rFonts w:ascii="Arial" w:cs="Arial" w:eastAsia="Arial" w:hAnsi="Arial"/>
                <w:sz w:val="18"/>
                <w:szCs w:val="18"/>
                <w:color w:val="auto"/>
              </w:rPr>
              <w:t>Ready Mixed Concrete</w:t>
            </w: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$112.86/yd³</w:t>
            </w:r>
          </w:p>
        </w:tc>
        <w:tc>
          <w:tcPr>
            <w:tcW w:w="2200" w:type="dxa"/>
            <w:vAlign w:val="bottom"/>
            <w:gridSpan w:val="2"/>
          </w:tcPr>
          <w:p>
            <w:pPr>
              <w:ind w:left="1000"/>
              <w:spacing w:after="0"/>
              <w:rPr>
                <w:sz w:val="20"/>
                <w:szCs w:val="20"/>
                <w:color w:val="auto"/>
              </w:rPr>
            </w:pPr>
            <w:r>
              <w:rPr>
                <w:rFonts w:ascii="Arial" w:cs="Arial" w:eastAsia="Arial" w:hAnsi="Arial"/>
                <w:sz w:val="18"/>
                <w:szCs w:val="18"/>
                <w:color w:val="auto"/>
              </w:rPr>
              <w:t>—</w:t>
            </w:r>
          </w:p>
        </w:tc>
      </w:tr>
    </w:tbl>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decline in asphalt pricing is primarily attributable to the divestiture of the San Antonio Asphalt operations sold in third quarter 2015, which had a higher average selling price. Additionally, asphalt and paving contracts in the Rocky Mountain Division contain accelerator clauses to reflect cost fluctuations in the raw materials. Liquid asphalt, a key raw material in the manufacturing process, declined during the quarter, resulting in a lower average selling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Unit shipments by product line for the Corporation’s aggregates-related downstream product lines are as follows:</w:t>
      </w:r>
    </w:p>
    <w:p>
      <w:pPr>
        <w:spacing w:after="0" w:line="234" w:lineRule="exact"/>
        <w:rPr>
          <w:sz w:val="20"/>
          <w:szCs w:val="20"/>
          <w:color w:val="auto"/>
        </w:rPr>
      </w:pPr>
    </w:p>
    <w:p>
      <w:pPr>
        <w:jc w:val="center"/>
        <w:ind w:left="730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p>
      <w:pPr>
        <w:jc w:val="center"/>
        <w:ind w:left="7300"/>
        <w:spacing w:after="0"/>
        <w:rPr>
          <w:sz w:val="20"/>
          <w:szCs w:val="20"/>
          <w:color w:val="auto"/>
        </w:rPr>
      </w:pPr>
      <w:r>
        <w:rPr>
          <w:rFonts w:ascii="Arial" w:cs="Arial" w:eastAsia="Arial" w:hAnsi="Arial"/>
          <w:sz w:val="18"/>
          <w:szCs w:val="18"/>
          <w:color w:val="auto"/>
        </w:rPr>
        <w:t>June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40" w:type="dxa"/>
            <w:vAlign w:val="bottom"/>
            <w:gridSpan w:val="2"/>
          </w:tcPr>
          <w:p>
            <w:pPr>
              <w:spacing w:after="0"/>
              <w:rPr>
                <w:sz w:val="19"/>
                <w:szCs w:val="19"/>
                <w:color w:val="auto"/>
              </w:rPr>
            </w:pPr>
          </w:p>
        </w:tc>
        <w:tc>
          <w:tcPr>
            <w:tcW w:w="1200" w:type="dxa"/>
            <w:vAlign w:val="bottom"/>
            <w:tcBorders>
              <w:top w:val="single" w:sz="8" w:color="auto"/>
            </w:tcBorders>
          </w:tcPr>
          <w:p>
            <w:pPr>
              <w:jc w:val="right"/>
              <w:ind w:right="48"/>
              <w:spacing w:after="0"/>
              <w:rPr>
                <w:sz w:val="20"/>
                <w:szCs w:val="20"/>
                <w:color w:val="auto"/>
              </w:rPr>
            </w:pPr>
            <w:r>
              <w:rPr>
                <w:rFonts w:ascii="Arial" w:cs="Arial" w:eastAsia="Arial" w:hAnsi="Arial"/>
                <w:sz w:val="18"/>
                <w:szCs w:val="18"/>
                <w:color w:val="auto"/>
              </w:rPr>
              <w:t>2016</w:t>
            </w:r>
          </w:p>
        </w:tc>
        <w:tc>
          <w:tcPr>
            <w:tcW w:w="5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608"/>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Asphalt Product Line (in thousands):</w:t>
            </w:r>
          </w:p>
        </w:tc>
        <w:tc>
          <w:tcPr>
            <w:tcW w:w="12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Heritage:</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6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Tons to external customers</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32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620" w:type="dxa"/>
            <w:vAlign w:val="bottom"/>
            <w:gridSpan w:val="2"/>
          </w:tcPr>
          <w:p>
            <w:pPr>
              <w:ind w:left="220"/>
              <w:spacing w:after="0"/>
              <w:rPr>
                <w:sz w:val="20"/>
                <w:szCs w:val="20"/>
                <w:color w:val="auto"/>
              </w:rPr>
            </w:pPr>
            <w:r>
              <w:rPr>
                <w:rFonts w:ascii="Arial" w:cs="Arial" w:eastAsia="Arial" w:hAnsi="Arial"/>
                <w:sz w:val="18"/>
                <w:szCs w:val="18"/>
                <w:color w:val="auto"/>
              </w:rPr>
              <w:t>Internal tons used in road paving business</w:t>
            </w:r>
          </w:p>
        </w:tc>
        <w:tc>
          <w:tcPr>
            <w:tcW w:w="560" w:type="dxa"/>
            <w:vAlign w:val="bottom"/>
          </w:tcPr>
          <w:p>
            <w:pPr>
              <w:jc w:val="right"/>
              <w:spacing w:after="0"/>
              <w:rPr>
                <w:sz w:val="20"/>
                <w:szCs w:val="20"/>
                <w:color w:val="auto"/>
              </w:rPr>
            </w:pPr>
            <w:r>
              <w:rPr>
                <w:rFonts w:ascii="Arial" w:cs="Arial" w:eastAsia="Arial" w:hAnsi="Arial"/>
                <w:sz w:val="18"/>
                <w:szCs w:val="18"/>
                <w:color w:val="auto"/>
              </w:rPr>
              <w:t>469</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heritage asphalt tons</w:t>
            </w:r>
          </w:p>
        </w:tc>
        <w:tc>
          <w:tcPr>
            <w:tcW w:w="12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440" w:type="dxa"/>
            <w:vAlign w:val="bottom"/>
            <w:gridSpan w:val="2"/>
          </w:tcPr>
          <w:p>
            <w:pPr>
              <w:spacing w:after="0" w:line="205" w:lineRule="exact"/>
              <w:rPr>
                <w:sz w:val="20"/>
                <w:szCs w:val="20"/>
                <w:color w:val="auto"/>
              </w:rPr>
            </w:pPr>
            <w:r>
              <w:rPr>
                <w:rFonts w:ascii="Arial" w:cs="Arial" w:eastAsia="Arial" w:hAnsi="Arial"/>
                <w:sz w:val="18"/>
                <w:szCs w:val="18"/>
                <w:color w:val="auto"/>
              </w:rPr>
              <w:t>Acquisitions:</w:t>
            </w:r>
          </w:p>
        </w:tc>
        <w:tc>
          <w:tcPr>
            <w:tcW w:w="12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6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Tons to external customers</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620" w:type="dxa"/>
            <w:vAlign w:val="bottom"/>
            <w:gridSpan w:val="2"/>
          </w:tcPr>
          <w:p>
            <w:pPr>
              <w:ind w:left="220"/>
              <w:spacing w:after="0"/>
              <w:rPr>
                <w:sz w:val="20"/>
                <w:szCs w:val="20"/>
                <w:color w:val="auto"/>
              </w:rPr>
            </w:pPr>
            <w:r>
              <w:rPr>
                <w:rFonts w:ascii="Arial" w:cs="Arial" w:eastAsia="Arial" w:hAnsi="Arial"/>
                <w:sz w:val="18"/>
                <w:szCs w:val="18"/>
                <w:color w:val="auto"/>
              </w:rPr>
              <w:t>Internal tons used in road paving business</w:t>
            </w:r>
          </w:p>
        </w:tc>
        <w:tc>
          <w:tcPr>
            <w:tcW w:w="560" w:type="dxa"/>
            <w:vAlign w:val="bottom"/>
          </w:tcPr>
          <w:p>
            <w:pPr>
              <w:jc w:val="right"/>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9"/>
                <w:szCs w:val="19"/>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acquisitions asphalt tons</w:t>
            </w:r>
          </w:p>
        </w:tc>
        <w:tc>
          <w:tcPr>
            <w:tcW w:w="12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8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Ready Mixed Concrete (in thousands of cubic yards):</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620" w:type="dxa"/>
            <w:vAlign w:val="bottom"/>
            <w:gridSpan w:val="2"/>
          </w:tcPr>
          <w:p>
            <w:pPr>
              <w:ind w:left="220"/>
              <w:spacing w:after="0"/>
              <w:rPr>
                <w:sz w:val="20"/>
                <w:szCs w:val="20"/>
                <w:color w:val="auto"/>
              </w:rPr>
            </w:pPr>
            <w:r>
              <w:rPr>
                <w:rFonts w:ascii="Arial" w:cs="Arial" w:eastAsia="Arial" w:hAnsi="Arial"/>
                <w:sz w:val="18"/>
                <w:szCs w:val="18"/>
                <w:color w:val="auto"/>
              </w:rPr>
              <w:t>Heritage</w:t>
            </w:r>
          </w:p>
        </w:tc>
        <w:tc>
          <w:tcPr>
            <w:tcW w:w="560" w:type="dxa"/>
            <w:vAlign w:val="bottom"/>
          </w:tcPr>
          <w:p>
            <w:pPr>
              <w:jc w:val="right"/>
              <w:spacing w:after="0"/>
              <w:rPr>
                <w:sz w:val="20"/>
                <w:szCs w:val="20"/>
                <w:color w:val="auto"/>
              </w:rPr>
            </w:pPr>
            <w:r>
              <w:rPr>
                <w:rFonts w:ascii="Arial" w:cs="Arial" w:eastAsia="Arial" w:hAnsi="Arial"/>
                <w:sz w:val="18"/>
                <w:szCs w:val="18"/>
                <w:color w:val="auto"/>
              </w:rPr>
              <w:t>1,942</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6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Acquisitions</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7440" w:type="dxa"/>
            <w:vAlign w:val="bottom"/>
            <w:gridSpan w:val="2"/>
          </w:tcPr>
          <w:p>
            <w:pPr>
              <w:spacing w:after="0"/>
              <w:rPr>
                <w:sz w:val="20"/>
                <w:szCs w:val="20"/>
                <w:color w:val="auto"/>
              </w:rPr>
            </w:pPr>
            <w:r>
              <w:rPr>
                <w:rFonts w:ascii="Arial" w:cs="Arial" w:eastAsia="Arial" w:hAnsi="Arial"/>
                <w:sz w:val="18"/>
                <w:szCs w:val="18"/>
                <w:color w:val="auto"/>
              </w:rPr>
              <w:t>Total cubic yards</w:t>
            </w:r>
          </w:p>
        </w:tc>
        <w:tc>
          <w:tcPr>
            <w:tcW w:w="12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1,997</w:t>
            </w:r>
          </w:p>
        </w:tc>
        <w:tc>
          <w:tcPr>
            <w:tcW w:w="32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decline in asphalt product line shipments is primarily attributable to the divestiture of San Antonio Asphalt operations, sold in third quarter 2015, which contributed 158,000 tons during the three months ended June 30, 2015.</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39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heritage ready mixed concrete product line benefitted from strong demand and improved operating conditions, driving a reported 20% increase in shipments and a 15% increase in average selling price, resulting in a 39% increase in net sales and a 570-basis-point improvement in gross margin (excluding freight and delivery revenues).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Cement Business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quarter, the Cement business generated $59.8 million of net sales and $24.0 million of gross profit. Cement shipments increased 2.2% while pricing was slightly down (excluding the impact of the California cement operations sold in 2015). The business’ reported quarterly gross margin (excluding freight and delivery revenues) of 40.1% was flat compared to prior year (excluding the impact of the California cement operations sold in 2015).</w:t>
      </w:r>
    </w:p>
    <w:p>
      <w:pPr>
        <w:spacing w:after="0" w:line="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2016, the business incurred $5.7 million in planned cement kiln maintenance costs, and expects to incur $2.0 million and $7.8 million in the third and fourth quarters, respectively. Kiln maintenance costs in 2015 for the Texas plants were $3.5 million, $3.2 million and $9.3 million for the second, third and fourth quarters,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Cement shipments and adjusted average-selling price for the three months ended June 30, 2016 and 2015 were (tons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color w:val="auto"/>
                <w:w w:val="92"/>
              </w:rPr>
              <w:t>Three Months Ended</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300" w:type="dxa"/>
            <w:vAlign w:val="bottom"/>
            <w:vMerge w:val="restart"/>
          </w:tcPr>
          <w:p>
            <w:pPr>
              <w:jc w:val="right"/>
              <w:ind w:right="8"/>
              <w:spacing w:after="0"/>
              <w:rPr>
                <w:sz w:val="20"/>
                <w:szCs w:val="20"/>
                <w:color w:val="auto"/>
              </w:rPr>
            </w:pPr>
            <w:r>
              <w:rPr>
                <w:rFonts w:ascii="Arial" w:cs="Arial" w:eastAsia="Arial" w:hAnsi="Arial"/>
                <w:sz w:val="18"/>
                <w:szCs w:val="18"/>
                <w:color w:val="auto"/>
              </w:rPr>
              <w:t>2016</w:t>
            </w:r>
          </w:p>
        </w:tc>
        <w:tc>
          <w:tcPr>
            <w:tcW w:w="1780" w:type="dxa"/>
            <w:vAlign w:val="bottom"/>
            <w:gridSpan w:val="3"/>
          </w:tcPr>
          <w:p>
            <w:pPr>
              <w:jc w:val="center"/>
              <w:spacing w:after="0"/>
              <w:rPr>
                <w:sz w:val="20"/>
                <w:szCs w:val="20"/>
                <w:color w:val="auto"/>
              </w:rPr>
            </w:pPr>
            <w:r>
              <w:rPr>
                <w:rFonts w:ascii="Arial" w:cs="Arial" w:eastAsia="Arial" w:hAnsi="Arial"/>
                <w:sz w:val="18"/>
                <w:szCs w:val="18"/>
                <w:color w:val="auto"/>
                <w:w w:val="89"/>
              </w:rPr>
              <w:t>June 30,</w:t>
            </w:r>
          </w:p>
        </w:tc>
        <w:tc>
          <w:tcPr>
            <w:tcW w:w="1320" w:type="dxa"/>
            <w:vAlign w:val="bottom"/>
            <w:vMerge w:val="restart"/>
          </w:tcPr>
          <w:p>
            <w:pPr>
              <w:jc w:val="right"/>
              <w:ind w:right="748"/>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Tons to external customers</w:t>
            </w:r>
          </w:p>
        </w:tc>
        <w:tc>
          <w:tcPr>
            <w:tcW w:w="1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Internal tons used in other product lines</w:t>
            </w:r>
          </w:p>
        </w:tc>
        <w:tc>
          <w:tcPr>
            <w:tcW w:w="1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3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cement tons</w:t>
            </w:r>
          </w:p>
        </w:tc>
        <w:tc>
          <w:tcPr>
            <w:tcW w:w="1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Less: California cement tons</w:t>
            </w:r>
          </w:p>
        </w:tc>
        <w:tc>
          <w:tcPr>
            <w:tcW w:w="130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cement tons</w:t>
            </w:r>
          </w:p>
        </w:tc>
        <w:tc>
          <w:tcPr>
            <w:tcW w:w="13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6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average-selling price per ton</w:t>
            </w:r>
            <w:r>
              <w:rPr>
                <w:rFonts w:ascii="Arial" w:cs="Arial" w:eastAsia="Arial" w:hAnsi="Arial"/>
                <w:sz w:val="15"/>
                <w:szCs w:val="15"/>
                <w:color w:val="auto"/>
              </w:rPr>
              <w:t>1</w:t>
            </w:r>
          </w:p>
        </w:tc>
        <w:tc>
          <w:tcPr>
            <w:tcW w:w="1300" w:type="dxa"/>
            <w:vAlign w:val="bottom"/>
            <w:tcBorders>
              <w:bottom w:val="single" w:sz="8" w:color="auto"/>
            </w:tcBorders>
            <w:shd w:val="clear" w:color="auto" w:fill="CFF0FC"/>
          </w:tcPr>
          <w:p>
            <w:pPr>
              <w:jc w:val="right"/>
              <w:ind w:right="1108"/>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101.04</w:t>
            </w:r>
          </w:p>
        </w:tc>
        <w:tc>
          <w:tcPr>
            <w:tcW w:w="3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00" w:hanging="99"/>
        <w:spacing w:after="0"/>
        <w:tabs>
          <w:tab w:leader="none" w:pos="100" w:val="left"/>
        </w:tabs>
        <w:numPr>
          <w:ilvl w:val="0"/>
          <w:numId w:val="21"/>
        </w:numPr>
        <w:rPr>
          <w:rFonts w:ascii="Arial" w:cs="Arial" w:eastAsia="Arial" w:hAnsi="Arial"/>
          <w:sz w:val="14"/>
          <w:szCs w:val="14"/>
          <w:i w:val="1"/>
          <w:iCs w:val="1"/>
          <w:color w:val="auto"/>
        </w:rPr>
      </w:pPr>
      <w:r>
        <w:rPr>
          <w:rFonts w:ascii="Arial" w:cs="Arial" w:eastAsia="Arial" w:hAnsi="Arial"/>
          <w:sz w:val="17"/>
          <w:szCs w:val="17"/>
          <w:i w:val="1"/>
          <w:iCs w:val="1"/>
          <w:color w:val="auto"/>
        </w:rPr>
        <w:t>Excludes the impact of the California cement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4381500</wp:posOffset>
            </wp:positionH>
            <wp:positionV relativeFrom="paragraph">
              <wp:posOffset>-123825</wp:posOffset>
            </wp:positionV>
            <wp:extent cx="27946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8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decline in 2016 shipments is attributable to the prior-year divestiture of the California operations, which accounted for 367,000 tons in the second-quarter of 2015.</w:t>
      </w:r>
    </w:p>
    <w:p>
      <w:pPr>
        <w:spacing w:after="0" w:line="4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Portland Cement Association, or PCA, forecasts continued favorable supply/demand imbalance in Texas over the next several years and growth each year through 2019.</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Magnesia Specialties Business</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Magnesia Specialties continued to deliver strong performance and generated second-quarter net sales of $58.9 million. Gross margin (excluding freight and delivery revenues) of 36.8% in the quarter expanded 170 basis points. Second-quarter earnings from operations were $19.2 million compared with $18.8 million. Expansion in gross margin is primarily due to lower energy and maintenance costs compared to the prior year.</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40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a rollforward of consolidated gross profit (dollars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040" w:type="dxa"/>
            <w:vAlign w:val="bottom"/>
            <w:gridSpan w:val="2"/>
          </w:tcPr>
          <w:p>
            <w:pPr>
              <w:spacing w:after="0"/>
              <w:rPr>
                <w:sz w:val="20"/>
                <w:szCs w:val="20"/>
                <w:color w:val="auto"/>
              </w:rPr>
            </w:pPr>
            <w:r>
              <w:rPr>
                <w:rFonts w:ascii="Arial" w:cs="Arial" w:eastAsia="Arial" w:hAnsi="Arial"/>
                <w:sz w:val="18"/>
                <w:szCs w:val="18"/>
                <w:color w:val="auto"/>
              </w:rPr>
              <w:t>Consolidated gross profit, quarter ended June 30, 2015</w:t>
            </w:r>
          </w:p>
        </w:tc>
        <w:tc>
          <w:tcPr>
            <w:tcW w:w="9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200,153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Heritage aggregates product line:</w:t>
            </w:r>
          </w:p>
        </w:tc>
        <w:tc>
          <w:tcPr>
            <w:tcW w:w="9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gridSpan w:val="2"/>
          </w:tcPr>
          <w:p>
            <w:pPr>
              <w:ind w:left="240"/>
              <w:spacing w:after="0"/>
              <w:rPr>
                <w:sz w:val="20"/>
                <w:szCs w:val="20"/>
                <w:color w:val="auto"/>
              </w:rPr>
            </w:pPr>
            <w:r>
              <w:rPr>
                <w:rFonts w:ascii="Arial" w:cs="Arial" w:eastAsia="Arial" w:hAnsi="Arial"/>
                <w:sz w:val="18"/>
                <w:szCs w:val="18"/>
                <w:color w:val="auto"/>
              </w:rPr>
              <w:t>Volume</w:t>
            </w:r>
          </w:p>
        </w:tc>
        <w:tc>
          <w:tcPr>
            <w:tcW w:w="9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Pricing</w:t>
            </w:r>
          </w:p>
        </w:tc>
        <w:tc>
          <w:tcPr>
            <w:tcW w:w="9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gridSpan w:val="2"/>
          </w:tcPr>
          <w:p>
            <w:pPr>
              <w:ind w:left="240"/>
              <w:spacing w:after="0"/>
              <w:rPr>
                <w:sz w:val="20"/>
                <w:szCs w:val="20"/>
                <w:color w:val="auto"/>
              </w:rPr>
            </w:pPr>
            <w:r>
              <w:rPr>
                <w:rFonts w:ascii="Arial" w:cs="Arial" w:eastAsia="Arial" w:hAnsi="Arial"/>
                <w:sz w:val="18"/>
                <w:szCs w:val="18"/>
                <w:color w:val="auto"/>
              </w:rPr>
              <w:t>Cost increases, net</w:t>
            </w:r>
          </w:p>
        </w:tc>
        <w:tc>
          <w:tcPr>
            <w:tcW w:w="9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(9,138)</w:t>
            </w:r>
          </w:p>
        </w:tc>
        <w:tc>
          <w:tcPr>
            <w:tcW w:w="0" w:type="dxa"/>
            <w:vAlign w:val="bottom"/>
          </w:tcPr>
          <w:p>
            <w:pPr>
              <w:spacing w:after="0"/>
              <w:rPr>
                <w:sz w:val="1"/>
                <w:szCs w:val="1"/>
                <w:color w:val="auto"/>
              </w:rPr>
            </w:pPr>
          </w:p>
        </w:tc>
      </w:tr>
      <w:tr>
        <w:trPr>
          <w:trHeight w:val="220"/>
        </w:trPr>
        <w:tc>
          <w:tcPr>
            <w:tcW w:w="5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Change in heritage aggregates product line gross profit</w:t>
            </w:r>
          </w:p>
        </w:tc>
        <w:tc>
          <w:tcPr>
            <w:tcW w:w="9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gridSpan w:val="2"/>
          </w:tcPr>
          <w:p>
            <w:pPr>
              <w:spacing w:after="0"/>
              <w:rPr>
                <w:sz w:val="20"/>
                <w:szCs w:val="20"/>
                <w:color w:val="auto"/>
              </w:rPr>
            </w:pPr>
            <w:r>
              <w:rPr>
                <w:rFonts w:ascii="Arial" w:cs="Arial" w:eastAsia="Arial" w:hAnsi="Arial"/>
                <w:sz w:val="18"/>
                <w:szCs w:val="18"/>
                <w:color w:val="auto"/>
              </w:rPr>
              <w:t>Heritage aggregates-related downstream product lines</w:t>
            </w:r>
          </w:p>
        </w:tc>
        <w:tc>
          <w:tcPr>
            <w:tcW w:w="9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aggregates business operations</w:t>
            </w:r>
          </w:p>
        </w:tc>
        <w:tc>
          <w:tcPr>
            <w:tcW w:w="9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7"/>
        </w:trPr>
        <w:tc>
          <w:tcPr>
            <w:tcW w:w="5040" w:type="dxa"/>
            <w:vAlign w:val="bottom"/>
            <w:gridSpan w:val="2"/>
          </w:tcPr>
          <w:p>
            <w:pPr>
              <w:spacing w:after="0"/>
              <w:rPr>
                <w:sz w:val="20"/>
                <w:szCs w:val="20"/>
                <w:color w:val="auto"/>
              </w:rPr>
            </w:pPr>
            <w:r>
              <w:rPr>
                <w:rFonts w:ascii="Arial" w:cs="Arial" w:eastAsia="Arial" w:hAnsi="Arial"/>
                <w:sz w:val="18"/>
                <w:szCs w:val="18"/>
                <w:color w:val="auto"/>
              </w:rPr>
              <w:t>Cement*</w:t>
            </w:r>
          </w:p>
        </w:tc>
        <w:tc>
          <w:tcPr>
            <w:tcW w:w="9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227"/>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Magnesia Specialties</w:t>
            </w:r>
          </w:p>
        </w:tc>
        <w:tc>
          <w:tcPr>
            <w:tcW w:w="9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Corporate</w:t>
            </w:r>
          </w:p>
        </w:tc>
        <w:tc>
          <w:tcPr>
            <w:tcW w:w="98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consolidated gross profit</w:t>
            </w:r>
          </w:p>
        </w:tc>
        <w:tc>
          <w:tcPr>
            <w:tcW w:w="9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40" w:type="dxa"/>
            <w:vAlign w:val="bottom"/>
            <w:gridSpan w:val="2"/>
          </w:tcPr>
          <w:p>
            <w:pPr>
              <w:spacing w:after="0"/>
              <w:rPr>
                <w:sz w:val="20"/>
                <w:szCs w:val="20"/>
                <w:color w:val="auto"/>
              </w:rPr>
            </w:pPr>
            <w:r>
              <w:rPr>
                <w:rFonts w:ascii="Arial" w:cs="Arial" w:eastAsia="Arial" w:hAnsi="Arial"/>
                <w:sz w:val="18"/>
                <w:szCs w:val="18"/>
                <w:color w:val="auto"/>
              </w:rPr>
              <w:t>Consolidated gross profit, quarter ended June 30, 2016</w:t>
            </w:r>
          </w:p>
        </w:tc>
        <w:tc>
          <w:tcPr>
            <w:tcW w:w="9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*Includes impact of California cement operations</w:t>
            </w: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gridSpan w:val="2"/>
            <w:vMerge w:val="continue"/>
          </w:tcPr>
          <w:p>
            <w:pPr>
              <w:spacing w:after="0"/>
              <w:rPr>
                <w:sz w:val="19"/>
                <w:szCs w:val="19"/>
                <w:color w:val="auto"/>
              </w:rPr>
            </w:pPr>
          </w:p>
        </w:tc>
        <w:tc>
          <w:tcPr>
            <w:tcW w:w="9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5040" w:type="dxa"/>
            <w:vAlign w:val="bottom"/>
            <w:gridSpan w:val="2"/>
          </w:tcPr>
          <w:p>
            <w:pPr>
              <w:spacing w:after="0"/>
              <w:rPr>
                <w:sz w:val="20"/>
                <w:szCs w:val="20"/>
                <w:color w:val="auto"/>
              </w:rPr>
            </w:pPr>
            <w:r>
              <w:rPr>
                <w:rFonts w:ascii="Arial" w:cs="Arial" w:eastAsia="Arial" w:hAnsi="Arial"/>
                <w:sz w:val="18"/>
                <w:szCs w:val="18"/>
                <w:color w:val="auto"/>
              </w:rPr>
              <w:t>Gross profit (loss) by business is as follows:</w:t>
            </w:r>
          </w:p>
        </w:tc>
        <w:tc>
          <w:tcPr>
            <w:tcW w:w="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4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00" w:type="dxa"/>
            <w:vAlign w:val="bottom"/>
            <w:gridSpan w:val="4"/>
          </w:tcPr>
          <w:p>
            <w:pPr>
              <w:jc w:val="center"/>
              <w:spacing w:after="0"/>
              <w:rPr>
                <w:sz w:val="20"/>
                <w:szCs w:val="20"/>
                <w:color w:val="auto"/>
              </w:rPr>
            </w:pPr>
            <w:r>
              <w:rPr>
                <w:rFonts w:ascii="Arial" w:cs="Arial" w:eastAsia="Arial" w:hAnsi="Arial"/>
                <w:sz w:val="18"/>
                <w:szCs w:val="18"/>
                <w:color w:val="auto"/>
                <w:w w:val="92"/>
              </w:rPr>
              <w:t>Three Months Ended</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4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6"/>
              </w:rPr>
              <w:t>June 30,</w:t>
            </w:r>
          </w:p>
        </w:tc>
        <w:tc>
          <w:tcPr>
            <w:tcW w:w="1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2016</w:t>
            </w: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968"/>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400" w:type="dxa"/>
            <w:vAlign w:val="bottom"/>
            <w:vMerge w:val="restart"/>
          </w:tcPr>
          <w:p>
            <w:pPr>
              <w:spacing w:after="0"/>
              <w:rPr>
                <w:sz w:val="20"/>
                <w:szCs w:val="20"/>
                <w:color w:val="auto"/>
              </w:rPr>
            </w:pPr>
            <w:r>
              <w:rPr>
                <w:rFonts w:ascii="Arial" w:cs="Arial" w:eastAsia="Arial" w:hAnsi="Arial"/>
                <w:sz w:val="18"/>
                <w:szCs w:val="18"/>
                <w:color w:val="auto"/>
                <w:w w:val="93"/>
              </w:rPr>
              <w:t>Gross profit (loss):</w:t>
            </w:r>
          </w:p>
        </w:tc>
        <w:tc>
          <w:tcPr>
            <w:tcW w:w="3640" w:type="dxa"/>
            <w:vAlign w:val="bottom"/>
            <w:vMerge w:val="restart"/>
          </w:tcPr>
          <w:p>
            <w:pPr>
              <w:spacing w:after="0"/>
              <w:rPr>
                <w:sz w:val="19"/>
                <w:szCs w:val="19"/>
                <w:color w:val="auto"/>
              </w:rPr>
            </w:pPr>
          </w:p>
        </w:tc>
        <w:tc>
          <w:tcPr>
            <w:tcW w:w="9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100" w:type="dxa"/>
            <w:vAlign w:val="bottom"/>
            <w:gridSpan w:val="4"/>
          </w:tcPr>
          <w:p>
            <w:pPr>
              <w:jc w:val="center"/>
              <w:spacing w:after="0"/>
              <w:rPr>
                <w:sz w:val="20"/>
                <w:szCs w:val="20"/>
                <w:color w:val="auto"/>
              </w:rPr>
            </w:pPr>
            <w:r>
              <w:rPr>
                <w:rFonts w:ascii="Arial" w:cs="Arial" w:eastAsia="Arial" w:hAnsi="Arial"/>
                <w:sz w:val="18"/>
                <w:szCs w:val="18"/>
                <w:i w:val="1"/>
                <w:iCs w:val="1"/>
                <w:color w:val="auto"/>
                <w:w w:val="94"/>
              </w:rPr>
              <w:t>(Dollars in Thousands)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400" w:type="dxa"/>
            <w:vAlign w:val="bottom"/>
            <w:tcBorders>
              <w:bottom w:val="single" w:sz="8" w:color="auto"/>
            </w:tcBorders>
            <w:vMerge w:val="continue"/>
          </w:tcPr>
          <w:p>
            <w:pPr>
              <w:spacing w:after="0"/>
              <w:rPr>
                <w:sz w:val="15"/>
                <w:szCs w:val="15"/>
                <w:color w:val="auto"/>
              </w:rPr>
            </w:pPr>
          </w:p>
        </w:tc>
        <w:tc>
          <w:tcPr>
            <w:tcW w:w="364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Heritage:</w:t>
            </w:r>
          </w:p>
        </w:tc>
        <w:tc>
          <w:tcPr>
            <w:tcW w:w="9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5040" w:type="dxa"/>
            <w:vAlign w:val="bottom"/>
            <w:gridSpan w:val="2"/>
          </w:tcPr>
          <w:p>
            <w:pPr>
              <w:ind w:left="460"/>
              <w:spacing w:after="0"/>
              <w:rPr>
                <w:sz w:val="20"/>
                <w:szCs w:val="20"/>
                <w:color w:val="auto"/>
              </w:rPr>
            </w:pPr>
            <w:r>
              <w:rPr>
                <w:rFonts w:ascii="Arial" w:cs="Arial" w:eastAsia="Arial" w:hAnsi="Arial"/>
                <w:sz w:val="18"/>
                <w:szCs w:val="18"/>
                <w:color w:val="auto"/>
              </w:rPr>
              <w:t>Aggregates</w:t>
            </w:r>
          </w:p>
        </w:tc>
        <w:tc>
          <w:tcPr>
            <w:tcW w:w="2560" w:type="dxa"/>
            <w:vAlign w:val="bottom"/>
            <w:gridSpan w:val="2"/>
          </w:tcPr>
          <w:p>
            <w:pPr>
              <w:jc w:val="right"/>
              <w:ind w:right="141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165,190</w:t>
            </w:r>
          </w:p>
        </w:tc>
        <w:tc>
          <w:tcPr>
            <w:tcW w:w="400" w:type="dxa"/>
            <w:vAlign w:val="bottom"/>
          </w:tcPr>
          <w:p>
            <w:pPr>
              <w:spacing w:after="0"/>
              <w:rPr>
                <w:sz w:val="19"/>
                <w:szCs w:val="19"/>
                <w:color w:val="auto"/>
              </w:rPr>
            </w:pPr>
          </w:p>
        </w:tc>
        <w:tc>
          <w:tcPr>
            <w:tcW w:w="540" w:type="dxa"/>
            <w:vAlign w:val="bottom"/>
          </w:tcPr>
          <w:p>
            <w:pPr>
              <w:jc w:val="right"/>
              <w:ind w:right="378"/>
              <w:spacing w:after="0"/>
              <w:rPr>
                <w:sz w:val="20"/>
                <w:szCs w:val="20"/>
                <w:color w:val="auto"/>
              </w:rPr>
            </w:pPr>
            <w:r>
              <w:rPr>
                <w:rFonts w:ascii="Arial" w:cs="Arial" w:eastAsia="Arial" w:hAnsi="Arial"/>
                <w:sz w:val="15"/>
                <w:szCs w:val="15"/>
                <w:color w:val="auto"/>
                <w:w w:val="71"/>
              </w:rPr>
              <w:t>$</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137,272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Asphalt and Paving</w:t>
            </w:r>
          </w:p>
        </w:tc>
        <w:tc>
          <w:tcPr>
            <w:tcW w:w="9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12,620</w:t>
            </w:r>
          </w:p>
        </w:tc>
        <w:tc>
          <w:tcPr>
            <w:tcW w:w="4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tcBorders>
              <w:bottom w:val="single" w:sz="8" w:color="CFF0FC"/>
            </w:tcBorders>
            <w:gridSpan w:val="2"/>
          </w:tcPr>
          <w:p>
            <w:pPr>
              <w:ind w:left="460"/>
              <w:spacing w:after="0"/>
              <w:rPr>
                <w:sz w:val="20"/>
                <w:szCs w:val="20"/>
                <w:color w:val="auto"/>
              </w:rPr>
            </w:pPr>
            <w:r>
              <w:rPr>
                <w:rFonts w:ascii="Arial" w:cs="Arial" w:eastAsia="Arial" w:hAnsi="Arial"/>
                <w:sz w:val="18"/>
                <w:szCs w:val="18"/>
                <w:color w:val="auto"/>
              </w:rPr>
              <w:t>Ready Mixed Concrete</w:t>
            </w:r>
          </w:p>
        </w:tc>
        <w:tc>
          <w:tcPr>
            <w:tcW w:w="980" w:type="dxa"/>
            <w:vAlign w:val="bottom"/>
            <w:tcBorders>
              <w:bottom w:val="single" w:sz="8" w:color="CFF0FC"/>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24,820</w:t>
            </w:r>
          </w:p>
        </w:tc>
        <w:tc>
          <w:tcPr>
            <w:tcW w:w="4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4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Total Aggregates Business</w:t>
            </w:r>
          </w:p>
        </w:tc>
        <w:tc>
          <w:tcPr>
            <w:tcW w:w="980" w:type="dxa"/>
            <w:vAlign w:val="bottom"/>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202,630</w:t>
            </w:r>
          </w:p>
        </w:tc>
        <w:tc>
          <w:tcPr>
            <w:tcW w:w="4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40" w:type="dxa"/>
            <w:vAlign w:val="bottom"/>
            <w:gridSpan w:val="2"/>
          </w:tcPr>
          <w:p>
            <w:pPr>
              <w:ind w:left="240"/>
              <w:spacing w:after="0"/>
              <w:rPr>
                <w:sz w:val="20"/>
                <w:szCs w:val="20"/>
                <w:color w:val="auto"/>
              </w:rPr>
            </w:pPr>
            <w:r>
              <w:rPr>
                <w:rFonts w:ascii="Arial" w:cs="Arial" w:eastAsia="Arial" w:hAnsi="Arial"/>
                <w:sz w:val="18"/>
                <w:szCs w:val="18"/>
                <w:color w:val="auto"/>
              </w:rPr>
              <w:t>Cement</w:t>
            </w:r>
          </w:p>
        </w:tc>
        <w:tc>
          <w:tcPr>
            <w:tcW w:w="9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24,002</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Magnesia Specialties</w:t>
            </w:r>
          </w:p>
        </w:tc>
        <w:tc>
          <w:tcPr>
            <w:tcW w:w="9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21,692</w:t>
            </w:r>
          </w:p>
        </w:tc>
        <w:tc>
          <w:tcPr>
            <w:tcW w:w="4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gridSpan w:val="2"/>
          </w:tcPr>
          <w:p>
            <w:pPr>
              <w:ind w:left="240"/>
              <w:spacing w:after="0"/>
              <w:rPr>
                <w:sz w:val="20"/>
                <w:szCs w:val="20"/>
                <w:color w:val="auto"/>
              </w:rPr>
            </w:pPr>
            <w:r>
              <w:rPr>
                <w:rFonts w:ascii="Arial" w:cs="Arial" w:eastAsia="Arial" w:hAnsi="Arial"/>
                <w:sz w:val="18"/>
                <w:szCs w:val="18"/>
                <w:color w:val="auto"/>
              </w:rPr>
              <w:t>Corporate</w:t>
            </w:r>
          </w:p>
        </w:tc>
        <w:tc>
          <w:tcPr>
            <w:tcW w:w="9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(1,515)</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(5,989)</w:t>
            </w:r>
          </w:p>
        </w:tc>
        <w:tc>
          <w:tcPr>
            <w:tcW w:w="0" w:type="dxa"/>
            <w:vAlign w:val="bottom"/>
          </w:tcPr>
          <w:p>
            <w:pPr>
              <w:spacing w:after="0"/>
              <w:rPr>
                <w:sz w:val="1"/>
                <w:szCs w:val="1"/>
                <w:color w:val="auto"/>
              </w:rPr>
            </w:pPr>
          </w:p>
        </w:tc>
      </w:tr>
      <w:tr>
        <w:trPr>
          <w:trHeight w:val="220"/>
        </w:trPr>
        <w:tc>
          <w:tcPr>
            <w:tcW w:w="5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Heritage</w:t>
            </w:r>
          </w:p>
        </w:tc>
        <w:tc>
          <w:tcPr>
            <w:tcW w:w="9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246,809</w:t>
            </w:r>
          </w:p>
        </w:tc>
        <w:tc>
          <w:tcPr>
            <w:tcW w:w="4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200,153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4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9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Aggregates</w:t>
            </w:r>
          </w:p>
        </w:tc>
        <w:tc>
          <w:tcPr>
            <w:tcW w:w="9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(837)</w:t>
            </w: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040" w:type="dxa"/>
            <w:vAlign w:val="bottom"/>
            <w:gridSpan w:val="2"/>
          </w:tcPr>
          <w:p>
            <w:pPr>
              <w:ind w:left="240"/>
              <w:spacing w:after="0"/>
              <w:rPr>
                <w:sz w:val="20"/>
                <w:szCs w:val="20"/>
                <w:color w:val="auto"/>
              </w:rPr>
            </w:pPr>
            <w:r>
              <w:rPr>
                <w:rFonts w:ascii="Arial" w:cs="Arial" w:eastAsia="Arial" w:hAnsi="Arial"/>
                <w:sz w:val="18"/>
                <w:szCs w:val="18"/>
                <w:color w:val="auto"/>
              </w:rPr>
              <w:t>Asphalt and Paving</w:t>
            </w:r>
          </w:p>
        </w:tc>
        <w:tc>
          <w:tcPr>
            <w:tcW w:w="9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Ready Mixed Concrete</w:t>
            </w:r>
          </w:p>
        </w:tc>
        <w:tc>
          <w:tcPr>
            <w:tcW w:w="9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4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0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Acquisitions</w:t>
            </w:r>
          </w:p>
        </w:tc>
        <w:tc>
          <w:tcPr>
            <w:tcW w:w="980" w:type="dxa"/>
            <w:vAlign w:val="bottom"/>
            <w:tcBorders>
              <w:bottom w:val="single" w:sz="8" w:color="CFF0FC"/>
            </w:tcBorders>
          </w:tcPr>
          <w:p>
            <w:pPr>
              <w:spacing w:after="0"/>
              <w:rPr>
                <w:sz w:val="19"/>
                <w:szCs w:val="19"/>
                <w:color w:val="auto"/>
              </w:rPr>
            </w:pPr>
          </w:p>
        </w:tc>
        <w:tc>
          <w:tcPr>
            <w:tcW w:w="15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40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41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246,701</w:t>
            </w:r>
          </w:p>
        </w:tc>
        <w:tc>
          <w:tcPr>
            <w:tcW w:w="4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78"/>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200,153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41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consolidated heritage gross margin (excluding freight and delivery revenues) for the quarter was 27.3%, a 380-basis-point improvement compared with the prior-year quarter. The increase reflects pricing growth, management’s cost-disciplined approach and divesting the California cement operations in the third quarter of 2015.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Operating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SG&amp;A was 6.7% of net sales, flat compared with the prior-year quarter.</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Among other items, other operating income and expenses, net, includes gains and losses on the sale of assets; recoveries and writeoffs related to customer accounts receivable; rental, royalty and services income; accretion expense, depreciation expense and gains and losses related to asset retirement obligations. For the second quarter, consolidated other operating income and expenses, net, was income of $3.4 million in 2016 and an expense of $4.3 million in 2015. Operating income and expenses, net, for 2016 reflects a favorable settlement of commodity contracts assumed in a 2014 acquisition in the Cement business that were priced above market at that date.</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nonoperating income and expenses, net, includes foreign currency transaction gains and losses, interest and other miscellaneous income and equity adjustments for nonconsolidated affiliates. Consolidated other nonoperating income and expenses, net, was income of $8.1 million and $3.0 million for the quarter ended June 30, 2016 and 2015, respectively. The increase in income in 2016 compared to 2015 is attributable to higher earnings by a nonconsolidated affiliate.</w:t>
      </w:r>
    </w:p>
    <w:p>
      <w:pPr>
        <w:spacing w:after="0" w:line="6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estimated effective income tax rate for the quarter was 30.4%, in line with annual guidance. For the year, the Corporation expects to fully utilize the remaining allowable net operating loss carryforwards of $33 million acquired with TXI.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for the six months ended June 30, 2016 (unless noted, all comparisons are versus the prior-year period):</w:t>
      </w:r>
    </w:p>
    <w:p>
      <w:pPr>
        <w:spacing w:after="0" w:line="108" w:lineRule="exact"/>
        <w:rPr>
          <w:sz w:val="20"/>
          <w:szCs w:val="20"/>
          <w:color w:val="auto"/>
        </w:rPr>
      </w:pPr>
    </w:p>
    <w:p>
      <w:pPr>
        <w:ind w:left="760" w:hanging="381"/>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Consolidated net sales of $1.6 billion compared with $1.5 billion, an increase of 11%</w:t>
      </w:r>
    </w:p>
    <w:p>
      <w:pPr>
        <w:spacing w:after="0" w:line="57" w:lineRule="exact"/>
        <w:rPr>
          <w:rFonts w:ascii="Arial" w:cs="Arial" w:eastAsia="Arial" w:hAnsi="Arial"/>
          <w:sz w:val="18"/>
          <w:szCs w:val="18"/>
          <w:color w:val="auto"/>
        </w:rPr>
      </w:pPr>
    </w:p>
    <w:p>
      <w:pPr>
        <w:ind w:left="760" w:hanging="381"/>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Aggregates product line volume increase of 6.2%; aggregates product line price increase of 7.4%</w:t>
      </w:r>
    </w:p>
    <w:p>
      <w:pPr>
        <w:spacing w:after="0" w:line="57" w:lineRule="exact"/>
        <w:rPr>
          <w:rFonts w:ascii="Arial" w:cs="Arial" w:eastAsia="Arial" w:hAnsi="Arial"/>
          <w:sz w:val="18"/>
          <w:szCs w:val="18"/>
          <w:color w:val="auto"/>
        </w:rPr>
      </w:pPr>
    </w:p>
    <w:p>
      <w:pPr>
        <w:ind w:left="1520" w:hanging="384"/>
        <w:spacing w:after="0"/>
        <w:tabs>
          <w:tab w:leader="none" w:pos="1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Heritage aggregates product line volume increase of 5.4%</w:t>
      </w:r>
    </w:p>
    <w:p>
      <w:pPr>
        <w:spacing w:after="0" w:line="57" w:lineRule="exact"/>
        <w:rPr>
          <w:rFonts w:ascii="Arial" w:cs="Arial" w:eastAsia="Arial" w:hAnsi="Arial"/>
          <w:sz w:val="18"/>
          <w:szCs w:val="18"/>
          <w:color w:val="auto"/>
        </w:rPr>
      </w:pPr>
    </w:p>
    <w:p>
      <w:pPr>
        <w:ind w:left="760" w:hanging="381"/>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Cement business net sales of $129.7 million and gross profit of $56.6 million</w:t>
      </w:r>
    </w:p>
    <w:p>
      <w:pPr>
        <w:spacing w:after="0" w:line="57" w:lineRule="exact"/>
        <w:rPr>
          <w:rFonts w:ascii="Arial" w:cs="Arial" w:eastAsia="Arial" w:hAnsi="Arial"/>
          <w:sz w:val="18"/>
          <w:szCs w:val="18"/>
          <w:color w:val="auto"/>
        </w:rPr>
      </w:pPr>
    </w:p>
    <w:p>
      <w:pPr>
        <w:ind w:left="760" w:hanging="381"/>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Magnesia Specialties net sales of $118.4 million and gross profit of $44.7 million</w:t>
      </w:r>
    </w:p>
    <w:p>
      <w:pPr>
        <w:spacing w:after="0" w:line="57" w:lineRule="exact"/>
        <w:rPr>
          <w:rFonts w:ascii="Arial" w:cs="Arial" w:eastAsia="Arial" w:hAnsi="Arial"/>
          <w:sz w:val="18"/>
          <w:szCs w:val="18"/>
          <w:color w:val="auto"/>
        </w:rPr>
      </w:pPr>
    </w:p>
    <w:p>
      <w:pPr>
        <w:ind w:left="760" w:hanging="381"/>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Consolidated gross margin (excluding freight and delivery revenues) of 23.7%, an increase of 520 basis points</w:t>
      </w:r>
    </w:p>
    <w:p>
      <w:pPr>
        <w:spacing w:after="0" w:line="57" w:lineRule="exact"/>
        <w:rPr>
          <w:rFonts w:ascii="Arial" w:cs="Arial" w:eastAsia="Arial" w:hAnsi="Arial"/>
          <w:sz w:val="18"/>
          <w:szCs w:val="18"/>
          <w:color w:val="auto"/>
        </w:rPr>
      </w:pPr>
    </w:p>
    <w:p>
      <w:pPr>
        <w:ind w:left="760" w:hanging="381"/>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Consolidated SG&amp;A of $121.4 million, or 7.4% of net sales</w:t>
      </w:r>
    </w:p>
    <w:p>
      <w:pPr>
        <w:spacing w:after="0" w:line="57" w:lineRule="exact"/>
        <w:rPr>
          <w:rFonts w:ascii="Arial" w:cs="Arial" w:eastAsia="Arial" w:hAnsi="Arial"/>
          <w:sz w:val="18"/>
          <w:szCs w:val="18"/>
          <w:color w:val="auto"/>
        </w:rPr>
      </w:pPr>
    </w:p>
    <w:p>
      <w:pPr>
        <w:ind w:left="760" w:hanging="381"/>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Consolidated earnings from operations of $271.5 million compared with $162.6 million</w:t>
      </w:r>
    </w:p>
    <w:p>
      <w:pPr>
        <w:spacing w:after="0" w:line="57" w:lineRule="exact"/>
        <w:rPr>
          <w:rFonts w:ascii="Arial" w:cs="Arial" w:eastAsia="Arial" w:hAnsi="Arial"/>
          <w:sz w:val="18"/>
          <w:szCs w:val="18"/>
          <w:color w:val="auto"/>
        </w:rPr>
      </w:pPr>
    </w:p>
    <w:p>
      <w:pPr>
        <w:ind w:left="760" w:hanging="381"/>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Earnings per diluted share of $2.60 compared with $1.30</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42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net sales, gross profit (loss), selling, general and administrative expenses and earnings (loss) from operations data for the Corporation and its reportable segments for the six months ended June 30, 2016 and 2015. In each case, the data is stated as a percentage of net sales of the Corporation or the relevant segment, as the case may be.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center"/>
              <w:ind w:right="660"/>
              <w:spacing w:after="0"/>
              <w:rPr>
                <w:sz w:val="20"/>
                <w:szCs w:val="20"/>
                <w:color w:val="auto"/>
              </w:rPr>
            </w:pPr>
            <w:r>
              <w:rPr>
                <w:rFonts w:ascii="Arial" w:cs="Arial" w:eastAsia="Arial" w:hAnsi="Arial"/>
                <w:sz w:val="18"/>
                <w:szCs w:val="18"/>
                <w:color w:val="auto"/>
                <w:w w:val="92"/>
              </w:rPr>
              <w:t>Six Months Ended June 30,</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2016</w:t>
            </w:r>
          </w:p>
        </w:tc>
        <w:tc>
          <w:tcPr>
            <w:tcW w:w="12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2015</w:t>
            </w: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48"/>
              <w:spacing w:after="0" w:line="203" w:lineRule="exact"/>
              <w:rPr>
                <w:sz w:val="20"/>
                <w:szCs w:val="20"/>
                <w:color w:val="auto"/>
              </w:rPr>
            </w:pPr>
            <w:r>
              <w:rPr>
                <w:rFonts w:ascii="Arial" w:cs="Arial" w:eastAsia="Arial" w:hAnsi="Arial"/>
                <w:sz w:val="18"/>
                <w:szCs w:val="18"/>
                <w:color w:val="auto"/>
              </w:rPr>
              <w:t>% of</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28"/>
              <w:spacing w:after="0" w:line="203" w:lineRule="exact"/>
              <w:rPr>
                <w:sz w:val="20"/>
                <w:szCs w:val="20"/>
                <w:color w:val="auto"/>
              </w:rPr>
            </w:pPr>
            <w:r>
              <w:rPr>
                <w:rFonts w:ascii="Arial" w:cs="Arial" w:eastAsia="Arial" w:hAnsi="Arial"/>
                <w:sz w:val="18"/>
                <w:szCs w:val="18"/>
                <w:color w:val="auto"/>
                <w:w w:val="94"/>
              </w:rPr>
              <w:t>% of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3"/>
          </w:tcPr>
          <w:p>
            <w:pPr>
              <w:jc w:val="right"/>
              <w:ind w:right="880"/>
              <w:spacing w:after="0"/>
              <w:rPr>
                <w:sz w:val="20"/>
                <w:szCs w:val="20"/>
                <w:color w:val="auto"/>
              </w:rPr>
            </w:pPr>
            <w:r>
              <w:rPr>
                <w:rFonts w:ascii="Arial" w:cs="Arial" w:eastAsia="Arial" w:hAnsi="Arial"/>
                <w:sz w:val="18"/>
                <w:szCs w:val="18"/>
                <w:color w:val="auto"/>
              </w:rPr>
              <w:t>Amount</w:t>
            </w:r>
          </w:p>
        </w:tc>
        <w:tc>
          <w:tcPr>
            <w:tcW w:w="1240" w:type="dxa"/>
            <w:vAlign w:val="bottom"/>
          </w:tcPr>
          <w:p>
            <w:pPr>
              <w:jc w:val="right"/>
              <w:ind w:right="288"/>
              <w:spacing w:after="0"/>
              <w:rPr>
                <w:sz w:val="20"/>
                <w:szCs w:val="20"/>
                <w:color w:val="auto"/>
              </w:rPr>
            </w:pPr>
            <w:r>
              <w:rPr>
                <w:rFonts w:ascii="Arial" w:cs="Arial" w:eastAsia="Arial" w:hAnsi="Arial"/>
                <w:sz w:val="18"/>
                <w:szCs w:val="18"/>
                <w:color w:val="auto"/>
              </w:rPr>
              <w:t>Net Sales</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3"/>
          </w:tcPr>
          <w:p>
            <w:pPr>
              <w:jc w:val="right"/>
              <w:ind w:right="900"/>
              <w:spacing w:after="0"/>
              <w:rPr>
                <w:sz w:val="20"/>
                <w:szCs w:val="20"/>
                <w:color w:val="auto"/>
              </w:rPr>
            </w:pPr>
            <w:r>
              <w:rPr>
                <w:rFonts w:ascii="Arial" w:cs="Arial" w:eastAsia="Arial" w:hAnsi="Arial"/>
                <w:sz w:val="18"/>
                <w:szCs w:val="18"/>
                <w:color w:val="auto"/>
              </w:rPr>
              <w:t>Amount</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Net Sales</w:t>
            </w:r>
          </w:p>
        </w:tc>
        <w:tc>
          <w:tcPr>
            <w:tcW w:w="0" w:type="dxa"/>
            <w:vAlign w:val="bottom"/>
          </w:tcPr>
          <w:p>
            <w:pPr>
              <w:spacing w:after="0"/>
              <w:rPr>
                <w:sz w:val="1"/>
                <w:szCs w:val="1"/>
                <w:color w:val="auto"/>
              </w:rPr>
            </w:pPr>
          </w:p>
        </w:tc>
      </w:tr>
      <w:tr>
        <w:trPr>
          <w:trHeight w:val="227"/>
        </w:trPr>
        <w:tc>
          <w:tcPr>
            <w:tcW w:w="4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420" w:type="dxa"/>
            <w:vAlign w:val="bottom"/>
            <w:tcBorders>
              <w:top w:val="single" w:sz="8" w:color="auto"/>
            </w:tcBorders>
            <w:gridSpan w:val="6"/>
          </w:tcPr>
          <w:p>
            <w:pPr>
              <w:jc w:val="center"/>
              <w:ind w:right="660"/>
              <w:spacing w:after="0"/>
              <w:rPr>
                <w:sz w:val="20"/>
                <w:szCs w:val="20"/>
                <w:color w:val="auto"/>
              </w:rPr>
            </w:pPr>
            <w:r>
              <w:rPr>
                <w:rFonts w:ascii="Arial" w:cs="Arial" w:eastAsia="Arial" w:hAnsi="Arial"/>
                <w:sz w:val="18"/>
                <w:szCs w:val="18"/>
                <w:i w:val="1"/>
                <w:iCs w:val="1"/>
                <w:color w:val="auto"/>
                <w:w w:val="94"/>
              </w:rPr>
              <w:t>(Dollars in Thousands)</w:t>
            </w: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Heritage:</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ind w:left="440"/>
              <w:spacing w:after="0"/>
              <w:rPr>
                <w:sz w:val="20"/>
                <w:szCs w:val="20"/>
                <w:color w:val="auto"/>
              </w:rPr>
            </w:pPr>
            <w:r>
              <w:rPr>
                <w:rFonts w:ascii="Arial" w:cs="Arial" w:eastAsia="Arial" w:hAnsi="Arial"/>
                <w:sz w:val="18"/>
                <w:szCs w:val="18"/>
                <w:color w:val="auto"/>
              </w:rPr>
              <w:t>Mid-America Group</w:t>
            </w:r>
          </w:p>
        </w:tc>
        <w:tc>
          <w:tcPr>
            <w:tcW w:w="260" w:type="dxa"/>
            <w:vAlign w:val="bottom"/>
          </w:tcPr>
          <w:p>
            <w:pPr>
              <w:jc w:val="right"/>
              <w:ind w:right="68"/>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432,360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52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367,120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Southeast Group</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149,961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136,253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West Group</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802,007</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662,570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Heritage Aggregates Business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1,384,328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1,165,943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Cement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129,664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196,970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Magnesia Specialties</w:t>
            </w: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118,371</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119,211</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gridSpan w:val="2"/>
          </w:tcPr>
          <w:p>
            <w:pPr>
              <w:spacing w:after="0"/>
              <w:rPr>
                <w:sz w:val="20"/>
                <w:szCs w:val="20"/>
                <w:color w:val="auto"/>
              </w:rPr>
            </w:pPr>
            <w:r>
              <w:rPr>
                <w:rFonts w:ascii="Arial" w:cs="Arial" w:eastAsia="Arial" w:hAnsi="Arial"/>
                <w:sz w:val="18"/>
                <w:szCs w:val="18"/>
                <w:color w:val="auto"/>
              </w:rPr>
              <w:t>Total Heritage Consolidated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1,632,363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1,482,124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Acquisitions:</w:t>
            </w:r>
          </w:p>
        </w:tc>
        <w:tc>
          <w:tcPr>
            <w:tcW w:w="2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Aggregates Business – West Group</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17,033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1,649,396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1,482,124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4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 (loss):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Heritage:</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Mid-America Group</w:t>
            </w:r>
          </w:p>
        </w:tc>
        <w:tc>
          <w:tcPr>
            <w:tcW w:w="26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120,034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520" w:type="dxa"/>
            <w:vAlign w:val="bottom"/>
            <w:gridSpan w:val="2"/>
            <w:shd w:val="clear" w:color="auto" w:fill="CFF0FC"/>
          </w:tcPr>
          <w:p>
            <w:pPr>
              <w:jc w:val="right"/>
              <w:ind w:right="83"/>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87,321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ind w:left="440"/>
              <w:spacing w:after="0"/>
              <w:rPr>
                <w:sz w:val="20"/>
                <w:szCs w:val="20"/>
                <w:color w:val="auto"/>
              </w:rPr>
            </w:pPr>
            <w:r>
              <w:rPr>
                <w:rFonts w:ascii="Arial" w:cs="Arial" w:eastAsia="Arial" w:hAnsi="Arial"/>
                <w:sz w:val="18"/>
                <w:szCs w:val="18"/>
                <w:color w:val="auto"/>
              </w:rPr>
              <w:t>Southeast Group</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25,876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12,593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West Group</w:t>
            </w: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151,050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93,316</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Total Heritage Aggregates Business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296,960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193,230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Cement</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56,559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Magnesia Specialties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44,662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41,402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(5,411)</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(9,618)</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gridSpan w:val="2"/>
          </w:tcPr>
          <w:p>
            <w:pPr>
              <w:spacing w:after="0"/>
              <w:rPr>
                <w:sz w:val="20"/>
                <w:szCs w:val="20"/>
                <w:color w:val="auto"/>
              </w:rPr>
            </w:pPr>
            <w:r>
              <w:rPr>
                <w:rFonts w:ascii="Arial" w:cs="Arial" w:eastAsia="Arial" w:hAnsi="Arial"/>
                <w:sz w:val="18"/>
                <w:szCs w:val="18"/>
                <w:color w:val="auto"/>
              </w:rPr>
              <w:t>Total Heritage Consolidated</w:t>
            </w: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392,770</w:t>
            </w: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274,414</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Acquisitions:</w:t>
            </w:r>
          </w:p>
        </w:tc>
        <w:tc>
          <w:tcPr>
            <w:tcW w:w="2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Aggregates Business – West Group</w:t>
            </w:r>
          </w:p>
        </w:tc>
        <w:tc>
          <w:tcPr>
            <w:tcW w:w="2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(1,435)</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391,335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274,414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43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7"/>
          </w:tcPr>
          <w:p>
            <w:pPr>
              <w:ind w:left="360"/>
              <w:spacing w:after="0"/>
              <w:rPr>
                <w:sz w:val="20"/>
                <w:szCs w:val="20"/>
                <w:color w:val="auto"/>
              </w:rPr>
            </w:pPr>
            <w:r>
              <w:rPr>
                <w:rFonts w:ascii="Arial" w:cs="Arial" w:eastAsia="Arial" w:hAnsi="Arial"/>
                <w:sz w:val="18"/>
                <w:szCs w:val="18"/>
                <w:color w:val="auto"/>
              </w:rPr>
              <w:t>Six Months Ended June 30,</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2016</w:t>
            </w:r>
          </w:p>
        </w:tc>
        <w:tc>
          <w:tcPr>
            <w:tcW w:w="8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2015</w:t>
            </w: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ind w:left="340"/>
              <w:spacing w:after="0" w:line="203" w:lineRule="exact"/>
              <w:rPr>
                <w:sz w:val="20"/>
                <w:szCs w:val="20"/>
                <w:color w:val="auto"/>
              </w:rPr>
            </w:pPr>
            <w:r>
              <w:rPr>
                <w:rFonts w:ascii="Arial" w:cs="Arial" w:eastAsia="Arial" w:hAnsi="Arial"/>
                <w:sz w:val="18"/>
                <w:szCs w:val="18"/>
                <w:color w:val="auto"/>
              </w:rPr>
              <w:t>% of</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28"/>
              <w:spacing w:after="0" w:line="203" w:lineRule="exact"/>
              <w:rPr>
                <w:sz w:val="20"/>
                <w:szCs w:val="20"/>
                <w:color w:val="auto"/>
              </w:rPr>
            </w:pPr>
            <w:r>
              <w:rPr>
                <w:rFonts w:ascii="Arial" w:cs="Arial" w:eastAsia="Arial" w:hAnsi="Arial"/>
                <w:sz w:val="18"/>
                <w:szCs w:val="18"/>
                <w:color w:val="auto"/>
                <w:w w:val="94"/>
              </w:rPr>
              <w:t>% of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3"/>
          </w:tcPr>
          <w:p>
            <w:pPr>
              <w:jc w:val="right"/>
              <w:ind w:right="880"/>
              <w:spacing w:after="0"/>
              <w:rPr>
                <w:sz w:val="20"/>
                <w:szCs w:val="20"/>
                <w:color w:val="auto"/>
              </w:rPr>
            </w:pPr>
            <w:r>
              <w:rPr>
                <w:rFonts w:ascii="Arial" w:cs="Arial" w:eastAsia="Arial" w:hAnsi="Arial"/>
                <w:sz w:val="18"/>
                <w:szCs w:val="18"/>
                <w:color w:val="auto"/>
              </w:rPr>
              <w:t>Amount</w:t>
            </w:r>
          </w:p>
        </w:tc>
        <w:tc>
          <w:tcPr>
            <w:tcW w:w="880" w:type="dxa"/>
            <w:vAlign w:val="bottom"/>
          </w:tcPr>
          <w:p>
            <w:pPr>
              <w:ind w:left="160"/>
              <w:spacing w:after="0"/>
              <w:rPr>
                <w:sz w:val="20"/>
                <w:szCs w:val="20"/>
                <w:color w:val="auto"/>
              </w:rPr>
            </w:pPr>
            <w:r>
              <w:rPr>
                <w:rFonts w:ascii="Arial" w:cs="Arial" w:eastAsia="Arial" w:hAnsi="Arial"/>
                <w:sz w:val="18"/>
                <w:szCs w:val="18"/>
                <w:color w:val="auto"/>
                <w:w w:val="89"/>
              </w:rPr>
              <w:t>Net Sales</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3"/>
          </w:tcPr>
          <w:p>
            <w:pPr>
              <w:jc w:val="right"/>
              <w:ind w:right="900"/>
              <w:spacing w:after="0"/>
              <w:rPr>
                <w:sz w:val="20"/>
                <w:szCs w:val="20"/>
                <w:color w:val="auto"/>
              </w:rPr>
            </w:pPr>
            <w:r>
              <w:rPr>
                <w:rFonts w:ascii="Arial" w:cs="Arial" w:eastAsia="Arial" w:hAnsi="Arial"/>
                <w:sz w:val="18"/>
                <w:szCs w:val="18"/>
                <w:color w:val="auto"/>
              </w:rPr>
              <w:t>Amount</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Net Sales</w:t>
            </w:r>
          </w:p>
        </w:tc>
        <w:tc>
          <w:tcPr>
            <w:tcW w:w="0" w:type="dxa"/>
            <w:vAlign w:val="bottom"/>
          </w:tcPr>
          <w:p>
            <w:pPr>
              <w:spacing w:after="0"/>
              <w:rPr>
                <w:sz w:val="1"/>
                <w:szCs w:val="1"/>
                <w:color w:val="auto"/>
              </w:rPr>
            </w:pPr>
          </w:p>
        </w:tc>
      </w:tr>
      <w:tr>
        <w:trPr>
          <w:trHeight w:val="227"/>
        </w:trPr>
        <w:tc>
          <w:tcPr>
            <w:tcW w:w="4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Selling, general &amp; administrative expenses:</w:t>
            </w: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420" w:type="dxa"/>
            <w:vAlign w:val="bottom"/>
            <w:tcBorders>
              <w:top w:val="single" w:sz="8" w:color="auto"/>
            </w:tcBorders>
            <w:gridSpan w:val="7"/>
          </w:tcPr>
          <w:p>
            <w:pPr>
              <w:ind w:left="520"/>
              <w:spacing w:after="0"/>
              <w:rPr>
                <w:sz w:val="20"/>
                <w:szCs w:val="20"/>
                <w:color w:val="auto"/>
              </w:rPr>
            </w:pPr>
            <w:r>
              <w:rPr>
                <w:rFonts w:ascii="Arial" w:cs="Arial" w:eastAsia="Arial" w:hAnsi="Arial"/>
                <w:sz w:val="18"/>
                <w:szCs w:val="18"/>
                <w:i w:val="1"/>
                <w:iCs w:val="1"/>
                <w:color w:val="auto"/>
              </w:rPr>
              <w:t>(Dollars in Thousands)</w:t>
            </w: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Heritage:</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ind w:left="440"/>
              <w:spacing w:after="0"/>
              <w:rPr>
                <w:sz w:val="20"/>
                <w:szCs w:val="20"/>
                <w:color w:val="auto"/>
              </w:rPr>
            </w:pPr>
            <w:r>
              <w:rPr>
                <w:rFonts w:ascii="Arial" w:cs="Arial" w:eastAsia="Arial" w:hAnsi="Arial"/>
                <w:sz w:val="18"/>
                <w:szCs w:val="18"/>
                <w:color w:val="auto"/>
              </w:rPr>
              <w:t>Mid-America Group</w:t>
            </w:r>
          </w:p>
        </w:tc>
        <w:tc>
          <w:tcPr>
            <w:tcW w:w="260" w:type="dxa"/>
            <w:vAlign w:val="bottom"/>
          </w:tcPr>
          <w:p>
            <w:pPr>
              <w:jc w:val="right"/>
              <w:ind w:right="68"/>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26,550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c>
          <w:tcPr>
            <w:tcW w:w="52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26,249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Southeast Group</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West Group</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34,251</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4.3</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31,764</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Heritage Aggregates Business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69,232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66,805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Cement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12,351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13,322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Magnesia Specialties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34,715</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21,349</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Total Heritage Consolidated</w:t>
            </w: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121,095</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106,233</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Aggregates Business – West Group</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gridSpan w:val="3"/>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4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121,370</w:t>
            </w:r>
          </w:p>
        </w:tc>
        <w:tc>
          <w:tcPr>
            <w:tcW w:w="2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106,233</w:t>
            </w:r>
          </w:p>
        </w:tc>
        <w:tc>
          <w:tcPr>
            <w:tcW w:w="28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7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Earnings (Loss) from operations: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Heritage:</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ind w:left="440"/>
              <w:spacing w:after="0"/>
              <w:rPr>
                <w:sz w:val="20"/>
                <w:szCs w:val="20"/>
                <w:color w:val="auto"/>
              </w:rPr>
            </w:pPr>
            <w:r>
              <w:rPr>
                <w:rFonts w:ascii="Arial" w:cs="Arial" w:eastAsia="Arial" w:hAnsi="Arial"/>
                <w:sz w:val="18"/>
                <w:szCs w:val="18"/>
                <w:color w:val="auto"/>
              </w:rPr>
              <w:t>Mid-America Group</w:t>
            </w:r>
          </w:p>
        </w:tc>
        <w:tc>
          <w:tcPr>
            <w:tcW w:w="260" w:type="dxa"/>
            <w:vAlign w:val="bottom"/>
          </w:tcPr>
          <w:p>
            <w:pPr>
              <w:jc w:val="right"/>
              <w:ind w:right="68"/>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94,976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22.0</w:t>
            </w:r>
          </w:p>
        </w:tc>
        <w:tc>
          <w:tcPr>
            <w:tcW w:w="52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62,691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Southeast Group</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12.3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West Group</w:t>
            </w:r>
            <w:r>
              <w:rPr>
                <w:rFonts w:ascii="Arial" w:cs="Arial" w:eastAsia="Arial" w:hAnsi="Arial"/>
                <w:sz w:val="15"/>
                <w:szCs w:val="15"/>
                <w:color w:val="auto"/>
              </w:rPr>
              <w:t>(1)</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117,916</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1"/>
              </w:rPr>
              <w:t>14.7</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63,676</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Heritage Aggregates Business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231,411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16.7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129,636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Cement</w:t>
            </w:r>
            <w:r>
              <w:rPr>
                <w:rFonts w:ascii="Arial" w:cs="Arial" w:eastAsia="Arial" w:hAnsi="Arial"/>
                <w:sz w:val="15"/>
                <w:szCs w:val="15"/>
                <w:color w:val="auto"/>
              </w:rPr>
              <w:t>(2)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47,626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36.7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34,697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Magnesia Specialties</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39,791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33.6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36,541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Corporate</w:t>
            </w:r>
          </w:p>
        </w:tc>
        <w:tc>
          <w:tcPr>
            <w:tcW w:w="2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(45,601)</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(38,319)</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Heritage Consolidated</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273,227</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16.7</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162,555</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Aggregates Business – West Group</w:t>
            </w:r>
          </w:p>
        </w:tc>
        <w:tc>
          <w:tcPr>
            <w:tcW w:w="2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(1,715)</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gridSpan w:val="3"/>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271,512</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16.5</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162,555</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44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Pr>
          <w:p>
            <w:pPr>
              <w:spacing w:after="0"/>
              <w:rPr>
                <w:sz w:val="20"/>
                <w:szCs w:val="20"/>
                <w:color w:val="auto"/>
              </w:rPr>
            </w:pPr>
            <w:r>
              <w:rPr>
                <w:rFonts w:ascii="Arial" w:cs="Arial" w:eastAsia="Arial" w:hAnsi="Arial"/>
                <w:sz w:val="18"/>
                <w:szCs w:val="18"/>
                <w:color w:val="auto"/>
              </w:rPr>
              <w:t>Net sales by product line for the Aggregates business are follows:</w:t>
            </w:r>
          </w:p>
        </w:tc>
        <w:tc>
          <w:tcPr>
            <w:tcW w:w="1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6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40" w:type="dxa"/>
            <w:vAlign w:val="bottom"/>
            <w:gridSpan w:val="3"/>
          </w:tcPr>
          <w:p>
            <w:pPr>
              <w:jc w:val="center"/>
              <w:spacing w:after="0"/>
              <w:rPr>
                <w:sz w:val="20"/>
                <w:szCs w:val="20"/>
                <w:color w:val="auto"/>
              </w:rPr>
            </w:pPr>
            <w:r>
              <w:rPr>
                <w:rFonts w:ascii="Arial" w:cs="Arial" w:eastAsia="Arial" w:hAnsi="Arial"/>
                <w:sz w:val="18"/>
                <w:szCs w:val="18"/>
                <w:color w:val="auto"/>
                <w:w w:val="94"/>
              </w:rPr>
              <w:t>Six Months Ended</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36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June 30,</w:t>
            </w:r>
          </w:p>
        </w:tc>
        <w:tc>
          <w:tcPr>
            <w:tcW w:w="1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360" w:type="dxa"/>
            <w:vAlign w:val="bottom"/>
          </w:tcPr>
          <w:p>
            <w:pPr>
              <w:spacing w:after="0"/>
              <w:rPr>
                <w:sz w:val="19"/>
                <w:szCs w:val="19"/>
                <w:color w:val="auto"/>
              </w:rPr>
            </w:pPr>
          </w:p>
        </w:tc>
        <w:tc>
          <w:tcPr>
            <w:tcW w:w="14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2016</w:t>
            </w:r>
          </w:p>
        </w:tc>
        <w:tc>
          <w:tcPr>
            <w:tcW w:w="8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68"/>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Net sales:</w:t>
            </w:r>
          </w:p>
        </w:tc>
        <w:tc>
          <w:tcPr>
            <w:tcW w:w="1420" w:type="dxa"/>
            <w:vAlign w:val="bottom"/>
          </w:tcPr>
          <w:p>
            <w:pPr>
              <w:spacing w:after="0"/>
              <w:rPr>
                <w:sz w:val="19"/>
                <w:szCs w:val="19"/>
                <w:color w:val="auto"/>
              </w:rPr>
            </w:pPr>
          </w:p>
        </w:tc>
        <w:tc>
          <w:tcPr>
            <w:tcW w:w="20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(Dollars in Thousands)</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36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Heritage:</w:t>
            </w:r>
          </w:p>
        </w:tc>
        <w:tc>
          <w:tcPr>
            <w:tcW w:w="14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tcPr>
          <w:p>
            <w:pPr>
              <w:ind w:left="240"/>
              <w:spacing w:after="0"/>
              <w:rPr>
                <w:sz w:val="20"/>
                <w:szCs w:val="20"/>
                <w:color w:val="auto"/>
              </w:rPr>
            </w:pPr>
            <w:r>
              <w:rPr>
                <w:rFonts w:ascii="Arial" w:cs="Arial" w:eastAsia="Arial" w:hAnsi="Arial"/>
                <w:sz w:val="18"/>
                <w:szCs w:val="18"/>
                <w:color w:val="auto"/>
              </w:rPr>
              <w:t>Aggregates</w:t>
            </w:r>
          </w:p>
        </w:tc>
        <w:tc>
          <w:tcPr>
            <w:tcW w:w="1420" w:type="dxa"/>
            <w:vAlign w:val="bottom"/>
          </w:tcPr>
          <w:p>
            <w:pPr>
              <w:jc w:val="right"/>
              <w:ind w:right="1258"/>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915,673</w:t>
            </w:r>
          </w:p>
        </w:tc>
        <w:tc>
          <w:tcPr>
            <w:tcW w:w="118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813,830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Asphalt and Paving</w:t>
            </w:r>
          </w:p>
        </w:tc>
        <w:tc>
          <w:tcPr>
            <w:tcW w:w="1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76,090</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Ready Mixed Concrete</w:t>
            </w:r>
          </w:p>
        </w:tc>
        <w:tc>
          <w:tcPr>
            <w:tcW w:w="1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392,565</w:t>
            </w:r>
          </w:p>
        </w:tc>
        <w:tc>
          <w:tcPr>
            <w:tcW w:w="3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277,323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Total Heritage</w:t>
            </w:r>
          </w:p>
        </w:tc>
        <w:tc>
          <w:tcPr>
            <w:tcW w:w="1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1,384,328</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1,165,943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tcPr>
          <w:p>
            <w:pPr>
              <w:spacing w:after="0"/>
              <w:rPr>
                <w:sz w:val="20"/>
                <w:szCs w:val="20"/>
                <w:color w:val="auto"/>
              </w:rPr>
            </w:pPr>
            <w:r>
              <w:rPr>
                <w:rFonts w:ascii="Arial" w:cs="Arial" w:eastAsia="Arial" w:hAnsi="Arial"/>
                <w:sz w:val="18"/>
                <w:szCs w:val="18"/>
                <w:color w:val="auto"/>
              </w:rPr>
              <w:t>Acquisitions:</w:t>
            </w:r>
          </w:p>
        </w:tc>
        <w:tc>
          <w:tcPr>
            <w:tcW w:w="1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Aggregates</w:t>
            </w:r>
          </w:p>
        </w:tc>
        <w:tc>
          <w:tcPr>
            <w:tcW w:w="1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7,048</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tcPr>
          <w:p>
            <w:pPr>
              <w:ind w:left="240"/>
              <w:spacing w:after="0"/>
              <w:rPr>
                <w:sz w:val="20"/>
                <w:szCs w:val="20"/>
                <w:color w:val="auto"/>
              </w:rPr>
            </w:pPr>
            <w:r>
              <w:rPr>
                <w:rFonts w:ascii="Arial" w:cs="Arial" w:eastAsia="Arial" w:hAnsi="Arial"/>
                <w:sz w:val="18"/>
                <w:szCs w:val="18"/>
                <w:color w:val="auto"/>
              </w:rPr>
              <w:t>Asphalt and Paving</w:t>
            </w:r>
          </w:p>
        </w:tc>
        <w:tc>
          <w:tcPr>
            <w:tcW w:w="1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877</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Ready Mixed Concrete</w:t>
            </w:r>
          </w:p>
        </w:tc>
        <w:tc>
          <w:tcPr>
            <w:tcW w:w="1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9,108</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6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Acquisitions</w:t>
            </w:r>
          </w:p>
        </w:tc>
        <w:tc>
          <w:tcPr>
            <w:tcW w:w="14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17,033</w:t>
            </w:r>
          </w:p>
        </w:tc>
        <w:tc>
          <w:tcPr>
            <w:tcW w:w="36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Aggregates Business</w:t>
            </w:r>
          </w:p>
        </w:tc>
        <w:tc>
          <w:tcPr>
            <w:tcW w:w="1420" w:type="dxa"/>
            <w:vAlign w:val="bottom"/>
            <w:tcBorders>
              <w:bottom w:val="single" w:sz="8" w:color="auto"/>
            </w:tcBorders>
            <w:shd w:val="clear" w:color="auto" w:fill="CFF0FC"/>
          </w:tcPr>
          <w:p>
            <w:pPr>
              <w:jc w:val="right"/>
              <w:ind w:right="1258"/>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1,401,361</w:t>
            </w:r>
          </w:p>
        </w:tc>
        <w:tc>
          <w:tcPr>
            <w:tcW w:w="3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28"/>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1,165,943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volume and pricing data and shipments data for the aggregates product line.</w:t>
      </w:r>
    </w:p>
    <w:p>
      <w:pPr>
        <w:spacing w:after="0" w:line="108" w:lineRule="exact"/>
        <w:rPr>
          <w:sz w:val="20"/>
          <w:szCs w:val="20"/>
          <w:color w:val="auto"/>
        </w:rPr>
      </w:pPr>
    </w:p>
    <w:p>
      <w:pPr>
        <w:jc w:val="center"/>
        <w:ind w:left="7520"/>
        <w:spacing w:after="0"/>
        <w:rPr>
          <w:sz w:val="20"/>
          <w:szCs w:val="20"/>
          <w:color w:val="auto"/>
        </w:rPr>
      </w:pPr>
      <w:r>
        <w:rPr>
          <w:rFonts w:ascii="Arial" w:cs="Arial" w:eastAsia="Arial" w:hAnsi="Arial"/>
          <w:sz w:val="18"/>
          <w:szCs w:val="18"/>
          <w:color w:val="auto"/>
        </w:rPr>
        <w:t>Six Months Ended</w:t>
      </w:r>
    </w:p>
    <w:p>
      <w:pPr>
        <w:spacing w:after="0" w:line="28" w:lineRule="exact"/>
        <w:rPr>
          <w:sz w:val="20"/>
          <w:szCs w:val="20"/>
          <w:color w:val="auto"/>
        </w:rPr>
      </w:pPr>
    </w:p>
    <w:p>
      <w:pPr>
        <w:jc w:val="center"/>
        <w:ind w:left="7520"/>
        <w:spacing w:after="0"/>
        <w:rPr>
          <w:sz w:val="20"/>
          <w:szCs w:val="20"/>
          <w:color w:val="auto"/>
        </w:rPr>
      </w:pPr>
      <w:r>
        <w:rPr>
          <w:rFonts w:ascii="Arial" w:cs="Arial" w:eastAsia="Arial" w:hAnsi="Arial"/>
          <w:sz w:val="18"/>
          <w:szCs w:val="18"/>
          <w:color w:val="auto"/>
        </w:rPr>
        <w:t>June 30, 2016</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700" w:type="dxa"/>
            <w:vAlign w:val="bottom"/>
            <w:tcBorders>
              <w:bottom w:val="single" w:sz="8" w:color="CFF0FC"/>
            </w:tcBorders>
          </w:tcPr>
          <w:p>
            <w:pPr>
              <w:spacing w:after="0"/>
              <w:rPr>
                <w:sz w:val="19"/>
                <w:szCs w:val="19"/>
                <w:color w:val="auto"/>
              </w:rPr>
            </w:pPr>
          </w:p>
        </w:tc>
        <w:tc>
          <w:tcPr>
            <w:tcW w:w="11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Volume</w:t>
            </w:r>
          </w:p>
        </w:tc>
        <w:tc>
          <w:tcPr>
            <w:tcW w:w="4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CFF0FC"/>
            </w:tcBorders>
          </w:tcPr>
          <w:p>
            <w:pPr>
              <w:spacing w:after="0"/>
              <w:rPr>
                <w:sz w:val="19"/>
                <w:szCs w:val="19"/>
                <w:color w:val="auto"/>
              </w:rPr>
            </w:pPr>
          </w:p>
        </w:tc>
        <w:tc>
          <w:tcPr>
            <w:tcW w:w="15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Pricing</w:t>
            </w:r>
          </w:p>
        </w:tc>
        <w:tc>
          <w:tcPr>
            <w:tcW w:w="160" w:type="dxa"/>
            <w:vAlign w:val="bottom"/>
            <w:tcBorders>
              <w:bottom w:val="single" w:sz="8" w:color="CFF0FC"/>
            </w:tcBorders>
          </w:tcPr>
          <w:p>
            <w:pPr>
              <w:spacing w:after="0"/>
              <w:rPr>
                <w:sz w:val="19"/>
                <w:szCs w:val="19"/>
                <w:color w:val="auto"/>
              </w:rPr>
            </w:pPr>
          </w:p>
        </w:tc>
      </w:tr>
      <w:tr>
        <w:trPr>
          <w:trHeight w:val="220"/>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Volume/Pricing Variance </w:t>
            </w:r>
            <w:r>
              <w:rPr>
                <w:rFonts w:ascii="Arial" w:cs="Arial" w:eastAsia="Arial" w:hAnsi="Arial"/>
                <w:sz w:val="15"/>
                <w:szCs w:val="15"/>
                <w:color w:val="auto"/>
              </w:rPr>
              <w:t>(1)</w:t>
            </w:r>
          </w:p>
        </w:tc>
        <w:tc>
          <w:tcPr>
            <w:tcW w:w="1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r>
      <w:tr>
        <w:trPr>
          <w:trHeight w:val="227"/>
        </w:trPr>
        <w:tc>
          <w:tcPr>
            <w:tcW w:w="8860" w:type="dxa"/>
            <w:vAlign w:val="bottom"/>
            <w:gridSpan w:val="2"/>
          </w:tcPr>
          <w:p>
            <w:pPr>
              <w:spacing w:after="0"/>
              <w:rPr>
                <w:sz w:val="20"/>
                <w:szCs w:val="20"/>
                <w:color w:val="auto"/>
              </w:rPr>
            </w:pPr>
            <w:r>
              <w:rPr>
                <w:rFonts w:ascii="Arial" w:cs="Arial" w:eastAsia="Arial" w:hAnsi="Arial"/>
                <w:sz w:val="18"/>
                <w:szCs w:val="18"/>
                <w:color w:val="auto"/>
              </w:rPr>
              <w:t xml:space="preserve">Heritage Aggregates Product Line </w:t>
            </w:r>
            <w:r>
              <w:rPr>
                <w:rFonts w:ascii="Arial" w:cs="Arial" w:eastAsia="Arial" w:hAnsi="Arial"/>
                <w:sz w:val="15"/>
                <w:szCs w:val="15"/>
                <w:color w:val="auto"/>
              </w:rPr>
              <w:t>(2)</w:t>
            </w: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7"/>
        </w:trPr>
        <w:tc>
          <w:tcPr>
            <w:tcW w:w="8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Mid-America Group</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12.8%</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r>
      <w:tr>
        <w:trPr>
          <w:trHeight w:val="227"/>
        </w:trPr>
        <w:tc>
          <w:tcPr>
            <w:tcW w:w="8860" w:type="dxa"/>
            <w:vAlign w:val="bottom"/>
            <w:gridSpan w:val="2"/>
          </w:tcPr>
          <w:p>
            <w:pPr>
              <w:ind w:left="240"/>
              <w:spacing w:after="0"/>
              <w:rPr>
                <w:sz w:val="20"/>
                <w:szCs w:val="20"/>
                <w:color w:val="auto"/>
              </w:rPr>
            </w:pPr>
            <w:r>
              <w:rPr>
                <w:rFonts w:ascii="Arial" w:cs="Arial" w:eastAsia="Arial" w:hAnsi="Arial"/>
                <w:sz w:val="18"/>
                <w:szCs w:val="18"/>
                <w:color w:val="auto"/>
              </w:rPr>
              <w:t>Southeast Group</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r>
      <w:tr>
        <w:trPr>
          <w:trHeight w:val="227"/>
        </w:trPr>
        <w:tc>
          <w:tcPr>
            <w:tcW w:w="8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 xml:space="preserve">West Group </w:t>
            </w:r>
            <w:r>
              <w:rPr>
                <w:rFonts w:ascii="Arial" w:cs="Arial" w:eastAsia="Arial" w:hAnsi="Arial"/>
                <w:sz w:val="15"/>
                <w:szCs w:val="15"/>
                <w:color w:val="auto"/>
              </w:rPr>
              <w:t>(3)</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(0.8)%</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w:t>
            </w:r>
          </w:p>
        </w:tc>
      </w:tr>
      <w:tr>
        <w:trPr>
          <w:trHeight w:val="227"/>
        </w:trPr>
        <w:tc>
          <w:tcPr>
            <w:tcW w:w="8860" w:type="dxa"/>
            <w:vAlign w:val="bottom"/>
            <w:gridSpan w:val="2"/>
          </w:tcPr>
          <w:p>
            <w:pPr>
              <w:spacing w:after="0"/>
              <w:rPr>
                <w:sz w:val="20"/>
                <w:szCs w:val="20"/>
                <w:color w:val="auto"/>
              </w:rPr>
            </w:pPr>
            <w:r>
              <w:rPr>
                <w:rFonts w:ascii="Arial" w:cs="Arial" w:eastAsia="Arial" w:hAnsi="Arial"/>
                <w:sz w:val="18"/>
                <w:szCs w:val="18"/>
                <w:color w:val="auto"/>
              </w:rPr>
              <w:t>Heritage Aggregates Operations</w:t>
            </w:r>
            <w:r>
              <w:rPr>
                <w:rFonts w:ascii="Arial" w:cs="Arial" w:eastAsia="Arial" w:hAnsi="Arial"/>
                <w:sz w:val="15"/>
                <w:szCs w:val="15"/>
                <w:color w:val="auto"/>
              </w:rPr>
              <w:t>(2)</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227"/>
        </w:trPr>
        <w:tc>
          <w:tcPr>
            <w:tcW w:w="8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Aggregates Product Line </w:t>
            </w:r>
            <w:r>
              <w:rPr>
                <w:rFonts w:ascii="Arial" w:cs="Arial" w:eastAsia="Arial" w:hAnsi="Arial"/>
                <w:sz w:val="15"/>
                <w:szCs w:val="15"/>
                <w:color w:val="auto"/>
              </w:rPr>
              <w:t>(4)</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6.2%</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w:t>
            </w: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45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7700"/>
        <w:spacing w:after="0"/>
        <w:rPr>
          <w:sz w:val="20"/>
          <w:szCs w:val="20"/>
          <w:color w:val="auto"/>
        </w:rPr>
      </w:pPr>
      <w:r>
        <w:rPr>
          <w:rFonts w:ascii="Arial" w:cs="Arial" w:eastAsia="Arial" w:hAnsi="Arial"/>
          <w:sz w:val="18"/>
          <w:szCs w:val="18"/>
          <w:color w:val="auto"/>
        </w:rPr>
        <w:t>Six Months Ended</w:t>
      </w:r>
    </w:p>
    <w:p>
      <w:pPr>
        <w:spacing w:after="0" w:line="28" w:lineRule="exact"/>
        <w:rPr>
          <w:sz w:val="20"/>
          <w:szCs w:val="20"/>
          <w:color w:val="auto"/>
        </w:rPr>
      </w:pPr>
    </w:p>
    <w:p>
      <w:pPr>
        <w:jc w:val="center"/>
        <w:ind w:left="7700"/>
        <w:spacing w:after="0"/>
        <w:rPr>
          <w:sz w:val="20"/>
          <w:szCs w:val="20"/>
          <w:color w:val="auto"/>
        </w:rPr>
      </w:pPr>
      <w:r>
        <w:rPr>
          <w:rFonts w:ascii="Arial" w:cs="Arial" w:eastAsia="Arial" w:hAnsi="Arial"/>
          <w:sz w:val="18"/>
          <w:szCs w:val="18"/>
          <w:color w:val="auto"/>
        </w:rPr>
        <w:t>June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192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2015</w:t>
            </w: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Shipments</w:t>
            </w:r>
          </w:p>
        </w:tc>
        <w:tc>
          <w:tcPr>
            <w:tcW w:w="1920" w:type="dxa"/>
            <w:vAlign w:val="bottom"/>
            <w:gridSpan w:val="3"/>
          </w:tcPr>
          <w:p>
            <w:pPr>
              <w:jc w:val="right"/>
              <w:ind w:right="420"/>
              <w:spacing w:after="0"/>
              <w:rPr>
                <w:sz w:val="20"/>
                <w:szCs w:val="20"/>
                <w:color w:val="auto"/>
              </w:rPr>
            </w:pPr>
            <w:r>
              <w:rPr>
                <w:rFonts w:ascii="Arial" w:cs="Arial" w:eastAsia="Arial" w:hAnsi="Arial"/>
                <w:sz w:val="18"/>
                <w:szCs w:val="18"/>
                <w:i w:val="1"/>
                <w:iCs w:val="1"/>
                <w:color w:val="auto"/>
                <w:w w:val="89"/>
              </w:rPr>
              <w:t>(Tons in Thousands)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82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Heritage Aggregates Product Line </w:t>
            </w:r>
            <w:r>
              <w:rPr>
                <w:rFonts w:ascii="Arial" w:cs="Arial" w:eastAsia="Arial" w:hAnsi="Arial"/>
                <w:sz w:val="15"/>
                <w:szCs w:val="15"/>
                <w:color w:val="auto"/>
              </w:rPr>
              <w:t>(2)</w:t>
            </w:r>
            <w:r>
              <w:rPr>
                <w:rFonts w:ascii="Arial" w:cs="Arial" w:eastAsia="Arial" w:hAnsi="Arial"/>
                <w:sz w:val="18"/>
                <w:szCs w:val="18"/>
                <w:color w:val="auto"/>
              </w:rPr>
              <w:t>:</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820" w:type="dxa"/>
            <w:vAlign w:val="bottom"/>
            <w:gridSpan w:val="2"/>
          </w:tcPr>
          <w:p>
            <w:pPr>
              <w:ind w:left="240"/>
              <w:spacing w:after="0"/>
              <w:rPr>
                <w:sz w:val="20"/>
                <w:szCs w:val="20"/>
                <w:color w:val="auto"/>
              </w:rPr>
            </w:pPr>
            <w:r>
              <w:rPr>
                <w:rFonts w:ascii="Arial" w:cs="Arial" w:eastAsia="Arial" w:hAnsi="Arial"/>
                <w:sz w:val="18"/>
                <w:szCs w:val="18"/>
                <w:color w:val="auto"/>
              </w:rPr>
              <w:t>Mid-America Group</w:t>
            </w:r>
          </w:p>
        </w:tc>
        <w:tc>
          <w:tcPr>
            <w:tcW w:w="600" w:type="dxa"/>
            <w:vAlign w:val="bottom"/>
          </w:tcPr>
          <w:p>
            <w:pPr>
              <w:jc w:val="right"/>
              <w:spacing w:after="0"/>
              <w:rPr>
                <w:sz w:val="20"/>
                <w:szCs w:val="20"/>
                <w:color w:val="auto"/>
              </w:rPr>
            </w:pPr>
            <w:r>
              <w:rPr>
                <w:rFonts w:ascii="Arial" w:cs="Arial" w:eastAsia="Arial" w:hAnsi="Arial"/>
                <w:sz w:val="18"/>
                <w:szCs w:val="18"/>
                <w:color w:val="auto"/>
              </w:rPr>
              <w:t>33,010</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29,255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Southeast Group</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9,693</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820" w:type="dxa"/>
            <w:vAlign w:val="bottom"/>
            <w:gridSpan w:val="2"/>
          </w:tcPr>
          <w:p>
            <w:pPr>
              <w:ind w:left="240"/>
              <w:spacing w:after="0"/>
              <w:rPr>
                <w:sz w:val="20"/>
                <w:szCs w:val="20"/>
                <w:color w:val="auto"/>
              </w:rPr>
            </w:pPr>
            <w:r>
              <w:rPr>
                <w:rFonts w:ascii="Arial" w:cs="Arial" w:eastAsia="Arial" w:hAnsi="Arial"/>
                <w:sz w:val="18"/>
                <w:szCs w:val="18"/>
                <w:color w:val="auto"/>
              </w:rPr>
              <w:t>West Group</w:t>
            </w:r>
            <w:r>
              <w:rPr>
                <w:rFonts w:ascii="Arial" w:cs="Arial" w:eastAsia="Arial" w:hAnsi="Arial"/>
                <w:sz w:val="15"/>
                <w:szCs w:val="15"/>
                <w:color w:val="auto"/>
              </w:rPr>
              <w:t>(3)</w:t>
            </w:r>
          </w:p>
        </w:tc>
        <w:tc>
          <w:tcPr>
            <w:tcW w:w="600" w:type="dxa"/>
            <w:vAlign w:val="bottom"/>
          </w:tcPr>
          <w:p>
            <w:pPr>
              <w:jc w:val="right"/>
              <w:spacing w:after="0"/>
              <w:rPr>
                <w:sz w:val="20"/>
                <w:szCs w:val="20"/>
                <w:color w:val="auto"/>
              </w:rPr>
            </w:pPr>
            <w:r>
              <w:rPr>
                <w:rFonts w:ascii="Arial" w:cs="Arial" w:eastAsia="Arial" w:hAnsi="Arial"/>
                <w:sz w:val="18"/>
                <w:szCs w:val="18"/>
                <w:color w:val="auto"/>
              </w:rPr>
              <w:t>31,978</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32,220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Heritage Aggregates Operations</w:t>
            </w:r>
            <w:r>
              <w:rPr>
                <w:rFonts w:ascii="Arial" w:cs="Arial" w:eastAsia="Arial" w:hAnsi="Arial"/>
                <w:sz w:val="15"/>
                <w:szCs w:val="15"/>
                <w:color w:val="auto"/>
              </w:rPr>
              <w:t>(2)</w:t>
            </w: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74,681</w:t>
            </w: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70,839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82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600" w:type="dxa"/>
            <w:vAlign w:val="bottom"/>
          </w:tcPr>
          <w:p>
            <w:pPr>
              <w:jc w:val="right"/>
              <w:spacing w:after="0"/>
              <w:rPr>
                <w:sz w:val="20"/>
                <w:szCs w:val="20"/>
                <w:color w:val="auto"/>
              </w:rPr>
            </w:pPr>
            <w:r>
              <w:rPr>
                <w:rFonts w:ascii="Arial" w:cs="Arial" w:eastAsia="Arial" w:hAnsi="Arial"/>
                <w:sz w:val="18"/>
                <w:szCs w:val="18"/>
                <w:color w:val="auto"/>
              </w:rPr>
              <w:t>537</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Aggregates Product Line </w:t>
            </w:r>
            <w:r>
              <w:rPr>
                <w:rFonts w:ascii="Arial" w:cs="Arial" w:eastAsia="Arial" w:hAnsi="Arial"/>
                <w:sz w:val="15"/>
                <w:szCs w:val="15"/>
                <w:color w:val="auto"/>
              </w:rPr>
              <w:t>(4)</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75,218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70,839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260" w:hanging="259"/>
        <w:spacing w:after="0"/>
        <w:tabs>
          <w:tab w:leader="none" w:pos="260" w:val="left"/>
        </w:tabs>
        <w:numPr>
          <w:ilvl w:val="0"/>
          <w:numId w:val="23"/>
        </w:numPr>
        <w:rPr>
          <w:rFonts w:ascii="Arial" w:cs="Arial" w:eastAsia="Arial" w:hAnsi="Arial"/>
          <w:sz w:val="14"/>
          <w:szCs w:val="14"/>
          <w:i w:val="1"/>
          <w:iCs w:val="1"/>
          <w:color w:val="auto"/>
        </w:rPr>
      </w:pPr>
      <w:r>
        <w:rPr>
          <w:rFonts w:ascii="Arial" w:cs="Arial" w:eastAsia="Arial" w:hAnsi="Arial"/>
          <w:sz w:val="17"/>
          <w:szCs w:val="17"/>
          <w:i w:val="1"/>
          <w:iCs w:val="1"/>
          <w:color w:val="auto"/>
        </w:rPr>
        <w:t>Volume/pricing variances reflect the percentage increase/(decrease) from the comparable period in the prior year.</w:t>
      </w:r>
    </w:p>
    <w:p>
      <w:pPr>
        <w:spacing w:after="0" w:line="18" w:lineRule="exact"/>
        <w:rPr>
          <w:rFonts w:ascii="Arial" w:cs="Arial" w:eastAsia="Arial" w:hAnsi="Arial"/>
          <w:sz w:val="14"/>
          <w:szCs w:val="14"/>
          <w:i w:val="1"/>
          <w:iCs w:val="1"/>
          <w:color w:val="auto"/>
        </w:rPr>
      </w:pPr>
    </w:p>
    <w:p>
      <w:pPr>
        <w:ind w:left="260" w:hanging="259"/>
        <w:spacing w:after="0" w:line="247" w:lineRule="auto"/>
        <w:tabs>
          <w:tab w:leader="none" w:pos="260" w:val="left"/>
        </w:tabs>
        <w:numPr>
          <w:ilvl w:val="0"/>
          <w:numId w:val="23"/>
        </w:numPr>
        <w:rPr>
          <w:rFonts w:ascii="Arial" w:cs="Arial" w:eastAsia="Arial" w:hAnsi="Arial"/>
          <w:sz w:val="14"/>
          <w:szCs w:val="14"/>
          <w:i w:val="1"/>
          <w:iCs w:val="1"/>
          <w:color w:val="auto"/>
        </w:rPr>
      </w:pPr>
      <w:r>
        <w:rPr>
          <w:rFonts w:ascii="Arial" w:cs="Arial" w:eastAsia="Arial" w:hAnsi="Arial"/>
          <w:sz w:val="17"/>
          <w:szCs w:val="17"/>
          <w:i w:val="1"/>
          <w:iCs w:val="1"/>
          <w:color w:val="auto"/>
        </w:rPr>
        <w:t>Heritage Aggregates Product Line and Heritage Aggregates Operations exclude volume and pricing data for acquisitions that have not been included in operations for a full year.</w:t>
      </w:r>
    </w:p>
    <w:p>
      <w:pPr>
        <w:spacing w:after="0" w:line="1" w:lineRule="exact"/>
        <w:rPr>
          <w:rFonts w:ascii="Arial" w:cs="Arial" w:eastAsia="Arial" w:hAnsi="Arial"/>
          <w:sz w:val="14"/>
          <w:szCs w:val="14"/>
          <w:i w:val="1"/>
          <w:iCs w:val="1"/>
          <w:color w:val="auto"/>
        </w:rPr>
      </w:pPr>
    </w:p>
    <w:p>
      <w:pPr>
        <w:ind w:left="260" w:hanging="259"/>
        <w:spacing w:after="0" w:line="247" w:lineRule="auto"/>
        <w:tabs>
          <w:tab w:leader="none" w:pos="260" w:val="left"/>
        </w:tabs>
        <w:numPr>
          <w:ilvl w:val="0"/>
          <w:numId w:val="23"/>
        </w:numPr>
        <w:rPr>
          <w:rFonts w:ascii="Arial" w:cs="Arial" w:eastAsia="Arial" w:hAnsi="Arial"/>
          <w:sz w:val="14"/>
          <w:szCs w:val="14"/>
          <w:i w:val="1"/>
          <w:iCs w:val="1"/>
          <w:color w:val="auto"/>
        </w:rPr>
      </w:pPr>
      <w:r>
        <w:rPr>
          <w:rFonts w:ascii="Arial" w:cs="Arial" w:eastAsia="Arial" w:hAnsi="Arial"/>
          <w:sz w:val="17"/>
          <w:szCs w:val="17"/>
          <w:i w:val="1"/>
          <w:iCs w:val="1"/>
          <w:color w:val="auto"/>
        </w:rPr>
        <w:t>Including the recently acquired Colorado operations in the current-year period, the volume variance is 0.9% and the pricing variance is 10.7% for the six months ended June 30, 2016.</w:t>
      </w:r>
    </w:p>
    <w:p>
      <w:pPr>
        <w:spacing w:after="0" w:line="1" w:lineRule="exact"/>
        <w:rPr>
          <w:rFonts w:ascii="Arial" w:cs="Arial" w:eastAsia="Arial" w:hAnsi="Arial"/>
          <w:sz w:val="14"/>
          <w:szCs w:val="14"/>
          <w:i w:val="1"/>
          <w:iCs w:val="1"/>
          <w:color w:val="auto"/>
        </w:rPr>
      </w:pPr>
    </w:p>
    <w:p>
      <w:pPr>
        <w:ind w:left="260" w:hanging="259"/>
        <w:spacing w:after="0"/>
        <w:tabs>
          <w:tab w:leader="none" w:pos="260" w:val="left"/>
        </w:tabs>
        <w:numPr>
          <w:ilvl w:val="0"/>
          <w:numId w:val="23"/>
        </w:numPr>
        <w:rPr>
          <w:rFonts w:ascii="Arial" w:cs="Arial" w:eastAsia="Arial" w:hAnsi="Arial"/>
          <w:sz w:val="14"/>
          <w:szCs w:val="14"/>
          <w:i w:val="1"/>
          <w:iCs w:val="1"/>
          <w:color w:val="auto"/>
        </w:rPr>
      </w:pPr>
      <w:r>
        <w:rPr>
          <w:rFonts w:ascii="Arial" w:cs="Arial" w:eastAsia="Arial" w:hAnsi="Arial"/>
          <w:sz w:val="17"/>
          <w:szCs w:val="17"/>
          <w:i w:val="1"/>
          <w:iCs w:val="1"/>
          <w:color w:val="auto"/>
        </w:rPr>
        <w:t>Aggregates Product Line includes all acquisitions from the date of acquisition and divestitures through the date of disposal.</w:t>
      </w:r>
    </w:p>
    <w:p>
      <w:pPr>
        <w:spacing w:after="0" w:line="200" w:lineRule="exact"/>
        <w:rPr>
          <w:sz w:val="20"/>
          <w:szCs w:val="20"/>
          <w:color w:val="auto"/>
        </w:rPr>
      </w:pPr>
    </w:p>
    <w:p>
      <w:pPr>
        <w:spacing w:after="0" w:line="219" w:lineRule="exact"/>
        <w:rPr>
          <w:sz w:val="20"/>
          <w:szCs w:val="20"/>
          <w:color w:val="auto"/>
        </w:rPr>
      </w:pPr>
    </w:p>
    <w:p>
      <w:pPr>
        <w:jc w:val="center"/>
        <w:ind w:left="7340"/>
        <w:spacing w:after="0"/>
        <w:rPr>
          <w:sz w:val="20"/>
          <w:szCs w:val="20"/>
          <w:color w:val="auto"/>
        </w:rPr>
      </w:pPr>
      <w:r>
        <w:rPr>
          <w:rFonts w:ascii="Arial" w:cs="Arial" w:eastAsia="Arial" w:hAnsi="Arial"/>
          <w:sz w:val="18"/>
          <w:szCs w:val="18"/>
          <w:color w:val="auto"/>
        </w:rPr>
        <w:t>Six Months Ended</w:t>
      </w:r>
    </w:p>
    <w:p>
      <w:pPr>
        <w:spacing w:after="0" w:line="28" w:lineRule="exact"/>
        <w:rPr>
          <w:sz w:val="20"/>
          <w:szCs w:val="20"/>
          <w:color w:val="auto"/>
        </w:rPr>
      </w:pPr>
    </w:p>
    <w:p>
      <w:pPr>
        <w:jc w:val="center"/>
        <w:ind w:left="7340"/>
        <w:spacing w:after="0"/>
        <w:rPr>
          <w:sz w:val="20"/>
          <w:szCs w:val="20"/>
          <w:color w:val="auto"/>
        </w:rPr>
      </w:pPr>
      <w:r>
        <w:rPr>
          <w:rFonts w:ascii="Arial" w:cs="Arial" w:eastAsia="Arial" w:hAnsi="Arial"/>
          <w:sz w:val="18"/>
          <w:szCs w:val="18"/>
          <w:color w:val="auto"/>
        </w:rPr>
        <w:t>June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80" w:type="dxa"/>
            <w:vAlign w:val="bottom"/>
            <w:gridSpan w:val="2"/>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6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8"/>
                <w:szCs w:val="18"/>
                <w:color w:val="auto"/>
                <w:w w:val="99"/>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Shipments</w:t>
            </w:r>
          </w:p>
        </w:tc>
        <w:tc>
          <w:tcPr>
            <w:tcW w:w="1600" w:type="dxa"/>
            <w:vAlign w:val="bottom"/>
            <w:gridSpan w:val="3"/>
          </w:tcPr>
          <w:p>
            <w:pPr>
              <w:ind w:left="60"/>
              <w:spacing w:after="0"/>
              <w:rPr>
                <w:sz w:val="20"/>
                <w:szCs w:val="20"/>
                <w:color w:val="auto"/>
              </w:rPr>
            </w:pPr>
            <w:r>
              <w:rPr>
                <w:rFonts w:ascii="Arial" w:cs="Arial" w:eastAsia="Arial" w:hAnsi="Arial"/>
                <w:sz w:val="18"/>
                <w:szCs w:val="18"/>
                <w:i w:val="1"/>
                <w:iCs w:val="1"/>
                <w:color w:val="auto"/>
                <w:w w:val="92"/>
              </w:rPr>
              <w:t>(Tons in Thousands)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580" w:type="dxa"/>
            <w:vAlign w:val="bottom"/>
            <w:gridSpan w:val="3"/>
            <w:vMerge w:val="continue"/>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Heritage Aggregates Product Line </w:t>
            </w:r>
            <w:r>
              <w:rPr>
                <w:rFonts w:ascii="Arial" w:cs="Arial" w:eastAsia="Arial" w:hAnsi="Arial"/>
                <w:sz w:val="15"/>
                <w:szCs w:val="15"/>
                <w:color w:val="auto"/>
              </w:rPr>
              <w:t>(2)</w:t>
            </w:r>
            <w:r>
              <w:rPr>
                <w:rFonts w:ascii="Arial" w:cs="Arial" w:eastAsia="Arial" w:hAnsi="Arial"/>
                <w:sz w:val="18"/>
                <w:szCs w:val="18"/>
                <w:color w:val="auto"/>
              </w:rPr>
              <w:t>:</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560" w:type="dxa"/>
            <w:vAlign w:val="bottom"/>
            <w:gridSpan w:val="2"/>
          </w:tcPr>
          <w:p>
            <w:pPr>
              <w:ind w:left="220"/>
              <w:spacing w:after="0"/>
              <w:rPr>
                <w:sz w:val="20"/>
                <w:szCs w:val="20"/>
                <w:color w:val="auto"/>
              </w:rPr>
            </w:pPr>
            <w:r>
              <w:rPr>
                <w:rFonts w:ascii="Arial" w:cs="Arial" w:eastAsia="Arial" w:hAnsi="Arial"/>
                <w:sz w:val="18"/>
                <w:szCs w:val="18"/>
                <w:color w:val="auto"/>
              </w:rPr>
              <w:t>Tons to external customers</w:t>
            </w:r>
          </w:p>
        </w:tc>
        <w:tc>
          <w:tcPr>
            <w:tcW w:w="660" w:type="dxa"/>
            <w:vAlign w:val="bottom"/>
          </w:tcPr>
          <w:p>
            <w:pPr>
              <w:jc w:val="right"/>
              <w:spacing w:after="0"/>
              <w:rPr>
                <w:sz w:val="20"/>
                <w:szCs w:val="20"/>
                <w:color w:val="auto"/>
              </w:rPr>
            </w:pPr>
            <w:r>
              <w:rPr>
                <w:rFonts w:ascii="Arial" w:cs="Arial" w:eastAsia="Arial" w:hAnsi="Arial"/>
                <w:sz w:val="18"/>
                <w:szCs w:val="18"/>
                <w:color w:val="auto"/>
              </w:rPr>
              <w:t>70,160</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66,783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5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Internal tons used in other product lines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4,521</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7480" w:type="dxa"/>
            <w:vAlign w:val="bottom"/>
            <w:gridSpan w:val="2"/>
          </w:tcPr>
          <w:p>
            <w:pPr>
              <w:spacing w:after="0"/>
              <w:rPr>
                <w:sz w:val="20"/>
                <w:szCs w:val="20"/>
                <w:color w:val="auto"/>
              </w:rPr>
            </w:pPr>
            <w:r>
              <w:rPr>
                <w:rFonts w:ascii="Arial" w:cs="Arial" w:eastAsia="Arial" w:hAnsi="Arial"/>
                <w:sz w:val="18"/>
                <w:szCs w:val="18"/>
                <w:color w:val="auto"/>
              </w:rPr>
              <w:t>Total heritage aggregates tons</w:t>
            </w:r>
          </w:p>
        </w:tc>
        <w:tc>
          <w:tcPr>
            <w:tcW w:w="11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74,681</w:t>
            </w:r>
          </w:p>
        </w:tc>
        <w:tc>
          <w:tcPr>
            <w:tcW w:w="300" w:type="dxa"/>
            <w:vAlign w:val="bottom"/>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70,839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46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5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Tons to external customers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560" w:type="dxa"/>
            <w:vAlign w:val="bottom"/>
            <w:gridSpan w:val="2"/>
          </w:tcPr>
          <w:p>
            <w:pPr>
              <w:ind w:left="220"/>
              <w:spacing w:after="0"/>
              <w:rPr>
                <w:sz w:val="20"/>
                <w:szCs w:val="20"/>
                <w:color w:val="auto"/>
              </w:rPr>
            </w:pPr>
            <w:r>
              <w:rPr>
                <w:rFonts w:ascii="Arial" w:cs="Arial" w:eastAsia="Arial" w:hAnsi="Arial"/>
                <w:sz w:val="18"/>
                <w:szCs w:val="18"/>
                <w:color w:val="auto"/>
              </w:rPr>
              <w:t>Internal tons used in other product lines</w:t>
            </w:r>
          </w:p>
        </w:tc>
        <w:tc>
          <w:tcPr>
            <w:tcW w:w="660" w:type="dxa"/>
            <w:vAlign w:val="bottom"/>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acquisition aggregates tons</w:t>
            </w:r>
          </w:p>
        </w:tc>
        <w:tc>
          <w:tcPr>
            <w:tcW w:w="110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per-ton average selling price for the aggregates product line was $12.89 and $11.99 for the six months ended June 30, 2016 and 2015, respectively.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46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Average selling prices by product line for the Corporation’s aggregates-related downstream operations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320" w:type="dxa"/>
            <w:vAlign w:val="bottom"/>
            <w:gridSpan w:val="6"/>
          </w:tcPr>
          <w:p>
            <w:pPr>
              <w:jc w:val="center"/>
              <w:ind w:right="8"/>
              <w:spacing w:after="0"/>
              <w:rPr>
                <w:sz w:val="20"/>
                <w:szCs w:val="20"/>
                <w:color w:val="auto"/>
              </w:rPr>
            </w:pPr>
            <w:r>
              <w:rPr>
                <w:rFonts w:ascii="Arial" w:cs="Arial" w:eastAsia="Arial" w:hAnsi="Arial"/>
                <w:sz w:val="18"/>
                <w:szCs w:val="18"/>
                <w:color w:val="auto"/>
                <w:w w:val="94"/>
              </w:rPr>
              <w:t>Six Months Ended</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center"/>
              <w:ind w:right="1168"/>
              <w:spacing w:after="0"/>
              <w:rPr>
                <w:sz w:val="20"/>
                <w:szCs w:val="20"/>
                <w:color w:val="auto"/>
              </w:rPr>
            </w:pPr>
            <w:r>
              <w:rPr>
                <w:rFonts w:ascii="Arial" w:cs="Arial" w:eastAsia="Arial" w:hAnsi="Arial"/>
                <w:sz w:val="18"/>
                <w:szCs w:val="18"/>
                <w:color w:val="auto"/>
                <w:w w:val="89"/>
              </w:rPr>
              <w:t>June 30,</w:t>
            </w:r>
          </w:p>
        </w:tc>
        <w:tc>
          <w:tcPr>
            <w:tcW w:w="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1800" w:type="dxa"/>
            <w:vAlign w:val="bottom"/>
            <w:gridSpan w:val="2"/>
          </w:tcPr>
          <w:p>
            <w:pPr>
              <w:jc w:val="center"/>
              <w:ind w:left="288"/>
              <w:spacing w:after="0"/>
              <w:rPr>
                <w:sz w:val="20"/>
                <w:szCs w:val="20"/>
                <w:color w:val="auto"/>
              </w:rPr>
            </w:pPr>
            <w:r>
              <w:rPr>
                <w:rFonts w:ascii="Arial" w:cs="Arial" w:eastAsia="Arial" w:hAnsi="Arial"/>
                <w:sz w:val="18"/>
                <w:szCs w:val="18"/>
                <w:color w:val="auto"/>
                <w:w w:val="94"/>
              </w:rPr>
              <w:t>2016</w:t>
            </w:r>
          </w:p>
        </w:tc>
        <w:tc>
          <w:tcPr>
            <w:tcW w:w="2160" w:type="dxa"/>
            <w:vAlign w:val="bottom"/>
            <w:gridSpan w:val="5"/>
          </w:tcPr>
          <w:p>
            <w:pPr>
              <w:jc w:val="center"/>
              <w:ind w:left="1068"/>
              <w:spacing w:after="0"/>
              <w:rPr>
                <w:sz w:val="20"/>
                <w:szCs w:val="20"/>
                <w:color w:val="auto"/>
              </w:rPr>
            </w:pPr>
            <w:r>
              <w:rPr>
                <w:rFonts w:ascii="Arial" w:cs="Arial" w:eastAsia="Arial" w:hAnsi="Arial"/>
                <w:sz w:val="18"/>
                <w:szCs w:val="18"/>
                <w:color w:val="auto"/>
                <w:w w:val="89"/>
              </w:rPr>
              <w:t>2015</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800" w:type="dxa"/>
            <w:vAlign w:val="bottom"/>
            <w:gridSpan w:val="2"/>
          </w:tcPr>
          <w:p>
            <w:pPr>
              <w:spacing w:after="0"/>
              <w:rPr>
                <w:sz w:val="20"/>
                <w:szCs w:val="20"/>
                <w:color w:val="auto"/>
              </w:rPr>
            </w:pPr>
            <w:r>
              <w:rPr>
                <w:rFonts w:ascii="Arial" w:cs="Arial" w:eastAsia="Arial" w:hAnsi="Arial"/>
                <w:sz w:val="18"/>
                <w:szCs w:val="18"/>
                <w:color w:val="auto"/>
              </w:rPr>
              <w:t>Heritage:</w:t>
            </w:r>
          </w:p>
        </w:tc>
        <w:tc>
          <w:tcPr>
            <w:tcW w:w="6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Asphalt</w:t>
            </w:r>
          </w:p>
        </w:tc>
        <w:tc>
          <w:tcPr>
            <w:tcW w:w="640" w:type="dxa"/>
            <w:vAlign w:val="bottom"/>
            <w:shd w:val="clear" w:color="auto" w:fill="CFF0FC"/>
          </w:tcPr>
          <w:p>
            <w:pPr>
              <w:spacing w:after="0"/>
              <w:rPr>
                <w:sz w:val="19"/>
                <w:szCs w:val="19"/>
                <w:color w:val="auto"/>
              </w:rPr>
            </w:pPr>
          </w:p>
        </w:tc>
        <w:tc>
          <w:tcPr>
            <w:tcW w:w="1160" w:type="dxa"/>
            <w:vAlign w:val="bottom"/>
            <w:shd w:val="clear" w:color="auto" w:fill="CFF0FC"/>
          </w:tcPr>
          <w:p>
            <w:pPr>
              <w:jc w:val="center"/>
              <w:ind w:right="168"/>
              <w:spacing w:after="0"/>
              <w:rPr>
                <w:sz w:val="20"/>
                <w:szCs w:val="20"/>
                <w:color w:val="auto"/>
              </w:rPr>
            </w:pPr>
            <w:r>
              <w:rPr>
                <w:rFonts w:ascii="Arial" w:cs="Arial" w:eastAsia="Arial" w:hAnsi="Arial"/>
                <w:sz w:val="18"/>
                <w:szCs w:val="18"/>
                <w:color w:val="auto"/>
                <w:w w:val="91"/>
              </w:rPr>
              <w:t>$38.09/ton</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center"/>
              <w:ind w:left="148"/>
              <w:spacing w:after="0"/>
              <w:rPr>
                <w:sz w:val="20"/>
                <w:szCs w:val="20"/>
                <w:color w:val="auto"/>
              </w:rPr>
            </w:pPr>
            <w:r>
              <w:rPr>
                <w:rFonts w:ascii="Arial" w:cs="Arial" w:eastAsia="Arial" w:hAnsi="Arial"/>
                <w:sz w:val="18"/>
                <w:szCs w:val="18"/>
                <w:color w:val="auto"/>
                <w:w w:val="93"/>
              </w:rPr>
              <w:t>$42.56/ton</w:t>
            </w: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Ready Mixed Concrete</w:t>
            </w:r>
          </w:p>
        </w:tc>
        <w:tc>
          <w:tcPr>
            <w:tcW w:w="640" w:type="dxa"/>
            <w:vAlign w:val="bottom"/>
          </w:tcPr>
          <w:p>
            <w:pPr>
              <w:spacing w:after="0"/>
              <w:rPr>
                <w:sz w:val="19"/>
                <w:szCs w:val="19"/>
                <w:color w:val="auto"/>
              </w:rPr>
            </w:pPr>
          </w:p>
        </w:tc>
        <w:tc>
          <w:tcPr>
            <w:tcW w:w="1160" w:type="dxa"/>
            <w:vAlign w:val="bottom"/>
          </w:tcPr>
          <w:p>
            <w:pPr>
              <w:jc w:val="center"/>
              <w:ind w:right="168"/>
              <w:spacing w:after="0"/>
              <w:rPr>
                <w:sz w:val="20"/>
                <w:szCs w:val="20"/>
                <w:color w:val="auto"/>
              </w:rPr>
            </w:pPr>
            <w:r>
              <w:rPr>
                <w:rFonts w:ascii="Arial" w:cs="Arial" w:eastAsia="Arial" w:hAnsi="Arial"/>
                <w:sz w:val="18"/>
                <w:szCs w:val="18"/>
                <w:color w:val="auto"/>
                <w:w w:val="94"/>
              </w:rPr>
              <w:t>$103.79/yd³</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center"/>
              <w:ind w:left="148"/>
              <w:spacing w:after="0"/>
              <w:rPr>
                <w:sz w:val="20"/>
                <w:szCs w:val="20"/>
                <w:color w:val="auto"/>
              </w:rPr>
            </w:pPr>
            <w:r>
              <w:rPr>
                <w:rFonts w:ascii="Arial" w:cs="Arial" w:eastAsia="Arial" w:hAnsi="Arial"/>
                <w:sz w:val="18"/>
                <w:szCs w:val="18"/>
                <w:color w:val="auto"/>
                <w:w w:val="94"/>
              </w:rPr>
              <w:t>$91.52/yd³</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Acquisitions:</w:t>
            </w:r>
          </w:p>
        </w:tc>
        <w:tc>
          <w:tcPr>
            <w:tcW w:w="6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Asphalt</w:t>
            </w:r>
          </w:p>
        </w:tc>
        <w:tc>
          <w:tcPr>
            <w:tcW w:w="640" w:type="dxa"/>
            <w:vAlign w:val="bottom"/>
          </w:tcPr>
          <w:p>
            <w:pPr>
              <w:spacing w:after="0"/>
              <w:rPr>
                <w:sz w:val="19"/>
                <w:szCs w:val="19"/>
                <w:color w:val="auto"/>
              </w:rPr>
            </w:pPr>
          </w:p>
        </w:tc>
        <w:tc>
          <w:tcPr>
            <w:tcW w:w="1160" w:type="dxa"/>
            <w:vAlign w:val="bottom"/>
          </w:tcPr>
          <w:p>
            <w:pPr>
              <w:jc w:val="center"/>
              <w:ind w:right="168"/>
              <w:spacing w:after="0"/>
              <w:rPr>
                <w:sz w:val="20"/>
                <w:szCs w:val="20"/>
                <w:color w:val="auto"/>
              </w:rPr>
            </w:pPr>
            <w:r>
              <w:rPr>
                <w:rFonts w:ascii="Arial" w:cs="Arial" w:eastAsia="Arial" w:hAnsi="Arial"/>
                <w:sz w:val="18"/>
                <w:szCs w:val="18"/>
                <w:color w:val="auto"/>
                <w:w w:val="91"/>
              </w:rPr>
              <w:t>$43.79/ton</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Ready Mixed Concrete</w:t>
            </w:r>
          </w:p>
        </w:tc>
        <w:tc>
          <w:tcPr>
            <w:tcW w:w="640" w:type="dxa"/>
            <w:vAlign w:val="bottom"/>
            <w:shd w:val="clear" w:color="auto" w:fill="CFF0FC"/>
          </w:tcPr>
          <w:p>
            <w:pPr>
              <w:spacing w:after="0"/>
              <w:rPr>
                <w:sz w:val="19"/>
                <w:szCs w:val="19"/>
                <w:color w:val="auto"/>
              </w:rPr>
            </w:pPr>
          </w:p>
        </w:tc>
        <w:tc>
          <w:tcPr>
            <w:tcW w:w="1160" w:type="dxa"/>
            <w:vAlign w:val="bottom"/>
            <w:shd w:val="clear" w:color="auto" w:fill="CFF0FC"/>
          </w:tcPr>
          <w:p>
            <w:pPr>
              <w:jc w:val="center"/>
              <w:ind w:right="168"/>
              <w:spacing w:after="0"/>
              <w:rPr>
                <w:sz w:val="20"/>
                <w:szCs w:val="20"/>
                <w:color w:val="auto"/>
              </w:rPr>
            </w:pPr>
            <w:r>
              <w:rPr>
                <w:rFonts w:ascii="Arial" w:cs="Arial" w:eastAsia="Arial" w:hAnsi="Arial"/>
                <w:sz w:val="18"/>
                <w:szCs w:val="18"/>
                <w:color w:val="auto"/>
                <w:w w:val="94"/>
              </w:rPr>
              <w:t>$113.74/yd³</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8600" w:type="dxa"/>
            <w:vAlign w:val="bottom"/>
            <w:gridSpan w:val="4"/>
          </w:tcPr>
          <w:p>
            <w:pPr>
              <w:spacing w:after="0"/>
              <w:rPr>
                <w:sz w:val="20"/>
                <w:szCs w:val="20"/>
                <w:color w:val="auto"/>
              </w:rPr>
            </w:pPr>
            <w:r>
              <w:rPr>
                <w:rFonts w:ascii="Arial" w:cs="Arial" w:eastAsia="Arial" w:hAnsi="Arial"/>
                <w:sz w:val="18"/>
                <w:szCs w:val="18"/>
                <w:color w:val="auto"/>
                <w:w w:val="97"/>
              </w:rPr>
              <w:t>Unit shipments by product line for the Corporation’s aggregates-related downstream operations are as follows: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60" w:type="dxa"/>
            <w:vAlign w:val="bottom"/>
            <w:gridSpan w:val="5"/>
          </w:tcPr>
          <w:p>
            <w:pPr>
              <w:jc w:val="center"/>
              <w:ind w:right="528"/>
              <w:spacing w:after="0"/>
              <w:rPr>
                <w:sz w:val="20"/>
                <w:szCs w:val="20"/>
                <w:color w:val="auto"/>
              </w:rPr>
            </w:pPr>
            <w:r>
              <w:rPr>
                <w:rFonts w:ascii="Arial" w:cs="Arial" w:eastAsia="Arial" w:hAnsi="Arial"/>
                <w:sz w:val="18"/>
                <w:szCs w:val="18"/>
                <w:color w:val="auto"/>
                <w:w w:val="94"/>
              </w:rPr>
              <w:t>Six Months Ended</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right="928"/>
              <w:spacing w:after="0"/>
              <w:rPr>
                <w:sz w:val="20"/>
                <w:szCs w:val="20"/>
                <w:color w:val="auto"/>
              </w:rPr>
            </w:pPr>
            <w:r>
              <w:rPr>
                <w:rFonts w:ascii="Arial" w:cs="Arial" w:eastAsia="Arial" w:hAnsi="Arial"/>
                <w:sz w:val="18"/>
                <w:szCs w:val="18"/>
                <w:color w:val="auto"/>
                <w:w w:val="89"/>
              </w:rPr>
              <w:t>June 30,</w:t>
            </w: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8"/>
              <w:spacing w:after="0"/>
              <w:rPr>
                <w:sz w:val="20"/>
                <w:szCs w:val="20"/>
                <w:color w:val="auto"/>
              </w:rPr>
            </w:pPr>
            <w:r>
              <w:rPr>
                <w:rFonts w:ascii="Arial" w:cs="Arial" w:eastAsia="Arial" w:hAnsi="Arial"/>
                <w:sz w:val="18"/>
                <w:szCs w:val="18"/>
                <w:color w:val="auto"/>
              </w:rPr>
              <w:t>2016</w:t>
            </w:r>
          </w:p>
        </w:tc>
        <w:tc>
          <w:tcPr>
            <w:tcW w:w="2160" w:type="dxa"/>
            <w:vAlign w:val="bottom"/>
            <w:gridSpan w:val="5"/>
          </w:tcPr>
          <w:p>
            <w:pPr>
              <w:ind w:left="1620"/>
              <w:spacing w:after="0"/>
              <w:rPr>
                <w:sz w:val="20"/>
                <w:szCs w:val="20"/>
                <w:color w:val="auto"/>
              </w:rPr>
            </w:pPr>
            <w:r>
              <w:rPr>
                <w:rFonts w:ascii="Arial" w:cs="Arial" w:eastAsia="Arial" w:hAnsi="Arial"/>
                <w:sz w:val="18"/>
                <w:szCs w:val="18"/>
                <w:color w:val="auto"/>
              </w:rPr>
              <w:t>2015</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800" w:type="dxa"/>
            <w:vAlign w:val="bottom"/>
            <w:gridSpan w:val="2"/>
          </w:tcPr>
          <w:p>
            <w:pPr>
              <w:spacing w:after="0"/>
              <w:rPr>
                <w:sz w:val="20"/>
                <w:szCs w:val="20"/>
                <w:color w:val="auto"/>
              </w:rPr>
            </w:pPr>
            <w:r>
              <w:rPr>
                <w:rFonts w:ascii="Arial" w:cs="Arial" w:eastAsia="Arial" w:hAnsi="Arial"/>
                <w:sz w:val="18"/>
                <w:szCs w:val="18"/>
                <w:color w:val="auto"/>
              </w:rPr>
              <w:t>Asphalt Product Line (in thousands):</w:t>
            </w:r>
          </w:p>
        </w:tc>
        <w:tc>
          <w:tcPr>
            <w:tcW w:w="6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Heritage:</w:t>
            </w:r>
          </w:p>
        </w:tc>
        <w:tc>
          <w:tcPr>
            <w:tcW w:w="6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rPr>
              <w:t>Tons to external customers</w:t>
            </w: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Internal tons used in road paving business</w:t>
            </w:r>
          </w:p>
        </w:tc>
        <w:tc>
          <w:tcPr>
            <w:tcW w:w="64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6800" w:type="dxa"/>
            <w:vAlign w:val="bottom"/>
            <w:gridSpan w:val="2"/>
          </w:tcPr>
          <w:p>
            <w:pPr>
              <w:spacing w:after="0"/>
              <w:rPr>
                <w:sz w:val="20"/>
                <w:szCs w:val="20"/>
                <w:color w:val="auto"/>
              </w:rPr>
            </w:pPr>
            <w:r>
              <w:rPr>
                <w:rFonts w:ascii="Arial" w:cs="Arial" w:eastAsia="Arial" w:hAnsi="Arial"/>
                <w:sz w:val="18"/>
                <w:szCs w:val="18"/>
                <w:color w:val="auto"/>
              </w:rPr>
              <w:t>Total heritage asphalt tons</w:t>
            </w:r>
          </w:p>
        </w:tc>
        <w:tc>
          <w:tcPr>
            <w:tcW w:w="64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853</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Acquisitions:</w:t>
            </w:r>
          </w:p>
        </w:tc>
        <w:tc>
          <w:tcPr>
            <w:tcW w:w="6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rPr>
              <w:t>Tons to external customers</w:t>
            </w: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Internal tons used in road paving business</w:t>
            </w:r>
          </w:p>
        </w:tc>
        <w:tc>
          <w:tcPr>
            <w:tcW w:w="6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0"/>
        </w:trPr>
        <w:tc>
          <w:tcPr>
            <w:tcW w:w="6800" w:type="dxa"/>
            <w:vAlign w:val="bottom"/>
            <w:gridSpan w:val="2"/>
          </w:tcPr>
          <w:p>
            <w:pPr>
              <w:spacing w:after="0"/>
              <w:rPr>
                <w:sz w:val="20"/>
                <w:szCs w:val="20"/>
                <w:color w:val="auto"/>
              </w:rPr>
            </w:pPr>
            <w:r>
              <w:rPr>
                <w:rFonts w:ascii="Arial" w:cs="Arial" w:eastAsia="Arial" w:hAnsi="Arial"/>
                <w:sz w:val="18"/>
                <w:szCs w:val="18"/>
                <w:color w:val="auto"/>
              </w:rPr>
              <w:t>Total acquisitions asphalt tons</w:t>
            </w:r>
          </w:p>
        </w:tc>
        <w:tc>
          <w:tcPr>
            <w:tcW w:w="640" w:type="dxa"/>
            <w:vAlign w:val="bottom"/>
          </w:tcPr>
          <w:p>
            <w:pPr>
              <w:spacing w:after="0"/>
              <w:rPr>
                <w:sz w:val="22"/>
                <w:szCs w:val="22"/>
                <w:color w:val="auto"/>
              </w:rPr>
            </w:pPr>
          </w:p>
        </w:tc>
        <w:tc>
          <w:tcPr>
            <w:tcW w:w="11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78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Ready Mixed Concrete (in thousands of cubic yards):</w:t>
            </w: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Heritage</w:t>
            </w:r>
          </w:p>
        </w:tc>
        <w:tc>
          <w:tcPr>
            <w:tcW w:w="6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3,705</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cubic yards</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3,783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47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Cement shipments and adjusted average-selling price per ton for the six months ended June 30, 2016 and 2015 were (tons in thousands):</w:t>
      </w:r>
    </w:p>
    <w:p>
      <w:pPr>
        <w:spacing w:after="0" w:line="28"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Six Months Ended</w:t>
      </w:r>
    </w:p>
    <w:p>
      <w:pPr>
        <w:spacing w:after="0" w:line="20"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June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8"/>
                <w:szCs w:val="18"/>
                <w:color w:val="auto"/>
              </w:rPr>
              <w:t>2016</w:t>
            </w:r>
          </w:p>
        </w:tc>
        <w:tc>
          <w:tcPr>
            <w:tcW w:w="6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748"/>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900" w:type="dxa"/>
            <w:vAlign w:val="bottom"/>
            <w:gridSpan w:val="2"/>
          </w:tcPr>
          <w:p>
            <w:pPr>
              <w:spacing w:after="0"/>
              <w:rPr>
                <w:sz w:val="20"/>
                <w:szCs w:val="20"/>
                <w:color w:val="auto"/>
              </w:rPr>
            </w:pPr>
            <w:r>
              <w:rPr>
                <w:rFonts w:ascii="Arial" w:cs="Arial" w:eastAsia="Arial" w:hAnsi="Arial"/>
                <w:sz w:val="18"/>
                <w:szCs w:val="18"/>
                <w:color w:val="auto"/>
              </w:rPr>
              <w:t>Tons to external customers</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1,263</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Internal tons used in other product lines</w:t>
            </w:r>
          </w:p>
        </w:tc>
        <w:tc>
          <w:tcPr>
            <w:tcW w:w="13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3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80" w:type="dxa"/>
            <w:vAlign w:val="bottom"/>
          </w:tcPr>
          <w:p>
            <w:pPr>
              <w:ind w:left="220"/>
              <w:spacing w:after="0"/>
              <w:rPr>
                <w:sz w:val="20"/>
                <w:szCs w:val="20"/>
                <w:color w:val="auto"/>
              </w:rPr>
            </w:pPr>
            <w:r>
              <w:rPr>
                <w:rFonts w:ascii="Arial" w:cs="Arial" w:eastAsia="Arial" w:hAnsi="Arial"/>
                <w:sz w:val="18"/>
                <w:szCs w:val="18"/>
                <w:color w:val="auto"/>
              </w:rPr>
              <w:t>Total cement tons</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1,811</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Less: California cement tons</w:t>
            </w:r>
          </w:p>
        </w:tc>
        <w:tc>
          <w:tcPr>
            <w:tcW w:w="1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6900" w:type="dxa"/>
            <w:vAlign w:val="bottom"/>
            <w:gridSpan w:val="2"/>
          </w:tcPr>
          <w:p>
            <w:pPr>
              <w:spacing w:after="0"/>
              <w:rPr>
                <w:sz w:val="20"/>
                <w:szCs w:val="20"/>
                <w:color w:val="auto"/>
              </w:rPr>
            </w:pPr>
            <w:r>
              <w:rPr>
                <w:rFonts w:ascii="Arial" w:cs="Arial" w:eastAsia="Arial" w:hAnsi="Arial"/>
                <w:sz w:val="18"/>
                <w:szCs w:val="18"/>
                <w:color w:val="auto"/>
              </w:rPr>
              <w:t>Adjusted cement tons</w:t>
            </w:r>
          </w:p>
        </w:tc>
        <w:tc>
          <w:tcPr>
            <w:tcW w:w="1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36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88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Adjusted average-selling price per ton</w:t>
            </w:r>
            <w:r>
              <w:rPr>
                <w:rFonts w:ascii="Arial" w:cs="Arial" w:eastAsia="Arial" w:hAnsi="Arial"/>
                <w:sz w:val="15"/>
                <w:szCs w:val="15"/>
                <w:color w:val="auto"/>
              </w:rPr>
              <w:t>1</w:t>
            </w:r>
          </w:p>
        </w:tc>
        <w:tc>
          <w:tcPr>
            <w:tcW w:w="1360" w:type="dxa"/>
            <w:vAlign w:val="bottom"/>
          </w:tcPr>
          <w:p>
            <w:pPr>
              <w:jc w:val="right"/>
              <w:ind w:right="1168"/>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100.51</w:t>
            </w:r>
          </w:p>
        </w:tc>
        <w:tc>
          <w:tcPr>
            <w:tcW w:w="360" w:type="dxa"/>
            <w:vAlign w:val="bottom"/>
          </w:tcPr>
          <w:p>
            <w:pPr>
              <w:spacing w:after="0"/>
              <w:rPr>
                <w:sz w:val="20"/>
                <w:szCs w:val="20"/>
                <w:color w:val="auto"/>
              </w:rPr>
            </w:pP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99.78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4381500</wp:posOffset>
            </wp:positionH>
            <wp:positionV relativeFrom="paragraph">
              <wp:posOffset>-4445</wp:posOffset>
            </wp:positionV>
            <wp:extent cx="27946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ind w:left="100" w:hanging="99"/>
        <w:spacing w:after="0"/>
        <w:tabs>
          <w:tab w:leader="none" w:pos="100" w:val="left"/>
        </w:tabs>
        <w:numPr>
          <w:ilvl w:val="0"/>
          <w:numId w:val="24"/>
        </w:numPr>
        <w:rPr>
          <w:rFonts w:ascii="Arial" w:cs="Arial" w:eastAsia="Arial" w:hAnsi="Arial"/>
          <w:sz w:val="14"/>
          <w:szCs w:val="14"/>
          <w:i w:val="1"/>
          <w:iCs w:val="1"/>
          <w:color w:val="auto"/>
        </w:rPr>
      </w:pPr>
      <w:r>
        <w:rPr>
          <w:rFonts w:ascii="Arial" w:cs="Arial" w:eastAsia="Arial" w:hAnsi="Arial"/>
          <w:sz w:val="17"/>
          <w:szCs w:val="17"/>
          <w:i w:val="1"/>
          <w:iCs w:val="1"/>
          <w:color w:val="auto"/>
        </w:rPr>
        <w:t>Excludes the impact of the divested California cement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4381500</wp:posOffset>
            </wp:positionH>
            <wp:positionV relativeFrom="paragraph">
              <wp:posOffset>-123825</wp:posOffset>
            </wp:positionV>
            <wp:extent cx="27946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2016, Magnesia Specialties reported net sales of $118.4 million, relatively flat compared with the prior-year period. Earnings from operations were $39.8 million compared with $36.5 million. The increase in earnings from operations was primarily attributable to lower production costs, specifically related to energy and maintenance expenses.</w:t>
      </w:r>
    </w:p>
    <w:p>
      <w:pPr>
        <w:spacing w:after="0" w:line="16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Consolidated gross margin (excluding freight and delivery revenues) was 23.7% for 2016 versus 18.5% for 2015. The following presents a rollforward of the Corporation’s gross profit (dollars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400" w:type="dxa"/>
            <w:vAlign w:val="bottom"/>
          </w:tcPr>
          <w:p>
            <w:pPr>
              <w:spacing w:after="0"/>
              <w:rPr>
                <w:sz w:val="20"/>
                <w:szCs w:val="20"/>
                <w:color w:val="auto"/>
              </w:rPr>
            </w:pPr>
            <w:r>
              <w:rPr>
                <w:rFonts w:ascii="Arial" w:cs="Arial" w:eastAsia="Arial" w:hAnsi="Arial"/>
                <w:sz w:val="18"/>
                <w:szCs w:val="18"/>
                <w:color w:val="auto"/>
              </w:rPr>
              <w:t>Consolidated gross profit, six months ended June 30, 2015</w:t>
            </w:r>
          </w:p>
        </w:tc>
        <w:tc>
          <w:tcPr>
            <w:tcW w:w="700" w:type="dxa"/>
            <w:vAlign w:val="bottom"/>
            <w:gridSpan w:val="2"/>
          </w:tcPr>
          <w:p>
            <w:pPr>
              <w:jc w:val="right"/>
              <w:ind w:right="569"/>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274,414</w:t>
            </w:r>
          </w:p>
        </w:tc>
        <w:tc>
          <w:tcPr>
            <w:tcW w:w="100" w:type="dxa"/>
            <w:vAlign w:val="bottom"/>
          </w:tcPr>
          <w:p>
            <w:pPr>
              <w:spacing w:after="0"/>
              <w:rPr>
                <w:sz w:val="20"/>
                <w:szCs w:val="20"/>
                <w:color w:val="auto"/>
              </w:rPr>
            </w:pPr>
          </w:p>
        </w:tc>
      </w:tr>
      <w:tr>
        <w:trPr>
          <w:trHeight w:val="220"/>
        </w:trPr>
        <w:tc>
          <w:tcPr>
            <w:tcW w:w="9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Heritage aggregates product line:</w:t>
            </w:r>
          </w:p>
        </w:tc>
        <w:tc>
          <w:tcPr>
            <w:tcW w:w="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9400" w:type="dxa"/>
            <w:vAlign w:val="bottom"/>
          </w:tcPr>
          <w:p>
            <w:pPr>
              <w:ind w:left="240"/>
              <w:spacing w:after="0"/>
              <w:rPr>
                <w:sz w:val="20"/>
                <w:szCs w:val="20"/>
                <w:color w:val="auto"/>
              </w:rPr>
            </w:pPr>
            <w:r>
              <w:rPr>
                <w:rFonts w:ascii="Arial" w:cs="Arial" w:eastAsia="Arial" w:hAnsi="Arial"/>
                <w:sz w:val="18"/>
                <w:szCs w:val="18"/>
                <w:color w:val="auto"/>
              </w:rPr>
              <w:t>Volume</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45,326</w:t>
            </w:r>
          </w:p>
        </w:tc>
        <w:tc>
          <w:tcPr>
            <w:tcW w:w="100" w:type="dxa"/>
            <w:vAlign w:val="bottom"/>
          </w:tcPr>
          <w:p>
            <w:pPr>
              <w:spacing w:after="0"/>
              <w:rPr>
                <w:sz w:val="19"/>
                <w:szCs w:val="19"/>
                <w:color w:val="auto"/>
              </w:rPr>
            </w:pPr>
          </w:p>
        </w:tc>
      </w:tr>
      <w:tr>
        <w:trPr>
          <w:trHeight w:val="227"/>
        </w:trPr>
        <w:tc>
          <w:tcPr>
            <w:tcW w:w="9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Pricing</w:t>
            </w: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67,545</w:t>
            </w:r>
          </w:p>
        </w:tc>
        <w:tc>
          <w:tcPr>
            <w:tcW w:w="100" w:type="dxa"/>
            <w:vAlign w:val="bottom"/>
            <w:shd w:val="clear" w:color="auto" w:fill="CFF0FC"/>
          </w:tcPr>
          <w:p>
            <w:pPr>
              <w:spacing w:after="0"/>
              <w:rPr>
                <w:sz w:val="19"/>
                <w:szCs w:val="19"/>
                <w:color w:val="auto"/>
              </w:rPr>
            </w:pPr>
          </w:p>
        </w:tc>
      </w:tr>
      <w:tr>
        <w:trPr>
          <w:trHeight w:val="227"/>
        </w:trPr>
        <w:tc>
          <w:tcPr>
            <w:tcW w:w="9400" w:type="dxa"/>
            <w:vAlign w:val="bottom"/>
          </w:tcPr>
          <w:p>
            <w:pPr>
              <w:ind w:left="240"/>
              <w:spacing w:after="0"/>
              <w:rPr>
                <w:sz w:val="20"/>
                <w:szCs w:val="20"/>
                <w:color w:val="auto"/>
              </w:rPr>
            </w:pPr>
            <w:r>
              <w:rPr>
                <w:rFonts w:ascii="Arial" w:cs="Arial" w:eastAsia="Arial" w:hAnsi="Arial"/>
                <w:sz w:val="18"/>
                <w:szCs w:val="18"/>
                <w:color w:val="auto"/>
              </w:rPr>
              <w:t>Cost increases, net</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(44,111)</w:t>
            </w:r>
          </w:p>
        </w:tc>
      </w:tr>
      <w:tr>
        <w:trPr>
          <w:trHeight w:val="220"/>
        </w:trPr>
        <w:tc>
          <w:tcPr>
            <w:tcW w:w="9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 in heritage aggregates product line gross profit</w:t>
            </w:r>
          </w:p>
        </w:tc>
        <w:tc>
          <w:tcPr>
            <w:tcW w:w="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68,760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9400" w:type="dxa"/>
            <w:vAlign w:val="bottom"/>
          </w:tcPr>
          <w:p>
            <w:pPr>
              <w:spacing w:after="0"/>
              <w:rPr>
                <w:sz w:val="20"/>
                <w:szCs w:val="20"/>
                <w:color w:val="auto"/>
              </w:rPr>
            </w:pPr>
            <w:r>
              <w:rPr>
                <w:rFonts w:ascii="Arial" w:cs="Arial" w:eastAsia="Arial" w:hAnsi="Arial"/>
                <w:sz w:val="18"/>
                <w:szCs w:val="18"/>
                <w:color w:val="auto"/>
              </w:rPr>
              <w:t>Heritage aggregates-related downstream product lines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34,970</w:t>
            </w:r>
          </w:p>
        </w:tc>
        <w:tc>
          <w:tcPr>
            <w:tcW w:w="100" w:type="dxa"/>
            <w:vAlign w:val="bottom"/>
          </w:tcPr>
          <w:p>
            <w:pPr>
              <w:spacing w:after="0"/>
              <w:rPr>
                <w:sz w:val="19"/>
                <w:szCs w:val="19"/>
                <w:color w:val="auto"/>
              </w:rPr>
            </w:pPr>
          </w:p>
        </w:tc>
      </w:tr>
      <w:tr>
        <w:trPr>
          <w:trHeight w:val="227"/>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Acquired aggregates business operations</w:t>
            </w: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(1,435)</w:t>
            </w:r>
          </w:p>
        </w:tc>
      </w:tr>
      <w:tr>
        <w:trPr>
          <w:trHeight w:val="227"/>
        </w:trPr>
        <w:tc>
          <w:tcPr>
            <w:tcW w:w="9400" w:type="dxa"/>
            <w:vAlign w:val="bottom"/>
          </w:tcPr>
          <w:p>
            <w:pPr>
              <w:spacing w:after="0"/>
              <w:rPr>
                <w:sz w:val="20"/>
                <w:szCs w:val="20"/>
                <w:color w:val="auto"/>
              </w:rPr>
            </w:pPr>
            <w:r>
              <w:rPr>
                <w:rFonts w:ascii="Arial" w:cs="Arial" w:eastAsia="Arial" w:hAnsi="Arial"/>
                <w:sz w:val="18"/>
                <w:szCs w:val="18"/>
                <w:color w:val="auto"/>
              </w:rPr>
              <w:t>Cement*</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7,159</w:t>
            </w:r>
          </w:p>
        </w:tc>
        <w:tc>
          <w:tcPr>
            <w:tcW w:w="100" w:type="dxa"/>
            <w:vAlign w:val="bottom"/>
          </w:tcPr>
          <w:p>
            <w:pPr>
              <w:spacing w:after="0"/>
              <w:rPr>
                <w:sz w:val="19"/>
                <w:szCs w:val="19"/>
                <w:color w:val="auto"/>
              </w:rPr>
            </w:pPr>
          </w:p>
        </w:tc>
      </w:tr>
      <w:tr>
        <w:trPr>
          <w:trHeight w:val="227"/>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Magnesia Specialties</w:t>
            </w: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3,260</w:t>
            </w:r>
          </w:p>
        </w:tc>
        <w:tc>
          <w:tcPr>
            <w:tcW w:w="100" w:type="dxa"/>
            <w:vAlign w:val="bottom"/>
            <w:shd w:val="clear" w:color="auto" w:fill="CFF0FC"/>
          </w:tcPr>
          <w:p>
            <w:pPr>
              <w:spacing w:after="0"/>
              <w:rPr>
                <w:sz w:val="19"/>
                <w:szCs w:val="19"/>
                <w:color w:val="auto"/>
              </w:rPr>
            </w:pPr>
          </w:p>
        </w:tc>
      </w:tr>
      <w:tr>
        <w:trPr>
          <w:trHeight w:val="227"/>
        </w:trPr>
        <w:tc>
          <w:tcPr>
            <w:tcW w:w="9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w:t>
            </w:r>
          </w:p>
        </w:tc>
        <w:tc>
          <w:tcPr>
            <w:tcW w:w="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w:t>
            </w:r>
          </w:p>
        </w:tc>
        <w:tc>
          <w:tcPr>
            <w:tcW w:w="100" w:type="dxa"/>
            <w:vAlign w:val="bottom"/>
            <w:tcBorders>
              <w:bottom w:val="single" w:sz="8" w:color="CFF0FC"/>
            </w:tcBorders>
          </w:tcPr>
          <w:p>
            <w:pPr>
              <w:spacing w:after="0"/>
              <w:rPr>
                <w:sz w:val="19"/>
                <w:szCs w:val="19"/>
                <w:color w:val="auto"/>
              </w:rPr>
            </w:pPr>
          </w:p>
        </w:tc>
      </w:tr>
      <w:tr>
        <w:trPr>
          <w:trHeight w:val="22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Change in consolidated gross profit</w:t>
            </w:r>
          </w:p>
        </w:tc>
        <w:tc>
          <w:tcPr>
            <w:tcW w:w="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116,921</w:t>
            </w:r>
          </w:p>
        </w:tc>
        <w:tc>
          <w:tcPr>
            <w:tcW w:w="100" w:type="dxa"/>
            <w:vAlign w:val="bottom"/>
            <w:shd w:val="clear" w:color="auto" w:fill="CFF0FC"/>
          </w:tcPr>
          <w:p>
            <w:pPr>
              <w:spacing w:after="0"/>
              <w:rPr>
                <w:sz w:val="19"/>
                <w:szCs w:val="19"/>
                <w:color w:val="auto"/>
              </w:rPr>
            </w:pPr>
          </w:p>
        </w:tc>
      </w:tr>
      <w:tr>
        <w:trPr>
          <w:trHeight w:val="220"/>
        </w:trPr>
        <w:tc>
          <w:tcPr>
            <w:tcW w:w="9400" w:type="dxa"/>
            <w:vAlign w:val="bottom"/>
          </w:tcPr>
          <w:p>
            <w:pPr>
              <w:spacing w:after="0"/>
              <w:rPr>
                <w:sz w:val="20"/>
                <w:szCs w:val="20"/>
                <w:color w:val="auto"/>
              </w:rPr>
            </w:pPr>
            <w:r>
              <w:rPr>
                <w:rFonts w:ascii="Arial" w:cs="Arial" w:eastAsia="Arial" w:hAnsi="Arial"/>
                <w:sz w:val="18"/>
                <w:szCs w:val="18"/>
                <w:color w:val="auto"/>
              </w:rPr>
              <w:t>Consolidated gross profit, six months ended June 30, 2016</w:t>
            </w: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6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391,335</w:t>
            </w:r>
          </w:p>
        </w:tc>
        <w:tc>
          <w:tcPr>
            <w:tcW w:w="10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*Includes impact of California cement operations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48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40" w:type="dxa"/>
            <w:vAlign w:val="bottom"/>
            <w:gridSpan w:val="2"/>
          </w:tcPr>
          <w:p>
            <w:pPr>
              <w:spacing w:after="0"/>
              <w:rPr>
                <w:sz w:val="20"/>
                <w:szCs w:val="20"/>
                <w:color w:val="auto"/>
              </w:rPr>
            </w:pPr>
            <w:r>
              <w:rPr>
                <w:rFonts w:ascii="Arial" w:cs="Arial" w:eastAsia="Arial" w:hAnsi="Arial"/>
                <w:sz w:val="18"/>
                <w:szCs w:val="18"/>
                <w:color w:val="auto"/>
              </w:rPr>
              <w:t>Gross profit (loss) by business is as follows:</w:t>
            </w:r>
          </w:p>
        </w:tc>
        <w:tc>
          <w:tcPr>
            <w:tcW w:w="1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3"/>
              </w:rPr>
              <w:t>Six Months Ended</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4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100" w:type="dxa"/>
            <w:vAlign w:val="bottom"/>
            <w:gridSpan w:val="3"/>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4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June 30,</w:t>
            </w:r>
          </w:p>
        </w:tc>
        <w:tc>
          <w:tcPr>
            <w:tcW w:w="1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2016</w:t>
            </w: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968"/>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400" w:type="dxa"/>
            <w:vAlign w:val="bottom"/>
            <w:vMerge w:val="restart"/>
          </w:tcPr>
          <w:p>
            <w:pPr>
              <w:spacing w:after="0"/>
              <w:rPr>
                <w:sz w:val="20"/>
                <w:szCs w:val="20"/>
                <w:color w:val="auto"/>
              </w:rPr>
            </w:pPr>
            <w:r>
              <w:rPr>
                <w:rFonts w:ascii="Arial" w:cs="Arial" w:eastAsia="Arial" w:hAnsi="Arial"/>
                <w:sz w:val="18"/>
                <w:szCs w:val="18"/>
                <w:color w:val="auto"/>
                <w:w w:val="93"/>
              </w:rPr>
              <w:t>Gross profit (loss):</w:t>
            </w:r>
          </w:p>
        </w:tc>
        <w:tc>
          <w:tcPr>
            <w:tcW w:w="3240" w:type="dxa"/>
            <w:vAlign w:val="bottom"/>
            <w:vMerge w:val="restart"/>
          </w:tcPr>
          <w:p>
            <w:pPr>
              <w:spacing w:after="0"/>
              <w:rPr>
                <w:sz w:val="19"/>
                <w:szCs w:val="19"/>
                <w:color w:val="auto"/>
              </w:rPr>
            </w:pPr>
          </w:p>
        </w:tc>
        <w:tc>
          <w:tcPr>
            <w:tcW w:w="1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10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(Dollars in Thousands)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400" w:type="dxa"/>
            <w:vAlign w:val="bottom"/>
            <w:tcBorders>
              <w:bottom w:val="single" w:sz="8" w:color="auto"/>
            </w:tcBorders>
            <w:vMerge w:val="continue"/>
          </w:tcPr>
          <w:p>
            <w:pPr>
              <w:spacing w:after="0"/>
              <w:rPr>
                <w:sz w:val="15"/>
                <w:szCs w:val="15"/>
                <w:color w:val="auto"/>
              </w:rPr>
            </w:pPr>
          </w:p>
        </w:tc>
        <w:tc>
          <w:tcPr>
            <w:tcW w:w="324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Heritage:</w:t>
            </w:r>
          </w:p>
        </w:tc>
        <w:tc>
          <w:tcPr>
            <w:tcW w:w="13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640" w:type="dxa"/>
            <w:vAlign w:val="bottom"/>
            <w:gridSpan w:val="2"/>
          </w:tcPr>
          <w:p>
            <w:pPr>
              <w:ind w:left="460"/>
              <w:spacing w:after="0"/>
              <w:rPr>
                <w:sz w:val="20"/>
                <w:szCs w:val="20"/>
                <w:color w:val="auto"/>
              </w:rPr>
            </w:pPr>
            <w:r>
              <w:rPr>
                <w:rFonts w:ascii="Arial" w:cs="Arial" w:eastAsia="Arial" w:hAnsi="Arial"/>
                <w:sz w:val="18"/>
                <w:szCs w:val="18"/>
                <w:color w:val="auto"/>
              </w:rPr>
              <w:t>Aggregates</w:t>
            </w:r>
          </w:p>
        </w:tc>
        <w:tc>
          <w:tcPr>
            <w:tcW w:w="2960" w:type="dxa"/>
            <w:vAlign w:val="bottom"/>
            <w:gridSpan w:val="2"/>
          </w:tcPr>
          <w:p>
            <w:pPr>
              <w:jc w:val="right"/>
              <w:ind w:right="141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247,450</w:t>
            </w:r>
          </w:p>
        </w:tc>
        <w:tc>
          <w:tcPr>
            <w:tcW w:w="400" w:type="dxa"/>
            <w:vAlign w:val="bottom"/>
          </w:tcPr>
          <w:p>
            <w:pPr>
              <w:spacing w:after="0"/>
              <w:rPr>
                <w:sz w:val="19"/>
                <w:szCs w:val="19"/>
                <w:color w:val="auto"/>
              </w:rPr>
            </w:pPr>
          </w:p>
        </w:tc>
        <w:tc>
          <w:tcPr>
            <w:tcW w:w="840" w:type="dxa"/>
            <w:vAlign w:val="bottom"/>
          </w:tcPr>
          <w:p>
            <w:pPr>
              <w:jc w:val="right"/>
              <w:ind w:right="683"/>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178,690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Asphalt and Paving</w:t>
            </w:r>
          </w:p>
        </w:tc>
        <w:tc>
          <w:tcPr>
            <w:tcW w:w="13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6,689</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tcBorders>
              <w:bottom w:val="single" w:sz="8" w:color="CFF0FC"/>
            </w:tcBorders>
            <w:gridSpan w:val="2"/>
          </w:tcPr>
          <w:p>
            <w:pPr>
              <w:ind w:left="460"/>
              <w:spacing w:after="0"/>
              <w:rPr>
                <w:sz w:val="20"/>
                <w:szCs w:val="20"/>
                <w:color w:val="auto"/>
              </w:rPr>
            </w:pPr>
            <w:r>
              <w:rPr>
                <w:rFonts w:ascii="Arial" w:cs="Arial" w:eastAsia="Arial" w:hAnsi="Arial"/>
                <w:sz w:val="18"/>
                <w:szCs w:val="18"/>
                <w:color w:val="auto"/>
              </w:rPr>
              <w:t>Ready Mixed Concrete</w:t>
            </w:r>
          </w:p>
        </w:tc>
        <w:tc>
          <w:tcPr>
            <w:tcW w:w="1380" w:type="dxa"/>
            <w:vAlign w:val="bottom"/>
            <w:tcBorders>
              <w:bottom w:val="single" w:sz="8" w:color="CFF0FC"/>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42,821</w:t>
            </w:r>
          </w:p>
        </w:tc>
        <w:tc>
          <w:tcPr>
            <w:tcW w:w="4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4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Total Aggregates Business</w:t>
            </w:r>
          </w:p>
        </w:tc>
        <w:tc>
          <w:tcPr>
            <w:tcW w:w="13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296,960</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193,230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gridSpan w:val="2"/>
          </w:tcPr>
          <w:p>
            <w:pPr>
              <w:ind w:left="240"/>
              <w:spacing w:after="0"/>
              <w:rPr>
                <w:sz w:val="20"/>
                <w:szCs w:val="20"/>
                <w:color w:val="auto"/>
              </w:rPr>
            </w:pPr>
            <w:r>
              <w:rPr>
                <w:rFonts w:ascii="Arial" w:cs="Arial" w:eastAsia="Arial" w:hAnsi="Arial"/>
                <w:sz w:val="18"/>
                <w:szCs w:val="18"/>
                <w:color w:val="auto"/>
              </w:rPr>
              <w:t>Cement</w:t>
            </w:r>
          </w:p>
        </w:tc>
        <w:tc>
          <w:tcPr>
            <w:tcW w:w="1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56,559</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Magnesia Specialties</w:t>
            </w:r>
          </w:p>
        </w:tc>
        <w:tc>
          <w:tcPr>
            <w:tcW w:w="13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44,662</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gridSpan w:val="2"/>
          </w:tcPr>
          <w:p>
            <w:pPr>
              <w:ind w:left="240"/>
              <w:spacing w:after="0"/>
              <w:rPr>
                <w:sz w:val="20"/>
                <w:szCs w:val="20"/>
                <w:color w:val="auto"/>
              </w:rPr>
            </w:pPr>
            <w:r>
              <w:rPr>
                <w:rFonts w:ascii="Arial" w:cs="Arial" w:eastAsia="Arial" w:hAnsi="Arial"/>
                <w:sz w:val="18"/>
                <w:szCs w:val="18"/>
                <w:color w:val="auto"/>
              </w:rPr>
              <w:t>Corporate</w:t>
            </w:r>
          </w:p>
        </w:tc>
        <w:tc>
          <w:tcPr>
            <w:tcW w:w="1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(5,411)</w:t>
            </w:r>
          </w:p>
        </w:tc>
        <w:tc>
          <w:tcPr>
            <w:tcW w:w="84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20"/>
        </w:trPr>
        <w:tc>
          <w:tcPr>
            <w:tcW w:w="4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Heritage</w:t>
            </w:r>
          </w:p>
        </w:tc>
        <w:tc>
          <w:tcPr>
            <w:tcW w:w="13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392,770</w:t>
            </w:r>
          </w:p>
        </w:tc>
        <w:tc>
          <w:tcPr>
            <w:tcW w:w="4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274,414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4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Aggregates</w:t>
            </w:r>
          </w:p>
        </w:tc>
        <w:tc>
          <w:tcPr>
            <w:tcW w:w="13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(2,019)</w:t>
            </w:r>
          </w:p>
        </w:tc>
        <w:tc>
          <w:tcPr>
            <w:tcW w:w="8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640" w:type="dxa"/>
            <w:vAlign w:val="bottom"/>
            <w:gridSpan w:val="2"/>
          </w:tcPr>
          <w:p>
            <w:pPr>
              <w:ind w:left="240"/>
              <w:spacing w:after="0"/>
              <w:rPr>
                <w:sz w:val="20"/>
                <w:szCs w:val="20"/>
                <w:color w:val="auto"/>
              </w:rPr>
            </w:pPr>
            <w:r>
              <w:rPr>
                <w:rFonts w:ascii="Arial" w:cs="Arial" w:eastAsia="Arial" w:hAnsi="Arial"/>
                <w:sz w:val="18"/>
                <w:szCs w:val="18"/>
                <w:color w:val="auto"/>
              </w:rPr>
              <w:t>Asphalt and Paving</w:t>
            </w:r>
          </w:p>
        </w:tc>
        <w:tc>
          <w:tcPr>
            <w:tcW w:w="1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Ready Mixed Concrete</w:t>
            </w:r>
          </w:p>
        </w:tc>
        <w:tc>
          <w:tcPr>
            <w:tcW w:w="13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46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Acquisitions</w:t>
            </w:r>
          </w:p>
        </w:tc>
        <w:tc>
          <w:tcPr>
            <w:tcW w:w="1380" w:type="dxa"/>
            <w:vAlign w:val="bottom"/>
            <w:tcBorders>
              <w:bottom w:val="single" w:sz="8" w:color="CFF0FC"/>
            </w:tcBorders>
          </w:tcPr>
          <w:p>
            <w:pPr>
              <w:spacing w:after="0"/>
              <w:rPr>
                <w:sz w:val="19"/>
                <w:szCs w:val="19"/>
                <w:color w:val="auto"/>
              </w:rPr>
            </w:pPr>
          </w:p>
        </w:tc>
        <w:tc>
          <w:tcPr>
            <w:tcW w:w="15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40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41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391,335</w:t>
            </w:r>
          </w:p>
        </w:tc>
        <w:tc>
          <w:tcPr>
            <w:tcW w:w="4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3"/>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274,414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Consolidated SG&amp;A expenses were 7.4% of net sales, up 20 basis points compared with the prior-year period, driven by higher incentive compensation, including share based compensation.</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first six months, consolidated other operating income and expenses, net, was income of $2.9 million in 2016 compared with expense of $1.9 million in 2015, predominantly due to a favorable settlement of commodity contracts assumed in a 2014 acquisition in the Cement business that were priced above market at that date. Additionally, in 2015, the Corporation reserved two large accounts and wrote-off a customer account who declared bankruptcy.</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addition to other offsetting amounts, other nonoperating income and expenses, net, are comprised generally of interest income and net equity earnings from nonconsolidated investments. Consolidated other nonoperating income and expenses, net, for the six months ended June 30, 2016 was income of $9.1 million compared with income of $2.1 million in 2015, primarily driven by increased income from nonconsolidated affiliates in 2016.</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49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provided by operating activities for the six months ended June 30, 2016 was $203.4 million compared with $127.1 million for the same period in 2015. The increase was primarily attributable to higher earnings before depreciation, depletion and amortization expense. Operating cash flow is primarily derived from consolidated net earnings before deducting depreciation, depletion and amortization, and the impact of changes in working capital. Depreciation, depletion and amortization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gridSpan w:val="3"/>
          </w:tcPr>
          <w:p>
            <w:pPr>
              <w:jc w:val="center"/>
              <w:ind w:left="568"/>
              <w:spacing w:after="0"/>
              <w:rPr>
                <w:sz w:val="20"/>
                <w:szCs w:val="20"/>
                <w:color w:val="auto"/>
              </w:rPr>
            </w:pPr>
            <w:r>
              <w:rPr>
                <w:rFonts w:ascii="Arial" w:cs="Arial" w:eastAsia="Arial" w:hAnsi="Arial"/>
                <w:sz w:val="18"/>
                <w:szCs w:val="18"/>
                <w:color w:val="auto"/>
                <w:w w:val="94"/>
              </w:rPr>
              <w:t>Six Months Ended</w:t>
            </w:r>
          </w:p>
        </w:tc>
        <w:tc>
          <w:tcPr>
            <w:tcW w:w="1140" w:type="dxa"/>
            <w:vAlign w:val="bottom"/>
          </w:tcPr>
          <w:p>
            <w:pPr>
              <w:spacing w:after="0"/>
              <w:rPr>
                <w:sz w:val="19"/>
                <w:szCs w:val="19"/>
                <w:color w:val="auto"/>
              </w:rPr>
            </w:pPr>
          </w:p>
        </w:tc>
      </w:tr>
      <w:tr>
        <w:trPr>
          <w:trHeight w:val="231"/>
        </w:trPr>
        <w:tc>
          <w:tcPr>
            <w:tcW w:w="78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ind w:left="568"/>
              <w:spacing w:after="0"/>
              <w:rPr>
                <w:sz w:val="20"/>
                <w:szCs w:val="20"/>
                <w:color w:val="auto"/>
              </w:rPr>
            </w:pPr>
            <w:r>
              <w:rPr>
                <w:rFonts w:ascii="Arial" w:cs="Arial" w:eastAsia="Arial" w:hAnsi="Arial"/>
                <w:sz w:val="18"/>
                <w:szCs w:val="18"/>
                <w:color w:val="auto"/>
                <w:w w:val="89"/>
              </w:rPr>
              <w:t>June 30,</w:t>
            </w:r>
          </w:p>
        </w:tc>
        <w:tc>
          <w:tcPr>
            <w:tcW w:w="1140" w:type="dxa"/>
            <w:vAlign w:val="bottom"/>
            <w:tcBorders>
              <w:bottom w:val="single" w:sz="8" w:color="auto"/>
            </w:tcBorders>
          </w:tcPr>
          <w:p>
            <w:pPr>
              <w:spacing w:after="0"/>
              <w:rPr>
                <w:sz w:val="20"/>
                <w:szCs w:val="20"/>
                <w:color w:val="auto"/>
              </w:rPr>
            </w:pPr>
          </w:p>
        </w:tc>
      </w:tr>
      <w:tr>
        <w:trPr>
          <w:trHeight w:val="220"/>
        </w:trPr>
        <w:tc>
          <w:tcPr>
            <w:tcW w:w="78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28"/>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48"/>
              <w:spacing w:after="0"/>
              <w:rPr>
                <w:sz w:val="20"/>
                <w:szCs w:val="20"/>
                <w:color w:val="auto"/>
              </w:rPr>
            </w:pPr>
            <w:r>
              <w:rPr>
                <w:rFonts w:ascii="Arial" w:cs="Arial" w:eastAsia="Arial" w:hAnsi="Arial"/>
                <w:sz w:val="18"/>
                <w:szCs w:val="18"/>
                <w:color w:val="auto"/>
                <w:w w:val="94"/>
              </w:rPr>
              <w:t>2015</w:t>
            </w:r>
          </w:p>
        </w:tc>
      </w:tr>
      <w:tr>
        <w:trPr>
          <w:trHeight w:val="215"/>
        </w:trPr>
        <w:tc>
          <w:tcPr>
            <w:tcW w:w="7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20" w:type="dxa"/>
            <w:vAlign w:val="bottom"/>
            <w:gridSpan w:val="4"/>
          </w:tcPr>
          <w:p>
            <w:pPr>
              <w:jc w:val="center"/>
              <w:ind w:right="408"/>
              <w:spacing w:after="0"/>
              <w:rPr>
                <w:sz w:val="20"/>
                <w:szCs w:val="20"/>
                <w:color w:val="auto"/>
              </w:rPr>
            </w:pPr>
            <w:r>
              <w:rPr>
                <w:rFonts w:ascii="Arial" w:cs="Arial" w:eastAsia="Arial" w:hAnsi="Arial"/>
                <w:sz w:val="18"/>
                <w:szCs w:val="18"/>
                <w:i w:val="1"/>
                <w:iCs w:val="1"/>
                <w:color w:val="auto"/>
                <w:w w:val="94"/>
              </w:rPr>
              <w:t>(Dollars in Thousands)</w:t>
            </w:r>
          </w:p>
        </w:tc>
      </w:tr>
      <w:tr>
        <w:trPr>
          <w:trHeight w:val="231"/>
        </w:trPr>
        <w:tc>
          <w:tcPr>
            <w:tcW w:w="7840" w:type="dxa"/>
            <w:vAlign w:val="bottom"/>
          </w:tcPr>
          <w:p>
            <w:pPr>
              <w:spacing w:after="0"/>
              <w:rPr>
                <w:sz w:val="20"/>
                <w:szCs w:val="20"/>
                <w:color w:val="auto"/>
              </w:rPr>
            </w:pPr>
            <w:r>
              <w:rPr>
                <w:rFonts w:ascii="Arial" w:cs="Arial" w:eastAsia="Arial" w:hAnsi="Arial"/>
                <w:sz w:val="18"/>
                <w:szCs w:val="18"/>
                <w:color w:val="auto"/>
              </w:rPr>
              <w:t>Depreciation</w:t>
            </w:r>
          </w:p>
        </w:tc>
        <w:tc>
          <w:tcPr>
            <w:tcW w:w="360" w:type="dxa"/>
            <w:vAlign w:val="bottom"/>
          </w:tcPr>
          <w:p>
            <w:pPr>
              <w:jc w:val="right"/>
              <w:ind w:right="168"/>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48"/>
              <w:spacing w:after="0"/>
              <w:rPr>
                <w:sz w:val="20"/>
                <w:szCs w:val="20"/>
                <w:color w:val="auto"/>
              </w:rPr>
            </w:pPr>
            <w:r>
              <w:rPr>
                <w:rFonts w:ascii="Arial" w:cs="Arial" w:eastAsia="Arial" w:hAnsi="Arial"/>
                <w:sz w:val="18"/>
                <w:szCs w:val="18"/>
                <w:color w:val="auto"/>
              </w:rPr>
              <w:t>124,627</w:t>
            </w:r>
          </w:p>
        </w:tc>
        <w:tc>
          <w:tcPr>
            <w:tcW w:w="180" w:type="dxa"/>
            <w:vAlign w:val="bottom"/>
          </w:tcPr>
          <w:p>
            <w:pPr>
              <w:spacing w:after="0"/>
              <w:rPr>
                <w:sz w:val="20"/>
                <w:szCs w:val="20"/>
                <w:color w:val="auto"/>
              </w:rPr>
            </w:pP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48"/>
              <w:spacing w:after="0"/>
              <w:rPr>
                <w:sz w:val="20"/>
                <w:szCs w:val="20"/>
                <w:color w:val="auto"/>
              </w:rPr>
            </w:pPr>
            <w:r>
              <w:rPr>
                <w:rFonts w:ascii="Arial" w:cs="Arial" w:eastAsia="Arial" w:hAnsi="Arial"/>
                <w:sz w:val="18"/>
                <w:szCs w:val="18"/>
                <w:color w:val="auto"/>
              </w:rPr>
              <w:t>119,807</w:t>
            </w:r>
          </w:p>
        </w:tc>
      </w:tr>
      <w:tr>
        <w:trPr>
          <w:trHeight w:val="227"/>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Depletion</w:t>
            </w: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7,293</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48"/>
              <w:spacing w:after="0"/>
              <w:rPr>
                <w:sz w:val="20"/>
                <w:szCs w:val="20"/>
                <w:color w:val="auto"/>
              </w:rPr>
            </w:pPr>
            <w:r>
              <w:rPr>
                <w:rFonts w:ascii="Arial" w:cs="Arial" w:eastAsia="Arial" w:hAnsi="Arial"/>
                <w:sz w:val="18"/>
                <w:szCs w:val="18"/>
                <w:color w:val="auto"/>
              </w:rPr>
              <w:t>6,452</w:t>
            </w:r>
          </w:p>
        </w:tc>
      </w:tr>
      <w:tr>
        <w:trPr>
          <w:trHeight w:val="227"/>
        </w:trPr>
        <w:tc>
          <w:tcPr>
            <w:tcW w:w="7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8"/>
                <w:szCs w:val="18"/>
                <w:color w:val="auto"/>
              </w:rPr>
              <w:t>7,697</w:t>
            </w: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8"/>
                <w:szCs w:val="18"/>
                <w:color w:val="auto"/>
              </w:rPr>
              <w:t>8,699</w:t>
            </w:r>
          </w:p>
        </w:tc>
      </w:tr>
      <w:tr>
        <w:trPr>
          <w:trHeight w:val="220"/>
        </w:trPr>
        <w:tc>
          <w:tcPr>
            <w:tcW w:w="78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8"/>
                <w:szCs w:val="18"/>
                <w:color w:val="auto"/>
              </w:rPr>
              <w:t>139,617</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3"/>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8"/>
                <w:szCs w:val="18"/>
                <w:color w:val="auto"/>
              </w:rPr>
              <w:t>134,958</w:t>
            </w:r>
          </w:p>
        </w:tc>
      </w:tr>
      <w:tr>
        <w:trPr>
          <w:trHeight w:val="20"/>
        </w:trPr>
        <w:tc>
          <w:tcPr>
            <w:tcW w:w="7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seasonal nature of the construction aggregates business impacts quarterly operating cash flow when compared with the full year. Full-year 2015 net cash provided by operating activities was $573.2 million compared with $127.1 million for the first six months of 2015.</w:t>
      </w:r>
    </w:p>
    <w:p>
      <w:pPr>
        <w:spacing w:after="0" w:line="4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During the first six months ended June 30, 2016, the Corporation invested $210.6 million of capital into its business. Full-year capital spending is expected to approximate $350 million.</w:t>
      </w:r>
    </w:p>
    <w:p>
      <w:pPr>
        <w:spacing w:after="0" w:line="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first quarter of 2016, the Corporation acquired the outstanding stock of Rocky Mountain Materials and Asphalt, Inc., and Rocky Mountain Premix Inc. The acquisition included four aggregates plants, two asphalt plants and two ready mixed concrete operations, and provides more than 500 million tons of mineral reserves and expands the Corporation’s presence along the Front Range of the Rocky Mountains, home to 80% of Colorado’s population.</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 can repurchase its common stock through open-market purchases pursuant to authority granted by its Board of Directors or through private transactions at such prices and upon such terms as the Chief Executive Officer deems appropriate. During the first six months, the Corporation repurchased 1,244,000 shares of common stock for $190 million. At June 30, 2016, 15,471,000 shares of common stock were remaining under the Corporation’s repurchase authorization.</w:t>
      </w:r>
    </w:p>
    <w:p>
      <w:pPr>
        <w:spacing w:after="0" w:line="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Credit Agreement (which consists of a $250 million Term Loan Facility and a $350 million Revolving Facility) requires the Corporation’s ratio of consolidated debt to consolidated earnings before interest, taxes, depreciation, depletion and amortization (“EBITDA”), as defined, for the trailing-twelve month period (the Ratio) to not exceed 3.50x as of the end of any fiscal quarter, provided that the Corporation may exclude from the Ratio debt incurred in connection with certain acquisitions for a period of 180 days so long as the Corporation, as a consequence of such specified acquisition, does not have its ratings on long-term unsecured debt fall below BBB by Standard &amp; Poor’s or Baa2 by Moody’s and the Ratio calculated without such exclusion does not exceed 3.75x. Additionally, if there are no amounts outstanding under the Revolving Facility, consolidated debt, including debt for which the Corporation is a co-borrower, will be reduced for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50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0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purposes of the covenant calculation by the Corporation’s unrestricted cash and cash equivalents in excess of $50 million, such reduction not to exceed $200 million.</w:t>
      </w:r>
    </w:p>
    <w:p>
      <w:pPr>
        <w:spacing w:after="0" w:line="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Ratio is calculated as debt, including debt for which the Corporation is a co-borrower, divided by consolidated EBITDA, as defined by the Credit Agreement, for the trailing-twelve months. Consolidated EBITDA is generally defined as earnings before interest expense, income tax expense, and depreciation, depletion and amortization expense for continuing operations. Additionally, stock-based compensation expense is added back and interest income is deducted in the calculation of consolidated EBITDA. Certain other nonrecurring noncash items, if they occur, can affect the calculation of consolidated EBITDA.</w:t>
      </w:r>
    </w:p>
    <w:p>
      <w:pPr>
        <w:spacing w:after="0" w:line="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the amended Credit Agreement, the Corporation adjusted consolidated EBITDA to add back any integration or similar costs or expenses related to the TXI business combination incurred in any period prior to the second anniversary of the closing of the TXI business combination, not to exceed $70,000,000.</w:t>
      </w:r>
    </w:p>
    <w:p>
      <w:pPr>
        <w:spacing w:after="0" w:line="6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At June 30, 2016, the Corporation’s ratio of consolidated debt to consolidated EBITDA, as defined, for the trailing-twelve months EBITDA was 1.98 times and was calculated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July 1, 2015 to</w:t>
            </w:r>
          </w:p>
        </w:tc>
        <w:tc>
          <w:tcPr>
            <w:tcW w:w="0" w:type="dxa"/>
            <w:vAlign w:val="bottom"/>
          </w:tcPr>
          <w:p>
            <w:pPr>
              <w:spacing w:after="0"/>
              <w:rPr>
                <w:sz w:val="1"/>
                <w:szCs w:val="1"/>
                <w:color w:val="auto"/>
              </w:rPr>
            </w:pPr>
          </w:p>
        </w:tc>
      </w:tr>
      <w:tr>
        <w:trPr>
          <w:trHeight w:val="231"/>
        </w:trPr>
        <w:tc>
          <w:tcPr>
            <w:tcW w:w="73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June 30, 2016</w:t>
            </w:r>
          </w:p>
        </w:tc>
        <w:tc>
          <w:tcPr>
            <w:tcW w:w="0" w:type="dxa"/>
            <w:vAlign w:val="bottom"/>
          </w:tcPr>
          <w:p>
            <w:pPr>
              <w:spacing w:after="0"/>
              <w:rPr>
                <w:sz w:val="1"/>
                <w:szCs w:val="1"/>
                <w:color w:val="auto"/>
              </w:rPr>
            </w:pPr>
          </w:p>
        </w:tc>
      </w:tr>
      <w:tr>
        <w:trPr>
          <w:trHeight w:val="215"/>
        </w:trPr>
        <w:tc>
          <w:tcPr>
            <w:tcW w:w="7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jc w:val="center"/>
              <w:ind w:right="108"/>
              <w:spacing w:after="0"/>
              <w:rPr>
                <w:sz w:val="20"/>
                <w:szCs w:val="20"/>
                <w:color w:val="auto"/>
              </w:rPr>
            </w:pPr>
            <w:r>
              <w:rPr>
                <w:rFonts w:ascii="Arial" w:cs="Arial" w:eastAsia="Arial" w:hAnsi="Arial"/>
                <w:sz w:val="18"/>
                <w:szCs w:val="18"/>
                <w:i w:val="1"/>
                <w:iCs w:val="1"/>
                <w:color w:val="auto"/>
                <w:w w:val="94"/>
              </w:rPr>
              <w:t>(Dollars in thousands)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380" w:type="dxa"/>
            <w:vAlign w:val="bottom"/>
          </w:tcPr>
          <w:p>
            <w:pPr>
              <w:spacing w:after="0"/>
              <w:rPr>
                <w:sz w:val="20"/>
                <w:szCs w:val="20"/>
                <w:color w:val="auto"/>
              </w:rPr>
            </w:pPr>
            <w:r>
              <w:rPr>
                <w:rFonts w:ascii="Arial" w:cs="Arial" w:eastAsia="Arial" w:hAnsi="Arial"/>
                <w:sz w:val="18"/>
                <w:szCs w:val="18"/>
                <w:color w:val="auto"/>
              </w:rPr>
              <w:t>Earnings from continuing operations attributable to Martin Marietta</w:t>
            </w:r>
          </w:p>
        </w:tc>
        <w:tc>
          <w:tcPr>
            <w:tcW w:w="18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367,774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Add back:</w:t>
            </w:r>
          </w:p>
        </w:tc>
        <w:tc>
          <w:tcPr>
            <w:tcW w:w="1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78,197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1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80" w:type="dxa"/>
            <w:vAlign w:val="bottom"/>
          </w:tcPr>
          <w:p>
            <w:pPr>
              <w:ind w:left="240"/>
              <w:spacing w:after="0"/>
              <w:rPr>
                <w:sz w:val="20"/>
                <w:szCs w:val="20"/>
                <w:color w:val="auto"/>
              </w:rPr>
            </w:pPr>
            <w:r>
              <w:rPr>
                <w:rFonts w:ascii="Arial" w:cs="Arial" w:eastAsia="Arial" w:hAnsi="Arial"/>
                <w:sz w:val="18"/>
                <w:szCs w:val="18"/>
                <w:color w:val="auto"/>
              </w:rPr>
              <w:t>Depreciation, depletion and amortization expense</w:t>
            </w: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266,567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1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80" w:type="dxa"/>
            <w:vAlign w:val="bottom"/>
          </w:tcPr>
          <w:p>
            <w:pPr>
              <w:ind w:left="240"/>
              <w:spacing w:after="0"/>
              <w:rPr>
                <w:sz w:val="20"/>
                <w:szCs w:val="20"/>
                <w:color w:val="auto"/>
              </w:rPr>
            </w:pPr>
            <w:r>
              <w:rPr>
                <w:rFonts w:ascii="Arial" w:cs="Arial" w:eastAsia="Arial" w:hAnsi="Arial"/>
                <w:sz w:val="18"/>
                <w:szCs w:val="18"/>
                <w:color w:val="auto"/>
              </w:rPr>
              <w:t>Acquisition-related expenses, net, related to the TXI acquisition</w:t>
            </w: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19,119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Deduct:</w:t>
            </w:r>
          </w:p>
        </w:tc>
        <w:tc>
          <w:tcPr>
            <w:tcW w:w="1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2"/>
          </w:tcPr>
          <w:p>
            <w:pPr>
              <w:jc w:val="right"/>
              <w:ind w:right="6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0"/>
        </w:trPr>
        <w:tc>
          <w:tcPr>
            <w:tcW w:w="7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Consolidated EBITDA, as defined</w:t>
            </w:r>
          </w:p>
        </w:tc>
        <w:tc>
          <w:tcPr>
            <w:tcW w:w="16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909,775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8"/>
                <w:szCs w:val="18"/>
                <w:color w:val="auto"/>
              </w:rPr>
              <w:t>Consolidated debt, including debt for which the Corporation is a co-borrower,</w:t>
            </w:r>
          </w:p>
        </w:tc>
        <w:tc>
          <w:tcPr>
            <w:tcW w:w="1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80" w:type="dxa"/>
            <w:vAlign w:val="bottom"/>
            <w:vMerge w:val="continue"/>
          </w:tcPr>
          <w:p>
            <w:pPr>
              <w:spacing w:after="0"/>
              <w:rPr>
                <w:sz w:val="16"/>
                <w:szCs w:val="16"/>
                <w:color w:val="auto"/>
              </w:rPr>
            </w:pPr>
          </w:p>
        </w:tc>
        <w:tc>
          <w:tcPr>
            <w:tcW w:w="1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7380" w:type="dxa"/>
            <w:vAlign w:val="bottom"/>
          </w:tcPr>
          <w:p>
            <w:pPr>
              <w:ind w:left="180"/>
              <w:spacing w:after="0"/>
              <w:rPr>
                <w:sz w:val="20"/>
                <w:szCs w:val="20"/>
                <w:color w:val="auto"/>
              </w:rPr>
            </w:pPr>
            <w:r>
              <w:rPr>
                <w:rFonts w:ascii="Arial" w:cs="Arial" w:eastAsia="Arial" w:hAnsi="Arial"/>
                <w:sz w:val="18"/>
                <w:szCs w:val="18"/>
                <w:color w:val="auto"/>
              </w:rPr>
              <w:t>at June 30, 2016</w:t>
            </w:r>
          </w:p>
        </w:tc>
        <w:tc>
          <w:tcPr>
            <w:tcW w:w="18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1,801,954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7380" w:type="dxa"/>
            <w:vAlign w:val="bottom"/>
            <w:tcBorders>
              <w:top w:val="single" w:sz="8" w:color="CFF0FC"/>
            </w:tcBorders>
            <w:shd w:val="clear" w:color="auto" w:fill="CFF0FC"/>
          </w:tcPr>
          <w:p>
            <w:pPr>
              <w:spacing w:after="0" w:line="189" w:lineRule="exact"/>
              <w:rPr>
                <w:sz w:val="20"/>
                <w:szCs w:val="20"/>
                <w:color w:val="auto"/>
              </w:rPr>
            </w:pPr>
            <w:r>
              <w:rPr>
                <w:rFonts w:ascii="Arial" w:cs="Arial" w:eastAsia="Arial" w:hAnsi="Arial"/>
                <w:sz w:val="18"/>
                <w:szCs w:val="18"/>
                <w:color w:val="auto"/>
              </w:rPr>
              <w:t>Consolidated debt to consolidated EBITDA, as defined, at June 30, 2016</w:t>
            </w:r>
          </w:p>
        </w:tc>
        <w:tc>
          <w:tcPr>
            <w:tcW w:w="16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21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for the trailing-twelve months EBITDA</w:t>
            </w:r>
          </w:p>
        </w:tc>
        <w:tc>
          <w:tcPr>
            <w:tcW w:w="1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1.98x</w:t>
            </w:r>
          </w:p>
        </w:tc>
        <w:tc>
          <w:tcPr>
            <w:tcW w:w="0" w:type="dxa"/>
            <w:vAlign w:val="bottom"/>
          </w:tcPr>
          <w:p>
            <w:pPr>
              <w:spacing w:after="0"/>
              <w:rPr>
                <w:sz w:val="1"/>
                <w:szCs w:val="1"/>
                <w:color w:val="auto"/>
              </w:rPr>
            </w:pPr>
          </w:p>
        </w:tc>
      </w:tr>
      <w:tr>
        <w:trPr>
          <w:trHeight w:val="20"/>
        </w:trPr>
        <w:tc>
          <w:tcPr>
            <w:tcW w:w="738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Trade Receivable Facility contains a cross-default provision to the Corporation’s other debt agreements. In the event of a default on the Ratio, the lenders can terminate the Credit Agreement and Trade Receivable Facility and declare any outstanding balances as immediately due. Outstanding amounts on the Trade Receivable Facility have been classified as a current liability on the Corporation’s consolidated balance sheet. Management intends to renew the Trade Receivable Facility beyond September 30, 2016.</w:t>
      </w:r>
    </w:p>
    <w:p>
      <w:pPr>
        <w:spacing w:after="0" w:line="6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Cash on hand, along with the Corporation’s projected internal cash flows and availability of financing resources, including its access to debt and equity capital markets, is expected to continue to be sufficient to provide the capital</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51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resources necessary to support anticipated operating needs, cover debt service requirements, meet capital expenditures and discretionary investment needs, fund certain acquisition opportunities that may arise, allow for payment of dividends for the foreseeable future and enable the buyback of shares through the share repurchase program. At June 30, 2016, the Corporation had $377 million of unused borrowing capacity under its Revolving Facility and Trade Receivable Facility, subject to complying with the related leverage covenant. The Revolving Facility expires on November 29, 2018 and the Trade Receivable Facility expires on September 30, 2016.</w:t>
      </w:r>
    </w:p>
    <w:p>
      <w:pPr>
        <w:spacing w:after="0" w:line="6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Floating Rate Notes have been classified as a noncurrent liability as the Corporation has the intent and ability to refinance on a long-term basis before or at its maturity of June 30, 2017.</w:t>
      </w:r>
    </w:p>
    <w:p>
      <w:pPr>
        <w:spacing w:after="0" w:line="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Corporation may be required to obtain financing to fund certain strategic acquisitions, if any such opportunities arise, or to refinance outstanding debt. Any strategic acquisition of size for cash would likely require an appropriate balance of newly-issued equity with debt in order to maintain a composite investment-grade credit rating. Furthermore, the Corporation is exposed to the credit markets, through the interest cost related to its variable-rate debt, which included borrowings under its Term Loan Facility and Trade Receivable Facility at June 30, 2016. The Corporation is currently rated by three credit rating agencies; two of those agencies’ credit ratings are investment-grade level and the third agency’s credit rating is one level below investment grade. The Corporation’s composite credit rating remains at investment-grade level, which facilitates obtaining financing at lower rates than noninvestment-grade ratings.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TRENDS AND RISKS</w:t>
      </w:r>
    </w:p>
    <w:p>
      <w:pPr>
        <w:spacing w:after="0" w:line="1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Aggregates business, both production and demand, and the demand in the Cement business are significantly affected by erratic weather patterns, seasonal changes and other weather-related conditions. Production and shipment levels for aggregates, asphalt, ready mixed concrete and road paving materials correlate with general construction activity levels, most of which occurs in the spring, summer and fall. Thus, production and shipment levels vary by quarter. Operations concentrated in the northern and midwestern United States generally experience more severe winter weather conditions than operations in the southeast and southwest. Excessive rainfall, and conversely excessive drought, can also jeopardize shipments, production and profitability in all markets served by the Corporation. Because of the potentially significant impact of weather on the Corporation’s operations, current-period and year-to-date results are not indicative of expected performance for other interim periods or the full year.</w:t>
      </w:r>
    </w:p>
    <w:p>
      <w:pPr>
        <w:spacing w:after="0" w:line="5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Corporation outlined the risks associated with its business in its Annual Report on Form 10-K for the year ended December 31, 2015. Management continues to evaluate its exposure to all operating risks on an ongoing basis.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OUTLOOK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is encouraged by positive trends in the markets it serves and its ability to execute its strategic business plans. Notably:</w:t>
      </w:r>
    </w:p>
    <w:p>
      <w:pPr>
        <w:spacing w:after="0" w:line="108" w:lineRule="exact"/>
        <w:rPr>
          <w:sz w:val="20"/>
          <w:szCs w:val="20"/>
          <w:color w:val="auto"/>
        </w:rPr>
      </w:pPr>
    </w:p>
    <w:p>
      <w:pPr>
        <w:jc w:val="both"/>
        <w:ind w:left="940" w:hanging="447"/>
        <w:spacing w:after="0" w:line="287" w:lineRule="auto"/>
        <w:tabs>
          <w:tab w:leader="none" w:pos="940" w:val="left"/>
        </w:tabs>
        <w:numPr>
          <w:ilvl w:val="0"/>
          <w:numId w:val="25"/>
        </w:numPr>
        <w:rPr>
          <w:rFonts w:ascii="Arial" w:cs="Arial" w:eastAsia="Arial" w:hAnsi="Arial"/>
          <w:sz w:val="16"/>
          <w:szCs w:val="16"/>
          <w:color w:val="auto"/>
        </w:rPr>
      </w:pPr>
      <w:r>
        <w:rPr>
          <w:rFonts w:ascii="Arial" w:cs="Arial" w:eastAsia="Arial" w:hAnsi="Arial"/>
          <w:sz w:val="17"/>
          <w:szCs w:val="17"/>
          <w:color w:val="auto"/>
        </w:rPr>
        <w:t xml:space="preserve">For the public sector, continued modest growth is expected in 2016 as new monies begin to flow into the system, particularly in the second half of the year. Additionally, state initiatives to finance infrastructure projects, including support from the </w:t>
      </w:r>
      <w:r>
        <w:rPr>
          <w:rFonts w:ascii="Arial" w:cs="Arial" w:eastAsia="Arial" w:hAnsi="Arial"/>
          <w:sz w:val="17"/>
          <w:szCs w:val="17"/>
          <w:i w:val="1"/>
          <w:iCs w:val="1"/>
          <w:color w:val="auto"/>
        </w:rPr>
        <w:t>Transportation Infrastructure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Finance and Innovation Act </w:t>
      </w:r>
      <w:r>
        <w:rPr>
          <w:rFonts w:ascii="Arial" w:cs="Arial" w:eastAsia="Arial" w:hAnsi="Arial"/>
          <w:sz w:val="17"/>
          <w:szCs w:val="17"/>
          <w:color w:val="auto"/>
        </w:rPr>
        <w:t>(“TIFIA”), are expected to grow and continue to play an expanded role in public-sector activity.</w:t>
      </w:r>
    </w:p>
    <w:p>
      <w:pPr>
        <w:spacing w:after="0" w:line="42" w:lineRule="exact"/>
        <w:rPr>
          <w:rFonts w:ascii="Arial" w:cs="Arial" w:eastAsia="Arial" w:hAnsi="Arial"/>
          <w:sz w:val="16"/>
          <w:szCs w:val="16"/>
          <w:color w:val="auto"/>
        </w:rPr>
      </w:pPr>
    </w:p>
    <w:p>
      <w:pPr>
        <w:ind w:left="940" w:hanging="447"/>
        <w:spacing w:after="0" w:line="280" w:lineRule="auto"/>
        <w:tabs>
          <w:tab w:leader="none" w:pos="940" w:val="left"/>
        </w:tabs>
        <w:numPr>
          <w:ilvl w:val="0"/>
          <w:numId w:val="25"/>
        </w:numPr>
        <w:rPr>
          <w:rFonts w:ascii="Arial" w:cs="Arial" w:eastAsia="Arial" w:hAnsi="Arial"/>
          <w:sz w:val="17"/>
          <w:szCs w:val="17"/>
          <w:color w:val="auto"/>
        </w:rPr>
      </w:pPr>
      <w:r>
        <w:rPr>
          <w:rFonts w:ascii="Arial" w:cs="Arial" w:eastAsia="Arial" w:hAnsi="Arial"/>
          <w:sz w:val="18"/>
          <w:szCs w:val="18"/>
          <w:color w:val="auto"/>
        </w:rPr>
        <w:t>Nonresidential construction is expected to increase in both the heavy industrial and commercial sectors. The Dodge Momentum Index is near its highest level since 2009 and signals continued growth. Additionally,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52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07" w:lineRule="exact"/>
        <w:rPr>
          <w:sz w:val="20"/>
          <w:szCs w:val="20"/>
          <w:color w:val="auto"/>
        </w:rPr>
      </w:pPr>
    </w:p>
    <w:p>
      <w:pPr>
        <w:ind w:left="940"/>
        <w:spacing w:after="0" w:line="311" w:lineRule="auto"/>
        <w:rPr>
          <w:sz w:val="20"/>
          <w:szCs w:val="20"/>
          <w:color w:val="auto"/>
        </w:rPr>
      </w:pPr>
      <w:r>
        <w:rPr>
          <w:rFonts w:ascii="Arial" w:cs="Arial" w:eastAsia="Arial" w:hAnsi="Arial"/>
          <w:sz w:val="17"/>
          <w:szCs w:val="17"/>
          <w:color w:val="auto"/>
        </w:rPr>
        <w:t>energy-related economic activity, including follow-on public and private construction activities in its primary markets, will be mixed with overall strength in large downstream construction projects, providing a counterbalance to declines in shale exploration-related volumes.</w:t>
      </w:r>
    </w:p>
    <w:p>
      <w:pPr>
        <w:spacing w:after="0" w:line="23" w:lineRule="exact"/>
        <w:rPr>
          <w:sz w:val="20"/>
          <w:szCs w:val="20"/>
          <w:color w:val="auto"/>
        </w:rPr>
      </w:pPr>
    </w:p>
    <w:p>
      <w:pPr>
        <w:jc w:val="both"/>
        <w:ind w:left="940" w:hanging="447"/>
        <w:spacing w:after="0" w:line="264" w:lineRule="auto"/>
        <w:tabs>
          <w:tab w:leader="none" w:pos="940" w:val="left"/>
        </w:tabs>
        <w:numPr>
          <w:ilvl w:val="0"/>
          <w:numId w:val="26"/>
        </w:numPr>
        <w:rPr>
          <w:rFonts w:ascii="Arial" w:cs="Arial" w:eastAsia="Arial" w:hAnsi="Arial"/>
          <w:sz w:val="17"/>
          <w:szCs w:val="17"/>
          <w:color w:val="auto"/>
        </w:rPr>
      </w:pPr>
      <w:r>
        <w:rPr>
          <w:rFonts w:ascii="Arial" w:cs="Arial" w:eastAsia="Arial" w:hAnsi="Arial"/>
          <w:sz w:val="18"/>
          <w:szCs w:val="18"/>
          <w:color w:val="auto"/>
        </w:rPr>
        <w:t>Residential construction is expected to continue to experience good growth metrics, driven by positive employment gains, historically low levels of construction activity over the previous several years, low mortgage rates, significant lot absorption, and higher multi-family rental rates.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RISKS TO OUTLOOK</w:t>
      </w:r>
    </w:p>
    <w:p>
      <w:pPr>
        <w:spacing w:after="0" w:line="10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2016 outlook includes management’s assessment of the likelihood of certain risks and uncertainties that will affect performance, including but not limited to: both price and volume, and a recurrence of widespread decline in aggregates volume negatively affecting aggregates price; the termination, capping and/or reduction of the federal and/or state gasoline tax(es) or other revenue related to infrastructure construction; a significant change in the funding patterns for traditional federal, state and/or local infrastructure projects; the volatility in the commencement of infrastructure projects; a reduction in defense spending, and the subsequent impact on construction activity on or near military bases; a decline in nonresidential construction; a further decline in energy-related construction activity resulting from a sustained period of low global oil prices or changes in oil production patterns in response to this decline and certain regulatory or other economic factors; a slowdown in the residential construction recovery, or some combination thereof; a reduction in economic activity in the Corporation’s Midwest states resulting from reduced funding levels provided by the Agricultural Act of 2014 and a sustained reduction in capital investment by the railroads; an increase in the cost of compliance with governmental laws, rules and regulations; and unexpected equipment failures, unscheduled maintenance, industrial accident or other prolonged and/or significant disruption to its cement production facilities. Further, increased highway construction funding pressures resulting from either federal or state issues can affect profitability. If these negatively affect transportation budgets more than in the past, construction spending could be reduced. Cement is subject to cyclical supply and demand and price fluctuations. The Magnesia Specialties business essentially runs at capacity; therefore any unplanned changes in costs or realignment of customers introduce volatility to the earnings of this segment.</w:t>
      </w:r>
    </w:p>
    <w:p>
      <w:pPr>
        <w:spacing w:after="0" w:line="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Corporation’s principal business serves customers in aggregates-related construction markets. This concentration could increase the risk of potential losses on customer receivables; however, payment bonds normally posted on public projects, together with lien rights on private projects, mitigate the risk of uncollectible receivables. The level of aggregates demand in the Corporation’s end-use markets, production levels and the management of production costs will affect the operating leverage of the Aggregates business and, therefore, profitability. Production costs in the Aggregates business are also sensitive to energy and raw material prices, both directly and indirectly. Diesel fuel and other consumables change production costs directly through consumption or indirectly by increased energy-related input costs, such as steel, explosives, tires and conveyor belts. Fluctuating diesel fuel pricing also affects transportation costs, primarily through fuel surcharges in the Corporation’s long-haul distribution network. The Cement business is also energy intensive and fluctuation in the price of coal affects costs. The Magnesia Specialties business is sensitive to changes in domestic steel capacity utilization as well as the absolute price and fluctuation in the cost of natural gas.</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Transportation in the Corporation’s long-haul network, particularly the supply of rail cars and locomotive power and condition of rail infrastructure to move trains, affects the Corporation’s efficient transportation of aggregate into certain markets, most notably Texas, Colorado, Florida and the Gulf Coast. In addition, availability of rail cars and locomotives affects the Corporation’s movement of essential dolomitic lime for magnesia chemicals, to both the Corporation’s plant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53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0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in Manistee, Michigan, and customers. The availability of trucks, drivers and railcars to transport the Corporation’s product, particularly in markets experiencing high growth and increased demand, is also a risk and pressures the associated costs.</w:t>
      </w:r>
    </w:p>
    <w:p>
      <w:pPr>
        <w:spacing w:after="0" w:line="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of the Corporation’s businesses are also subject to weather-related risks that can significantly affect production schedules and profitability. The first and fourth quarters are most adversely affected by winter weather. Hurricane activity in the Atlantic Ocean and Gulf Coast generally is most active during the third and fourth quarters.</w:t>
      </w:r>
    </w:p>
    <w:p>
      <w:pPr>
        <w:spacing w:after="0" w:line="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Risks to the outlook also include shipment declines resulting from economic events beyond the Corporation’s control. In addition to the impact on nonresidential and residential construction, the Corporation is exposed to risk in its estimated outlook from credit markets and the availability of and interest cost related to its debt.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Corporation’s future performance is also exposed to risks from tax reform at the federal and state levels.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OTHER MATTERS</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you are interested in Martin Marietta Materials, Inc. stock, management recommends that, at a minimum, you read the Corporation’s current annual report and Forms 10-K, 10-Q and 8-K reports to the Securities and Exchange Commission (“SEC”) over the past year. The Corporation’s recent proxy statement for the annual meeting of shareholders also contains important information. These and other materials that have been filed with the SEC are accessible through the Corporation’s website at www.martinmarietta.com and are also available at the SEC’s website at www.sec.gov. You may also write or call the Corporation’s Corporate Secretary, who will provide copies of such reports.</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Investors are cautioned that all statements in this Form 10-Q that relate to the future involve risks and uncertainties, and are based on assumptions that the Corporation believes in good faith are reasonable but which may be materially different from actual results. Forward-looking statements give the investor management’s expectations or forecasts of future events. You can identify these statements by the fact that they do not relate only to historical or current facts. They may use words such as "anticipate," "expect," "should be," "believe," “will,” and other words of similar meaning in connection with future events or future operating or financial performance. Any or all of management’s forward-looking statements here and in other publications may turn out to be wrong.</w:t>
      </w:r>
    </w:p>
    <w:p>
      <w:pPr>
        <w:spacing w:after="0" w:line="6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Factors that the Corporation currently believes could cause actual results to differ materially from the forward-looking statements in this Form 10-Q include the performance of the United States economy and the resolution and impact of the debt ceiling and sequestration issues; widespread decline in aggregates pricing; the history of both cement and ready mixed concrete being subject to significant changes in supply, demand and price; the termination, capping and/or reduction or suspension of the federal and/or state gasoline tax(es) or other revenue related to infrastructure construction; the level and timing of federal and state transportation funding, most particularly in Texas, North Carolina, Iowa, Colorado and Georgia; the ability of states and/or other entities to finance approved projects either with tax revenues or alternative financing structures; levels of construction spending in the markets the Corporation serves; a reduction in defense spending, and the subsequent impact on construction activity on or near military bases; a decline in the commercial component of the nonresidential construction market, notably office and retail space; a further slowdown in energy-related construction activity, particularly in Texas; a slowdown in residential construction recovery; a reduction in construction activity and related shipments due to a decline in funding under the domestic farm bill; unfavorable weather conditions, particularly Atlantic Ocean hurricane activity, the late start to spring or the early onset of winter and the impact of a drought or excessive rainfall in the markets served by the Corporation; the volatility of fuel costs, particularly diesel fuel, and the impact on the cost of other consumables, namely steel, explosives, tires and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54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RESULTS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0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conveyor belts, and with respect to the Magnesia Specialties business, natural gas; continued increases in the cost of other repair and supply parts; unexpected equipment failures, unscheduled maintenance, industrial accident or other prolonged and/or significant disruption to cement production facilities; increasing governmental regulation, including environmental laws; transportation availability, notably the availability of railcars and locomotive power to move trains to supply the Corporation’s Texas, Florida and Gulf Coast markets; increased transportation costs, including increases from higher passed-through energy and other costs to comply with tightening regulations as well as higher volumes of rail and water shipments; availability of trucks and licensed drivers for transport of the Corporation’s materials, particularly in areas with significant energy-related activity, such as Texas and Colorado; availability and cost of construction equipment in the United States; weakening in the steel industry markets served by the Corporation’s dolomitic lime products; proper functioning of information technology and automated operating systems to manage or support operations; inflation and its effect on both production and interest costs; ability to successfully integrate acquisitions quickly and in a cost-effective manner and achieve anticipated profitability to maintain compliance with the Corporation’s leverage ratio debt covenant; changes in tax laws, the interpretation of such laws and/or administrative practices that would increase the Corporation’s tax rate; violation of the Corporation’s debt covenant if price and/or volumes return to previous levels of instability; downward pressure on the Corporation’s common stock price and its impact on goodwill impairment evaluations; reduction of the Corporation’s credit rating to non-investment grade resulting from strategic acquisitions; and other risk factors listed from time to time found in the Corporation’s filings with the SEC. Other factors besides those listed here may also adversely affect the Corporation, and may be material to the Corporation. The Corporation assumes no obligation to update any such forward-looking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INVESTOR ACCESS TO COMPANY FILINGS</w:t>
      </w:r>
    </w:p>
    <w:p>
      <w:pPr>
        <w:spacing w:after="0" w:line="10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Shareholders may obtain, without charge, a copy of Martin Marietta’s Annual Report on Form 10-K, as filed with the Securities and Exchange Commission for the fiscal year ended December 31, 2015, by writing to:</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Martin Marietta</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Attn: Corporate Secretary</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2710 Wycliff Road</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Raleigh, North Carolina 27607-3033</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Martin Marietta’s Annual Report, press releases and filings with the Securities and Exchange Commission, including Forms 10-K, 10-Q, 8-K and 11-K, can generally be accessed via the Corporation’s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Telephone: (919) 510-4776</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Website address: www.martinmarietta.com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Information included on the Corporation’s website is not incorporated into, or otherwise create a part of, this report.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55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0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Corporation’s operations are highly dependent upon the interest rate-sensitive construction and steelmaking industries. Consequently, these marketplaces could experience lower levels of economic activity in an environment of rising interest rates or escalating costs.</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has considered the current economic environment and its potential impact to the Corporation’s business. Demand for aggregates and cement products, particularly in the infrastructure construction market, is affected by federal and state budget and deficit issues. Further, delays or cancellations of capital projects in the nonresidential and residential construction markets could occur if companies and consumers are unable to obtain financing for construction projects or if consumer confidence continues to be eroded by economic uncertainty.</w:t>
      </w:r>
    </w:p>
    <w:p>
      <w:pPr>
        <w:spacing w:after="0" w:line="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Demand in the residential construction market is affected by interest rates. The Federal Reserve have maintained the federal funds rate near zero percent during the six months ended June 30, 2016, unchanged since 2008. The residential construction market accounted for 17% of the Corporation’s aggregates product line shipments in 2015.</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Aside from these inherent risks from within its operations, the Corporation’s earnings are also affected by changes in short-term interest rates. However, rising interest rates are not necessarily predictive of weaker operating results. In fact, since 2007, the Corporation’s profitability increased when interest rates rose, based on the last twelve months quarterly historical net income regression versus a 10-year U.S. government bond. In essence, the Corporation’s underlying business generally serves as a natural hedge to rising interest rates.</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Variable-Rate Borrowing Facilities. </w:t>
      </w:r>
      <w:r>
        <w:rPr>
          <w:rFonts w:ascii="Arial" w:cs="Arial" w:eastAsia="Arial" w:hAnsi="Arial"/>
          <w:sz w:val="18"/>
          <w:szCs w:val="18"/>
          <w:color w:val="auto"/>
        </w:rPr>
        <w:t>At June 30, 2016, the Corporation had a $600 million Credit Agreement, comprised of a $350 million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and $250 million Term Loan Facility, and a $250 million Trade Receivable Facility. Borrowings under these facilities bear interest at a variable interest rate. A hypothetical 100-basis-point increase in interest rates on borrowings of $433 million, which was the collective outstanding balance at June 30, 2016, would increase interest expense by $4.3 million on an annual basis.</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Pension Expense. </w:t>
      </w:r>
      <w:r>
        <w:rPr>
          <w:rFonts w:ascii="Arial" w:cs="Arial" w:eastAsia="Arial" w:hAnsi="Arial"/>
          <w:sz w:val="18"/>
          <w:szCs w:val="18"/>
          <w:color w:val="auto"/>
        </w:rPr>
        <w:t>The Corporation’s results of operations are affected by its pension expense. Assumptions that affect pension expense include the</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rate and, for the defined benefit pension plans only, the expected long-term rate of return on assets. Therefore, the Corporation has interest rate risk associated with these factors. The impact of hypothetical changes in these assumptions on the Corporation’s annual pension expense is discussed in the Corporation’s Annual Report on Form 10-K for the year ended December 31, 2015.</w:t>
      </w:r>
    </w:p>
    <w:p>
      <w:pPr>
        <w:spacing w:after="0" w:line="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Energy Costs</w:t>
      </w:r>
      <w:r>
        <w:rPr>
          <w:rFonts w:ascii="Arial" w:cs="Arial" w:eastAsia="Arial" w:hAnsi="Arial"/>
          <w:sz w:val="18"/>
          <w:szCs w:val="18"/>
          <w:color w:val="auto"/>
        </w:rPr>
        <w:t>. Energy costs, including diesel fuel, natural gas, coal and liquid asphalt, represent significant production costs of the Corporation.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entered into a fixed price arrangement, which expires December 31, 2016, for approximately 40% of its diesel fuel to reduce its diesel fuel price risk. The Magnesia Specialties business has fixed price agreements covering half of its 2016 coal requirements and the cement business has fixed pricing agreements on 100% of its 2016 coal requirements. A hypothetical 10% change in the Corporation’s energy prices in 2016 as compared with 2015, assuming constant volumes, would change 2016 energy expense by $25.7 million. However, the impact would be partially offset by the change in the amount capitalized into inventory standards.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56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Commodity risk. </w:t>
      </w:r>
      <w:r>
        <w:rPr>
          <w:rFonts w:ascii="Arial" w:cs="Arial" w:eastAsia="Arial" w:hAnsi="Arial"/>
          <w:sz w:val="17"/>
          <w:szCs w:val="17"/>
          <w:color w:val="auto"/>
        </w:rPr>
        <w:t>Cement is a commodity and competition is based principally on price, which is highly sensitive to changes in supply and demand. Prices</w:t>
      </w:r>
      <w:r>
        <w:rPr>
          <w:rFonts w:ascii="Arial" w:cs="Arial" w:eastAsia="Arial" w:hAnsi="Arial"/>
          <w:sz w:val="17"/>
          <w:szCs w:val="17"/>
          <w:i w:val="1"/>
          <w:iCs w:val="1"/>
          <w:color w:val="auto"/>
        </w:rPr>
        <w:t xml:space="preserve"> </w:t>
      </w:r>
      <w:r>
        <w:rPr>
          <w:rFonts w:ascii="Arial" w:cs="Arial" w:eastAsia="Arial" w:hAnsi="Arial"/>
          <w:sz w:val="17"/>
          <w:szCs w:val="17"/>
          <w:color w:val="auto"/>
        </w:rPr>
        <w:t>are often subject to material changes in response to relatively minor fluctuations in supply and demand, general economic conditions and other market conditions beyond the Corporation’s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prices for products sold will not decline in the future or that such declines will not have a material adverse effect on the Corporation’s business, financial condition and results of operations. Based on forecasted net sales for the Cement business for full-year 2016 of $300 million to $320 million, a hypothetical 10% change in sales price would impact net sales by $30 million to $32 million.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2016, an evaluation was performed under the supervision and with the participation of the Corporation’s management, including the Chief Executive Officer and Chief Financial Officer, of the effectiveness of the design and the operation of the Corporation’s disclosure controls and procedures. Based on that evaluation, the Corporation’s management, including the Chief Executive Officer and Chief Financial Officer, concluded that the Corporation’s disclosure controls and procedures were effective as of June 30, 2016. There were no changes in the Corporation’s internal control over financial reporting during the most recently completed fiscal quarter that materially affected, or are reasonably likely to materially affect, the Corporation’s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57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2016</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 – OTHER INFORMATION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Reference is made to </w:t>
      </w:r>
      <w:r>
        <w:rPr>
          <w:rFonts w:ascii="Arial" w:cs="Arial" w:eastAsia="Arial" w:hAnsi="Arial"/>
          <w:sz w:val="17"/>
          <w:szCs w:val="17"/>
          <w:i w:val="1"/>
          <w:iCs w:val="1"/>
          <w:color w:val="auto"/>
        </w:rPr>
        <w:t>Part I</w:t>
      </w:r>
      <w:r>
        <w:rPr>
          <w:rFonts w:ascii="Arial" w:cs="Arial" w:eastAsia="Arial" w:hAnsi="Arial"/>
          <w:sz w:val="17"/>
          <w:szCs w:val="17"/>
          <w:color w:val="auto"/>
        </w:rPr>
        <w:t xml:space="preserve">. </w:t>
      </w:r>
      <w:r>
        <w:rPr>
          <w:rFonts w:ascii="Arial" w:cs="Arial" w:eastAsia="Arial" w:hAnsi="Arial"/>
          <w:sz w:val="17"/>
          <w:szCs w:val="17"/>
          <w:i w:val="1"/>
          <w:iCs w:val="1"/>
          <w:color w:val="auto"/>
        </w:rPr>
        <w:t>Item 3. Legal Proceedings</w:t>
      </w:r>
      <w:r>
        <w:rPr>
          <w:rFonts w:ascii="Arial" w:cs="Arial" w:eastAsia="Arial" w:hAnsi="Arial"/>
          <w:sz w:val="17"/>
          <w:szCs w:val="17"/>
          <w:color w:val="auto"/>
        </w:rPr>
        <w:t xml:space="preserve"> of the Martin Marietta Annual Report on Form 10-K for the year ended December 31, 2015.</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10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 xml:space="preserve">Reference is made to </w:t>
      </w:r>
      <w:r>
        <w:rPr>
          <w:rFonts w:ascii="Arial" w:cs="Arial" w:eastAsia="Arial" w:hAnsi="Arial"/>
          <w:sz w:val="18"/>
          <w:szCs w:val="18"/>
          <w:i w:val="1"/>
          <w:iCs w:val="1"/>
          <w:color w:val="auto"/>
        </w:rPr>
        <w:t>Part I. Item 1A. Risk Factors and Forward-Looking Statements</w:t>
      </w:r>
      <w:r>
        <w:rPr>
          <w:rFonts w:ascii="Arial" w:cs="Arial" w:eastAsia="Arial" w:hAnsi="Arial"/>
          <w:sz w:val="18"/>
          <w:szCs w:val="18"/>
          <w:color w:val="auto"/>
        </w:rPr>
        <w:t xml:space="preserve"> of the Martin Marietta Annual Report on Form 10-K for the year ended December 31, 2015.</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r>
        <w:rPr>
          <w:rFonts w:ascii="Arial" w:cs="Arial" w:eastAsia="Arial" w:hAnsi="Arial"/>
          <w:sz w:val="18"/>
          <w:szCs w:val="18"/>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ISSUER PURCHASES OF EQUITY SECURITIES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Total Number of Shares</w:t>
            </w:r>
          </w:p>
        </w:tc>
        <w:tc>
          <w:tcPr>
            <w:tcW w:w="140" w:type="dxa"/>
            <w:vAlign w:val="bottom"/>
          </w:tcPr>
          <w:p>
            <w:pPr>
              <w:spacing w:after="0"/>
              <w:rPr>
                <w:sz w:val="19"/>
                <w:szCs w:val="19"/>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Maximum Number of</w:t>
            </w:r>
          </w:p>
        </w:tc>
      </w:tr>
      <w:tr>
        <w:trPr>
          <w:trHeight w:val="227"/>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Purchased as Part of</w:t>
            </w:r>
          </w:p>
        </w:tc>
        <w:tc>
          <w:tcPr>
            <w:tcW w:w="140" w:type="dxa"/>
            <w:vAlign w:val="bottom"/>
          </w:tcPr>
          <w:p>
            <w:pPr>
              <w:spacing w:after="0"/>
              <w:rPr>
                <w:sz w:val="19"/>
                <w:szCs w:val="19"/>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Shares that May Yet</w:t>
            </w:r>
          </w:p>
        </w:tc>
      </w:tr>
      <w:tr>
        <w:trPr>
          <w:trHeight w:val="227"/>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Total Number of</w:t>
            </w:r>
          </w:p>
        </w:tc>
        <w:tc>
          <w:tcPr>
            <w:tcW w:w="14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Average Price</w:t>
            </w:r>
          </w:p>
        </w:tc>
        <w:tc>
          <w:tcPr>
            <w:tcW w:w="140" w:type="dxa"/>
            <w:vAlign w:val="bottom"/>
          </w:tcPr>
          <w:p>
            <w:pPr>
              <w:spacing w:after="0"/>
              <w:rPr>
                <w:sz w:val="19"/>
                <w:szCs w:val="19"/>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Publicly Announced</w:t>
            </w:r>
          </w:p>
        </w:tc>
        <w:tc>
          <w:tcPr>
            <w:tcW w:w="140" w:type="dxa"/>
            <w:vAlign w:val="bottom"/>
          </w:tcPr>
          <w:p>
            <w:pPr>
              <w:spacing w:after="0"/>
              <w:rPr>
                <w:sz w:val="19"/>
                <w:szCs w:val="19"/>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be Purchased Under</w:t>
            </w:r>
          </w:p>
        </w:tc>
      </w:tr>
      <w:tr>
        <w:trPr>
          <w:trHeight w:val="231"/>
        </w:trPr>
        <w:tc>
          <w:tcPr>
            <w:tcW w:w="20" w:type="dxa"/>
            <w:vAlign w:val="bottom"/>
          </w:tcPr>
          <w:p>
            <w:pPr>
              <w:spacing w:after="0"/>
              <w:rPr>
                <w:sz w:val="20"/>
                <w:szCs w:val="20"/>
                <w:color w:val="auto"/>
              </w:rPr>
            </w:pPr>
          </w:p>
        </w:tc>
        <w:tc>
          <w:tcPr>
            <w:tcW w:w="4320" w:type="dxa"/>
            <w:vAlign w:val="bottom"/>
            <w:gridSpan w:val="2"/>
          </w:tcPr>
          <w:p>
            <w:pPr>
              <w:ind w:left="1840"/>
              <w:spacing w:after="0"/>
              <w:rPr>
                <w:sz w:val="20"/>
                <w:szCs w:val="20"/>
                <w:color w:val="auto"/>
              </w:rPr>
            </w:pPr>
            <w:r>
              <w:rPr>
                <w:rFonts w:ascii="Arial" w:cs="Arial" w:eastAsia="Arial" w:hAnsi="Arial"/>
                <w:sz w:val="18"/>
                <w:szCs w:val="18"/>
                <w:color w:val="auto"/>
              </w:rPr>
              <w:t>Period</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Shares Purchased</w:t>
            </w:r>
          </w:p>
        </w:tc>
        <w:tc>
          <w:tcPr>
            <w:tcW w:w="140" w:type="dxa"/>
            <w:vAlign w:val="bottom"/>
          </w:tcPr>
          <w:p>
            <w:pPr>
              <w:spacing w:after="0"/>
              <w:rPr>
                <w:sz w:val="20"/>
                <w:szCs w:val="20"/>
                <w:color w:val="auto"/>
              </w:rPr>
            </w:pPr>
          </w:p>
        </w:tc>
        <w:tc>
          <w:tcPr>
            <w:tcW w:w="1320" w:type="dxa"/>
            <w:vAlign w:val="bottom"/>
            <w:gridSpan w:val="3"/>
          </w:tcPr>
          <w:p>
            <w:pPr>
              <w:ind w:left="60"/>
              <w:spacing w:after="0"/>
              <w:rPr>
                <w:sz w:val="20"/>
                <w:szCs w:val="20"/>
                <w:color w:val="auto"/>
              </w:rPr>
            </w:pPr>
            <w:r>
              <w:rPr>
                <w:rFonts w:ascii="Arial" w:cs="Arial" w:eastAsia="Arial" w:hAnsi="Arial"/>
                <w:sz w:val="18"/>
                <w:szCs w:val="18"/>
                <w:color w:val="auto"/>
              </w:rPr>
              <w:t>Paid per Share</w:t>
            </w:r>
          </w:p>
        </w:tc>
        <w:tc>
          <w:tcPr>
            <w:tcW w:w="140" w:type="dxa"/>
            <w:vAlign w:val="bottom"/>
          </w:tcPr>
          <w:p>
            <w:pPr>
              <w:spacing w:after="0"/>
              <w:rPr>
                <w:sz w:val="20"/>
                <w:szCs w:val="20"/>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Plans or Programs</w:t>
            </w:r>
          </w:p>
        </w:tc>
        <w:tc>
          <w:tcPr>
            <w:tcW w:w="140" w:type="dxa"/>
            <w:vAlign w:val="bottom"/>
          </w:tcPr>
          <w:p>
            <w:pPr>
              <w:spacing w:after="0"/>
              <w:rPr>
                <w:sz w:val="20"/>
                <w:szCs w:val="20"/>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the Plans or Programs</w:t>
            </w:r>
          </w:p>
        </w:tc>
      </w:tr>
      <w:tr>
        <w:trPr>
          <w:trHeight w:val="220"/>
        </w:trPr>
        <w:tc>
          <w:tcPr>
            <w:tcW w:w="20" w:type="dxa"/>
            <w:vAlign w:val="bottom"/>
          </w:tcPr>
          <w:p>
            <w:pPr>
              <w:spacing w:after="0"/>
              <w:rPr>
                <w:sz w:val="19"/>
                <w:szCs w:val="19"/>
                <w:color w:val="auto"/>
              </w:rPr>
            </w:pPr>
          </w:p>
        </w:tc>
        <w:tc>
          <w:tcPr>
            <w:tcW w:w="4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April 1, 2016 - April 30, 2016</w:t>
            </w:r>
          </w:p>
        </w:tc>
        <w:tc>
          <w:tcPr>
            <w:tcW w:w="14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1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15,686,143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May 1, 2016 - May 31, 2016</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13"/>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15,686,143</w:t>
            </w:r>
          </w:p>
        </w:tc>
        <w:tc>
          <w:tcPr>
            <w:tcW w:w="10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June 1, 2016 - June 30, 2016</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215,184</w:t>
            </w:r>
          </w:p>
        </w:tc>
        <w:tc>
          <w:tcPr>
            <w:tcW w:w="1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13"/>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185.89</w:t>
            </w:r>
          </w:p>
        </w:tc>
        <w:tc>
          <w:tcPr>
            <w:tcW w:w="10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215,184</w:t>
            </w:r>
          </w:p>
        </w:tc>
        <w:tc>
          <w:tcPr>
            <w:tcW w:w="12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15,470,959</w:t>
            </w:r>
          </w:p>
        </w:tc>
        <w:tc>
          <w:tcPr>
            <w:tcW w:w="100" w:type="dxa"/>
            <w:vAlign w:val="bottom"/>
            <w:shd w:val="clear" w:color="auto" w:fill="CFF0FC"/>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320" w:type="dxa"/>
            <w:vAlign w:val="bottom"/>
            <w:tcBorders>
              <w:top w:val="single" w:sz="8" w:color="auto"/>
            </w:tcBorders>
            <w:gridSpan w:val="2"/>
          </w:tcPr>
          <w:p>
            <w:pPr>
              <w:spacing w:after="0" w:line="203" w:lineRule="exact"/>
              <w:rPr>
                <w:sz w:val="20"/>
                <w:szCs w:val="20"/>
                <w:color w:val="auto"/>
              </w:rPr>
            </w:pPr>
            <w:r>
              <w:rPr>
                <w:rFonts w:ascii="Arial" w:cs="Arial" w:eastAsia="Arial" w:hAnsi="Arial"/>
                <w:sz w:val="18"/>
                <w:szCs w:val="18"/>
                <w:color w:val="auto"/>
              </w:rPr>
              <w:t>Total for the period ended</w:t>
            </w:r>
          </w:p>
        </w:tc>
        <w:tc>
          <w:tcPr>
            <w:tcW w:w="1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20" w:type="dxa"/>
            <w:vAlign w:val="bottom"/>
          </w:tcPr>
          <w:p>
            <w:pPr>
              <w:spacing w:after="0"/>
              <w:rPr>
                <w:sz w:val="20"/>
                <w:szCs w:val="20"/>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June 30, 2016</w:t>
            </w:r>
          </w:p>
        </w:tc>
        <w:tc>
          <w:tcPr>
            <w:tcW w:w="1540" w:type="dxa"/>
            <w:vAlign w:val="bottom"/>
          </w:tcPr>
          <w:p>
            <w:pPr>
              <w:jc w:val="right"/>
              <w:spacing w:after="0"/>
              <w:rPr>
                <w:sz w:val="20"/>
                <w:szCs w:val="20"/>
                <w:color w:val="auto"/>
              </w:rPr>
            </w:pPr>
            <w:r>
              <w:rPr>
                <w:rFonts w:ascii="Arial" w:cs="Arial" w:eastAsia="Arial" w:hAnsi="Arial"/>
                <w:sz w:val="18"/>
                <w:szCs w:val="18"/>
                <w:color w:val="auto"/>
              </w:rPr>
              <w:t>215,184</w:t>
            </w:r>
          </w:p>
        </w:tc>
        <w:tc>
          <w:tcPr>
            <w:tcW w:w="120" w:type="dxa"/>
            <w:vAlign w:val="bottom"/>
          </w:tcPr>
          <w:p>
            <w:pPr>
              <w:spacing w:after="0"/>
              <w:rPr>
                <w:sz w:val="20"/>
                <w:szCs w:val="20"/>
                <w:color w:val="auto"/>
              </w:rPr>
            </w:pPr>
          </w:p>
        </w:tc>
        <w:tc>
          <w:tcPr>
            <w:tcW w:w="520" w:type="dxa"/>
            <w:vAlign w:val="bottom"/>
            <w:gridSpan w:val="2"/>
          </w:tcPr>
          <w:p>
            <w:pPr>
              <w:jc w:val="right"/>
              <w:ind w:right="213"/>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185.89</w:t>
            </w:r>
          </w:p>
        </w:tc>
        <w:tc>
          <w:tcPr>
            <w:tcW w:w="100" w:type="dxa"/>
            <w:vAlign w:val="bottom"/>
          </w:tcPr>
          <w:p>
            <w:pPr>
              <w:spacing w:after="0"/>
              <w:rPr>
                <w:sz w:val="20"/>
                <w:szCs w:val="20"/>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215,184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Reference is made to the press release dated February 10, 2015 for the December 31, 2014 fourth-quarter and full-year results and announcement of the share repurchase program. The Corporation’s Board of Directors authorized a maximum of 20 million shares to be repurchased under the program. The program does not have an expiration date.</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Mine Safety Disclosures.</w:t>
      </w:r>
    </w:p>
    <w:p>
      <w:pPr>
        <w:spacing w:after="0" w:line="108"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The information concerning mine safety violations or other regulatory matters required by Section 1503(a) of the Dodd-Frank Wall Street Reform and Consumer Protection Act and Item 104 of Regulation S-K (17 CFR 229.104) is included in Exhibit 95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58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4"/>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80" w:type="dxa"/>
            <w:vAlign w:val="bottom"/>
          </w:tcPr>
          <w:p>
            <w:pPr>
              <w:jc w:val="center"/>
              <w:ind w:right="1128"/>
              <w:spacing w:after="0"/>
              <w:rPr>
                <w:sz w:val="20"/>
                <w:szCs w:val="20"/>
                <w:color w:val="auto"/>
              </w:rPr>
            </w:pPr>
            <w:r>
              <w:rPr>
                <w:rFonts w:ascii="Arial" w:cs="Arial" w:eastAsia="Arial" w:hAnsi="Arial"/>
                <w:sz w:val="18"/>
                <w:szCs w:val="18"/>
                <w:color w:val="auto"/>
              </w:rPr>
              <w:t>MARTIN MARIETTA MATERIALS, INC. AND CONSOLIDATED SUBSIDIARIES</w:t>
            </w:r>
          </w:p>
        </w:tc>
      </w:tr>
      <w:tr>
        <w:trPr>
          <w:trHeight w:val="214"/>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80" w:type="dxa"/>
            <w:vAlign w:val="bottom"/>
          </w:tcPr>
          <w:p>
            <w:pPr>
              <w:jc w:val="center"/>
              <w:ind w:right="1148"/>
              <w:spacing w:after="0"/>
              <w:rPr>
                <w:sz w:val="20"/>
                <w:szCs w:val="20"/>
                <w:color w:val="auto"/>
              </w:rPr>
            </w:pPr>
            <w:r>
              <w:rPr>
                <w:rFonts w:ascii="Arial" w:cs="Arial" w:eastAsia="Arial" w:hAnsi="Arial"/>
                <w:sz w:val="18"/>
                <w:szCs w:val="18"/>
                <w:color w:val="auto"/>
                <w:w w:val="95"/>
              </w:rPr>
              <w:t>FORM 10-Q</w:t>
            </w:r>
          </w:p>
        </w:tc>
      </w:tr>
      <w:tr>
        <w:trPr>
          <w:trHeight w:val="235"/>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80" w:type="dxa"/>
            <w:vAlign w:val="bottom"/>
          </w:tcPr>
          <w:p>
            <w:pPr>
              <w:jc w:val="center"/>
              <w:ind w:right="1148"/>
              <w:spacing w:after="0"/>
              <w:rPr>
                <w:sz w:val="20"/>
                <w:szCs w:val="20"/>
                <w:color w:val="auto"/>
              </w:rPr>
            </w:pPr>
            <w:r>
              <w:rPr>
                <w:rFonts w:ascii="Arial" w:cs="Arial" w:eastAsia="Arial" w:hAnsi="Arial"/>
                <w:sz w:val="18"/>
                <w:szCs w:val="18"/>
                <w:color w:val="auto"/>
                <w:w w:val="91"/>
              </w:rPr>
              <w:t>For the Quarter Ended June 30, 2016</w:t>
            </w:r>
          </w:p>
        </w:tc>
      </w:tr>
      <w:tr>
        <w:trPr>
          <w:trHeight w:val="408"/>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80" w:type="dxa"/>
            <w:vAlign w:val="bottom"/>
          </w:tcPr>
          <w:p>
            <w:pPr>
              <w:jc w:val="center"/>
              <w:ind w:right="1148"/>
              <w:spacing w:after="0"/>
              <w:rPr>
                <w:sz w:val="20"/>
                <w:szCs w:val="20"/>
                <w:color w:val="auto"/>
              </w:rPr>
            </w:pPr>
            <w:r>
              <w:rPr>
                <w:rFonts w:ascii="Arial" w:cs="Arial" w:eastAsia="Arial" w:hAnsi="Arial"/>
                <w:sz w:val="18"/>
                <w:szCs w:val="18"/>
                <w:color w:val="auto"/>
                <w:w w:val="98"/>
              </w:rPr>
              <w:t>PART II – OTHER INFORMATION</w:t>
            </w:r>
          </w:p>
        </w:tc>
      </w:tr>
      <w:tr>
        <w:trPr>
          <w:trHeight w:val="235"/>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80" w:type="dxa"/>
            <w:vAlign w:val="bottom"/>
          </w:tcPr>
          <w:p>
            <w:pPr>
              <w:jc w:val="center"/>
              <w:ind w:right="1148"/>
              <w:spacing w:after="0"/>
              <w:rPr>
                <w:sz w:val="20"/>
                <w:szCs w:val="20"/>
                <w:color w:val="auto"/>
              </w:rPr>
            </w:pPr>
            <w:r>
              <w:rPr>
                <w:rFonts w:ascii="Arial" w:cs="Arial" w:eastAsia="Arial" w:hAnsi="Arial"/>
                <w:sz w:val="18"/>
                <w:szCs w:val="18"/>
                <w:color w:val="auto"/>
                <w:w w:val="95"/>
              </w:rPr>
              <w:t>(Continued)</w:t>
            </w:r>
          </w:p>
        </w:tc>
      </w:tr>
      <w:tr>
        <w:trPr>
          <w:trHeight w:val="387"/>
        </w:trPr>
        <w:tc>
          <w:tcPr>
            <w:tcW w:w="11420" w:type="dxa"/>
            <w:vAlign w:val="bottom"/>
            <w:gridSpan w:val="4"/>
          </w:tcPr>
          <w:p>
            <w:pPr>
              <w:spacing w:after="0"/>
              <w:rPr>
                <w:sz w:val="20"/>
                <w:szCs w:val="20"/>
                <w:color w:val="auto"/>
              </w:rPr>
            </w:pPr>
            <w:r>
              <w:rPr>
                <w:rFonts w:ascii="Arial" w:cs="Arial" w:eastAsia="Arial" w:hAnsi="Arial"/>
                <w:sz w:val="18"/>
                <w:szCs w:val="18"/>
                <w:color w:val="auto"/>
              </w:rPr>
              <w:t>Item 6. Exhibits.</w:t>
            </w:r>
          </w:p>
        </w:tc>
      </w:tr>
      <w:tr>
        <w:trPr>
          <w:trHeight w:val="459"/>
        </w:trPr>
        <w:tc>
          <w:tcPr>
            <w:tcW w:w="9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Exhibit No.</w:t>
            </w: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180" w:type="dxa"/>
            <w:vAlign w:val="bottom"/>
            <w:tcBorders>
              <w:bottom w:val="single" w:sz="8" w:color="auto"/>
            </w:tcBorders>
          </w:tcPr>
          <w:p>
            <w:pPr>
              <w:ind w:left="4600"/>
              <w:spacing w:after="0"/>
              <w:rPr>
                <w:sz w:val="20"/>
                <w:szCs w:val="20"/>
                <w:color w:val="auto"/>
              </w:rPr>
            </w:pPr>
            <w:r>
              <w:rPr>
                <w:rFonts w:ascii="Arial" w:cs="Arial" w:eastAsia="Arial" w:hAnsi="Arial"/>
                <w:sz w:val="18"/>
                <w:szCs w:val="18"/>
                <w:color w:val="auto"/>
              </w:rPr>
              <w:t>Document</w:t>
            </w:r>
          </w:p>
        </w:tc>
      </w:tr>
      <w:tr>
        <w:trPr>
          <w:trHeight w:val="425"/>
        </w:trPr>
        <w:tc>
          <w:tcPr>
            <w:tcW w:w="920" w:type="dxa"/>
            <w:vAlign w:val="bottom"/>
          </w:tcPr>
          <w:p>
            <w:pPr>
              <w:spacing w:after="0"/>
              <w:rPr>
                <w:sz w:val="20"/>
                <w:szCs w:val="20"/>
                <w:color w:val="auto"/>
              </w:rPr>
            </w:pPr>
            <w:r>
              <w:rPr>
                <w:rFonts w:ascii="Arial" w:cs="Arial" w:eastAsia="Arial" w:hAnsi="Arial"/>
                <w:sz w:val="18"/>
                <w:szCs w:val="18"/>
                <w:color w:val="auto"/>
              </w:rPr>
              <w:t>10.01</w:t>
            </w:r>
          </w:p>
        </w:tc>
        <w:tc>
          <w:tcPr>
            <w:tcW w:w="10500" w:type="dxa"/>
            <w:vAlign w:val="bottom"/>
            <w:gridSpan w:val="3"/>
          </w:tcPr>
          <w:p>
            <w:pPr>
              <w:ind w:left="80"/>
              <w:spacing w:after="0"/>
              <w:rPr>
                <w:sz w:val="20"/>
                <w:szCs w:val="20"/>
                <w:color w:val="auto"/>
              </w:rPr>
            </w:pPr>
            <w:r>
              <w:rPr>
                <w:rFonts w:ascii="Arial" w:cs="Arial" w:eastAsia="Arial" w:hAnsi="Arial"/>
                <w:sz w:val="18"/>
                <w:szCs w:val="18"/>
                <w:color w:val="auto"/>
              </w:rPr>
              <w:t>Martin Marietta Amended and Restated Stock Based Award Plan (File No. 1-12744)*</w:t>
            </w:r>
          </w:p>
        </w:tc>
      </w:tr>
      <w:tr>
        <w:trPr>
          <w:trHeight w:val="429"/>
        </w:trPr>
        <w:tc>
          <w:tcPr>
            <w:tcW w:w="920" w:type="dxa"/>
            <w:vAlign w:val="bottom"/>
          </w:tcPr>
          <w:p>
            <w:pPr>
              <w:spacing w:after="0"/>
              <w:rPr>
                <w:sz w:val="20"/>
                <w:szCs w:val="20"/>
                <w:color w:val="auto"/>
              </w:rPr>
            </w:pPr>
            <w:r>
              <w:rPr>
                <w:rFonts w:ascii="Arial" w:cs="Arial" w:eastAsia="Arial" w:hAnsi="Arial"/>
                <w:sz w:val="18"/>
                <w:szCs w:val="18"/>
                <w:color w:val="auto"/>
              </w:rPr>
              <w:t>10.02</w:t>
            </w:r>
          </w:p>
        </w:tc>
        <w:tc>
          <w:tcPr>
            <w:tcW w:w="10500" w:type="dxa"/>
            <w:vAlign w:val="bottom"/>
            <w:gridSpan w:val="3"/>
          </w:tcPr>
          <w:p>
            <w:pPr>
              <w:ind w:left="80"/>
              <w:spacing w:after="0"/>
              <w:rPr>
                <w:sz w:val="20"/>
                <w:szCs w:val="20"/>
                <w:color w:val="auto"/>
              </w:rPr>
            </w:pPr>
            <w:r>
              <w:rPr>
                <w:rFonts w:ascii="Arial" w:cs="Arial" w:eastAsia="Arial" w:hAnsi="Arial"/>
                <w:sz w:val="18"/>
                <w:szCs w:val="18"/>
                <w:color w:val="auto"/>
              </w:rPr>
              <w:t>Martin Marietta Executive cash Incentive Plan (File No. 1-12744)*</w:t>
            </w:r>
          </w:p>
        </w:tc>
      </w:tr>
      <w:tr>
        <w:trPr>
          <w:trHeight w:val="408"/>
        </w:trPr>
        <w:tc>
          <w:tcPr>
            <w:tcW w:w="920" w:type="dxa"/>
            <w:vAlign w:val="bottom"/>
          </w:tcPr>
          <w:p>
            <w:pPr>
              <w:spacing w:after="0"/>
              <w:rPr>
                <w:sz w:val="20"/>
                <w:szCs w:val="20"/>
                <w:color w:val="auto"/>
              </w:rPr>
            </w:pPr>
            <w:r>
              <w:rPr>
                <w:rFonts w:ascii="Arial" w:cs="Arial" w:eastAsia="Arial" w:hAnsi="Arial"/>
                <w:sz w:val="18"/>
                <w:szCs w:val="18"/>
                <w:color w:val="auto"/>
              </w:rPr>
              <w:t>31.01</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w w:val="97"/>
              </w:rPr>
              <w:t>Certification dated August 4, 2016 of Chief Executive Officer pursuant to Securities and Exchange Act of 1934 rule 13a-14 as adopted</w:t>
            </w:r>
          </w:p>
        </w:tc>
      </w:tr>
      <w:tr>
        <w:trPr>
          <w:trHeight w:val="235"/>
        </w:trPr>
        <w:tc>
          <w:tcPr>
            <w:tcW w:w="920" w:type="dxa"/>
            <w:vAlign w:val="bottom"/>
          </w:tcPr>
          <w:p>
            <w:pPr>
              <w:spacing w:after="0"/>
              <w:rPr>
                <w:sz w:val="20"/>
                <w:szCs w:val="20"/>
                <w:color w:val="auto"/>
              </w:rPr>
            </w:pP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08"/>
        </w:trPr>
        <w:tc>
          <w:tcPr>
            <w:tcW w:w="920" w:type="dxa"/>
            <w:vAlign w:val="bottom"/>
          </w:tcPr>
          <w:p>
            <w:pPr>
              <w:spacing w:after="0"/>
              <w:rPr>
                <w:sz w:val="20"/>
                <w:szCs w:val="20"/>
                <w:color w:val="auto"/>
              </w:rPr>
            </w:pPr>
            <w:r>
              <w:rPr>
                <w:rFonts w:ascii="Arial" w:cs="Arial" w:eastAsia="Arial" w:hAnsi="Arial"/>
                <w:sz w:val="18"/>
                <w:szCs w:val="18"/>
                <w:color w:val="auto"/>
              </w:rPr>
              <w:t>31.02</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w w:val="97"/>
              </w:rPr>
              <w:t>Certification dated August 4, 2016 of Chief Financial Officer pursuant to Securities and Exchange Act of 1934 rule 13a-14 as adopted</w:t>
            </w:r>
          </w:p>
        </w:tc>
      </w:tr>
      <w:tr>
        <w:trPr>
          <w:trHeight w:val="235"/>
        </w:trPr>
        <w:tc>
          <w:tcPr>
            <w:tcW w:w="920" w:type="dxa"/>
            <w:vAlign w:val="bottom"/>
          </w:tcPr>
          <w:p>
            <w:pPr>
              <w:spacing w:after="0"/>
              <w:rPr>
                <w:sz w:val="20"/>
                <w:szCs w:val="20"/>
                <w:color w:val="auto"/>
              </w:rPr>
            </w:pP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08"/>
        </w:trPr>
        <w:tc>
          <w:tcPr>
            <w:tcW w:w="920" w:type="dxa"/>
            <w:vAlign w:val="bottom"/>
          </w:tcPr>
          <w:p>
            <w:pPr>
              <w:spacing w:after="0"/>
              <w:rPr>
                <w:sz w:val="20"/>
                <w:szCs w:val="20"/>
                <w:color w:val="auto"/>
              </w:rPr>
            </w:pPr>
            <w:r>
              <w:rPr>
                <w:rFonts w:ascii="Arial" w:cs="Arial" w:eastAsia="Arial" w:hAnsi="Arial"/>
                <w:sz w:val="18"/>
                <w:szCs w:val="18"/>
                <w:color w:val="auto"/>
              </w:rPr>
              <w:t>32.01</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w w:val="94"/>
              </w:rPr>
              <w:t>Written Statement dated August 4, 2016 of Chief Executive Officer required by 18 U.S.C. 1350, as adopted pursuant to Section 906 of the</w:t>
            </w:r>
          </w:p>
        </w:tc>
      </w:tr>
      <w:tr>
        <w:trPr>
          <w:trHeight w:val="235"/>
        </w:trPr>
        <w:tc>
          <w:tcPr>
            <w:tcW w:w="920" w:type="dxa"/>
            <w:vAlign w:val="bottom"/>
          </w:tcPr>
          <w:p>
            <w:pPr>
              <w:spacing w:after="0"/>
              <w:rPr>
                <w:sz w:val="20"/>
                <w:szCs w:val="20"/>
                <w:color w:val="auto"/>
              </w:rPr>
            </w:pP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Sarbanes-Oxley Act of 2002</w:t>
            </w:r>
          </w:p>
        </w:tc>
      </w:tr>
      <w:tr>
        <w:trPr>
          <w:trHeight w:val="408"/>
        </w:trPr>
        <w:tc>
          <w:tcPr>
            <w:tcW w:w="920" w:type="dxa"/>
            <w:vAlign w:val="bottom"/>
          </w:tcPr>
          <w:p>
            <w:pPr>
              <w:spacing w:after="0"/>
              <w:rPr>
                <w:sz w:val="20"/>
                <w:szCs w:val="20"/>
                <w:color w:val="auto"/>
              </w:rPr>
            </w:pPr>
            <w:r>
              <w:rPr>
                <w:rFonts w:ascii="Arial" w:cs="Arial" w:eastAsia="Arial" w:hAnsi="Arial"/>
                <w:sz w:val="18"/>
                <w:szCs w:val="18"/>
                <w:color w:val="auto"/>
              </w:rPr>
              <w:t>32.02</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w w:val="95"/>
              </w:rPr>
              <w:t>Written Statement dated August 4, 2016 of Chief Financial Officer required by 18 U.S.C. 1350, as adopted pursuant to Section 906 of the</w:t>
            </w:r>
          </w:p>
        </w:tc>
      </w:tr>
      <w:tr>
        <w:trPr>
          <w:trHeight w:val="235"/>
        </w:trPr>
        <w:tc>
          <w:tcPr>
            <w:tcW w:w="920" w:type="dxa"/>
            <w:vAlign w:val="bottom"/>
          </w:tcPr>
          <w:p>
            <w:pPr>
              <w:spacing w:after="0"/>
              <w:rPr>
                <w:sz w:val="20"/>
                <w:szCs w:val="20"/>
                <w:color w:val="auto"/>
              </w:rPr>
            </w:pP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Sarbanes-Oxley Act of 2002</w:t>
            </w:r>
          </w:p>
        </w:tc>
      </w:tr>
      <w:tr>
        <w:trPr>
          <w:trHeight w:val="429"/>
        </w:trPr>
        <w:tc>
          <w:tcPr>
            <w:tcW w:w="920" w:type="dxa"/>
            <w:vAlign w:val="bottom"/>
          </w:tcPr>
          <w:p>
            <w:pPr>
              <w:spacing w:after="0"/>
              <w:rPr>
                <w:sz w:val="20"/>
                <w:szCs w:val="20"/>
                <w:color w:val="auto"/>
              </w:rPr>
            </w:pPr>
            <w:r>
              <w:rPr>
                <w:rFonts w:ascii="Arial" w:cs="Arial" w:eastAsia="Arial" w:hAnsi="Arial"/>
                <w:sz w:val="18"/>
                <w:szCs w:val="18"/>
                <w:color w:val="auto"/>
              </w:rPr>
              <w:t>95</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Mine Safety Disclosures</w:t>
            </w:r>
          </w:p>
        </w:tc>
      </w:tr>
      <w:tr>
        <w:trPr>
          <w:trHeight w:val="429"/>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XBRL Instance Document</w:t>
            </w:r>
          </w:p>
        </w:tc>
      </w:tr>
      <w:tr>
        <w:trPr>
          <w:trHeight w:val="429"/>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429"/>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29"/>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429"/>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29"/>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Definition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59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t>SIGNATURES</w:t>
      </w:r>
    </w:p>
    <w:p>
      <w:pPr>
        <w:spacing w:after="0" w:line="209"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MARTIN MARIETTA MATERIALS, INC.</w:t>
            </w:r>
          </w:p>
        </w:tc>
      </w:tr>
      <w:tr>
        <w:trPr>
          <w:trHeight w:val="235"/>
        </w:trPr>
        <w:tc>
          <w:tcPr>
            <w:tcW w:w="42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220" w:type="dxa"/>
            <w:vAlign w:val="bottom"/>
          </w:tcPr>
          <w:p>
            <w:pPr>
              <w:jc w:val="center"/>
              <w:ind w:right="2128"/>
              <w:spacing w:after="0"/>
              <w:rPr>
                <w:sz w:val="20"/>
                <w:szCs w:val="20"/>
                <w:color w:val="auto"/>
              </w:rPr>
            </w:pPr>
            <w:r>
              <w:rPr>
                <w:rFonts w:ascii="Arial" w:cs="Arial" w:eastAsia="Arial" w:hAnsi="Arial"/>
                <w:sz w:val="18"/>
                <w:szCs w:val="18"/>
                <w:color w:val="auto"/>
                <w:w w:val="93"/>
              </w:rPr>
              <w:t>(Registrant)</w:t>
            </w:r>
          </w:p>
        </w:tc>
      </w:tr>
      <w:tr>
        <w:trPr>
          <w:trHeight w:val="425"/>
        </w:trPr>
        <w:tc>
          <w:tcPr>
            <w:tcW w:w="4200" w:type="dxa"/>
            <w:vAlign w:val="bottom"/>
          </w:tcPr>
          <w:p>
            <w:pPr>
              <w:spacing w:after="0"/>
              <w:rPr>
                <w:sz w:val="20"/>
                <w:szCs w:val="20"/>
                <w:color w:val="auto"/>
              </w:rPr>
            </w:pPr>
            <w:r>
              <w:rPr>
                <w:rFonts w:ascii="Arial" w:cs="Arial" w:eastAsia="Arial" w:hAnsi="Arial"/>
                <w:sz w:val="18"/>
                <w:szCs w:val="18"/>
                <w:color w:val="auto"/>
              </w:rPr>
              <w:t>Date: August 4, 2016</w:t>
            </w:r>
          </w:p>
        </w:tc>
        <w:tc>
          <w:tcPr>
            <w:tcW w:w="7220" w:type="dxa"/>
            <w:vAlign w:val="bottom"/>
            <w:gridSpan w:val="2"/>
          </w:tcPr>
          <w:p>
            <w:pPr>
              <w:ind w:left="2620"/>
              <w:spacing w:after="0"/>
              <w:rPr>
                <w:sz w:val="20"/>
                <w:szCs w:val="20"/>
                <w:color w:val="auto"/>
              </w:rPr>
            </w:pPr>
            <w:r>
              <w:rPr>
                <w:rFonts w:ascii="Arial" w:cs="Arial" w:eastAsia="Arial" w:hAnsi="Arial"/>
                <w:sz w:val="18"/>
                <w:szCs w:val="18"/>
                <w:color w:val="auto"/>
              </w:rPr>
              <w:t>By:  /s/ Anne H. Lloyd</w:t>
            </w:r>
          </w:p>
        </w:tc>
      </w:tr>
      <w:tr>
        <w:trPr>
          <w:trHeight w:val="190"/>
        </w:trPr>
        <w:tc>
          <w:tcPr>
            <w:tcW w:w="42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220" w:type="dxa"/>
            <w:vAlign w:val="bottom"/>
            <w:tcBorders>
              <w:top w:val="single" w:sz="8" w:color="auto"/>
            </w:tcBorders>
          </w:tcPr>
          <w:p>
            <w:pPr>
              <w:spacing w:after="0" w:line="190" w:lineRule="exact"/>
              <w:rPr>
                <w:sz w:val="20"/>
                <w:szCs w:val="20"/>
                <w:color w:val="auto"/>
              </w:rPr>
            </w:pPr>
            <w:r>
              <w:rPr>
                <w:rFonts w:ascii="Arial" w:cs="Arial" w:eastAsia="Arial" w:hAnsi="Arial"/>
                <w:sz w:val="18"/>
                <w:szCs w:val="18"/>
                <w:color w:val="auto"/>
              </w:rPr>
              <w:t>Anne H. Lloyd</w:t>
            </w:r>
          </w:p>
        </w:tc>
      </w:tr>
      <w:tr>
        <w:trPr>
          <w:trHeight w:val="214"/>
        </w:trPr>
        <w:tc>
          <w:tcPr>
            <w:tcW w:w="4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5"/>
        </w:trPr>
        <w:tc>
          <w:tcPr>
            <w:tcW w:w="42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220" w:type="dxa"/>
            <w:vAlign w:val="bottom"/>
          </w:tcPr>
          <w:p>
            <w:pPr>
              <w:jc w:val="center"/>
              <w:ind w:right="2128"/>
              <w:spacing w:after="0"/>
              <w:rPr>
                <w:sz w:val="20"/>
                <w:szCs w:val="20"/>
                <w:color w:val="auto"/>
              </w:rPr>
            </w:pPr>
            <w:r>
              <w:rPr>
                <w:rFonts w:ascii="Arial" w:cs="Arial" w:eastAsia="Arial" w:hAnsi="Arial"/>
                <w:sz w:val="18"/>
                <w:szCs w:val="18"/>
                <w:color w:val="auto"/>
                <w:w w:val="97"/>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60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66675</wp:posOffset>
            </wp:positionV>
            <wp:extent cx="729678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4"/>
        </w:trPr>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40" w:type="dxa"/>
            <w:vAlign w:val="bottom"/>
          </w:tcPr>
          <w:p>
            <w:pPr>
              <w:jc w:val="center"/>
              <w:ind w:right="1068"/>
              <w:spacing w:after="0"/>
              <w:rPr>
                <w:sz w:val="20"/>
                <w:szCs w:val="20"/>
                <w:color w:val="auto"/>
              </w:rPr>
            </w:pPr>
            <w:r>
              <w:rPr>
                <w:rFonts w:ascii="Arial" w:cs="Arial" w:eastAsia="Arial" w:hAnsi="Arial"/>
                <w:sz w:val="18"/>
                <w:szCs w:val="18"/>
                <w:color w:val="auto"/>
              </w:rPr>
              <w:t>MARTIN MARIETTA MATERIALS, INC. AND CONSOLIDATED SUBSIDIARIES</w:t>
            </w:r>
          </w:p>
        </w:tc>
      </w:tr>
      <w:tr>
        <w:trPr>
          <w:trHeight w:val="214"/>
        </w:trPr>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40" w:type="dxa"/>
            <w:vAlign w:val="bottom"/>
          </w:tcPr>
          <w:p>
            <w:pPr>
              <w:jc w:val="center"/>
              <w:ind w:right="1088"/>
              <w:spacing w:after="0"/>
              <w:rPr>
                <w:sz w:val="20"/>
                <w:szCs w:val="20"/>
                <w:color w:val="auto"/>
              </w:rPr>
            </w:pPr>
            <w:r>
              <w:rPr>
                <w:rFonts w:ascii="Arial" w:cs="Arial" w:eastAsia="Arial" w:hAnsi="Arial"/>
                <w:sz w:val="18"/>
                <w:szCs w:val="18"/>
                <w:color w:val="auto"/>
                <w:w w:val="95"/>
              </w:rPr>
              <w:t>FORM 10-Q</w:t>
            </w:r>
          </w:p>
        </w:tc>
      </w:tr>
      <w:tr>
        <w:trPr>
          <w:trHeight w:val="235"/>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40" w:type="dxa"/>
            <w:vAlign w:val="bottom"/>
          </w:tcPr>
          <w:p>
            <w:pPr>
              <w:jc w:val="center"/>
              <w:ind w:right="1088"/>
              <w:spacing w:after="0"/>
              <w:rPr>
                <w:sz w:val="20"/>
                <w:szCs w:val="20"/>
                <w:color w:val="auto"/>
              </w:rPr>
            </w:pPr>
            <w:r>
              <w:rPr>
                <w:rFonts w:ascii="Arial" w:cs="Arial" w:eastAsia="Arial" w:hAnsi="Arial"/>
                <w:sz w:val="18"/>
                <w:szCs w:val="18"/>
                <w:color w:val="auto"/>
                <w:w w:val="91"/>
              </w:rPr>
              <w:t>For the Quarter Ended June 30, 2016</w:t>
            </w:r>
          </w:p>
        </w:tc>
      </w:tr>
      <w:tr>
        <w:trPr>
          <w:trHeight w:val="416"/>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40" w:type="dxa"/>
            <w:vAlign w:val="bottom"/>
          </w:tcPr>
          <w:p>
            <w:pPr>
              <w:jc w:val="center"/>
              <w:ind w:right="1068"/>
              <w:spacing w:after="0"/>
              <w:rPr>
                <w:sz w:val="20"/>
                <w:szCs w:val="20"/>
                <w:color w:val="auto"/>
              </w:rPr>
            </w:pPr>
            <w:r>
              <w:rPr>
                <w:rFonts w:ascii="Arial" w:cs="Arial" w:eastAsia="Arial" w:hAnsi="Arial"/>
                <w:sz w:val="18"/>
                <w:szCs w:val="18"/>
                <w:color w:val="auto"/>
              </w:rPr>
              <w:t>EXHIBIT INDEX</w:t>
            </w:r>
          </w:p>
        </w:tc>
      </w:tr>
      <w:tr>
        <w:trPr>
          <w:trHeight w:val="433"/>
        </w:trPr>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Exhibit No.</w:t>
            </w:r>
          </w:p>
        </w:tc>
        <w:tc>
          <w:tcPr>
            <w:tcW w:w="140" w:type="dxa"/>
            <w:vAlign w:val="bottom"/>
          </w:tcPr>
          <w:p>
            <w:pPr>
              <w:spacing w:after="0"/>
              <w:rPr>
                <w:sz w:val="24"/>
                <w:szCs w:val="24"/>
                <w:color w:val="auto"/>
              </w:rPr>
            </w:pPr>
          </w:p>
        </w:tc>
        <w:tc>
          <w:tcPr>
            <w:tcW w:w="10240" w:type="dxa"/>
            <w:vAlign w:val="bottom"/>
            <w:tcBorders>
              <w:bottom w:val="single" w:sz="8" w:color="auto"/>
            </w:tcBorders>
          </w:tcPr>
          <w:p>
            <w:pPr>
              <w:ind w:left="4740"/>
              <w:spacing w:after="0"/>
              <w:rPr>
                <w:sz w:val="20"/>
                <w:szCs w:val="20"/>
                <w:color w:val="auto"/>
              </w:rPr>
            </w:pPr>
            <w:r>
              <w:rPr>
                <w:rFonts w:ascii="Arial" w:cs="Arial" w:eastAsia="Arial" w:hAnsi="Arial"/>
                <w:sz w:val="18"/>
                <w:szCs w:val="18"/>
                <w:color w:val="auto"/>
              </w:rPr>
              <w:t>Document</w:t>
            </w:r>
          </w:p>
        </w:tc>
      </w:tr>
      <w:tr>
        <w:trPr>
          <w:trHeight w:val="429"/>
        </w:trPr>
        <w:tc>
          <w:tcPr>
            <w:tcW w:w="1040" w:type="dxa"/>
            <w:vAlign w:val="bottom"/>
          </w:tcPr>
          <w:p>
            <w:pPr>
              <w:spacing w:after="0"/>
              <w:rPr>
                <w:sz w:val="20"/>
                <w:szCs w:val="20"/>
                <w:color w:val="auto"/>
              </w:rPr>
            </w:pPr>
            <w:r>
              <w:rPr>
                <w:rFonts w:ascii="Arial" w:cs="Arial" w:eastAsia="Arial" w:hAnsi="Arial"/>
                <w:sz w:val="18"/>
                <w:szCs w:val="18"/>
                <w:color w:val="auto"/>
              </w:rPr>
              <w:t>10.01</w:t>
            </w: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Martin Marietta Amended and Restated Stock Based Award Plan (File No. 1-12744)*</w:t>
            </w:r>
          </w:p>
        </w:tc>
      </w:tr>
      <w:tr>
        <w:trPr>
          <w:trHeight w:val="429"/>
        </w:trPr>
        <w:tc>
          <w:tcPr>
            <w:tcW w:w="1040" w:type="dxa"/>
            <w:vAlign w:val="bottom"/>
          </w:tcPr>
          <w:p>
            <w:pPr>
              <w:spacing w:after="0"/>
              <w:rPr>
                <w:sz w:val="20"/>
                <w:szCs w:val="20"/>
                <w:color w:val="auto"/>
              </w:rPr>
            </w:pPr>
            <w:r>
              <w:rPr>
                <w:rFonts w:ascii="Arial" w:cs="Arial" w:eastAsia="Arial" w:hAnsi="Arial"/>
                <w:sz w:val="18"/>
                <w:szCs w:val="18"/>
                <w:color w:val="auto"/>
              </w:rPr>
              <w:t>10.02</w:t>
            </w: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Martin Marietta Executive cash Incentive Plan (File No. 1-12744)*</w:t>
            </w:r>
          </w:p>
        </w:tc>
      </w:tr>
      <w:tr>
        <w:trPr>
          <w:trHeight w:val="408"/>
        </w:trPr>
        <w:tc>
          <w:tcPr>
            <w:tcW w:w="1040" w:type="dxa"/>
            <w:vAlign w:val="bottom"/>
          </w:tcPr>
          <w:p>
            <w:pPr>
              <w:spacing w:after="0"/>
              <w:rPr>
                <w:sz w:val="20"/>
                <w:szCs w:val="20"/>
                <w:color w:val="auto"/>
              </w:rPr>
            </w:pPr>
            <w:r>
              <w:rPr>
                <w:rFonts w:ascii="Arial" w:cs="Arial" w:eastAsia="Arial" w:hAnsi="Arial"/>
                <w:sz w:val="18"/>
                <w:szCs w:val="18"/>
                <w:color w:val="auto"/>
              </w:rPr>
              <w:t>31.01</w:t>
            </w:r>
          </w:p>
        </w:tc>
        <w:tc>
          <w:tcPr>
            <w:tcW w:w="1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5"/>
              </w:rPr>
              <w:t>Certification dated August 4, 2016 of Chief Executive Officer pursuant to Securities and Exchange Act of 1934 rule 13a-14 as adopted</w:t>
            </w:r>
          </w:p>
        </w:tc>
      </w:tr>
      <w:tr>
        <w:trPr>
          <w:trHeight w:val="235"/>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08"/>
        </w:trPr>
        <w:tc>
          <w:tcPr>
            <w:tcW w:w="1040" w:type="dxa"/>
            <w:vAlign w:val="bottom"/>
          </w:tcPr>
          <w:p>
            <w:pPr>
              <w:spacing w:after="0"/>
              <w:rPr>
                <w:sz w:val="20"/>
                <w:szCs w:val="20"/>
                <w:color w:val="auto"/>
              </w:rPr>
            </w:pPr>
            <w:r>
              <w:rPr>
                <w:rFonts w:ascii="Arial" w:cs="Arial" w:eastAsia="Arial" w:hAnsi="Arial"/>
                <w:sz w:val="18"/>
                <w:szCs w:val="18"/>
                <w:color w:val="auto"/>
              </w:rPr>
              <w:t>31.02</w:t>
            </w:r>
          </w:p>
        </w:tc>
        <w:tc>
          <w:tcPr>
            <w:tcW w:w="1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6"/>
              </w:rPr>
              <w:t>Certification dated August 4, 2016 of Chief Financial Officer pursuant to Securities and Exchange Act of 1934 rule 13a-14 as adopted</w:t>
            </w:r>
          </w:p>
        </w:tc>
      </w:tr>
      <w:tr>
        <w:trPr>
          <w:trHeight w:val="235"/>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08"/>
        </w:trPr>
        <w:tc>
          <w:tcPr>
            <w:tcW w:w="1040" w:type="dxa"/>
            <w:vAlign w:val="bottom"/>
          </w:tcPr>
          <w:p>
            <w:pPr>
              <w:spacing w:after="0"/>
              <w:rPr>
                <w:sz w:val="20"/>
                <w:szCs w:val="20"/>
                <w:color w:val="auto"/>
              </w:rPr>
            </w:pPr>
            <w:r>
              <w:rPr>
                <w:rFonts w:ascii="Arial" w:cs="Arial" w:eastAsia="Arial" w:hAnsi="Arial"/>
                <w:sz w:val="18"/>
                <w:szCs w:val="18"/>
                <w:color w:val="auto"/>
              </w:rPr>
              <w:t>32.01</w:t>
            </w:r>
          </w:p>
        </w:tc>
        <w:tc>
          <w:tcPr>
            <w:tcW w:w="1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3"/>
              </w:rPr>
              <w:t>Written Statement dated August 4, 2016 of Chief Executive Officer required by 18 U.S.C. 1350, as adopted pursuant to Section 906 of the</w:t>
            </w:r>
          </w:p>
        </w:tc>
      </w:tr>
      <w:tr>
        <w:trPr>
          <w:trHeight w:val="235"/>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Sarbanes-Oxley Act of 2002</w:t>
            </w:r>
          </w:p>
        </w:tc>
      </w:tr>
      <w:tr>
        <w:trPr>
          <w:trHeight w:val="408"/>
        </w:trPr>
        <w:tc>
          <w:tcPr>
            <w:tcW w:w="1040" w:type="dxa"/>
            <w:vAlign w:val="bottom"/>
          </w:tcPr>
          <w:p>
            <w:pPr>
              <w:spacing w:after="0"/>
              <w:rPr>
                <w:sz w:val="20"/>
                <w:szCs w:val="20"/>
                <w:color w:val="auto"/>
              </w:rPr>
            </w:pPr>
            <w:r>
              <w:rPr>
                <w:rFonts w:ascii="Arial" w:cs="Arial" w:eastAsia="Arial" w:hAnsi="Arial"/>
                <w:sz w:val="18"/>
                <w:szCs w:val="18"/>
                <w:color w:val="auto"/>
              </w:rPr>
              <w:t>32.02</w:t>
            </w:r>
          </w:p>
        </w:tc>
        <w:tc>
          <w:tcPr>
            <w:tcW w:w="1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3"/>
              </w:rPr>
              <w:t>Written Statement dated August 4, 2016 of Chief Financial Officer required by 18 U.S.C. 1350, as adopted pursuant to Section 906 of the</w:t>
            </w:r>
          </w:p>
        </w:tc>
      </w:tr>
      <w:tr>
        <w:trPr>
          <w:trHeight w:val="235"/>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Sarbanes-Oxley Act of 2002</w:t>
            </w:r>
          </w:p>
        </w:tc>
      </w:tr>
      <w:tr>
        <w:trPr>
          <w:trHeight w:val="429"/>
        </w:trPr>
        <w:tc>
          <w:tcPr>
            <w:tcW w:w="1040" w:type="dxa"/>
            <w:vAlign w:val="bottom"/>
          </w:tcPr>
          <w:p>
            <w:pPr>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Mine Safety Disclosures</w:t>
            </w:r>
          </w:p>
        </w:tc>
      </w:tr>
      <w:tr>
        <w:trPr>
          <w:trHeight w:val="429"/>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429"/>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429"/>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29"/>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29"/>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29"/>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61 of 61</w:t>
      </w:r>
    </w:p>
    <w:p>
      <w:pPr>
        <w:sectPr>
          <w:pgSz w:w="11900" w:h="16838" w:orient="portrait"/>
          <w:cols w:equalWidth="0" w:num="1">
            <w:col w:w="11420"/>
          </w:cols>
          <w:pgMar w:left="240" w:top="337"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20"/>
          <w:szCs w:val="20"/>
          <w:b w:val="1"/>
          <w:bCs w:val="1"/>
          <w:color w:val="auto"/>
        </w:rPr>
        <w:t>Exhibit 10.01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7829E"/>
        </w:rPr>
        <w:t>MARTIN MARIETTA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7829E"/>
        </w:rPr>
        <w:t>AMENDED AND RESTATED STOCK-BASED AWARD PLAN</w:t>
      </w:r>
    </w:p>
    <w:p>
      <w:pPr>
        <w:spacing w:after="0" w:line="134"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Adopted: May 8, 1998</w:t>
      </w:r>
    </w:p>
    <w:p>
      <w:pPr>
        <w:spacing w:after="0" w:line="145"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As Amended May 8, 1998, August 17, 2000,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May 22, 2001, April 3, 2006 and February 18, 2016</w:t>
      </w:r>
    </w:p>
    <w:p>
      <w:pPr>
        <w:sectPr>
          <w:pgSz w:w="11900" w:h="16838" w:orient="portrait"/>
          <w:cols w:equalWidth="0" w:num="1">
            <w:col w:w="11420"/>
          </w:cols>
          <w:pgMar w:left="240" w:top="114" w:right="239" w:bottom="1440" w:gutter="0" w:footer="0" w:header="0"/>
        </w:sect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 Establishment and Purpose</w:t>
      </w:r>
    </w:p>
    <w:p>
      <w:pPr>
        <w:spacing w:after="0" w:line="214"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Martin Marietta Amended and Restated Stock-Based Award Plan (the “Plan”) was adopted by the shareholders of Martin Marietta Materials, Inc. (the “Corporation”) in a manner that complies with Section 162(m) at the shareholders meeting held on May 8, 1998, and subsequently amended and restated by the Board of Directors at its meetings on May 8, 1998, August 17, 2000, May 22, 2001, April 3, 2006 and February 18, 2016.</w:t>
      </w:r>
    </w:p>
    <w:p>
      <w:pPr>
        <w:spacing w:after="0" w:line="139"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The purpose of this Plan is to benefit the Corporation’s shareholders by encouraging high levels of performance by individuals who are key to the success of the Corporation and to enable the Corporation to attract, motivate, and retain talented and experienced individuals essential to its continued success. This is to be accomplished by providing such employees and directors an opportunity to obtain or increase their proprietary interest in the Corporation’s performance and by providing such employees and directors with additional incentives to remain with the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2. Definitions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terms, as used herein, shall have the meaning specified:</w:t>
      </w:r>
    </w:p>
    <w:p>
      <w:pPr>
        <w:spacing w:after="0" w:line="144" w:lineRule="exact"/>
        <w:rPr>
          <w:sz w:val="20"/>
          <w:szCs w:val="20"/>
          <w:color w:val="auto"/>
        </w:rPr>
      </w:pPr>
    </w:p>
    <w:p>
      <w:pPr>
        <w:jc w:val="both"/>
        <w:ind w:firstLine="298"/>
        <w:spacing w:after="0" w:line="241" w:lineRule="auto"/>
        <w:rPr>
          <w:sz w:val="20"/>
          <w:szCs w:val="20"/>
          <w:color w:val="auto"/>
        </w:rPr>
      </w:pPr>
      <w:r>
        <w:rPr>
          <w:rFonts w:ascii="Arial" w:cs="Arial" w:eastAsia="Arial" w:hAnsi="Arial"/>
          <w:sz w:val="16"/>
          <w:szCs w:val="16"/>
          <w:color w:val="auto"/>
        </w:rPr>
        <w:t>“Affiliate” of a person means any entity directly or indirectly controlling, controlled by or under direct or indirect common control with such person.</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“Award” means an award granted pursuant to Section 4 hereof.</w:t>
      </w:r>
    </w:p>
    <w:p>
      <w:pPr>
        <w:spacing w:after="0" w:line="144" w:lineRule="exact"/>
        <w:rPr>
          <w:sz w:val="20"/>
          <w:szCs w:val="20"/>
          <w:color w:val="auto"/>
        </w:rPr>
      </w:pPr>
    </w:p>
    <w:p>
      <w:pPr>
        <w:jc w:val="both"/>
        <w:ind w:firstLine="298"/>
        <w:spacing w:after="0" w:line="237" w:lineRule="auto"/>
        <w:rPr>
          <w:sz w:val="20"/>
          <w:szCs w:val="20"/>
          <w:color w:val="auto"/>
        </w:rPr>
      </w:pPr>
      <w:r>
        <w:rPr>
          <w:rFonts w:ascii="Arial" w:cs="Arial" w:eastAsia="Arial" w:hAnsi="Arial"/>
          <w:sz w:val="16"/>
          <w:szCs w:val="16"/>
          <w:color w:val="auto"/>
        </w:rPr>
        <w:t>“Award Agreement” means an agreement described in Section 6 hereof entered into between the Corporation and a Participant, setting forth the terms and conditions applicable to the Award granted to the Participant.</w:t>
      </w:r>
    </w:p>
    <w:p>
      <w:pPr>
        <w:spacing w:after="0" w:line="136" w:lineRule="exact"/>
        <w:rPr>
          <w:sz w:val="20"/>
          <w:szCs w:val="20"/>
          <w:color w:val="auto"/>
        </w:rPr>
      </w:pPr>
    </w:p>
    <w:p>
      <w:pPr>
        <w:jc w:val="both"/>
        <w:ind w:firstLine="298"/>
        <w:spacing w:after="0" w:line="241" w:lineRule="auto"/>
        <w:rPr>
          <w:sz w:val="20"/>
          <w:szCs w:val="20"/>
          <w:color w:val="auto"/>
        </w:rPr>
      </w:pPr>
      <w:r>
        <w:rPr>
          <w:rFonts w:ascii="Arial" w:cs="Arial" w:eastAsia="Arial" w:hAnsi="Arial"/>
          <w:sz w:val="16"/>
          <w:szCs w:val="16"/>
          <w:color w:val="auto"/>
        </w:rPr>
        <w:t>“Board of Directors” means the Board of Directors of the Corporation, as it may be comprised from time to time.</w:t>
      </w:r>
    </w:p>
    <w:p>
      <w:pPr>
        <w:spacing w:after="0" w:line="135" w:lineRule="exact"/>
        <w:rPr>
          <w:sz w:val="20"/>
          <w:szCs w:val="20"/>
          <w:color w:val="auto"/>
        </w:rPr>
      </w:pPr>
    </w:p>
    <w:p>
      <w:pPr>
        <w:jc w:val="both"/>
        <w:ind w:firstLine="298"/>
        <w:spacing w:after="0" w:line="241" w:lineRule="auto"/>
        <w:rPr>
          <w:sz w:val="20"/>
          <w:szCs w:val="20"/>
          <w:color w:val="auto"/>
        </w:rPr>
      </w:pPr>
      <w:r>
        <w:rPr>
          <w:rFonts w:ascii="Arial" w:cs="Arial" w:eastAsia="Arial" w:hAnsi="Arial"/>
          <w:sz w:val="16"/>
          <w:szCs w:val="16"/>
          <w:color w:val="auto"/>
        </w:rPr>
        <w:t>“Code” means the Internal Revenue Code of 1986, as amended from time to time.</w:t>
      </w:r>
    </w:p>
    <w:p>
      <w:pPr>
        <w:spacing w:after="0" w:line="135" w:lineRule="exact"/>
        <w:rPr>
          <w:sz w:val="20"/>
          <w:szCs w:val="20"/>
          <w:color w:val="auto"/>
        </w:rPr>
      </w:pPr>
    </w:p>
    <w:p>
      <w:pPr>
        <w:jc w:val="both"/>
        <w:ind w:firstLine="298"/>
        <w:spacing w:after="0" w:line="235" w:lineRule="auto"/>
        <w:rPr>
          <w:sz w:val="20"/>
          <w:szCs w:val="20"/>
          <w:color w:val="auto"/>
        </w:rPr>
      </w:pPr>
      <w:r>
        <w:rPr>
          <w:rFonts w:ascii="Arial" w:cs="Arial" w:eastAsia="Arial" w:hAnsi="Arial"/>
          <w:sz w:val="16"/>
          <w:szCs w:val="16"/>
          <w:color w:val="auto"/>
        </w:rPr>
        <w:t>“Committee” means a committee composed of members of, and designated by, the Board of Directors and, unless otherwise determined by the Board, consisting solely of persons who are both (i) “non-employee directors” within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the meaning of Rule 16b-3, and (ii) “outside directors” within the meaning of Section 162(m), as Rule 16b-3 and Section 162(m) may be amended from time to time, which committee shall at all times comprise at least the minimum number of such persons necessary to comply with both Rule 16b-3 and Section 162. If the Management Development and Compensation Committee of the Board of Directors satisfies the foregoing criteria, references in this Plan to the Committee shall be deemed to refer to such Committee of the Board of Directors.</w:t>
      </w:r>
    </w:p>
    <w:p>
      <w:pPr>
        <w:spacing w:after="0" w:line="14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“Corporation” means Martin Marietta Materials, Inc.</w:t>
      </w:r>
    </w:p>
    <w:p>
      <w:pPr>
        <w:spacing w:after="0" w:line="144" w:lineRule="exact"/>
        <w:rPr>
          <w:sz w:val="20"/>
          <w:szCs w:val="20"/>
          <w:color w:val="auto"/>
        </w:rPr>
      </w:pPr>
    </w:p>
    <w:p>
      <w:pPr>
        <w:jc w:val="both"/>
        <w:ind w:firstLine="298"/>
        <w:spacing w:after="0" w:line="241" w:lineRule="auto"/>
        <w:rPr>
          <w:sz w:val="20"/>
          <w:szCs w:val="20"/>
          <w:color w:val="auto"/>
        </w:rPr>
      </w:pPr>
      <w:r>
        <w:rPr>
          <w:rFonts w:ascii="Arial" w:cs="Arial" w:eastAsia="Arial" w:hAnsi="Arial"/>
          <w:sz w:val="16"/>
          <w:szCs w:val="16"/>
          <w:color w:val="auto"/>
        </w:rPr>
        <w:t>“Covered Employee” means a covered employee within the meaning of Section 162(m) or the Treasury Regulations promulgated thereunder.</w:t>
      </w:r>
    </w:p>
    <w:p>
      <w:pPr>
        <w:spacing w:after="0" w:line="135" w:lineRule="exact"/>
        <w:rPr>
          <w:sz w:val="20"/>
          <w:szCs w:val="20"/>
          <w:color w:val="auto"/>
        </w:rPr>
      </w:pPr>
    </w:p>
    <w:p>
      <w:pPr>
        <w:jc w:val="both"/>
        <w:ind w:firstLine="298"/>
        <w:spacing w:after="0" w:line="241" w:lineRule="auto"/>
        <w:rPr>
          <w:sz w:val="20"/>
          <w:szCs w:val="20"/>
          <w:color w:val="auto"/>
        </w:rPr>
      </w:pPr>
      <w:r>
        <w:rPr>
          <w:rFonts w:ascii="Arial" w:cs="Arial" w:eastAsia="Arial" w:hAnsi="Arial"/>
          <w:sz w:val="16"/>
          <w:szCs w:val="16"/>
          <w:color w:val="auto"/>
        </w:rPr>
        <w:t>“Eligible Director” means each director of the Corporation who is not an employee of the Corporation or any Subsidiary.</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“Employee” means employees of the Corporation or any Subsidiary.</w:t>
      </w:r>
    </w:p>
    <w:p>
      <w:pPr>
        <w:spacing w:after="0" w:line="144" w:lineRule="exact"/>
        <w:rPr>
          <w:sz w:val="20"/>
          <w:szCs w:val="20"/>
          <w:color w:val="auto"/>
        </w:rPr>
      </w:pPr>
    </w:p>
    <w:p>
      <w:pPr>
        <w:jc w:val="both"/>
        <w:ind w:firstLine="298"/>
        <w:spacing w:after="0" w:line="241" w:lineRule="auto"/>
        <w:rPr>
          <w:sz w:val="20"/>
          <w:szCs w:val="20"/>
          <w:color w:val="auto"/>
        </w:rPr>
      </w:pPr>
      <w:r>
        <w:rPr>
          <w:rFonts w:ascii="Arial" w:cs="Arial" w:eastAsia="Arial" w:hAnsi="Arial"/>
          <w:sz w:val="16"/>
          <w:szCs w:val="16"/>
          <w:color w:val="auto"/>
        </w:rPr>
        <w:t>“Exchange Act” means the Securities Exchange Act of 1934, as amended from time to time.</w:t>
      </w:r>
    </w:p>
    <w:p>
      <w:pPr>
        <w:spacing w:after="0" w:line="135" w:lineRule="exact"/>
        <w:rPr>
          <w:sz w:val="20"/>
          <w:szCs w:val="20"/>
          <w:color w:val="auto"/>
        </w:rPr>
      </w:pPr>
    </w:p>
    <w:p>
      <w:pPr>
        <w:jc w:val="both"/>
        <w:ind w:firstLine="298"/>
        <w:spacing w:after="0" w:line="232" w:lineRule="auto"/>
        <w:rPr>
          <w:sz w:val="20"/>
          <w:szCs w:val="20"/>
          <w:color w:val="auto"/>
        </w:rPr>
      </w:pPr>
      <w:r>
        <w:rPr>
          <w:rFonts w:ascii="Arial" w:cs="Arial" w:eastAsia="Arial" w:hAnsi="Arial"/>
          <w:sz w:val="16"/>
          <w:szCs w:val="16"/>
          <w:color w:val="auto"/>
        </w:rPr>
        <w:t>“Fair Market Value” means, unless otherwise determined by the Committee, the closing price of the relevant security as reported on the composite tape of New York Stock Exchange issues (or such other reporting system as shall be selected by the Committee) on the trading day preceding the date of grant (or such other relevant date). The Committee shall determine the Fair Market Value of any security that is not publicly traded, using such criteria, as it shall determine, in its sole direction, to be appropriate for such valuation.</w:t>
      </w:r>
    </w:p>
    <w:p>
      <w:pPr>
        <w:spacing w:after="0" w:line="141" w:lineRule="exact"/>
        <w:rPr>
          <w:sz w:val="20"/>
          <w:szCs w:val="20"/>
          <w:color w:val="auto"/>
        </w:rPr>
      </w:pPr>
    </w:p>
    <w:p>
      <w:pPr>
        <w:jc w:val="both"/>
        <w:ind w:firstLine="298"/>
        <w:spacing w:after="0" w:line="237" w:lineRule="auto"/>
        <w:rPr>
          <w:sz w:val="20"/>
          <w:szCs w:val="20"/>
          <w:color w:val="auto"/>
        </w:rPr>
      </w:pPr>
      <w:r>
        <w:rPr>
          <w:rFonts w:ascii="Arial" w:cs="Arial" w:eastAsia="Arial" w:hAnsi="Arial"/>
          <w:sz w:val="16"/>
          <w:szCs w:val="16"/>
          <w:color w:val="auto"/>
        </w:rPr>
        <w:t>“Family Member” has the meaning given to such term in General Instructions A.1(a)(5) to Form S-8 under the Securities Act of 1933, as amended, and any successor thereto.</w:t>
      </w:r>
    </w:p>
    <w:p>
      <w:pPr>
        <w:spacing w:after="0" w:line="136" w:lineRule="exact"/>
        <w:rPr>
          <w:sz w:val="20"/>
          <w:szCs w:val="20"/>
          <w:color w:val="auto"/>
        </w:rPr>
      </w:pPr>
    </w:p>
    <w:p>
      <w:pPr>
        <w:jc w:val="both"/>
        <w:ind w:firstLine="298"/>
        <w:spacing w:after="0" w:line="234" w:lineRule="auto"/>
        <w:rPr>
          <w:sz w:val="20"/>
          <w:szCs w:val="20"/>
          <w:color w:val="auto"/>
        </w:rPr>
      </w:pPr>
      <w:r>
        <w:rPr>
          <w:rFonts w:ascii="Arial" w:cs="Arial" w:eastAsia="Arial" w:hAnsi="Arial"/>
          <w:sz w:val="16"/>
          <w:szCs w:val="16"/>
          <w:color w:val="auto"/>
        </w:rPr>
        <w:t>“Incumbent Board” means a member of the Board of Directors of the Corporation who is not an Acquiring Person, or an affiliate (as defined in Rule 12b-2 of the Exchange Act) or an associate (as defined in Rule 12b-2 of the Exchange Act) of an Acquiring Person, or a representative or nominee of an Acquiring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-3707130</wp:posOffset>
            </wp:positionH>
            <wp:positionV relativeFrom="paragraph">
              <wp:posOffset>630555</wp:posOffset>
            </wp:positionV>
            <wp:extent cx="729678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2">
            <w:col w:w="5600" w:space="220"/>
            <w:col w:w="5600"/>
          </w:cols>
          <w:pgMar w:left="240" w:top="114" w:right="239" w:bottom="1440" w:gutter="0" w:footer="0" w:header="0"/>
          <w:type w:val="continuous"/>
        </w:sectPr>
      </w:pPr>
    </w:p>
    <w:bookmarkStart w:id="62" w:name="page63"/>
    <w:bookmarkEnd w:id="62"/>
    <w:p>
      <w:pPr>
        <w:jc w:val="both"/>
        <w:ind w:right="20" w:firstLine="298"/>
        <w:spacing w:after="0" w:line="241" w:lineRule="auto"/>
        <w:rPr>
          <w:sz w:val="20"/>
          <w:szCs w:val="20"/>
          <w:color w:val="auto"/>
        </w:rPr>
      </w:pPr>
      <w:r>
        <w:rPr>
          <w:rFonts w:ascii="Arial" w:cs="Arial" w:eastAsia="Arial" w:hAnsi="Arial"/>
          <w:sz w:val="16"/>
          <w:szCs w:val="16"/>
          <w:color w:val="auto"/>
        </w:rPr>
        <w:t>“Insider” means any person who is subject to Section 16 of the Exchange Act with respect to the Corporation.</w:t>
      </w:r>
    </w:p>
    <w:p>
      <w:pPr>
        <w:spacing w:after="0" w:line="97" w:lineRule="exact"/>
        <w:rPr>
          <w:sz w:val="20"/>
          <w:szCs w:val="20"/>
          <w:color w:val="auto"/>
        </w:rPr>
      </w:pPr>
    </w:p>
    <w:p>
      <w:pPr>
        <w:jc w:val="center"/>
        <w:ind w:left="240"/>
        <w:spacing w:after="0"/>
        <w:rPr>
          <w:sz w:val="20"/>
          <w:szCs w:val="20"/>
          <w:color w:val="auto"/>
        </w:rPr>
      </w:pPr>
      <w:r>
        <w:rPr>
          <w:rFonts w:ascii="Arial" w:cs="Arial" w:eastAsia="Arial" w:hAnsi="Arial"/>
          <w:sz w:val="16"/>
          <w:szCs w:val="16"/>
          <w:color w:val="auto"/>
        </w:rPr>
        <w:t>“Option” means Non-Qualified Stock Options and Incentive Stock Options.</w:t>
      </w:r>
    </w:p>
    <w:p>
      <w:pPr>
        <w:spacing w:after="0" w:line="119" w:lineRule="exact"/>
        <w:rPr>
          <w:sz w:val="20"/>
          <w:szCs w:val="20"/>
          <w:color w:val="auto"/>
        </w:rPr>
      </w:pPr>
    </w:p>
    <w:p>
      <w:pPr>
        <w:jc w:val="both"/>
        <w:ind w:right="20" w:firstLine="298"/>
        <w:spacing w:after="0" w:line="241" w:lineRule="auto"/>
        <w:rPr>
          <w:sz w:val="20"/>
          <w:szCs w:val="20"/>
          <w:color w:val="auto"/>
        </w:rPr>
      </w:pPr>
      <w:r>
        <w:rPr>
          <w:rFonts w:ascii="Arial" w:cs="Arial" w:eastAsia="Arial" w:hAnsi="Arial"/>
          <w:sz w:val="16"/>
          <w:szCs w:val="16"/>
          <w:color w:val="auto"/>
        </w:rPr>
        <w:t>“Participant” means an Employee or Eligible Director who has been granted and holds an unexercised or unpaid Award pursuant to this Plan.</w:t>
      </w:r>
    </w:p>
    <w:p>
      <w:pPr>
        <w:spacing w:after="0" w:line="97" w:lineRule="exact"/>
        <w:rPr>
          <w:sz w:val="20"/>
          <w:szCs w:val="20"/>
          <w:color w:val="auto"/>
        </w:rPr>
      </w:pPr>
    </w:p>
    <w:p>
      <w:pPr>
        <w:jc w:val="both"/>
        <w:ind w:firstLine="298"/>
        <w:spacing w:after="0" w:line="245" w:lineRule="auto"/>
        <w:rPr>
          <w:sz w:val="20"/>
          <w:szCs w:val="20"/>
          <w:color w:val="auto"/>
        </w:rPr>
      </w:pPr>
      <w:r>
        <w:rPr>
          <w:rFonts w:ascii="Arial" w:cs="Arial" w:eastAsia="Arial" w:hAnsi="Arial"/>
          <w:sz w:val="15"/>
          <w:szCs w:val="15"/>
          <w:color w:val="auto"/>
        </w:rPr>
        <w:t>“Quantitative Performance Standards” means the goals determined by the Committee, in its discretion, to be applicable to a Participant with respect to an Award. Performance goals for any Award intended to be a Section 162(m) Award (other than stock options) will relate to one or more of the following criteria: stock price (including return on shareholder’s equity or total shareholder return), operating earnings (before or after tax), adjusted operating earnings (before or after tax), operating income, net income, return on equity, return on capital, adjusted return on equity, adjusted return on capital, market share, distributable earnings (before or after holding company expense), improvement in or attainment of level of expenses, revenue, net revenue, growth in revenue, gross profits, gross or net profit margin, operating margin, gross profit growth, earnings before one or more of interest, taxes, depreciation and amortization, cash flow (including operating cash flow and free cash flow), year-end cash, earnings per share, book value, book value per share, return on invested capital, return on assets, sales, net sales, return on sales, economic value added, debt reduction and improvements in or attainment of working capital levels, in each case either in absolute terms or relative to the performance of one or more other companies or a published index covering the performance of a number of companies. As determined by the Committee, the Quantitative Performance Standards applicable to an Award may provide for a targeted level or levels of achievement on a whole company basis or with respect to one or more businesses, business units, segments or Subsidiaries, or on the basis of individual performance. The Quantitative Performance Standards may differ from Participant to Participant and from Award to Award. Any Quantitative Performance Standards that are financial metrics may be determined in accordance with United States Generally Accepted Accounting Principles (“GAAP”), or may be adjusted when established to include or exclude any items otherwise includable or excludable under GAAP. The Committee may provide, in connection with the setting of the Quantitative Performance Standards, that any evaluation of performance may include or exclude certain items that may occur during any fiscal year of the Corporation, including, without limitation, the following: (i) asset write downs; (ii) litigation or claim judgments or settlements; (iii) the effect of changes in tax laws, accounting principles or other laws or provisions affecting reported results;</w:t>
      </w:r>
    </w:p>
    <w:p>
      <w:pPr>
        <w:spacing w:after="0" w:line="369" w:lineRule="exact"/>
        <w:rPr>
          <w:sz w:val="20"/>
          <w:szCs w:val="20"/>
          <w:color w:val="auto"/>
        </w:rPr>
      </w:pPr>
    </w:p>
    <w:p>
      <w:pPr>
        <w:jc w:val="both"/>
        <w:ind w:firstLine="1"/>
        <w:spacing w:after="0" w:line="230" w:lineRule="auto"/>
        <w:tabs>
          <w:tab w:leader="none" w:pos="343"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reorganization and restructuring programs; (v) extraordinary or nonrecurring items, or other notable items; (vi) acquisitions or divestitures;</w:t>
      </w:r>
    </w:p>
    <w:p>
      <w:pPr>
        <w:ind w:left="300" w:hanging="299"/>
        <w:spacing w:after="0"/>
        <w:tabs>
          <w:tab w:leader="none" w:pos="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foreign exchange gains and losses; (viii) discontinued</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operations; (ix) an event either not directly related to the operations of the Corporation or not within the reasonable control of the Corporation’s management; (x) a change in the fiscal year of the Corporation; (xi) costs associated with refinancing or repurchase of bank loans or debt securities;</w:t>
      </w:r>
    </w:p>
    <w:p>
      <w:pPr>
        <w:spacing w:after="0" w:line="1" w:lineRule="exact"/>
        <w:rPr>
          <w:sz w:val="20"/>
          <w:szCs w:val="20"/>
          <w:color w:val="auto"/>
        </w:rPr>
      </w:pPr>
    </w:p>
    <w:p>
      <w:pPr>
        <w:jc w:val="both"/>
        <w:ind w:firstLine="8"/>
        <w:spacing w:after="0" w:line="235" w:lineRule="auto"/>
        <w:tabs>
          <w:tab w:leader="none" w:pos="306" w:val="left"/>
        </w:tabs>
        <w:numPr>
          <w:ilvl w:val="0"/>
          <w:numId w:val="29"/>
        </w:numPr>
        <w:rPr>
          <w:rFonts w:ascii="Arial" w:cs="Arial" w:eastAsia="Arial" w:hAnsi="Arial"/>
          <w:sz w:val="16"/>
          <w:szCs w:val="16"/>
          <w:color w:val="auto"/>
        </w:rPr>
      </w:pPr>
      <w:r>
        <w:rPr>
          <w:rFonts w:ascii="Arial" w:cs="Arial" w:eastAsia="Arial" w:hAnsi="Arial"/>
          <w:sz w:val="16"/>
          <w:szCs w:val="16"/>
          <w:color w:val="auto"/>
        </w:rPr>
        <w:t>unbudgeted capital expenditures; and (xiii) business interruption events. In the case of any Award that is not intended to a Section 162(m) Award, the Committee has discretion to establish Quantitative Performance Standards based on other criteria.</w:t>
      </w:r>
    </w:p>
    <w:p>
      <w:pPr>
        <w:spacing w:after="0" w:line="112" w:lineRule="exact"/>
        <w:rPr>
          <w:sz w:val="20"/>
          <w:szCs w:val="20"/>
          <w:color w:val="auto"/>
        </w:rPr>
      </w:pPr>
    </w:p>
    <w:p>
      <w:pPr>
        <w:jc w:val="both"/>
        <w:ind w:firstLine="298"/>
        <w:spacing w:after="0" w:line="237" w:lineRule="auto"/>
        <w:rPr>
          <w:sz w:val="20"/>
          <w:szCs w:val="20"/>
          <w:color w:val="auto"/>
        </w:rPr>
      </w:pPr>
      <w:r>
        <w:rPr>
          <w:rFonts w:ascii="Arial" w:cs="Arial" w:eastAsia="Arial" w:hAnsi="Arial"/>
          <w:sz w:val="16"/>
          <w:szCs w:val="16"/>
          <w:color w:val="auto"/>
        </w:rPr>
        <w:t>“Rule 16b-3” means Rule 16b-3 promulgated by the Securities and Exchange Commission under Section 16 or any successor rule or regulation as amended from time to time.</w:t>
      </w:r>
    </w:p>
    <w:p>
      <w:pPr>
        <w:spacing w:after="0" w:line="98" w:lineRule="exact"/>
        <w:rPr>
          <w:sz w:val="20"/>
          <w:szCs w:val="20"/>
          <w:color w:val="auto"/>
        </w:rPr>
      </w:pPr>
    </w:p>
    <w:p>
      <w:pPr>
        <w:jc w:val="both"/>
        <w:ind w:firstLine="298"/>
        <w:spacing w:after="0" w:line="237" w:lineRule="auto"/>
        <w:rPr>
          <w:sz w:val="20"/>
          <w:szCs w:val="20"/>
          <w:color w:val="auto"/>
        </w:rPr>
      </w:pPr>
      <w:r>
        <w:rPr>
          <w:rFonts w:ascii="Arial" w:cs="Arial" w:eastAsia="Arial" w:hAnsi="Arial"/>
          <w:sz w:val="16"/>
          <w:szCs w:val="16"/>
          <w:color w:val="auto"/>
        </w:rPr>
        <w:t>“Section 16” means Section 16 of the Exchange Act or any successor statute and the rules promulgated thereunder by the Securities and Exchange Commission, as they may be amended from time to time.</w:t>
      </w:r>
    </w:p>
    <w:p>
      <w:pPr>
        <w:spacing w:after="0" w:line="98" w:lineRule="exact"/>
        <w:rPr>
          <w:sz w:val="20"/>
          <w:szCs w:val="20"/>
          <w:color w:val="auto"/>
        </w:rPr>
      </w:pPr>
    </w:p>
    <w:p>
      <w:pPr>
        <w:jc w:val="both"/>
        <w:ind w:firstLine="298"/>
        <w:spacing w:after="0" w:line="237" w:lineRule="auto"/>
        <w:rPr>
          <w:sz w:val="20"/>
          <w:szCs w:val="20"/>
          <w:color w:val="auto"/>
        </w:rPr>
      </w:pPr>
      <w:r>
        <w:rPr>
          <w:rFonts w:ascii="Arial" w:cs="Arial" w:eastAsia="Arial" w:hAnsi="Arial"/>
          <w:sz w:val="16"/>
          <w:szCs w:val="16"/>
          <w:color w:val="auto"/>
        </w:rPr>
        <w:t>“Section 162(m)” means Section 162(m) of the Code or any successor statute and the Treasury Regulations promulgated thereunder, as they may be amended from time to time.</w:t>
      </w:r>
    </w:p>
    <w:p>
      <w:pPr>
        <w:spacing w:after="0" w:line="111" w:lineRule="exact"/>
        <w:rPr>
          <w:sz w:val="20"/>
          <w:szCs w:val="20"/>
          <w:color w:val="auto"/>
        </w:rPr>
      </w:pPr>
    </w:p>
    <w:p>
      <w:pPr>
        <w:jc w:val="both"/>
        <w:ind w:firstLine="298"/>
        <w:spacing w:after="0" w:line="234" w:lineRule="auto"/>
        <w:rPr>
          <w:sz w:val="20"/>
          <w:szCs w:val="20"/>
          <w:color w:val="auto"/>
        </w:rPr>
      </w:pPr>
      <w:r>
        <w:rPr>
          <w:rFonts w:ascii="Arial" w:cs="Arial" w:eastAsia="Arial" w:hAnsi="Arial"/>
          <w:sz w:val="16"/>
          <w:szCs w:val="16"/>
          <w:color w:val="auto"/>
        </w:rPr>
        <w:t>“Section 162(m) Award” means an Award that is granted to an individual who, at the date of grant, is, or is likely to be, as of the end of the tax year in which the Corporation would claim a tax deduction in connection with such Award, a Covered Employee and is designated by the Committee as a Section 162(m) Award at the time of grant.</w:t>
      </w:r>
    </w:p>
    <w:p>
      <w:pPr>
        <w:spacing w:after="0" w:line="99" w:lineRule="exact"/>
        <w:rPr>
          <w:sz w:val="20"/>
          <w:szCs w:val="20"/>
          <w:color w:val="auto"/>
        </w:rPr>
      </w:pPr>
    </w:p>
    <w:p>
      <w:pPr>
        <w:jc w:val="both"/>
        <w:ind w:firstLine="298"/>
        <w:spacing w:after="0" w:line="237" w:lineRule="auto"/>
        <w:rPr>
          <w:sz w:val="20"/>
          <w:szCs w:val="20"/>
          <w:color w:val="auto"/>
        </w:rPr>
      </w:pPr>
      <w:r>
        <w:rPr>
          <w:rFonts w:ascii="Arial" w:cs="Arial" w:eastAsia="Arial" w:hAnsi="Arial"/>
          <w:sz w:val="16"/>
          <w:szCs w:val="16"/>
          <w:color w:val="auto"/>
        </w:rPr>
        <w:t>“Section 422” means Section 422 of the Code or any successor statute and the Treasury Regulations promulgated thereunder, as they may be amended from time to time.</w:t>
      </w:r>
    </w:p>
    <w:p>
      <w:pPr>
        <w:spacing w:after="0" w:line="98" w:lineRule="exact"/>
        <w:rPr>
          <w:sz w:val="20"/>
          <w:szCs w:val="20"/>
          <w:color w:val="auto"/>
        </w:rPr>
      </w:pPr>
    </w:p>
    <w:p>
      <w:pPr>
        <w:jc w:val="both"/>
        <w:ind w:firstLine="298"/>
        <w:spacing w:after="0" w:line="241" w:lineRule="auto"/>
        <w:rPr>
          <w:sz w:val="20"/>
          <w:szCs w:val="20"/>
          <w:color w:val="auto"/>
        </w:rPr>
      </w:pPr>
      <w:r>
        <w:rPr>
          <w:rFonts w:ascii="Arial" w:cs="Arial" w:eastAsia="Arial" w:hAnsi="Arial"/>
          <w:sz w:val="16"/>
          <w:szCs w:val="16"/>
          <w:color w:val="auto"/>
        </w:rPr>
        <w:t>“Stock” means shares of Common Stock of the Corporation, par value $.01 per share.</w:t>
      </w:r>
    </w:p>
    <w:p>
      <w:pPr>
        <w:spacing w:after="0" w:line="1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“Stock Units” has the meaning ascribed in Section 4(e) of this Plan.</w:t>
      </w:r>
    </w:p>
    <w:p>
      <w:pPr>
        <w:spacing w:after="0" w:line="106" w:lineRule="exact"/>
        <w:rPr>
          <w:sz w:val="20"/>
          <w:szCs w:val="20"/>
          <w:color w:val="auto"/>
        </w:rPr>
      </w:pPr>
    </w:p>
    <w:p>
      <w:pPr>
        <w:jc w:val="both"/>
        <w:ind w:firstLine="298"/>
        <w:spacing w:after="0" w:line="241" w:lineRule="auto"/>
        <w:rPr>
          <w:sz w:val="20"/>
          <w:szCs w:val="20"/>
          <w:color w:val="auto"/>
        </w:rPr>
      </w:pPr>
      <w:r>
        <w:rPr>
          <w:rFonts w:ascii="Arial" w:cs="Arial" w:eastAsia="Arial" w:hAnsi="Arial"/>
          <w:sz w:val="16"/>
          <w:szCs w:val="16"/>
          <w:color w:val="auto"/>
        </w:rPr>
        <w:t>“Subsidiary” means any entity directly or indirectly controlled by the Corporation.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3. Eligibility</w:t>
      </w:r>
    </w:p>
    <w:p>
      <w:pPr>
        <w:spacing w:after="0" w:line="12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Awards may be granted (a) to Employees who are designated from time to time by the Committee or (b) to Eligible Directors.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4. Awards</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Committee may grant any of the following types of Awards, either singly, in tandem or in combination with other Awards, as the Committee may in its sole discretion determine:</w:t>
      </w:r>
    </w:p>
    <w:p>
      <w:pPr>
        <w:spacing w:after="0" w:line="98" w:lineRule="exact"/>
        <w:rPr>
          <w:sz w:val="20"/>
          <w:szCs w:val="20"/>
          <w:color w:val="auto"/>
        </w:rPr>
      </w:pPr>
    </w:p>
    <w:p>
      <w:pPr>
        <w:ind w:left="400" w:right="20" w:hanging="201"/>
        <w:spacing w:after="0" w:line="241" w:lineRule="auto"/>
        <w:rPr>
          <w:sz w:val="20"/>
          <w:szCs w:val="20"/>
          <w:color w:val="auto"/>
        </w:rPr>
      </w:pPr>
      <w:r>
        <w:rPr>
          <w:rFonts w:ascii="Arial" w:cs="Arial" w:eastAsia="Arial" w:hAnsi="Arial"/>
          <w:sz w:val="16"/>
          <w:szCs w:val="16"/>
          <w:color w:val="auto"/>
        </w:rPr>
        <w:t>(a)Non-Qualified Stock Options. A Non-Qualified Stock Option is an Award that is a right to purchase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-3707130</wp:posOffset>
            </wp:positionH>
            <wp:positionV relativeFrom="paragraph">
              <wp:posOffset>-19050</wp:posOffset>
            </wp:positionV>
            <wp:extent cx="729678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2">
            <w:col w:w="5600" w:space="220"/>
            <w:col w:w="5600"/>
          </w:cols>
          <w:pgMar w:left="240" w:top="739" w:right="239" w:bottom="1440" w:gutter="0" w:footer="0" w:header="0"/>
        </w:sectPr>
      </w:pPr>
    </w:p>
    <w:bookmarkStart w:id="63" w:name="page64"/>
    <w:bookmarkEnd w:id="63"/>
    <w:p>
      <w:pPr>
        <w:jc w:val="both"/>
        <w:spacing w:after="0" w:line="235" w:lineRule="auto"/>
        <w:rPr>
          <w:sz w:val="20"/>
          <w:szCs w:val="20"/>
          <w:color w:val="auto"/>
        </w:rPr>
      </w:pPr>
      <w:r>
        <w:rPr>
          <w:rFonts w:ascii="Arial" w:cs="Arial" w:eastAsia="Arial" w:hAnsi="Arial"/>
          <w:sz w:val="16"/>
          <w:szCs w:val="16"/>
          <w:color w:val="auto"/>
        </w:rPr>
        <w:t>specified number of shares of Stock during such specified time as the Committee may determine at a price not less than 100% of the Fair Market Value of the Stock on the date such Award is granted, other than an Incentive Stock Option.</w:t>
      </w:r>
    </w:p>
    <w:p>
      <w:pPr>
        <w:spacing w:after="0" w:line="263" w:lineRule="exact"/>
        <w:rPr>
          <w:sz w:val="20"/>
          <w:szCs w:val="20"/>
          <w:color w:val="auto"/>
        </w:rPr>
      </w:pPr>
    </w:p>
    <w:p>
      <w:pPr>
        <w:jc w:val="both"/>
        <w:ind w:left="580" w:right="20" w:hanging="188"/>
        <w:spacing w:after="0" w:line="233" w:lineRule="auto"/>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exercise price of the Stock subject to the Non-Qualified Stock Option may be paid in cash. At the discretion of the Committee, the exercise price may also be paid by the tender of Stock, or through a combination of Stock and cash, or through such other means as the Committee determines are consistent with the Plan’s purpose and applicable law. No fractional shares of Stock will be issued or accepted.</w:t>
      </w:r>
    </w:p>
    <w:p>
      <w:pPr>
        <w:spacing w:after="0" w:line="99" w:lineRule="exact"/>
        <w:rPr>
          <w:sz w:val="20"/>
          <w:szCs w:val="20"/>
          <w:color w:val="auto"/>
        </w:rPr>
      </w:pPr>
    </w:p>
    <w:p>
      <w:pPr>
        <w:jc w:val="both"/>
        <w:ind w:left="580" w:right="20" w:hanging="188"/>
        <w:spacing w:after="0" w:line="234" w:lineRule="auto"/>
        <w:rPr>
          <w:sz w:val="20"/>
          <w:szCs w:val="20"/>
          <w:color w:val="auto"/>
        </w:rPr>
      </w:pPr>
      <w:r>
        <w:rPr>
          <w:rFonts w:ascii="Arial" w:cs="Arial" w:eastAsia="Arial" w:hAnsi="Arial"/>
          <w:sz w:val="16"/>
          <w:szCs w:val="16"/>
          <w:color w:val="auto"/>
        </w:rPr>
        <w:t>(ii)Without limiting the foregoing, to the extent permitted by law (including relevant state law), the Committee may agree to accept, as full or partial payment of the purchase price of Stock issued upon exercise of Non-Qualified Stock Options, any other form of payment deemed acceptable to the Committee.</w:t>
      </w:r>
    </w:p>
    <w:p>
      <w:pPr>
        <w:spacing w:after="0" w:line="99" w:lineRule="exact"/>
        <w:rPr>
          <w:sz w:val="20"/>
          <w:szCs w:val="20"/>
          <w:color w:val="auto"/>
        </w:rPr>
      </w:pPr>
    </w:p>
    <w:p>
      <w:pPr>
        <w:jc w:val="both"/>
        <w:ind w:left="600" w:right="20" w:hanging="213"/>
        <w:spacing w:after="0" w:line="241" w:lineRule="auto"/>
        <w:rPr>
          <w:sz w:val="20"/>
          <w:szCs w:val="20"/>
          <w:color w:val="auto"/>
        </w:rPr>
      </w:pPr>
      <w:r>
        <w:rPr>
          <w:rFonts w:ascii="Arial" w:cs="Arial" w:eastAsia="Arial" w:hAnsi="Arial"/>
          <w:sz w:val="16"/>
          <w:szCs w:val="16"/>
          <w:color w:val="auto"/>
        </w:rPr>
        <w:t>(iii)No Non-Qualified Stock Option may be exercisable more than ten years after the date the Award is granted.</w:t>
      </w:r>
    </w:p>
    <w:p>
      <w:pPr>
        <w:spacing w:after="0" w:line="97" w:lineRule="exact"/>
        <w:rPr>
          <w:sz w:val="20"/>
          <w:szCs w:val="20"/>
          <w:color w:val="auto"/>
        </w:rPr>
      </w:pPr>
    </w:p>
    <w:p>
      <w:pPr>
        <w:jc w:val="both"/>
        <w:ind w:left="400" w:right="20" w:hanging="201"/>
        <w:spacing w:after="0" w:line="234" w:lineRule="auto"/>
        <w:rPr>
          <w:sz w:val="20"/>
          <w:szCs w:val="20"/>
          <w:color w:val="auto"/>
        </w:rPr>
      </w:pPr>
      <w:r>
        <w:rPr>
          <w:rFonts w:ascii="Arial" w:cs="Arial" w:eastAsia="Arial" w:hAnsi="Arial"/>
          <w:sz w:val="16"/>
          <w:szCs w:val="16"/>
          <w:color w:val="auto"/>
        </w:rPr>
        <w:t>(b)Incentive Stock Options. An Incentive Stock Option is an Award that is a right to purchase a specified number of shares of Stock during such specified time as the Committee may determine at a price not less than 100% of the Fair Market Value of the Stock on the date such award is granted and that complies with the requirements of Section 422.</w:t>
      </w:r>
    </w:p>
    <w:p>
      <w:pPr>
        <w:spacing w:after="0" w:line="99" w:lineRule="exact"/>
        <w:rPr>
          <w:sz w:val="20"/>
          <w:szCs w:val="20"/>
          <w:color w:val="auto"/>
        </w:rPr>
      </w:pPr>
    </w:p>
    <w:p>
      <w:pPr>
        <w:jc w:val="both"/>
        <w:ind w:left="580" w:right="20" w:hanging="188"/>
        <w:spacing w:after="0" w:line="232"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 the extent that the aggregate Fair Market Value (determined at the time of the grant of the Award) of the shares subject to Incentive Stock Options, which are exercisable, by one person for the first time during a particular calendar year exceeds $100,000, such excess shall be treated as Non-Qualified Stock Options. For purposes of the preceding sentence, the term “Incentive Stock Option” shall mean a right to purchase Stock that is granted pursuant to this Section 4(b) or pursuant to any other plan of the Corporation, which is intended to comply with Section 422.</w:t>
      </w:r>
    </w:p>
    <w:p>
      <w:pPr>
        <w:spacing w:after="0" w:line="102" w:lineRule="exact"/>
        <w:rPr>
          <w:sz w:val="20"/>
          <w:szCs w:val="20"/>
          <w:color w:val="auto"/>
        </w:rPr>
      </w:pPr>
    </w:p>
    <w:p>
      <w:pPr>
        <w:jc w:val="both"/>
        <w:ind w:left="580" w:right="20" w:hanging="188"/>
        <w:spacing w:after="0" w:line="241" w:lineRule="auto"/>
        <w:rPr>
          <w:sz w:val="20"/>
          <w:szCs w:val="20"/>
          <w:color w:val="auto"/>
        </w:rPr>
      </w:pPr>
      <w:r>
        <w:rPr>
          <w:rFonts w:ascii="Arial" w:cs="Arial" w:eastAsia="Arial" w:hAnsi="Arial"/>
          <w:sz w:val="16"/>
          <w:szCs w:val="16"/>
          <w:color w:val="auto"/>
        </w:rPr>
        <w:t>(ii)No Incentive Stock Option may be exercisable more than ten years after the date the Award is granted.</w:t>
      </w:r>
    </w:p>
    <w:p>
      <w:pPr>
        <w:spacing w:after="0" w:line="97" w:lineRule="exact"/>
        <w:rPr>
          <w:sz w:val="20"/>
          <w:szCs w:val="20"/>
          <w:color w:val="auto"/>
        </w:rPr>
      </w:pPr>
    </w:p>
    <w:p>
      <w:pPr>
        <w:jc w:val="both"/>
        <w:ind w:left="600" w:right="20" w:hanging="213"/>
        <w:spacing w:after="0" w:line="237" w:lineRule="auto"/>
        <w:rPr>
          <w:sz w:val="20"/>
          <w:szCs w:val="20"/>
          <w:color w:val="auto"/>
        </w:rPr>
      </w:pPr>
      <w:r>
        <w:rPr>
          <w:rFonts w:ascii="Arial" w:cs="Arial" w:eastAsia="Arial" w:hAnsi="Arial"/>
          <w:sz w:val="16"/>
          <w:szCs w:val="16"/>
          <w:color w:val="auto"/>
        </w:rPr>
        <w:t>(iii)The Committee may provide that the exercise price under an Incentive Stock Option may be paid by one or more of the methods available for paying the exercise price of a Non-Qualified Stock Option.</w:t>
      </w:r>
    </w:p>
    <w:p>
      <w:pPr>
        <w:spacing w:after="0" w:line="98" w:lineRule="exact"/>
        <w:rPr>
          <w:sz w:val="20"/>
          <w:szCs w:val="20"/>
          <w:color w:val="auto"/>
        </w:rPr>
      </w:pPr>
    </w:p>
    <w:p>
      <w:pPr>
        <w:ind w:left="380" w:right="20" w:hanging="188"/>
        <w:spacing w:after="0" w:line="241" w:lineRule="auto"/>
        <w:rPr>
          <w:sz w:val="20"/>
          <w:szCs w:val="20"/>
          <w:color w:val="auto"/>
        </w:rPr>
      </w:pPr>
      <w:r>
        <w:rPr>
          <w:rFonts w:ascii="Arial" w:cs="Arial" w:eastAsia="Arial" w:hAnsi="Arial"/>
          <w:sz w:val="16"/>
          <w:szCs w:val="16"/>
          <w:color w:val="auto"/>
        </w:rPr>
        <w:t>(c)Stock Appreciation Rights. A Stock Appreciation Right is an Award that is the right to receive the excess of (i) the Fair Market Value of a share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613410</wp:posOffset>
            </wp:positionV>
            <wp:extent cx="729678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183"/>
        <w:spacing w:after="0" w:line="234" w:lineRule="auto"/>
        <w:rPr>
          <w:sz w:val="20"/>
          <w:szCs w:val="20"/>
          <w:color w:val="auto"/>
        </w:rPr>
      </w:pPr>
      <w:r>
        <w:rPr>
          <w:rFonts w:ascii="Arial" w:cs="Arial" w:eastAsia="Arial" w:hAnsi="Arial"/>
          <w:sz w:val="16"/>
          <w:szCs w:val="16"/>
          <w:color w:val="auto"/>
        </w:rPr>
        <w:t>Stock on the date of exercise over (ii) the base price of the right on the date of grant, which shall not be less than 100% of the Fair Market Value of the Stock on the date such award is granted. No Stock Appreciation Right may be exercisable more than ten years after the date the Award is granted.</w:t>
      </w:r>
    </w:p>
    <w:p>
      <w:pPr>
        <w:spacing w:after="0" w:line="99" w:lineRule="exact"/>
        <w:rPr>
          <w:sz w:val="20"/>
          <w:szCs w:val="20"/>
          <w:color w:val="auto"/>
        </w:rPr>
      </w:pPr>
    </w:p>
    <w:p>
      <w:pPr>
        <w:jc w:val="both"/>
        <w:ind w:left="203" w:hanging="201"/>
        <w:spacing w:after="0" w:line="234" w:lineRule="auto"/>
        <w:rPr>
          <w:sz w:val="20"/>
          <w:szCs w:val="20"/>
          <w:color w:val="auto"/>
        </w:rPr>
      </w:pPr>
      <w:r>
        <w:rPr>
          <w:rFonts w:ascii="Arial" w:cs="Arial" w:eastAsia="Arial" w:hAnsi="Arial"/>
          <w:sz w:val="16"/>
          <w:szCs w:val="16"/>
          <w:color w:val="auto"/>
        </w:rPr>
        <w:t>(d)Restricted Stock. Restricted Stock is Stock of the Corporation that is issued to a Participant and is subject to restrictions on transfer and/or such other restrictions or incidents of ownership as the Committee may determine, including shares that are subject to Quantitative Performance Standards.</w:t>
      </w:r>
    </w:p>
    <w:p>
      <w:pPr>
        <w:spacing w:after="0" w:line="99" w:lineRule="exact"/>
        <w:rPr>
          <w:sz w:val="20"/>
          <w:szCs w:val="20"/>
          <w:color w:val="auto"/>
        </w:rPr>
      </w:pPr>
    </w:p>
    <w:p>
      <w:pPr>
        <w:jc w:val="both"/>
        <w:ind w:left="203" w:hanging="201"/>
        <w:spacing w:after="0" w:line="230" w:lineRule="auto"/>
        <w:rPr>
          <w:sz w:val="20"/>
          <w:szCs w:val="20"/>
          <w:color w:val="auto"/>
        </w:rPr>
      </w:pPr>
      <w:r>
        <w:rPr>
          <w:rFonts w:ascii="Arial" w:cs="Arial" w:eastAsia="Arial" w:hAnsi="Arial"/>
          <w:sz w:val="16"/>
          <w:szCs w:val="16"/>
          <w:color w:val="auto"/>
        </w:rPr>
        <w:t>(e)Other Stock-Based Awards. The Committee may from time to time grant Awards under this Plan that (i) are valued in whole or in part by reference to, or are otherwise based on, Stock or other property (“Stock Units”),</w:t>
      </w:r>
    </w:p>
    <w:p>
      <w:pPr>
        <w:spacing w:after="0" w:line="1" w:lineRule="exact"/>
        <w:rPr>
          <w:sz w:val="20"/>
          <w:szCs w:val="20"/>
          <w:color w:val="auto"/>
        </w:rPr>
      </w:pPr>
    </w:p>
    <w:p>
      <w:pPr>
        <w:jc w:val="both"/>
        <w:ind w:left="203" w:hanging="1"/>
        <w:spacing w:after="0" w:line="232" w:lineRule="auto"/>
        <w:tabs>
          <w:tab w:leader="none" w:pos="457"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provide the Participant with any other right to purchase or receive Stock or (iii) otherwise relate to Stock (including, but not limited to phantom securities or dividend equivalents), including, in each case, awards granted subject to Quantitative Performance Standards. Such Awards shall be in a form determined by the Committee (and may include terms contingent upon a Change in Control of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such Awards shall not be inconsistent with the terms and purposes of the Plan.</w:t>
      </w:r>
    </w:p>
    <w:p>
      <w:pPr>
        <w:spacing w:after="0" w:line="103" w:lineRule="exact"/>
        <w:rPr>
          <w:rFonts w:ascii="Arial" w:cs="Arial" w:eastAsia="Arial" w:hAnsi="Arial"/>
          <w:sz w:val="16"/>
          <w:szCs w:val="16"/>
          <w:color w:val="auto"/>
        </w:rPr>
      </w:pPr>
    </w:p>
    <w:p>
      <w:pPr>
        <w:jc w:val="both"/>
        <w:ind w:left="183" w:hanging="183"/>
        <w:spacing w:after="0" w:line="231" w:lineRule="auto"/>
        <w:tabs>
          <w:tab w:leader="none" w:pos="1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Except as provided in Section 9 hereof, no Option or Stock Appreciation Right may be amended to reduce the exercise price of such Option or the base price of such Stock Appreciation Right, as applicable, below the exercise price or base price of such Option or Stock Appreciation Right without shareholder approval. In addition, other than as provided in Section 9 hereof, (i) no Option or Stock Appreciation Right may be granted in exchange for the cancellation or surrender of an Option, Stock Appreciation Right or other award having a lower exercise price or base price and (ii) no Option may be granted with an automatic reload feature whereby the Corporation is obligated to grant a new Award hereunder upon the exercise of the Option, in either case, without shareholder approval. In addition, no action may be taken without shareholder approval with respect to an Option or Stock Appreciation Right that may be treated as a repricing under the rules and regulations of the New York Stock Exchange. In no event shall the Corporation pay cash or other consideration for Options where at the time of payment the exercise price of the Option is less than the Fair Market Value of the Stock underlying the Option or pay cash or other consideration for Stock Appreciation Rights where at the time of payment the base price established in the Award is less than the Fair Market Value of the Stock underling the Stock Appreciation Right.</w:t>
      </w:r>
    </w:p>
    <w:p>
      <w:pPr>
        <w:sectPr>
          <w:pgSz w:w="11900" w:h="16838" w:orient="portrait"/>
          <w:cols w:equalWidth="0" w:num="2">
            <w:col w:w="5600" w:space="417"/>
            <w:col w:w="5403"/>
          </w:cols>
          <w:pgMar w:left="240" w:top="449" w:right="239" w:bottom="1440" w:gutter="0" w:footer="0" w:header="0"/>
        </w:sectPr>
      </w:pPr>
    </w:p>
    <w:bookmarkStart w:id="64" w:name="page65"/>
    <w:bookmarkEnd w:id="64"/>
    <w:p>
      <w:pPr>
        <w:jc w:val="both"/>
        <w:ind w:left="400" w:right="20" w:hanging="201"/>
        <w:spacing w:after="0" w:line="231" w:lineRule="auto"/>
        <w:rPr>
          <w:sz w:val="20"/>
          <w:szCs w:val="20"/>
          <w:color w:val="auto"/>
        </w:rPr>
      </w:pPr>
      <w:r>
        <w:rPr>
          <w:rFonts w:ascii="Arial" w:cs="Arial" w:eastAsia="Arial" w:hAnsi="Arial"/>
          <w:sz w:val="16"/>
          <w:szCs w:val="16"/>
          <w:color w:val="auto"/>
        </w:rPr>
        <w:t xml:space="preserve">(g)The Committee shall determine the time or times at which an Award will vest or become exercisable and the terms on which an Award requiring exercise will remain exercisable,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except in the case of Awards made in connection with Eligible Directors or the recruitment of new Employees (including new officers), or as otherwise provided in Section 10 hereof, or otherwise provided by the Award Agreement in connection with retirement, disability or death of the participant, (i) Non-Qualified Stock Options shall vest in equal annual installments over a period of not less than three years and (ii) Restricted Stock, Stock Units, Incentive Stock Options and Stock Appreciation Rights shall vest not earlier than one year from the grant date of the Award. The Committee may, in its sole discretion, waive, in whole or in part, any remaining conditions to vesting or exercisability,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for the avoidance of doubt, such unilateral discretion shall not apply to any Section 162(m) Award to the extent such action would result in such Award not being tax deductible under Section 162(m).</w:t>
      </w:r>
    </w:p>
    <w:p>
      <w:pPr>
        <w:spacing w:after="0" w:line="173" w:lineRule="exact"/>
        <w:rPr>
          <w:sz w:val="20"/>
          <w:szCs w:val="20"/>
          <w:color w:val="auto"/>
        </w:rPr>
      </w:pPr>
    </w:p>
    <w:p>
      <w:pPr>
        <w:spacing w:after="0" w:line="267" w:lineRule="auto"/>
        <w:rPr>
          <w:sz w:val="20"/>
          <w:szCs w:val="20"/>
          <w:color w:val="auto"/>
        </w:rPr>
      </w:pPr>
      <w:r>
        <w:rPr>
          <w:rFonts w:ascii="Arial" w:cs="Arial" w:eastAsia="Arial" w:hAnsi="Arial"/>
          <w:sz w:val="16"/>
          <w:szCs w:val="16"/>
          <w:b w:val="1"/>
          <w:bCs w:val="1"/>
          <w:color w:val="auto"/>
        </w:rPr>
        <w:t>SECTION 5. Shares of Stock and Other Stock-Based Awards Available Under Plan</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(a)Subject to the adjustment provisions of Section 9 hereof:</w:t>
      </w:r>
    </w:p>
    <w:p>
      <w:pPr>
        <w:spacing w:after="0" w:line="106" w:lineRule="exact"/>
        <w:rPr>
          <w:sz w:val="20"/>
          <w:szCs w:val="20"/>
          <w:color w:val="auto"/>
        </w:rPr>
      </w:pPr>
    </w:p>
    <w:p>
      <w:pPr>
        <w:jc w:val="both"/>
        <w:ind w:left="580" w:right="20" w:hanging="188"/>
        <w:spacing w:after="0" w:line="235" w:lineRule="auto"/>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the aggregate number of shares of Stock with respect to which Awards payable in securities may be granted under the Plan shall be no more than 5,800,000,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all of such shares may be granted under the Plan as Incentive Stock Options;</w:t>
      </w:r>
    </w:p>
    <w:p>
      <w:pPr>
        <w:spacing w:after="0" w:line="99" w:lineRule="exact"/>
        <w:rPr>
          <w:sz w:val="20"/>
          <w:szCs w:val="20"/>
          <w:color w:val="auto"/>
        </w:rPr>
      </w:pPr>
    </w:p>
    <w:p>
      <w:pPr>
        <w:jc w:val="both"/>
        <w:ind w:left="580" w:right="20" w:hanging="188"/>
        <w:spacing w:after="0" w:line="234" w:lineRule="auto"/>
        <w:rPr>
          <w:sz w:val="20"/>
          <w:szCs w:val="20"/>
          <w:color w:val="auto"/>
        </w:rPr>
      </w:pPr>
      <w:r>
        <w:rPr>
          <w:rFonts w:ascii="Arial" w:cs="Arial" w:eastAsia="Arial" w:hAnsi="Arial"/>
          <w:sz w:val="16"/>
          <w:szCs w:val="16"/>
          <w:color w:val="auto"/>
        </w:rPr>
        <w:t>(ii)the aggregate number of shares with respect to which Restricted Stock and Other Stock-Based Awards, including Stock Units, may be granted in any one year to any individual shall be no more than (A) in the case of an Employee, 300,000 and (B) in the case of an Eligible Director, 7,000; and</w:t>
      </w:r>
    </w:p>
    <w:p>
      <w:pPr>
        <w:spacing w:after="0" w:line="99" w:lineRule="exact"/>
        <w:rPr>
          <w:sz w:val="20"/>
          <w:szCs w:val="20"/>
          <w:color w:val="auto"/>
        </w:rPr>
      </w:pPr>
    </w:p>
    <w:p>
      <w:pPr>
        <w:jc w:val="both"/>
        <w:ind w:left="600" w:right="20" w:hanging="213"/>
        <w:spacing w:after="0" w:line="235" w:lineRule="auto"/>
        <w:rPr>
          <w:sz w:val="20"/>
          <w:szCs w:val="20"/>
          <w:color w:val="auto"/>
        </w:rPr>
      </w:pPr>
      <w:r>
        <w:rPr>
          <w:rFonts w:ascii="Arial" w:cs="Arial" w:eastAsia="Arial" w:hAnsi="Arial"/>
          <w:sz w:val="16"/>
          <w:szCs w:val="16"/>
          <w:color w:val="auto"/>
        </w:rPr>
        <w:t>(iii)the aggregate number of shares with respect to which Options or Stock Appreciation Rights may be granted in any one year to any individual shall be no more than (A) in the case of an Employee, 300,000 and (B) in the case of an Eligible Director, 20,000.</w:t>
      </w:r>
    </w:p>
    <w:p>
      <w:pPr>
        <w:spacing w:after="0" w:line="99" w:lineRule="exact"/>
        <w:rPr>
          <w:sz w:val="20"/>
          <w:szCs w:val="20"/>
          <w:color w:val="auto"/>
        </w:rPr>
      </w:pPr>
    </w:p>
    <w:p>
      <w:pPr>
        <w:jc w:val="both"/>
        <w:ind w:left="400" w:right="20" w:hanging="201"/>
        <w:spacing w:after="0" w:line="233" w:lineRule="auto"/>
        <w:rPr>
          <w:sz w:val="20"/>
          <w:szCs w:val="20"/>
          <w:color w:val="auto"/>
        </w:rPr>
      </w:pPr>
      <w:r>
        <w:rPr>
          <w:rFonts w:ascii="Arial" w:cs="Arial" w:eastAsia="Arial" w:hAnsi="Arial"/>
          <w:sz w:val="16"/>
          <w:szCs w:val="16"/>
          <w:color w:val="auto"/>
        </w:rPr>
        <w:t>(b)Any unexercised or undistributed portion of any cancelled, terminated or forfeited Award (other than an Award terminated or forfeited by reason of the exercise of any Award granted in tandem therewith) and any shares tendered or withheld in satisfaction of tax withholding obligations in connection with an Award shall be available for further Awards in addition to those available under Section 5(a)</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from and after May 23, 2006 neither</w:t>
      </w:r>
    </w:p>
    <w:p>
      <w:pPr>
        <w:jc w:val="both"/>
        <w:ind w:left="380" w:right="20" w:firstLine="7"/>
        <w:spacing w:after="0" w:line="230" w:lineRule="auto"/>
        <w:tabs>
          <w:tab w:leader="none" w:pos="598" w:val="left"/>
        </w:tabs>
        <w:numPr>
          <w:ilvl w:val="0"/>
          <w:numId w:val="35"/>
        </w:numPr>
        <w:rPr>
          <w:rFonts w:ascii="Arial" w:cs="Arial" w:eastAsia="Arial" w:hAnsi="Arial"/>
          <w:sz w:val="16"/>
          <w:szCs w:val="16"/>
          <w:color w:val="auto"/>
        </w:rPr>
      </w:pPr>
      <w:r>
        <w:rPr>
          <w:rFonts w:ascii="Arial" w:cs="Arial" w:eastAsia="Arial" w:hAnsi="Arial"/>
          <w:sz w:val="16"/>
          <w:szCs w:val="16"/>
          <w:color w:val="auto"/>
        </w:rPr>
        <w:t>shares tendered as full or partial payment to the Corporation upon exercise of a Non-Qualified Stock Option granted under the Plan, nor</w:t>
      </w:r>
    </w:p>
    <w:p>
      <w:pPr>
        <w:jc w:val="both"/>
        <w:ind w:left="380" w:right="20" w:firstLine="7"/>
        <w:spacing w:after="0" w:line="237" w:lineRule="auto"/>
        <w:tabs>
          <w:tab w:leader="none" w:pos="606" w:val="left"/>
        </w:tabs>
        <w:numPr>
          <w:ilvl w:val="0"/>
          <w:numId w:val="35"/>
        </w:numPr>
        <w:rPr>
          <w:rFonts w:ascii="Arial" w:cs="Arial" w:eastAsia="Arial" w:hAnsi="Arial"/>
          <w:sz w:val="16"/>
          <w:szCs w:val="16"/>
          <w:color w:val="auto"/>
        </w:rPr>
      </w:pPr>
      <w:r>
        <w:rPr>
          <w:rFonts w:ascii="Arial" w:cs="Arial" w:eastAsia="Arial" w:hAnsi="Arial"/>
          <w:sz w:val="16"/>
          <w:szCs w:val="16"/>
          <w:color w:val="auto"/>
        </w:rPr>
        <w:t>shares subject to Stock Appreciation Rights that are not used to settle the Stock Appreciation Right upon exercise, shall become available for further Awards under the Plan.</w:t>
      </w:r>
    </w:p>
    <w:p>
      <w:pPr>
        <w:spacing w:after="0" w:line="98" w:lineRule="exact"/>
        <w:rPr>
          <w:sz w:val="20"/>
          <w:szCs w:val="20"/>
          <w:color w:val="auto"/>
        </w:rPr>
      </w:pPr>
    </w:p>
    <w:p>
      <w:pPr>
        <w:jc w:val="both"/>
        <w:ind w:left="380" w:right="20" w:hanging="188"/>
        <w:spacing w:after="0" w:line="237" w:lineRule="auto"/>
        <w:rPr>
          <w:sz w:val="20"/>
          <w:szCs w:val="20"/>
          <w:color w:val="auto"/>
        </w:rPr>
      </w:pPr>
      <w:r>
        <w:rPr>
          <w:rFonts w:ascii="Arial" w:cs="Arial" w:eastAsia="Arial" w:hAnsi="Arial"/>
          <w:sz w:val="16"/>
          <w:szCs w:val="16"/>
          <w:color w:val="auto"/>
        </w:rPr>
        <w:t>(c)For the purposes of computing the aggregate number of shares with respect to which awards payable in securities may be granted under the Plan, the following rules shall apply:</w:t>
      </w:r>
    </w:p>
    <w:p>
      <w:pPr>
        <w:spacing w:after="0" w:line="98" w:lineRule="exact"/>
        <w:rPr>
          <w:sz w:val="20"/>
          <w:szCs w:val="20"/>
          <w:color w:val="auto"/>
        </w:rPr>
      </w:pPr>
    </w:p>
    <w:p>
      <w:pPr>
        <w:jc w:val="both"/>
        <w:ind w:left="580" w:right="20" w:hanging="181"/>
        <w:spacing w:after="0" w:line="237"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each Option shall be deemed to be the equivalent of the maximum number of shares that may be issued upon exercise of the particular Option;</w:t>
      </w:r>
    </w:p>
    <w:p>
      <w:pPr>
        <w:spacing w:after="0" w:line="98" w:lineRule="exact"/>
        <w:rPr>
          <w:sz w:val="20"/>
          <w:szCs w:val="20"/>
          <w:color w:val="auto"/>
        </w:rPr>
      </w:pPr>
    </w:p>
    <w:p>
      <w:pPr>
        <w:jc w:val="both"/>
        <w:ind w:left="580" w:hanging="188"/>
        <w:spacing w:after="0" w:line="237" w:lineRule="auto"/>
        <w:rPr>
          <w:sz w:val="20"/>
          <w:szCs w:val="20"/>
          <w:color w:val="auto"/>
        </w:rPr>
      </w:pPr>
      <w:r>
        <w:rPr>
          <w:rFonts w:ascii="Arial" w:cs="Arial" w:eastAsia="Arial" w:hAnsi="Arial"/>
          <w:sz w:val="16"/>
          <w:szCs w:val="16"/>
          <w:color w:val="auto"/>
        </w:rPr>
        <w:t>(ii)each Stock Appreciation Right and each Other Stock-Based Award shall be deemed to be equal to the number of shares to which it relates;</w:t>
      </w:r>
    </w:p>
    <w:p>
      <w:pPr>
        <w:spacing w:after="0" w:line="98" w:lineRule="exact"/>
        <w:rPr>
          <w:sz w:val="20"/>
          <w:szCs w:val="20"/>
          <w:color w:val="auto"/>
        </w:rPr>
      </w:pPr>
    </w:p>
    <w:p>
      <w:pPr>
        <w:jc w:val="both"/>
        <w:ind w:left="620" w:hanging="213"/>
        <w:spacing w:after="0" w:line="235" w:lineRule="auto"/>
        <w:rPr>
          <w:sz w:val="20"/>
          <w:szCs w:val="20"/>
          <w:color w:val="auto"/>
        </w:rPr>
      </w:pPr>
      <w:r>
        <w:rPr>
          <w:rFonts w:ascii="Arial" w:cs="Arial" w:eastAsia="Arial" w:hAnsi="Arial"/>
          <w:sz w:val="16"/>
          <w:szCs w:val="16"/>
          <w:color w:val="auto"/>
        </w:rPr>
        <w:t>(iii)where the number of shares available under the Award is variable on the date it is granted, the number of shares shall be deemed to be the maximum number of shares that could be received under that particular Award; and</w:t>
      </w:r>
    </w:p>
    <w:p>
      <w:pPr>
        <w:spacing w:after="0" w:line="99" w:lineRule="exact"/>
        <w:rPr>
          <w:sz w:val="20"/>
          <w:szCs w:val="20"/>
          <w:color w:val="auto"/>
        </w:rPr>
      </w:pPr>
    </w:p>
    <w:p>
      <w:pPr>
        <w:jc w:val="both"/>
        <w:ind w:left="620" w:hanging="226"/>
        <w:spacing w:after="0" w:line="251" w:lineRule="auto"/>
        <w:rPr>
          <w:sz w:val="20"/>
          <w:szCs w:val="20"/>
          <w:color w:val="auto"/>
        </w:rPr>
      </w:pPr>
      <w:r>
        <w:rPr>
          <w:rFonts w:ascii="Arial" w:cs="Arial" w:eastAsia="Arial" w:hAnsi="Arial"/>
          <w:sz w:val="15"/>
          <w:szCs w:val="15"/>
          <w:color w:val="auto"/>
        </w:rPr>
        <w:t>(iv)where one or more types of Awards (both of which are payable in Stock or another security) are granted in tandem with each other, such that the exercise of one type of Award with respect to a number of shares cancels an equal number of shares of the other type of Award, each such tandem Award shall be deemed to cover only the number of shares to be issued under the surviving tandem component.</w:t>
      </w:r>
    </w:p>
    <w:p>
      <w:pPr>
        <w:spacing w:after="0" w:line="179" w:lineRule="exact"/>
        <w:rPr>
          <w:sz w:val="20"/>
          <w:szCs w:val="20"/>
          <w:color w:val="auto"/>
        </w:rPr>
      </w:pPr>
    </w:p>
    <w:p>
      <w:pPr>
        <w:jc w:val="both"/>
        <w:ind w:left="400"/>
        <w:spacing w:after="0" w:line="235" w:lineRule="auto"/>
        <w:rPr>
          <w:sz w:val="20"/>
          <w:szCs w:val="20"/>
          <w:color w:val="auto"/>
        </w:rPr>
      </w:pPr>
      <w:r>
        <w:rPr>
          <w:rFonts w:ascii="Arial" w:cs="Arial" w:eastAsia="Arial" w:hAnsi="Arial"/>
          <w:sz w:val="16"/>
          <w:szCs w:val="16"/>
          <w:color w:val="auto"/>
        </w:rPr>
        <w:t>Additional rules for determining the aggregate number of shares with respect to which awards payable in securities may be granted under the Plan may be made by the Committee, as it deems necessary or appropriate.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6. Award Agreements</w:t>
      </w:r>
    </w:p>
    <w:p>
      <w:pPr>
        <w:spacing w:after="0" w:line="126"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Each Award under this Plan shall be evidenced by an Award Agreement setting forth the number of shares of Stock or Stock Units subject to the Award and such other terms and conditions applicable to the Award as determined by the Committee. Award Agreements may include the following terms:</w:t>
      </w:r>
    </w:p>
    <w:p>
      <w:pPr>
        <w:spacing w:after="0" w:line="87" w:lineRule="exact"/>
        <w:rPr>
          <w:sz w:val="20"/>
          <w:szCs w:val="20"/>
          <w:color w:val="auto"/>
        </w:rPr>
      </w:pPr>
    </w:p>
    <w:p>
      <w:pPr>
        <w:jc w:val="both"/>
        <w:ind w:left="400" w:right="20" w:hanging="201"/>
        <w:spacing w:after="0" w:line="259" w:lineRule="auto"/>
        <w:rPr>
          <w:sz w:val="20"/>
          <w:szCs w:val="20"/>
          <w:color w:val="auto"/>
        </w:rPr>
      </w:pPr>
      <w:r>
        <w:rPr>
          <w:rFonts w:ascii="Arial" w:cs="Arial" w:eastAsia="Arial" w:hAnsi="Arial"/>
          <w:sz w:val="15"/>
          <w:szCs w:val="15"/>
          <w:color w:val="auto"/>
        </w:rPr>
        <w:t>(a)Termination of Employment or Service as Director: A provision describing the treatment of an Award in the event of the retirement, disability, death or other termination of a Participant’s employment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-3707130</wp:posOffset>
            </wp:positionH>
            <wp:positionV relativeFrom="paragraph">
              <wp:posOffset>453390</wp:posOffset>
            </wp:positionV>
            <wp:extent cx="729678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2">
            <w:col w:w="5600" w:space="220"/>
            <w:col w:w="5600"/>
          </w:cols>
          <w:pgMar w:left="240" w:top="336" w:right="239" w:bottom="1440" w:gutter="0" w:footer="0" w:header="0"/>
        </w:sectPr>
      </w:pPr>
    </w:p>
    <w:bookmarkStart w:id="65" w:name="page66"/>
    <w:bookmarkEnd w:id="65"/>
    <w:p>
      <w:pPr>
        <w:spacing w:after="0" w:line="16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Corporation or Subsidiary or service as a Director, including but not limited to terms relating to the vesting, time for exercise, forfeiture or cancellation of an Award in such circumstances.</w:t>
      </w:r>
    </w:p>
    <w:p>
      <w:pPr>
        <w:spacing w:after="0" w:line="262" w:lineRule="exact"/>
        <w:rPr>
          <w:sz w:val="20"/>
          <w:szCs w:val="20"/>
          <w:color w:val="auto"/>
        </w:rPr>
      </w:pPr>
    </w:p>
    <w:p>
      <w:pPr>
        <w:jc w:val="both"/>
        <w:ind w:left="400" w:right="20" w:hanging="201"/>
        <w:spacing w:after="0" w:line="237" w:lineRule="auto"/>
        <w:rPr>
          <w:sz w:val="20"/>
          <w:szCs w:val="20"/>
          <w:color w:val="auto"/>
        </w:rPr>
      </w:pPr>
      <w:r>
        <w:rPr>
          <w:rFonts w:ascii="Arial" w:cs="Arial" w:eastAsia="Arial" w:hAnsi="Arial"/>
          <w:sz w:val="16"/>
          <w:szCs w:val="16"/>
          <w:color w:val="auto"/>
        </w:rPr>
        <w:t>(b)Rights as Shareholder: A provision that a Participant shall have no rights as a shareholder with respect to any securities covered by an Award until the date the Participant becomes the holder of record.</w:t>
      </w:r>
    </w:p>
    <w:p>
      <w:pPr>
        <w:spacing w:after="0" w:line="98" w:lineRule="exact"/>
        <w:rPr>
          <w:sz w:val="20"/>
          <w:szCs w:val="20"/>
          <w:color w:val="auto"/>
        </w:rPr>
      </w:pPr>
    </w:p>
    <w:p>
      <w:pPr>
        <w:jc w:val="both"/>
        <w:ind w:left="380" w:right="20" w:hanging="188"/>
        <w:spacing w:after="0" w:line="232" w:lineRule="auto"/>
        <w:rPr>
          <w:sz w:val="20"/>
          <w:szCs w:val="20"/>
          <w:color w:val="auto"/>
        </w:rPr>
      </w:pPr>
      <w:r>
        <w:rPr>
          <w:rFonts w:ascii="Arial" w:cs="Arial" w:eastAsia="Arial" w:hAnsi="Arial"/>
          <w:sz w:val="16"/>
          <w:szCs w:val="16"/>
          <w:color w:val="auto"/>
        </w:rPr>
        <w:t>(c)Withholding: A provision requiring the withholding of applicable taxes required by law from all amounts paid in satisfaction of an Award. If such a provision is included, then (i) in the case of an Award paid in cash, the withholding obligation shall be satisfied by withholding the applicable amount and paying the net amount in cash to the Participant and (ii) in the case of Awards paid in shares of Stock or other securities of the Corporation, a Participant may satisfy the withholding obligation by paying the amount of any taxes in cash or shares of Stock may be deducted from the payment to satisfy the obligation in full or in part, where the number of shares to be deducted shall be specified in the Award Agreement or as determined by the Committee.</w:t>
      </w:r>
    </w:p>
    <w:p>
      <w:pPr>
        <w:spacing w:after="0" w:line="99" w:lineRule="exact"/>
        <w:rPr>
          <w:sz w:val="20"/>
          <w:szCs w:val="20"/>
          <w:color w:val="auto"/>
        </w:rPr>
      </w:pPr>
    </w:p>
    <w:p>
      <w:pPr>
        <w:jc w:val="both"/>
        <w:ind w:left="400" w:right="20" w:hanging="201"/>
        <w:spacing w:after="0" w:line="232" w:lineRule="auto"/>
        <w:rPr>
          <w:sz w:val="20"/>
          <w:szCs w:val="20"/>
          <w:color w:val="auto"/>
        </w:rPr>
      </w:pPr>
      <w:r>
        <w:rPr>
          <w:rFonts w:ascii="Arial" w:cs="Arial" w:eastAsia="Arial" w:hAnsi="Arial"/>
          <w:sz w:val="16"/>
          <w:szCs w:val="16"/>
          <w:color w:val="auto"/>
        </w:rPr>
        <w:t>(d)Execution: A provision stating that no Award is enforceable until the Award Agreement or a receipt has been signed by the Participant and the Chairman, the Chief Executive Officer, or the General Counsel of the Corporation (in each case, or his or her delegate). If such a provision is included, then by executing the Award Agreement or receipt, a Participant shall be deemed to have accepted and consented to any action taken under the Plan by the Committee, the Board of Directors or their delegates.</w:t>
      </w:r>
    </w:p>
    <w:p>
      <w:pPr>
        <w:spacing w:after="0" w:line="103" w:lineRule="exact"/>
        <w:rPr>
          <w:sz w:val="20"/>
          <w:szCs w:val="20"/>
          <w:color w:val="auto"/>
        </w:rPr>
      </w:pPr>
    </w:p>
    <w:p>
      <w:pPr>
        <w:jc w:val="both"/>
        <w:ind w:left="400" w:right="20" w:hanging="201"/>
        <w:spacing w:after="0" w:line="241" w:lineRule="auto"/>
        <w:rPr>
          <w:sz w:val="20"/>
          <w:szCs w:val="20"/>
          <w:color w:val="auto"/>
        </w:rPr>
      </w:pPr>
      <w:r>
        <w:rPr>
          <w:rFonts w:ascii="Arial" w:cs="Arial" w:eastAsia="Arial" w:hAnsi="Arial"/>
          <w:sz w:val="16"/>
          <w:szCs w:val="16"/>
          <w:color w:val="auto"/>
        </w:rPr>
        <w:t>(e)Exercise and Payment: The permitted methods of exercising and paying the exercise price with respect to the Award.</w:t>
      </w:r>
    </w:p>
    <w:p>
      <w:pPr>
        <w:spacing w:after="0" w:line="97" w:lineRule="exact"/>
        <w:rPr>
          <w:sz w:val="20"/>
          <w:szCs w:val="20"/>
          <w:color w:val="auto"/>
        </w:rPr>
      </w:pPr>
    </w:p>
    <w:p>
      <w:pPr>
        <w:jc w:val="both"/>
        <w:ind w:left="380" w:right="20" w:hanging="190"/>
        <w:spacing w:after="0" w:line="233" w:lineRule="auto"/>
        <w:tabs>
          <w:tab w:leader="none" w:pos="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Replacement and Substitution: Any provisions (A) permitting the surrender of outstanding Awards or securities held by the Participant in order to exercise or realize rights under other Awards, or in exchange for the grant of new Awards under similar or different terms (other than as prohibited by Section 4(f)) or, (B) requiring holders of Awards to surrender outstanding Awards as a condition precedent to the grant of new Awards under the Plan.</w:t>
      </w:r>
    </w:p>
    <w:p>
      <w:pPr>
        <w:spacing w:after="0" w:line="99" w:lineRule="exact"/>
        <w:rPr>
          <w:sz w:val="20"/>
          <w:szCs w:val="20"/>
          <w:color w:val="auto"/>
        </w:rPr>
      </w:pPr>
    </w:p>
    <w:p>
      <w:pPr>
        <w:jc w:val="both"/>
        <w:ind w:left="400" w:right="20" w:hanging="201"/>
        <w:spacing w:after="0" w:line="233" w:lineRule="auto"/>
        <w:rPr>
          <w:sz w:val="20"/>
          <w:szCs w:val="20"/>
          <w:color w:val="auto"/>
        </w:rPr>
      </w:pPr>
      <w:r>
        <w:rPr>
          <w:rFonts w:ascii="Arial" w:cs="Arial" w:eastAsia="Arial" w:hAnsi="Arial"/>
          <w:sz w:val="16"/>
          <w:szCs w:val="16"/>
          <w:color w:val="auto"/>
        </w:rPr>
        <w:t>(g)Dividend Equivalents: In the case of Stock Units and other appropriate Other Stock-Based Awards, provisions providing for the Participant to receive dividend equivalents in connection with such Award. Such provision shall provide that any dividend equivalents will be paid to the Participant no earlier than the lapsing of restrictions applicable to the Award to which such dividend equivalents relate.</w:t>
      </w:r>
    </w:p>
    <w:p>
      <w:pPr>
        <w:spacing w:after="0" w:line="20" w:lineRule="exact"/>
        <w:rPr>
          <w:sz w:val="20"/>
          <w:szCs w:val="20"/>
          <w:color w:val="auto"/>
        </w:rPr>
      </w:pPr>
      <w:r>
        <w:rPr>
          <w:sz w:val="20"/>
          <w:szCs w:val="20"/>
          <w:color w:val="auto"/>
        </w:rPr>
        <w:br w:type="column"/>
      </w:r>
    </w:p>
    <w:p>
      <w:pPr>
        <w:jc w:val="both"/>
        <w:ind w:left="400" w:hanging="201"/>
        <w:spacing w:after="0" w:line="250" w:lineRule="auto"/>
        <w:rPr>
          <w:sz w:val="20"/>
          <w:szCs w:val="20"/>
          <w:color w:val="auto"/>
        </w:rPr>
      </w:pPr>
      <w:r>
        <w:rPr>
          <w:rFonts w:ascii="Arial" w:cs="Arial" w:eastAsia="Arial" w:hAnsi="Arial"/>
          <w:sz w:val="15"/>
          <w:szCs w:val="15"/>
          <w:color w:val="auto"/>
        </w:rPr>
        <w:t>(h)Other Terms: Such other terms as are necessary and appropriate to effect an Award to the Participant including but not limited to the term of the Award, vesting provisions, any requirements for continued employment with the Corporation or any Subsidiary, any other restrictions or conditions (including performance requirements) on the Award and the method by which restrictions or conditions lapse, the effect on the Award of a Change in Control, the price and the amount or value of Awards.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7. Amendment and Termination</w:t>
      </w:r>
    </w:p>
    <w:p>
      <w:pPr>
        <w:spacing w:after="0" w:line="126"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Board of Directors may at any time amend, suspend or discontinue the Plan. The Committee may at any time alter or amend any or all Award Agreements under the Plan to the extent permitted by law. No such action by the Board of Directors or the Committee may, without approval of the shareholders of the Corporation, be effective, if shareholder approval would be required pursuant to applicable law.</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8. Administration</w:t>
      </w:r>
    </w:p>
    <w:p>
      <w:pPr>
        <w:spacing w:after="0" w:line="139" w:lineRule="exact"/>
        <w:rPr>
          <w:sz w:val="20"/>
          <w:szCs w:val="20"/>
          <w:color w:val="auto"/>
        </w:rPr>
      </w:pPr>
    </w:p>
    <w:p>
      <w:pPr>
        <w:jc w:val="both"/>
        <w:ind w:left="400" w:hanging="201"/>
        <w:spacing w:after="0" w:line="234" w:lineRule="auto"/>
        <w:rPr>
          <w:sz w:val="20"/>
          <w:szCs w:val="20"/>
          <w:color w:val="auto"/>
        </w:rPr>
      </w:pPr>
      <w:r>
        <w:rPr>
          <w:rFonts w:ascii="Arial" w:cs="Arial" w:eastAsia="Arial" w:hAnsi="Arial"/>
          <w:sz w:val="16"/>
          <w:szCs w:val="16"/>
          <w:color w:val="auto"/>
        </w:rPr>
        <w:t>(a)The Plan and all Awards granted pursuant thereto shall be administered by the Committee. The members of the Committee shall be designated by the Board of Directors. A majority of the members of the Committee shall constitute a quorum. The vote of a majority of a quorum shall constitute action by the Committee.</w:t>
      </w:r>
    </w:p>
    <w:p>
      <w:pPr>
        <w:spacing w:after="0" w:line="99" w:lineRule="exact"/>
        <w:rPr>
          <w:sz w:val="20"/>
          <w:szCs w:val="20"/>
          <w:color w:val="auto"/>
        </w:rPr>
      </w:pPr>
    </w:p>
    <w:p>
      <w:pPr>
        <w:jc w:val="both"/>
        <w:ind w:left="400" w:hanging="201"/>
        <w:spacing w:after="0" w:line="237" w:lineRule="auto"/>
        <w:rPr>
          <w:sz w:val="20"/>
          <w:szCs w:val="20"/>
          <w:color w:val="auto"/>
        </w:rPr>
      </w:pPr>
      <w:r>
        <w:rPr>
          <w:rFonts w:ascii="Arial" w:cs="Arial" w:eastAsia="Arial" w:hAnsi="Arial"/>
          <w:sz w:val="16"/>
          <w:szCs w:val="16"/>
          <w:color w:val="auto"/>
        </w:rPr>
        <w:t>(b)The Committee shall periodically determine the Participants in the Plan, except with respect to Eligible Directors, and the nature, amount, pricing, timing, and other terms of Awards to be made to such individuals.</w:t>
      </w:r>
    </w:p>
    <w:p>
      <w:pPr>
        <w:spacing w:after="0" w:line="98" w:lineRule="exact"/>
        <w:rPr>
          <w:sz w:val="20"/>
          <w:szCs w:val="20"/>
          <w:color w:val="auto"/>
        </w:rPr>
      </w:pPr>
    </w:p>
    <w:p>
      <w:pPr>
        <w:jc w:val="both"/>
        <w:ind w:left="380" w:right="20" w:hanging="188"/>
        <w:spacing w:after="0" w:line="233" w:lineRule="auto"/>
        <w:rPr>
          <w:sz w:val="20"/>
          <w:szCs w:val="20"/>
          <w:color w:val="auto"/>
        </w:rPr>
      </w:pPr>
      <w:r>
        <w:rPr>
          <w:rFonts w:ascii="Arial" w:cs="Arial" w:eastAsia="Arial" w:hAnsi="Arial"/>
          <w:sz w:val="16"/>
          <w:szCs w:val="16"/>
          <w:color w:val="auto"/>
        </w:rPr>
        <w:t>(c)The Committee shall have the power to interpret and administer the Plan. All questions of interpretation with respect to the Plan, the terms of any Award Agreements and, except with respect to Eligible Directors, the number of shares of Stock, or units granted, shall be determined by the Committee and its determination shall be final and conclusive upon all parties in interest. In the event of any conflict between an Award Agreement and this Plan, the terms of this Plan shall govern.</w:t>
      </w:r>
    </w:p>
    <w:p>
      <w:pPr>
        <w:spacing w:after="0" w:line="99" w:lineRule="exact"/>
        <w:rPr>
          <w:sz w:val="20"/>
          <w:szCs w:val="20"/>
          <w:color w:val="auto"/>
        </w:rPr>
      </w:pPr>
    </w:p>
    <w:p>
      <w:pPr>
        <w:jc w:val="both"/>
        <w:ind w:left="400" w:hanging="201"/>
        <w:spacing w:after="0" w:line="232" w:lineRule="auto"/>
        <w:rPr>
          <w:sz w:val="20"/>
          <w:szCs w:val="20"/>
          <w:color w:val="auto"/>
        </w:rPr>
      </w:pPr>
      <w:r>
        <w:rPr>
          <w:rFonts w:ascii="Arial" w:cs="Arial" w:eastAsia="Arial" w:hAnsi="Arial"/>
          <w:sz w:val="16"/>
          <w:szCs w:val="16"/>
          <w:color w:val="auto"/>
        </w:rPr>
        <w:t>(d)It is the intent of the Corporation that this Plan and Awards hereunder satisfy and be interpreted in a manner, that, in the case of Participants who are or may be Insiders, satisfies the applicable requirements of Rule 16b-3, so that such persons will be entitled to the benefits of Rule 16b-3 or other exemptive rules under Section 16 and will not be subjected to avoidable liability thereunder. If any provision of this Plan or of any Award would otherwise frustrate or conflict with the intent expressed in this Section 8(d), that provision to the extent possible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-3707130</wp:posOffset>
            </wp:positionH>
            <wp:positionV relativeFrom="paragraph">
              <wp:posOffset>1121410</wp:posOffset>
            </wp:positionV>
            <wp:extent cx="729678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2">
            <w:col w:w="5600" w:space="220"/>
            <w:col w:w="5600"/>
          </w:cols>
          <w:pgMar w:left="240" w:top="336" w:right="239" w:bottom="1440" w:gutter="0" w:footer="0" w:header="0"/>
        </w:sectPr>
      </w:pPr>
    </w:p>
    <w:bookmarkStart w:id="66" w:name="page67"/>
    <w:bookmarkEnd w:id="66"/>
    <w:p>
      <w:pPr>
        <w:jc w:val="both"/>
        <w:ind w:left="200"/>
        <w:spacing w:after="0" w:line="235" w:lineRule="auto"/>
        <w:rPr>
          <w:sz w:val="20"/>
          <w:szCs w:val="20"/>
          <w:color w:val="auto"/>
        </w:rPr>
      </w:pPr>
      <w:r>
        <w:rPr>
          <w:rFonts w:ascii="Arial" w:cs="Arial" w:eastAsia="Arial" w:hAnsi="Arial"/>
          <w:sz w:val="16"/>
          <w:szCs w:val="16"/>
          <w:color w:val="auto"/>
        </w:rPr>
        <w:t>interpreted and deemed amended so as to avoid such conflict. To the extent of any remaining irreconcilable conflict with such intent, the provision shall be deemed void as applicable to Insiders to the extent permitted by law and deemed advisable by the Committee.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(e)The following provisions shall be applicable to Section 162(m) Awards:</w:t>
      </w:r>
    </w:p>
    <w:p>
      <w:pPr>
        <w:spacing w:after="0" w:line="194" w:lineRule="exact"/>
        <w:rPr>
          <w:sz w:val="20"/>
          <w:szCs w:val="20"/>
          <w:color w:val="auto"/>
        </w:rPr>
      </w:pPr>
    </w:p>
    <w:p>
      <w:pPr>
        <w:jc w:val="both"/>
        <w:ind w:left="380" w:right="20" w:hanging="188"/>
        <w:spacing w:after="0" w:line="232" w:lineRule="auto"/>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lapsing of restrictions applicable to such Section 162(m) Awards and the distribution of cash, shares of Stock or other property pursuant thereto, as applicable, shall be conditioned on the attainment of specified levels of achievement under one or more Quantitative Performance Standards established by the Committee (which for purposes of this Section 8(e) shall be deemed to consist solely of those members of the Committee who qualify as “outside directors” within the meaning of Section 162(m)).</w:t>
      </w:r>
    </w:p>
    <w:p>
      <w:pPr>
        <w:spacing w:after="0" w:line="191" w:lineRule="exact"/>
        <w:rPr>
          <w:sz w:val="20"/>
          <w:szCs w:val="20"/>
          <w:color w:val="auto"/>
        </w:rPr>
      </w:pPr>
    </w:p>
    <w:p>
      <w:pPr>
        <w:jc w:val="both"/>
        <w:ind w:left="380" w:right="20" w:hanging="188"/>
        <w:spacing w:after="0" w:line="235" w:lineRule="auto"/>
        <w:rPr>
          <w:sz w:val="20"/>
          <w:szCs w:val="20"/>
          <w:color w:val="auto"/>
        </w:rPr>
      </w:pPr>
      <w:r>
        <w:rPr>
          <w:rFonts w:ascii="Arial" w:cs="Arial" w:eastAsia="Arial" w:hAnsi="Arial"/>
          <w:sz w:val="16"/>
          <w:szCs w:val="16"/>
          <w:color w:val="auto"/>
        </w:rPr>
        <w:t>(ii)The Quantitative Performance Standards and the specified levels of achievement shall be set by the Committee within the time period prescribed by, and shall otherwise comply with the requirements of, Section 162(m), as determined by the Committee in its sole discretion.</w:t>
      </w:r>
    </w:p>
    <w:p>
      <w:pPr>
        <w:spacing w:after="0" w:line="187" w:lineRule="exact"/>
        <w:rPr>
          <w:sz w:val="20"/>
          <w:szCs w:val="20"/>
          <w:color w:val="auto"/>
        </w:rPr>
      </w:pPr>
    </w:p>
    <w:p>
      <w:pPr>
        <w:jc w:val="both"/>
        <w:ind w:left="400" w:right="20" w:hanging="213"/>
        <w:spacing w:after="0" w:line="234" w:lineRule="auto"/>
        <w:rPr>
          <w:sz w:val="20"/>
          <w:szCs w:val="20"/>
          <w:color w:val="auto"/>
        </w:rPr>
      </w:pPr>
      <w:r>
        <w:rPr>
          <w:rFonts w:ascii="Arial" w:cs="Arial" w:eastAsia="Arial" w:hAnsi="Arial"/>
          <w:sz w:val="16"/>
          <w:szCs w:val="16"/>
          <w:color w:val="auto"/>
        </w:rPr>
        <w:t>(iii)A Participant shall not be entitled to receive payment for any dividends or dividend equivalents with respect to a Section 162(m) Award unless, until and except to the extent that the Quantitative Performance Standards applicable to such Awards are achieved or are otherwise deemed to be satisfied.</w:t>
      </w:r>
    </w:p>
    <w:p>
      <w:pPr>
        <w:spacing w:after="0" w:line="188" w:lineRule="exact"/>
        <w:rPr>
          <w:sz w:val="20"/>
          <w:szCs w:val="20"/>
          <w:color w:val="auto"/>
        </w:rPr>
      </w:pPr>
    </w:p>
    <w:p>
      <w:pPr>
        <w:jc w:val="both"/>
        <w:ind w:left="420" w:right="20" w:hanging="226"/>
        <w:spacing w:after="0" w:line="233" w:lineRule="auto"/>
        <w:rPr>
          <w:sz w:val="20"/>
          <w:szCs w:val="20"/>
          <w:color w:val="auto"/>
        </w:rPr>
      </w:pPr>
      <w:r>
        <w:rPr>
          <w:rFonts w:ascii="Arial" w:cs="Arial" w:eastAsia="Arial" w:hAnsi="Arial"/>
          <w:sz w:val="16"/>
          <w:szCs w:val="16"/>
          <w:color w:val="auto"/>
        </w:rPr>
        <w:t>(iv)Following</w:t>
      </w:r>
      <w:r>
        <w:rPr>
          <w:sz w:val="20"/>
          <w:szCs w:val="20"/>
          <w:color w:val="auto"/>
        </w:rPr>
        <w:t xml:space="preserve"> </w:t>
      </w:r>
      <w:r>
        <w:rPr>
          <w:rFonts w:ascii="Arial" w:cs="Arial" w:eastAsia="Arial" w:hAnsi="Arial"/>
          <w:sz w:val="16"/>
          <w:szCs w:val="16"/>
          <w:color w:val="auto"/>
        </w:rPr>
        <w:t>the achievement or satisfaction of the applicable Quantitative Performance Standards, the Committee shall be permitted, unless otherwise prohibited in the applicable Award Agreement, in its sole discretion, to decrease, but in no event increase, the cash, shares of Stock or other property payable in connection with any Section 162(m) Award for any reason.</w:t>
      </w:r>
    </w:p>
    <w:p>
      <w:pPr>
        <w:spacing w:after="0" w:line="189" w:lineRule="exact"/>
        <w:rPr>
          <w:sz w:val="20"/>
          <w:szCs w:val="20"/>
          <w:color w:val="auto"/>
        </w:rPr>
      </w:pPr>
    </w:p>
    <w:p>
      <w:pPr>
        <w:jc w:val="both"/>
        <w:ind w:left="380" w:right="20" w:hanging="188"/>
        <w:spacing w:after="0" w:line="234" w:lineRule="auto"/>
        <w:rPr>
          <w:sz w:val="20"/>
          <w:szCs w:val="20"/>
          <w:color w:val="auto"/>
        </w:rPr>
      </w:pPr>
      <w:r>
        <w:rPr>
          <w:rFonts w:ascii="Arial" w:cs="Arial" w:eastAsia="Arial" w:hAnsi="Arial"/>
          <w:sz w:val="16"/>
          <w:szCs w:val="16"/>
          <w:color w:val="auto"/>
        </w:rPr>
        <w:t>(v)The Committee shall have the power to impose such other restrictions on Section 162(m) Awards as it may deem necessary or appropriate to ensure that such Awards satisfy all requirements for “performance-based compensation” within the meaning of subsection (4)(C) of Section 162(m).</w:t>
      </w:r>
    </w:p>
    <w:p>
      <w:pPr>
        <w:spacing w:after="0" w:line="188" w:lineRule="exact"/>
        <w:rPr>
          <w:sz w:val="20"/>
          <w:szCs w:val="20"/>
          <w:color w:val="auto"/>
        </w:rPr>
      </w:pPr>
    </w:p>
    <w:p>
      <w:pPr>
        <w:jc w:val="both"/>
        <w:ind w:left="420" w:right="20" w:hanging="226"/>
        <w:spacing w:after="0" w:line="237" w:lineRule="auto"/>
        <w:rPr>
          <w:sz w:val="20"/>
          <w:szCs w:val="20"/>
          <w:color w:val="auto"/>
        </w:rPr>
      </w:pPr>
      <w:r>
        <w:rPr>
          <w:rFonts w:ascii="Arial" w:cs="Arial" w:eastAsia="Arial" w:hAnsi="Arial"/>
          <w:sz w:val="16"/>
          <w:szCs w:val="16"/>
          <w:color w:val="auto"/>
        </w:rPr>
        <w:t>(vi)To the extent required by Section 162(m), awards that are canceled shall be counted against the applicable per year limitations set forth in Section 5(a).</w:t>
      </w:r>
    </w:p>
    <w:p>
      <w:pPr>
        <w:spacing w:after="0" w:line="20" w:lineRule="exact"/>
        <w:rPr>
          <w:sz w:val="20"/>
          <w:szCs w:val="20"/>
          <w:color w:val="auto"/>
        </w:rPr>
      </w:pPr>
      <w:r>
        <w:rPr>
          <w:sz w:val="20"/>
          <w:szCs w:val="20"/>
          <w:color w:val="auto"/>
        </w:rPr>
        <w:br w:type="column"/>
      </w:r>
    </w:p>
    <w:p>
      <w:pPr>
        <w:jc w:val="both"/>
        <w:ind w:left="380" w:hanging="183"/>
        <w:spacing w:after="0" w:line="232" w:lineRule="auto"/>
        <w:tabs>
          <w:tab w:leader="none" w:pos="3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Committee may delegate to the officers or Employees of the Corporation the authority to execute and deliver such instruments and documents, including the execution of Award Agreements on behalf of the Corporation by the Chairman, Chief Executive Officer, or the General Counsel of the Corporation, to do all such acts and things, and to take all such other steps deemed necessary, advisable or convenient for the effective administration of the Plan in accordance with its terms and purpose, except that the Committee may not delegate any discretionary authority with respect to substantive decisions or functions regarding the Plan or Awards thereunder as these relate to Insiders or Covered Employees, including but not limited to decisions regarding the timing, eligibility, pricing, amount or other material term of such Awards.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9. Adjustment Provisions</w:t>
      </w:r>
    </w:p>
    <w:p>
      <w:pPr>
        <w:spacing w:after="0" w:line="214" w:lineRule="exact"/>
        <w:rPr>
          <w:sz w:val="20"/>
          <w:szCs w:val="20"/>
          <w:color w:val="auto"/>
        </w:rPr>
      </w:pPr>
    </w:p>
    <w:p>
      <w:pPr>
        <w:jc w:val="both"/>
        <w:ind w:left="400" w:hanging="201"/>
        <w:spacing w:after="0" w:line="232" w:lineRule="auto"/>
        <w:rPr>
          <w:sz w:val="20"/>
          <w:szCs w:val="20"/>
          <w:color w:val="auto"/>
        </w:rPr>
      </w:pPr>
      <w:r>
        <w:rPr>
          <w:rFonts w:ascii="Arial" w:cs="Arial" w:eastAsia="Arial" w:hAnsi="Arial"/>
          <w:sz w:val="16"/>
          <w:szCs w:val="16"/>
          <w:color w:val="auto"/>
        </w:rPr>
        <w:t>(a)In the event of any change in the outstanding shares of Stock or the value thereof by reason of a stock dividend or split, recapitalization, merger or consolidation, reorganization, combination or exchange of shares or other similar corporate change, the number of shares of Stock (or other securities or other property) then remaining subject to this Plan, the limitations on the number of shares that may be issued to anyone pursuant to this Plan and the exercise price or base price of Options and Stock Appreciation Rights, in each case, including those that are then covered by outstanding Awards, shall be adjusted as the Committee, in its sole discretion, deems equitable or appropriate.</w:t>
      </w:r>
    </w:p>
    <w:p>
      <w:pPr>
        <w:spacing w:after="0" w:line="189" w:lineRule="exact"/>
        <w:rPr>
          <w:sz w:val="20"/>
          <w:szCs w:val="20"/>
          <w:color w:val="auto"/>
        </w:rPr>
      </w:pPr>
    </w:p>
    <w:p>
      <w:pPr>
        <w:jc w:val="both"/>
        <w:ind w:left="400" w:hanging="201"/>
        <w:spacing w:after="0" w:line="233" w:lineRule="auto"/>
        <w:rPr>
          <w:sz w:val="20"/>
          <w:szCs w:val="20"/>
          <w:color w:val="auto"/>
        </w:rPr>
      </w:pPr>
      <w:r>
        <w:rPr>
          <w:rFonts w:ascii="Arial" w:cs="Arial" w:eastAsia="Arial" w:hAnsi="Arial"/>
          <w:sz w:val="16"/>
          <w:szCs w:val="16"/>
          <w:color w:val="auto"/>
        </w:rPr>
        <w:t>(b)The Committee shall make any further adjustments as it deems necessary (including to vesting conditions), in its sole discretion, to ensure equitable treatment of any holder of an Award as the result of any transaction affecting the securities subject to the Plan, including transactions not described in Section 9(a), or as is required or authorized under the terms of any applicable Award Agreement.</w:t>
      </w:r>
    </w:p>
    <w:p>
      <w:pPr>
        <w:spacing w:after="0" w:line="189" w:lineRule="exact"/>
        <w:rPr>
          <w:sz w:val="20"/>
          <w:szCs w:val="20"/>
          <w:color w:val="auto"/>
        </w:rPr>
      </w:pPr>
    </w:p>
    <w:p>
      <w:pPr>
        <w:jc w:val="both"/>
        <w:ind w:left="380" w:hanging="188"/>
        <w:spacing w:after="0" w:line="234" w:lineRule="auto"/>
        <w:rPr>
          <w:sz w:val="20"/>
          <w:szCs w:val="20"/>
          <w:color w:val="auto"/>
        </w:rPr>
      </w:pPr>
      <w:r>
        <w:rPr>
          <w:rFonts w:ascii="Arial" w:cs="Arial" w:eastAsia="Arial" w:hAnsi="Arial"/>
          <w:sz w:val="16"/>
          <w:szCs w:val="16"/>
          <w:color w:val="auto"/>
        </w:rPr>
        <w:t>(c)Except as provided in this Section 9, no adjustment shall be made for dividends or other rights, unless the Award Agreement specifically requires such adjustment, in which case, grants of dividend equivalents or similar rights shall not be considered to be a grant of any other shareholder right.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10. Change in Control</w:t>
      </w:r>
    </w:p>
    <w:p>
      <w:pPr>
        <w:spacing w:after="0" w:line="214" w:lineRule="exact"/>
        <w:rPr>
          <w:sz w:val="20"/>
          <w:szCs w:val="20"/>
          <w:color w:val="auto"/>
        </w:rPr>
      </w:pPr>
    </w:p>
    <w:p>
      <w:pPr>
        <w:jc w:val="both"/>
        <w:ind w:left="400" w:hanging="201"/>
        <w:spacing w:after="0" w:line="234" w:lineRule="auto"/>
        <w:rPr>
          <w:sz w:val="20"/>
          <w:szCs w:val="20"/>
          <w:color w:val="auto"/>
        </w:rPr>
      </w:pPr>
      <w:r>
        <w:rPr>
          <w:rFonts w:ascii="Arial" w:cs="Arial" w:eastAsia="Arial" w:hAnsi="Arial"/>
          <w:sz w:val="16"/>
          <w:szCs w:val="16"/>
          <w:color w:val="auto"/>
        </w:rPr>
        <w:t>(a)Subject to Sections 5, 7 and 9, in the event of a Change in Control, in addition to any action required or authorized by the terms of any Award Agreement, upon such Change in Control, all time periods for purposes of vesting in, or realizing gain from, any and all outstanding Awards made pursuant to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-3707130</wp:posOffset>
            </wp:positionH>
            <wp:positionV relativeFrom="paragraph">
              <wp:posOffset>254000</wp:posOffset>
            </wp:positionV>
            <wp:extent cx="729678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2">
            <w:col w:w="5400" w:space="220"/>
            <w:col w:w="5600"/>
          </w:cols>
          <w:pgMar w:left="440" w:top="336" w:right="239" w:bottom="1440" w:gutter="0" w:footer="0" w:header="0"/>
        </w:sectPr>
      </w:pPr>
    </w:p>
    <w:bookmarkStart w:id="67" w:name="page68"/>
    <w:bookmarkEnd w:id="67"/>
    <w:p>
      <w:pPr>
        <w:spacing w:after="0" w:line="200" w:lineRule="exact"/>
        <w:rPr>
          <w:sz w:val="20"/>
          <w:szCs w:val="20"/>
          <w:color w:val="auto"/>
        </w:rPr>
      </w:pPr>
    </w:p>
    <w:p>
      <w:pPr>
        <w:spacing w:after="0" w:line="229" w:lineRule="exact"/>
        <w:rPr>
          <w:sz w:val="20"/>
          <w:szCs w:val="20"/>
          <w:color w:val="auto"/>
        </w:rPr>
      </w:pPr>
    </w:p>
    <w:p>
      <w:pPr>
        <w:jc w:val="both"/>
        <w:ind w:left="8"/>
        <w:spacing w:after="0" w:line="234" w:lineRule="auto"/>
        <w:rPr>
          <w:sz w:val="20"/>
          <w:szCs w:val="20"/>
          <w:color w:val="auto"/>
        </w:rPr>
      </w:pPr>
      <w:r>
        <w:rPr>
          <w:rFonts w:ascii="Arial" w:cs="Arial" w:eastAsia="Arial" w:hAnsi="Arial"/>
          <w:sz w:val="16"/>
          <w:szCs w:val="16"/>
          <w:color w:val="auto"/>
        </w:rPr>
        <w:t>will automatically accelerate and all performance criteria, including Quantitative Performance Standards, shall be deemed achieved at the greater of (i) target levels of achievement and (ii) actual levels of achievement determined by the Committee in its sole discretion as of the date of the Change in Control.</w:t>
      </w:r>
    </w:p>
    <w:p>
      <w:pPr>
        <w:spacing w:after="0" w:line="188" w:lineRule="exact"/>
        <w:rPr>
          <w:sz w:val="20"/>
          <w:szCs w:val="20"/>
          <w:color w:val="auto"/>
        </w:rPr>
      </w:pPr>
    </w:p>
    <w:p>
      <w:pPr>
        <w:ind w:left="8" w:right="20" w:hanging="201"/>
        <w:spacing w:after="0" w:line="241" w:lineRule="auto"/>
        <w:rPr>
          <w:sz w:val="20"/>
          <w:szCs w:val="20"/>
          <w:color w:val="auto"/>
        </w:rPr>
      </w:pPr>
      <w:r>
        <w:rPr>
          <w:rFonts w:ascii="Arial" w:cs="Arial" w:eastAsia="Arial" w:hAnsi="Arial"/>
          <w:sz w:val="16"/>
          <w:szCs w:val="16"/>
          <w:color w:val="auto"/>
        </w:rPr>
        <w:t>(b)For the purposes of this Section, a “Change in Control” shall mean on or after the effective date of the Plan,</w:t>
      </w:r>
    </w:p>
    <w:p>
      <w:pPr>
        <w:spacing w:after="0" w:line="185" w:lineRule="exact"/>
        <w:rPr>
          <w:sz w:val="20"/>
          <w:szCs w:val="20"/>
          <w:color w:val="auto"/>
        </w:rPr>
      </w:pPr>
    </w:p>
    <w:p>
      <w:pPr>
        <w:jc w:val="both"/>
        <w:ind w:left="188" w:right="20" w:hanging="188"/>
        <w:spacing w:after="0" w:line="230" w:lineRule="auto"/>
        <w:tabs>
          <w:tab w:leader="none" w:pos="188"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The acquisition by any individual, entity or group (within the meaning of Section 13(d)(3) or 14(d)(2) of the Exchange Act (an “Acquiring Person”) of beneficial ownership (within the meaning of Rule 13d-3 promulgated under the Exchange Act) of 40% or more of either (A) the fully diluted shares of Stock, as reflected on the Corporation’s financial statements (the “Outstanding Corporation Common Stock”), or (B) the combined voting power of the then outstanding voting securities of the Corporation entitled to vote generally in the election of directors (the “Outstanding Corporation Voting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this subsection (i), the following acquisitions shall not constitute a Change in Control: (1) any acquisition by the Corporation or any “affiliate” of the Corporation, within the meaning of 17 C.F.R. § 230.405 (a “CIC Affiliate”), (2) any acquisition by any employee benefit plan (or related trust) sponsored or maintained by the Corporation or any CIC Affiliate of the Corporation, or (3) any acquisition by any entity pursuant to a transaction which complies with clauses (A), (B) and</w:t>
      </w:r>
    </w:p>
    <w:p>
      <w:pPr>
        <w:spacing w:after="0" w:line="3" w:lineRule="exact"/>
        <w:rPr>
          <w:rFonts w:ascii="Arial" w:cs="Arial" w:eastAsia="Arial" w:hAnsi="Arial"/>
          <w:sz w:val="16"/>
          <w:szCs w:val="16"/>
          <w:color w:val="auto"/>
        </w:rPr>
      </w:pPr>
    </w:p>
    <w:p>
      <w:pPr>
        <w:ind w:left="188"/>
        <w:spacing w:after="0"/>
        <w:rPr>
          <w:rFonts w:ascii="Arial" w:cs="Arial" w:eastAsia="Arial" w:hAnsi="Arial"/>
          <w:sz w:val="16"/>
          <w:szCs w:val="16"/>
          <w:color w:val="auto"/>
        </w:rPr>
      </w:pPr>
      <w:r>
        <w:rPr>
          <w:rFonts w:ascii="Arial" w:cs="Arial" w:eastAsia="Arial" w:hAnsi="Arial"/>
          <w:sz w:val="16"/>
          <w:szCs w:val="16"/>
          <w:color w:val="auto"/>
        </w:rPr>
        <w:t>(C) of subsection (iii) of this definition; or</w:t>
      </w:r>
    </w:p>
    <w:p>
      <w:pPr>
        <w:spacing w:after="0" w:line="194" w:lineRule="exact"/>
        <w:rPr>
          <w:sz w:val="20"/>
          <w:szCs w:val="20"/>
          <w:color w:val="auto"/>
        </w:rPr>
      </w:pPr>
    </w:p>
    <w:p>
      <w:pPr>
        <w:jc w:val="both"/>
        <w:ind w:left="188" w:right="20" w:hanging="188"/>
        <w:spacing w:after="0" w:line="241" w:lineRule="auto"/>
        <w:rPr>
          <w:sz w:val="20"/>
          <w:szCs w:val="20"/>
          <w:color w:val="auto"/>
        </w:rPr>
      </w:pPr>
      <w:r>
        <w:rPr>
          <w:rFonts w:ascii="Arial" w:cs="Arial" w:eastAsia="Arial" w:hAnsi="Arial"/>
          <w:sz w:val="16"/>
          <w:szCs w:val="16"/>
          <w:color w:val="auto"/>
        </w:rPr>
        <w:t>(ii)Individuals who constitute the Incumbent Board cease for any reason to constitute at least a majority of the Board of Directors; or</w:t>
      </w:r>
    </w:p>
    <w:p>
      <w:pPr>
        <w:spacing w:after="0" w:line="185" w:lineRule="exact"/>
        <w:rPr>
          <w:sz w:val="20"/>
          <w:szCs w:val="20"/>
          <w:color w:val="auto"/>
        </w:rPr>
      </w:pPr>
    </w:p>
    <w:p>
      <w:pPr>
        <w:jc w:val="both"/>
        <w:ind w:left="208" w:right="20" w:hanging="213"/>
        <w:spacing w:after="0" w:line="232" w:lineRule="auto"/>
        <w:rPr>
          <w:sz w:val="20"/>
          <w:szCs w:val="20"/>
          <w:color w:val="auto"/>
        </w:rPr>
      </w:pPr>
      <w:r>
        <w:rPr>
          <w:rFonts w:ascii="Arial" w:cs="Arial" w:eastAsia="Arial" w:hAnsi="Arial"/>
          <w:sz w:val="16"/>
          <w:szCs w:val="16"/>
          <w:color w:val="auto"/>
        </w:rPr>
        <w:t>(iii)Consummation of a reorganization, merger or consolidation or sale or other disposition of all or substantially all of the assets of the Corporation or any Subsidiary (but only to the extent any voting securities of the Corporation entitled to vote generally in the election of directors is issued in such transaction) (such transactions, a “Business Combination”), in each case, unless, following such Business Combination, (A) all or substantially all of the individuals and entities who were the beneficial owners, respectively, of the Outstanding Corporation Common Stock and Outstanding Corporation Voting Securities immediately prior to such Business Combination beneficially own, directly or indirectly, more than 50% of, respectively, the then outstanding shares of</w:t>
      </w:r>
    </w:p>
    <w:p>
      <w:pPr>
        <w:spacing w:after="0" w:line="20" w:lineRule="exact"/>
        <w:rPr>
          <w:sz w:val="20"/>
          <w:szCs w:val="20"/>
          <w:color w:val="auto"/>
        </w:rPr>
      </w:pPr>
      <w:r>
        <w:rPr>
          <w:sz w:val="20"/>
          <w:szCs w:val="20"/>
          <w:color w:val="auto"/>
        </w:rPr>
        <w:br w:type="column"/>
      </w:r>
    </w:p>
    <w:p>
      <w:pPr>
        <w:jc w:val="both"/>
        <w:ind w:left="580"/>
        <w:spacing w:after="0" w:line="231" w:lineRule="auto"/>
        <w:rPr>
          <w:sz w:val="20"/>
          <w:szCs w:val="20"/>
          <w:color w:val="auto"/>
        </w:rPr>
      </w:pPr>
      <w:r>
        <w:rPr>
          <w:rFonts w:ascii="Arial" w:cs="Arial" w:eastAsia="Arial" w:hAnsi="Arial"/>
          <w:sz w:val="16"/>
          <w:szCs w:val="16"/>
          <w:color w:val="auto"/>
        </w:rPr>
        <w:t>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Corporation or all or substantially all of the Corporation’s assets either directly or through one or more subsidiaries) in substantially the same proportions as their ownership, immediately prior to such Business Combination, of the Outstanding Corporation Common Stock and Outstanding Corporation Voting Securities, as the case may be, (B) no Person (excluding any employee benefit plan (or related trust) sponsored or maintained by the Corporation or any CIC Affiliate of the Corporation, or such corporation resulting from such Business Combination or any Affiliate of such corporation) beneficially owns, directly or indirectly, 40% or more of, respectively, the fully diluted shares of common stock of the corporation resulting from such Business Combination, as reflected on such corporation’s financial statements,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of Directors, providing for such Business Combination; or</w:t>
      </w:r>
    </w:p>
    <w:p>
      <w:pPr>
        <w:spacing w:after="0" w:line="139" w:lineRule="exact"/>
        <w:rPr>
          <w:sz w:val="20"/>
          <w:szCs w:val="20"/>
          <w:color w:val="auto"/>
        </w:rPr>
      </w:pPr>
    </w:p>
    <w:p>
      <w:pPr>
        <w:ind w:left="620" w:hanging="226"/>
        <w:spacing w:after="0" w:line="241" w:lineRule="auto"/>
        <w:rPr>
          <w:sz w:val="20"/>
          <w:szCs w:val="20"/>
          <w:color w:val="auto"/>
        </w:rPr>
      </w:pPr>
      <w:r>
        <w:rPr>
          <w:rFonts w:ascii="Arial" w:cs="Arial" w:eastAsia="Arial" w:hAnsi="Arial"/>
          <w:sz w:val="16"/>
          <w:szCs w:val="16"/>
          <w:color w:val="auto"/>
        </w:rPr>
        <w:t>(iv)Approval by the shareholders of the Corporation of a complete liquidation or dissolution of the Corporation.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11. Unfunded Plan</w:t>
      </w:r>
    </w:p>
    <w:p>
      <w:pPr>
        <w:spacing w:after="0" w:line="164"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Plan shall be unfunded. Neither the Corporation nor the Board of Directors shall be required to segregate any assets that may at any time be represented by Awards made pursuant to the Plan. Neither the Corporation, the Committee, nor the Board of Directors shall be deemed to be a trustee of any amounts to be paid under the Plan.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12. Limits of Liability</w:t>
      </w:r>
    </w:p>
    <w:p>
      <w:pPr>
        <w:spacing w:after="0" w:line="164" w:lineRule="exact"/>
        <w:rPr>
          <w:sz w:val="20"/>
          <w:szCs w:val="20"/>
          <w:color w:val="auto"/>
        </w:rPr>
      </w:pPr>
    </w:p>
    <w:p>
      <w:pPr>
        <w:jc w:val="both"/>
        <w:ind w:left="400" w:right="20" w:hanging="201"/>
        <w:spacing w:after="0" w:line="237" w:lineRule="auto"/>
        <w:rPr>
          <w:sz w:val="20"/>
          <w:szCs w:val="20"/>
          <w:color w:val="auto"/>
        </w:rPr>
      </w:pPr>
      <w:r>
        <w:rPr>
          <w:rFonts w:ascii="Arial" w:cs="Arial" w:eastAsia="Arial" w:hAnsi="Arial"/>
          <w:sz w:val="16"/>
          <w:szCs w:val="16"/>
          <w:color w:val="auto"/>
        </w:rPr>
        <w:t>(a)Any liability of the Corporation to any Participant with respect to an Award shall be based solely upon contractual obligations created by the Plan and the Award Agreement.</w:t>
      </w:r>
    </w:p>
    <w:p>
      <w:pPr>
        <w:spacing w:after="0" w:line="136" w:lineRule="exact"/>
        <w:rPr>
          <w:sz w:val="20"/>
          <w:szCs w:val="20"/>
          <w:color w:val="auto"/>
        </w:rPr>
      </w:pPr>
    </w:p>
    <w:p>
      <w:pPr>
        <w:jc w:val="both"/>
        <w:ind w:left="400" w:hanging="201"/>
        <w:spacing w:after="0" w:line="235" w:lineRule="auto"/>
        <w:rPr>
          <w:sz w:val="20"/>
          <w:szCs w:val="20"/>
          <w:color w:val="auto"/>
        </w:rPr>
      </w:pPr>
      <w:r>
        <w:rPr>
          <w:rFonts w:ascii="Arial" w:cs="Arial" w:eastAsia="Arial" w:hAnsi="Arial"/>
          <w:sz w:val="16"/>
          <w:szCs w:val="16"/>
          <w:color w:val="auto"/>
        </w:rPr>
        <w:t>(b)Neither the Corporation nor any member of the Board of Directors or of the Committee, nor any other person participating in any determination of any question under the Plan, or in the interpretation, administration or application of the Plan, shall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-3707130</wp:posOffset>
            </wp:positionH>
            <wp:positionV relativeFrom="paragraph">
              <wp:posOffset>254000</wp:posOffset>
            </wp:positionV>
            <wp:extent cx="729678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2">
            <w:col w:w="5208" w:space="220"/>
            <w:col w:w="5600"/>
          </w:cols>
          <w:pgMar w:left="632" w:top="537" w:right="239" w:bottom="1440" w:gutter="0" w:footer="0" w:header="0"/>
        </w:sectPr>
      </w:pPr>
    </w:p>
    <w:bookmarkStart w:id="68" w:name="page69"/>
    <w:bookmarkEnd w:id="68"/>
    <w:p>
      <w:pPr>
        <w:spacing w:after="0" w:line="232" w:lineRule="auto"/>
        <w:rPr>
          <w:sz w:val="20"/>
          <w:szCs w:val="20"/>
          <w:color w:val="auto"/>
        </w:rPr>
      </w:pPr>
      <w:r>
        <w:rPr>
          <w:rFonts w:ascii="Arial" w:cs="Arial" w:eastAsia="Arial" w:hAnsi="Arial"/>
          <w:sz w:val="16"/>
          <w:szCs w:val="16"/>
          <w:color w:val="auto"/>
        </w:rPr>
        <w:t>any liability to any party for any action taken or not taken, in good faith under the Plan.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13. Rights of Employees</w:t>
      </w:r>
    </w:p>
    <w:p>
      <w:pPr>
        <w:spacing w:after="0" w:line="202" w:lineRule="exact"/>
        <w:rPr>
          <w:sz w:val="20"/>
          <w:szCs w:val="20"/>
          <w:color w:val="auto"/>
        </w:rPr>
      </w:pPr>
    </w:p>
    <w:p>
      <w:pPr>
        <w:jc w:val="both"/>
        <w:ind w:left="400" w:right="20" w:hanging="201"/>
        <w:spacing w:after="0" w:line="226" w:lineRule="auto"/>
        <w:rPr>
          <w:sz w:val="20"/>
          <w:szCs w:val="20"/>
          <w:color w:val="auto"/>
        </w:rPr>
      </w:pPr>
      <w:r>
        <w:rPr>
          <w:rFonts w:ascii="Arial" w:cs="Arial" w:eastAsia="Arial" w:hAnsi="Arial"/>
          <w:sz w:val="16"/>
          <w:szCs w:val="16"/>
          <w:color w:val="auto"/>
        </w:rPr>
        <w:t>(a)Status as an eligible Employee shall not be construed as a commitment that any Award will be made under this Plan to such eligible Employee or to eligible Employees generally.</w:t>
      </w:r>
    </w:p>
    <w:p>
      <w:pPr>
        <w:spacing w:after="0" w:line="174" w:lineRule="exact"/>
        <w:rPr>
          <w:sz w:val="20"/>
          <w:szCs w:val="20"/>
          <w:color w:val="auto"/>
        </w:rPr>
      </w:pPr>
    </w:p>
    <w:p>
      <w:pPr>
        <w:jc w:val="both"/>
        <w:ind w:left="400" w:hanging="201"/>
        <w:spacing w:after="0" w:line="220" w:lineRule="auto"/>
        <w:rPr>
          <w:sz w:val="20"/>
          <w:szCs w:val="20"/>
          <w:color w:val="auto"/>
        </w:rPr>
      </w:pPr>
      <w:r>
        <w:rPr>
          <w:rFonts w:ascii="Arial" w:cs="Arial" w:eastAsia="Arial" w:hAnsi="Arial"/>
          <w:sz w:val="16"/>
          <w:szCs w:val="16"/>
          <w:color w:val="auto"/>
        </w:rPr>
        <w:t>(b)Nothing contained in this Plan (or in any other documents related to this Plan or to any Award) shall confer upon any Employee or Participant any right to continue in the employ or other service of the Corporation or constitute any contract or limit in any way the right of the Corporation to change such person’s compensation or other benefits or to terminate the employment of such person with or without cause.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14. Duration</w:t>
      </w:r>
    </w:p>
    <w:p>
      <w:pPr>
        <w:spacing w:after="0" w:line="202"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 xml:space="preserve">The Plan shall remain in effect until all Awards under the Plan have been exercised or terminated under the terms of the Plan and applicable Award Agreement,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Awards under the Plan may only be granted until the tenth anniversary of the date the shareholders of the Corporation approve the Plan.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15. Section 409A of the Code</w:t>
      </w:r>
    </w:p>
    <w:p>
      <w:pPr>
        <w:spacing w:after="0" w:line="202" w:lineRule="exact"/>
        <w:rPr>
          <w:sz w:val="20"/>
          <w:szCs w:val="20"/>
          <w:color w:val="auto"/>
        </w:rPr>
      </w:pPr>
    </w:p>
    <w:p>
      <w:pPr>
        <w:jc w:val="both"/>
        <w:spacing w:after="0" w:line="218" w:lineRule="auto"/>
        <w:rPr>
          <w:sz w:val="20"/>
          <w:szCs w:val="20"/>
          <w:color w:val="auto"/>
        </w:rPr>
      </w:pPr>
      <w:r>
        <w:rPr>
          <w:rFonts w:ascii="Arial" w:cs="Arial" w:eastAsia="Arial" w:hAnsi="Arial"/>
          <w:sz w:val="16"/>
          <w:szCs w:val="16"/>
          <w:color w:val="auto"/>
        </w:rPr>
        <w:t>All provisions of the Plan shall be interpreted in a manner consistent with Section 409A of the Code, and the regulations and other guidance promulgated thereunder. Notwithstanding the preceding, the Corporation makes no representations concerning the tax consequences of participation in the Plan under Section 409A of the Code or any other federal, state, or local tax law. Tax consequences will depend, in part, upon the application of relevant tax law, including Section 409A of the Code, to the relevant facts and circumstances. Participants should consult a competent and independent tax advisor regarding the tax consequences of the Plan.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16. Restrictions on Transferability</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15"/>
          <w:szCs w:val="15"/>
          <w:color w:val="auto"/>
        </w:rPr>
        <w:t xml:space="preserve">No Award granted under the Plan shall be transferable otherwise than by will or the laws of descent and distribution and, during the lifetime of the Participant, shall be exercisable (in the case of an Option) or, in the case of an Award other than an Option, held only by him or for his benefit by his attorney-in-fact or guardian;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the Committee or its delegate may, in its discretion, at the time of grant of a Non-Qualified Stock Option or at the time of grant of another type of Award, or by amendment of an Award Agreement for an Incentive Stock Option or another type of Award, provide that Awards granted to or held by a Participant may be transferred, in whole or in part, to one or more transferees and exercised by any such transferee; </w:t>
      </w:r>
      <w:r>
        <w:rPr>
          <w:rFonts w:ascii="Arial" w:cs="Arial" w:eastAsia="Arial" w:hAnsi="Arial"/>
          <w:sz w:val="15"/>
          <w:szCs w:val="15"/>
          <w:u w:val="single" w:color="auto"/>
          <w:color w:val="auto"/>
        </w:rPr>
        <w:t>provided further that</w:t>
      </w:r>
    </w:p>
    <w:p>
      <w:pPr>
        <w:spacing w:after="0" w:line="1" w:lineRule="exact"/>
        <w:rPr>
          <w:sz w:val="20"/>
          <w:szCs w:val="20"/>
          <w:color w:val="auto"/>
        </w:rPr>
      </w:pPr>
    </w:p>
    <w:p>
      <w:pPr>
        <w:jc w:val="both"/>
        <w:ind w:firstLine="1"/>
        <w:spacing w:after="0" w:line="226" w:lineRule="auto"/>
        <w:tabs>
          <w:tab w:leader="none" w:pos="270"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any such transfer is without consideration and (b) each transferee is a Family Member with respect to the Participant; and </w:t>
      </w:r>
      <w:r>
        <w:rPr>
          <w:rFonts w:ascii="Arial" w:cs="Arial" w:eastAsia="Arial" w:hAnsi="Arial"/>
          <w:sz w:val="16"/>
          <w:szCs w:val="16"/>
          <w:u w:val="single" w:color="auto"/>
          <w:color w:val="auto"/>
        </w:rPr>
        <w:t>provided further that</w:t>
      </w:r>
      <w:r>
        <w:rPr>
          <w:rFonts w:ascii="Arial" w:cs="Arial" w:eastAsia="Arial" w:hAnsi="Arial"/>
          <w:sz w:val="16"/>
          <w:szCs w:val="16"/>
          <w:color w:val="auto"/>
        </w:rPr>
        <w:t xml:space="preserve"> any Incentive Stock Option granted pursuant to an Award</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Agreement which is amended to permit transfers during the lifetime of the optionee shall, upon the effectiveness of such amendment, be treated thereafter as a Non-Qualified Option. No transfer of an Award shall be effective unless the Corporation’s Office of the General Counsel is notified of the terms and conditions of the transfer and the Office of the General Counsel determines that the transfer complies with the requirements for transfers of Awards under the Plan and the Award document.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17. Clawback</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5"/>
          <w:szCs w:val="15"/>
          <w:color w:val="auto"/>
        </w:rPr>
        <w:t>Notwithstanding anything to the contrary contained herein, an Award held by a Participant shall be cancelled if such Participant, without the consent of the Corporation, while employed by or providing services to the Corporation or any Affiliate of the Corporation or after termination of such employment or service, to the extent applicable to the Participant, violates any policy adopted by the Corporation or any Affiliate of the Corporation relating to the recovery of compensation granted, paid, delivered, awarded or otherwise provided to any Participant by the Corporation or any Affiliate of the Corporation as such policy is in effect on the date of grant of the applicable Award or, to the extent necessary to address the requirements of applicable law (including Section 954 of the Dodd-Frank Wall Street Reform and Consumer Protection Act of 2010, as codified in Section 10D of the Exchange Act, Section 304 of the Sarbanes-Oxley Act of 2002 or any other applicable law), as may be amended from time to time. In addition, to the extent provided in any such policy, (i) a Participant will forfeit any gain realized on the vesting or exercise of an Award if the Participant engages in any activity referred to in the preceding sentence, or (ii) a Participant must repay the gain to the Corporation realized under a previously paid Section 162(m) Award or any other Award subject to performance requirements if a financial restatement reduces the amount that would have been earned under such Award.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18. Governing Law</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Plan shall be governed by the laws of the State of North Carolina.</w:t>
      </w:r>
    </w:p>
    <w:p>
      <w:pPr>
        <w:sectPr>
          <w:pgSz w:w="11900" w:h="16838" w:orient="portrait"/>
          <w:cols w:equalWidth="0" w:num="2">
            <w:col w:w="5480" w:space="460"/>
            <w:col w:w="5480"/>
          </w:cols>
          <w:pgMar w:left="240" w:top="474"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10.02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7829E"/>
        </w:rPr>
        <w:t>MARTIN MARIETTA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7829E"/>
        </w:rPr>
        <w:t>EXECUTIVE CASH INCENTIVE PLAN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February 18, 2016</w:t>
      </w:r>
    </w:p>
    <w:p>
      <w:pPr>
        <w:spacing w:after="0" w:line="22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tab/>
        <w:t>BACKGROUND AND PURPOSE</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Martin Marietta Executive Cash Incentive Plan (the “Plan”) was approved by the Board of Directors of Martin Marietta Materials, Inc. on February 18, 2016, subject to approval by its shareholders at the meeting held on May 19, 2016 in a manner that complies with Section 162(m). The Plan will be effective for cash bonuses earned on and after May 19, 2016.</w:t>
      </w:r>
    </w:p>
    <w:p>
      <w:pPr>
        <w:spacing w:after="0" w:line="11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purpose of the Plan is to provide management employees of Martin Marietta Materials, Inc. and its Affiliates (as defined below) with an incentive to accomplish such business objectives as from time to time may be determined by the Committee (as defined below).</w:t>
      </w:r>
    </w:p>
    <w:p>
      <w:pPr>
        <w:spacing w:after="0" w:line="93" w:lineRule="exact"/>
        <w:rPr>
          <w:sz w:val="20"/>
          <w:szCs w:val="20"/>
          <w:color w:val="auto"/>
        </w:rPr>
      </w:pPr>
    </w:p>
    <w:p>
      <w:pPr>
        <w:ind w:left="320" w:hanging="319"/>
        <w:spacing w:after="0"/>
        <w:tabs>
          <w:tab w:leader="none" w:pos="3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62" w:lineRule="exact"/>
        <w:rPr>
          <w:rFonts w:ascii="Arial" w:cs="Arial" w:eastAsia="Arial" w:hAnsi="Arial"/>
          <w:sz w:val="18"/>
          <w:szCs w:val="18"/>
          <w:b w:val="1"/>
          <w:bCs w:val="1"/>
          <w:color w:val="auto"/>
        </w:rPr>
      </w:pPr>
    </w:p>
    <w:p>
      <w:pPr>
        <w:jc w:val="both"/>
        <w:ind w:firstLine="704"/>
        <w:spacing w:after="0" w:line="259" w:lineRule="auto"/>
        <w:tabs>
          <w:tab w:leader="none" w:pos="967"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15" w:lineRule="exact"/>
        <w:rPr>
          <w:rFonts w:ascii="Arial" w:cs="Arial" w:eastAsia="Arial" w:hAnsi="Arial"/>
          <w:sz w:val="18"/>
          <w:szCs w:val="18"/>
          <w:color w:val="auto"/>
        </w:rPr>
      </w:pPr>
    </w:p>
    <w:p>
      <w:pPr>
        <w:jc w:val="both"/>
        <w:ind w:firstLine="704"/>
        <w:spacing w:after="0" w:line="259" w:lineRule="auto"/>
        <w:tabs>
          <w:tab w:leader="none" w:pos="965"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 cash bonus award granted under the Plan. Except as otherwise provided by the Committee, an Award shall be expressed as the percentage of a Grantee’s base salary payable for a Plan Year that shall become payable if the Targets established by the Committee are satisfied. The portion of an Award that shall be payable to a Grantee shall be determined by the Committee in accordance with the rules established for the Award for each Plan Year.</w:t>
      </w:r>
    </w:p>
    <w:p>
      <w:pPr>
        <w:spacing w:after="0" w:line="115" w:lineRule="exact"/>
        <w:rPr>
          <w:rFonts w:ascii="Arial" w:cs="Arial" w:eastAsia="Arial" w:hAnsi="Arial"/>
          <w:sz w:val="18"/>
          <w:szCs w:val="18"/>
          <w:color w:val="auto"/>
        </w:rPr>
      </w:pPr>
    </w:p>
    <w:p>
      <w:pPr>
        <w:ind w:left="960" w:hanging="256"/>
        <w:spacing w:after="0"/>
        <w:tabs>
          <w:tab w:leader="none" w:pos="9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58" w:lineRule="exact"/>
        <w:rPr>
          <w:rFonts w:ascii="Arial" w:cs="Arial" w:eastAsia="Arial" w:hAnsi="Arial"/>
          <w:sz w:val="18"/>
          <w:szCs w:val="18"/>
          <w:color w:val="auto"/>
        </w:rPr>
      </w:pPr>
    </w:p>
    <w:p>
      <w:pPr>
        <w:jc w:val="both"/>
        <w:ind w:firstLine="704"/>
        <w:spacing w:after="0" w:line="272" w:lineRule="auto"/>
        <w:tabs>
          <w:tab w:leader="none" w:pos="965" w:val="left"/>
        </w:tabs>
        <w:numPr>
          <w:ilvl w:val="1"/>
          <w:numId w:val="4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means a committee composed of members of, and designated by, the Board of Directors and, unless otherwise determined by the Board, consisting solely of persons who are “outside directors” within the meaning of Section 162(m), as Section 162(m) may be amended from time to time, which committee shall at all times comprise at least the minimum number of such persons necessary to comply with Section 162(m). If the Management Development and Compensation Committee of the Board of Directors satisfies the foregoing criteria, references in this Plan to the Committee shall be deemed to refer to such Committee of the Board of Directors. All references to the Committee shall be treated as references to the Committee’s delegate with respect to any Award granted within the scope of the delegate’s authority pursuant to Paragraph 3(c).</w:t>
      </w:r>
    </w:p>
    <w:p>
      <w:pPr>
        <w:spacing w:after="0" w:line="171" w:lineRule="exact"/>
        <w:rPr>
          <w:rFonts w:ascii="Arial" w:cs="Arial" w:eastAsia="Arial" w:hAnsi="Arial"/>
          <w:sz w:val="17"/>
          <w:szCs w:val="17"/>
          <w:color w:val="auto"/>
        </w:rPr>
      </w:pPr>
    </w:p>
    <w:p>
      <w:pPr>
        <w:ind w:firstLine="704"/>
        <w:spacing w:after="0" w:line="280" w:lineRule="auto"/>
        <w:tabs>
          <w:tab w:leader="none" w:pos="954" w:val="left"/>
        </w:tabs>
        <w:numPr>
          <w:ilvl w:val="1"/>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Martin Marietta Materials, Inc., a North Carolina corporation, including any successor thereto by merger, consolidation, acquisition of all or substantially all the assets thereof, or otherwise.</w:t>
      </w:r>
    </w:p>
    <w:p>
      <w:pPr>
        <w:spacing w:after="0" w:line="97" w:lineRule="exact"/>
        <w:rPr>
          <w:rFonts w:ascii="Arial" w:cs="Arial" w:eastAsia="Arial" w:hAnsi="Arial"/>
          <w:sz w:val="18"/>
          <w:szCs w:val="18"/>
          <w:color w:val="auto"/>
        </w:rPr>
      </w:pPr>
    </w:p>
    <w:p>
      <w:pPr>
        <w:ind w:left="940" w:hanging="236"/>
        <w:spacing w:after="0"/>
        <w:tabs>
          <w:tab w:leader="none" w:pos="9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Employee</w:t>
      </w:r>
      <w:r>
        <w:rPr>
          <w:rFonts w:ascii="Arial" w:cs="Arial" w:eastAsia="Arial" w:hAnsi="Arial"/>
          <w:sz w:val="16"/>
          <w:szCs w:val="16"/>
          <w:color w:val="auto"/>
        </w:rPr>
        <w:t>” means a covered employee within the meaning of section 162(m) or the Treasury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465455</wp:posOffset>
            </wp:positionV>
            <wp:extent cx="729678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70" w:name="page71"/>
    <w:bookmarkEnd w:id="70"/>
    <w:p>
      <w:pPr>
        <w:ind w:left="960" w:hanging="256"/>
        <w:spacing w:after="0"/>
        <w:tabs>
          <w:tab w:leader="none" w:pos="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158" w:lineRule="exact"/>
        <w:rPr>
          <w:rFonts w:ascii="Arial" w:cs="Arial" w:eastAsia="Arial" w:hAnsi="Arial"/>
          <w:sz w:val="18"/>
          <w:szCs w:val="18"/>
          <w:color w:val="auto"/>
        </w:rPr>
      </w:pPr>
    </w:p>
    <w:p>
      <w:pPr>
        <w:ind w:firstLine="704"/>
        <w:spacing w:after="0" w:line="280" w:lineRule="auto"/>
        <w:tabs>
          <w:tab w:leader="none" w:pos="965"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any physical or mental impairment that would qualify a Grantee for disability benefits under the standards of the long-term disability plan maintained by the Company or under the federal social security system.</w:t>
      </w:r>
    </w:p>
    <w:p>
      <w:pPr>
        <w:spacing w:after="0" w:line="97" w:lineRule="exact"/>
        <w:rPr>
          <w:rFonts w:ascii="Arial" w:cs="Arial" w:eastAsia="Arial" w:hAnsi="Arial"/>
          <w:sz w:val="18"/>
          <w:szCs w:val="18"/>
          <w:color w:val="auto"/>
        </w:rPr>
      </w:pPr>
    </w:p>
    <w:p>
      <w:pPr>
        <w:ind w:left="920" w:hanging="216"/>
        <w:spacing w:after="0"/>
        <w:tabs>
          <w:tab w:leader="none" w:pos="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the Company or an Affiliate.</w:t>
      </w:r>
    </w:p>
    <w:p>
      <w:pPr>
        <w:spacing w:after="0" w:line="158" w:lineRule="exact"/>
        <w:rPr>
          <w:rFonts w:ascii="Arial" w:cs="Arial" w:eastAsia="Arial" w:hAnsi="Arial"/>
          <w:sz w:val="18"/>
          <w:szCs w:val="18"/>
          <w:color w:val="auto"/>
        </w:rPr>
      </w:pPr>
    </w:p>
    <w:p>
      <w:pPr>
        <w:ind w:left="920" w:hanging="216"/>
        <w:spacing w:after="0"/>
        <w:tabs>
          <w:tab w:leader="none" w:pos="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who is granted an Award.</w:t>
      </w:r>
    </w:p>
    <w:p>
      <w:pPr>
        <w:spacing w:after="0" w:line="158" w:lineRule="exact"/>
        <w:rPr>
          <w:rFonts w:ascii="Arial" w:cs="Arial" w:eastAsia="Arial" w:hAnsi="Arial"/>
          <w:sz w:val="18"/>
          <w:szCs w:val="18"/>
          <w:color w:val="auto"/>
        </w:rPr>
      </w:pPr>
    </w:p>
    <w:p>
      <w:pPr>
        <w:ind w:left="960" w:hanging="256"/>
        <w:spacing w:after="0"/>
        <w:tabs>
          <w:tab w:leader="none" w:pos="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58" w:lineRule="exact"/>
        <w:rPr>
          <w:rFonts w:ascii="Arial" w:cs="Arial" w:eastAsia="Arial" w:hAnsi="Arial"/>
          <w:sz w:val="18"/>
          <w:szCs w:val="18"/>
          <w:color w:val="auto"/>
        </w:rPr>
      </w:pPr>
    </w:p>
    <w:p>
      <w:pPr>
        <w:ind w:left="920" w:hanging="216"/>
        <w:spacing w:after="0"/>
        <w:tabs>
          <w:tab w:leader="none" w:pos="9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Martin Marietta Executive Cash Incentive Plan as set forth herein, and as amended from time to time.</w:t>
      </w:r>
    </w:p>
    <w:p>
      <w:pPr>
        <w:spacing w:after="0" w:line="158" w:lineRule="exact"/>
        <w:rPr>
          <w:rFonts w:ascii="Arial" w:cs="Arial" w:eastAsia="Arial" w:hAnsi="Arial"/>
          <w:sz w:val="18"/>
          <w:szCs w:val="18"/>
          <w:color w:val="auto"/>
        </w:rPr>
      </w:pPr>
    </w:p>
    <w:p>
      <w:pPr>
        <w:ind w:left="1020" w:hanging="316"/>
        <w:spacing w:after="0"/>
        <w:tabs>
          <w:tab w:leader="none" w:pos="10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158" w:lineRule="exact"/>
        <w:rPr>
          <w:rFonts w:ascii="Arial" w:cs="Arial" w:eastAsia="Arial" w:hAnsi="Arial"/>
          <w:sz w:val="18"/>
          <w:szCs w:val="18"/>
          <w:color w:val="auto"/>
        </w:rPr>
      </w:pPr>
    </w:p>
    <w:p>
      <w:pPr>
        <w:jc w:val="both"/>
        <w:ind w:firstLine="704"/>
        <w:spacing w:after="0" w:line="312" w:lineRule="auto"/>
        <w:tabs>
          <w:tab w:leader="none" w:pos="965" w:val="left"/>
        </w:tabs>
        <w:numPr>
          <w:ilvl w:val="1"/>
          <w:numId w:val="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Qualitative Performance Standards</w:t>
      </w:r>
      <w:r>
        <w:rPr>
          <w:rFonts w:ascii="Arial" w:cs="Arial" w:eastAsia="Arial" w:hAnsi="Arial"/>
          <w:sz w:val="16"/>
          <w:szCs w:val="16"/>
          <w:color w:val="auto"/>
        </w:rPr>
        <w:t>” means performance standards other than Quantitative Performance Standards, including but not limited to regulatory compliance, customer service, management effectiveness, safety, ethics and other qualitative performance standards relevant to the Company’s business, as may be established by the Committee, and the achievement of which shall be determined in the discretion of the Committee.</w:t>
      </w:r>
    </w:p>
    <w:p>
      <w:pPr>
        <w:spacing w:after="0" w:line="76" w:lineRule="exact"/>
        <w:rPr>
          <w:rFonts w:ascii="Arial" w:cs="Arial" w:eastAsia="Arial" w:hAnsi="Arial"/>
          <w:sz w:val="16"/>
          <w:szCs w:val="16"/>
          <w:color w:val="auto"/>
        </w:rPr>
      </w:pPr>
    </w:p>
    <w:p>
      <w:pPr>
        <w:jc w:val="both"/>
        <w:ind w:firstLine="704"/>
        <w:spacing w:after="0" w:line="281" w:lineRule="auto"/>
        <w:tabs>
          <w:tab w:leader="none" w:pos="1002" w:val="left"/>
        </w:tabs>
        <w:numPr>
          <w:ilvl w:val="1"/>
          <w:numId w:val="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Quantitative Performance Standards</w:t>
      </w:r>
      <w:r>
        <w:rPr>
          <w:rFonts w:ascii="Arial" w:cs="Arial" w:eastAsia="Arial" w:hAnsi="Arial"/>
          <w:sz w:val="16"/>
          <w:szCs w:val="16"/>
          <w:color w:val="auto"/>
        </w:rPr>
        <w:t>” means performance standards that relate to one or more of the following criteria: stock price (including return on shareholder’s equity or total shareholder return), operating earnings (before or after tax), adjusted operating earnings (before or after tax), operating income, net income, return on equity, return on capital, adjusted return on equity, adjusted return on capital, market share, distributable earnings (before or after holding company expense), improvement in or attainment of level of expenses, revenue, net revenue, growth in revenue, gross profits, gross or net profit margin, operating margin, gross profit growth, earnings before one or more of interest, taxes, depreciation and amortization, cash flow (including operating cash flow and free cash flow), year-end cash, earnings per share, book value, book value per share, return on invested capital, return on assets, sales, net sales, return on sales, economic value added, debt reduction and improvements in or attainment of working capital levels, in each case either in absolute terms or relative to the performance of one or more other companies or a published index covering the performance of a number of companies. As determined by the Committee, the Quantitative Performance Standards applicable to an Award may provide for a targeted level or levels of achievement on a whole Company basis or with respect to one or more businesses, business units, segments or Subsidiaries, or on the basis of individual performance. The Quantitative Performance Standards may differ from Grantee to Grantee and from Award to Award. Any Quantitative Performance Standards that are financial metrics may be determined in accordance with United States Generally Accepted Accounting Principles (“GAAP”), or may be adjusted when established to include or exclude any items otherwise includable or excludable under GAAP. The Committee may provide, in connection with the setting of the Quantitative Performance Standards, that any evaluation of performance may include or exclude certain items that may occur during any fiscal year of the Company, including, without limitation, the following: (i) asset write downs;</w:t>
      </w:r>
    </w:p>
    <w:p>
      <w:pPr>
        <w:jc w:val="both"/>
        <w:ind w:firstLine="1"/>
        <w:spacing w:after="0" w:line="253" w:lineRule="auto"/>
        <w:tabs>
          <w:tab w:leader="none" w:pos="2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litigation or claim judgments or settlements; (iii) the effect of changes in tax laws, accounting principles or other laws or provisions affecting reported results; (iv) any reorganization and restructuring programs; (v) extraordinary or nonrecurring items, or other notable items; (vi) acquisitions or divestitures; (vii) foreign exchange gains and losses; (viii) discontinued operations; (ix) an event either not directly related to the operations of the Company or not within the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191135</wp:posOffset>
            </wp:positionV>
            <wp:extent cx="729678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71" w:name="page72"/>
    <w:bookmarkEnd w:id="71"/>
    <w:p>
      <w:pPr>
        <w:spacing w:after="0" w:line="280" w:lineRule="auto"/>
        <w:rPr>
          <w:sz w:val="20"/>
          <w:szCs w:val="20"/>
          <w:color w:val="auto"/>
        </w:rPr>
      </w:pPr>
      <w:r>
        <w:rPr>
          <w:rFonts w:ascii="Arial" w:cs="Arial" w:eastAsia="Arial" w:hAnsi="Arial"/>
          <w:sz w:val="18"/>
          <w:szCs w:val="18"/>
          <w:color w:val="auto"/>
        </w:rPr>
        <w:t>reasonable control of the Company’s management; (x) a change in the fiscal year of the Company; (xi) costs associated with refinancing or repurchase of bank loans or debt securities; (xii) unbudgeted capital expenditures; and (xiii) business interruption events.</w:t>
      </w:r>
    </w:p>
    <w:p>
      <w:pPr>
        <w:spacing w:after="0" w:line="110" w:lineRule="exact"/>
        <w:rPr>
          <w:sz w:val="20"/>
          <w:szCs w:val="20"/>
          <w:color w:val="auto"/>
        </w:rPr>
      </w:pPr>
    </w:p>
    <w:p>
      <w:pPr>
        <w:jc w:val="both"/>
        <w:ind w:firstLine="697"/>
        <w:spacing w:after="0" w:line="264" w:lineRule="auto"/>
        <w:tabs>
          <w:tab w:leader="none" w:pos="958" w:val="left"/>
        </w:tabs>
        <w:numPr>
          <w:ilvl w:val="1"/>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Retirement</w:t>
      </w:r>
      <w:r>
        <w:rPr>
          <w:rFonts w:ascii="Arial" w:cs="Arial" w:eastAsia="Arial" w:hAnsi="Arial"/>
          <w:sz w:val="18"/>
          <w:szCs w:val="18"/>
          <w:color w:val="auto"/>
        </w:rPr>
        <w:t>” means termination of a Grantee’s employment at a time when the Grantee is eligible to commence receiving retirement benefits under the Martin Marietta Materials, Inc. Pension Plan, or any successor plan, without actuarial reduction. The Committee, in its sole discretion, may classify a Grantee’s termination of employment as a “Retirement” under other circumstances.</w:t>
      </w:r>
    </w:p>
    <w:p>
      <w:pPr>
        <w:spacing w:after="0" w:line="136" w:lineRule="exact"/>
        <w:rPr>
          <w:rFonts w:ascii="Arial" w:cs="Arial" w:eastAsia="Arial" w:hAnsi="Arial"/>
          <w:sz w:val="18"/>
          <w:szCs w:val="18"/>
          <w:color w:val="auto"/>
        </w:rPr>
      </w:pPr>
    </w:p>
    <w:p>
      <w:pPr>
        <w:ind w:left="960" w:hanging="263"/>
        <w:spacing w:after="0"/>
        <w:tabs>
          <w:tab w:leader="none" w:pos="960" w:val="left"/>
        </w:tabs>
        <w:numPr>
          <w:ilvl w:val="1"/>
          <w:numId w:val="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 16(b) Officer</w:t>
      </w:r>
      <w:r>
        <w:rPr>
          <w:rFonts w:ascii="Arial" w:cs="Arial" w:eastAsia="Arial" w:hAnsi="Arial"/>
          <w:sz w:val="17"/>
          <w:szCs w:val="17"/>
          <w:color w:val="auto"/>
        </w:rPr>
        <w:t>” means an officer of the Company who is subject to the short-swing profit recapture rules of section 16(b) of the 1934</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Act.</w:t>
      </w:r>
    </w:p>
    <w:p>
      <w:pPr>
        <w:spacing w:after="0" w:line="155" w:lineRule="exact"/>
        <w:rPr>
          <w:rFonts w:ascii="Arial" w:cs="Arial" w:eastAsia="Arial" w:hAnsi="Arial"/>
          <w:sz w:val="17"/>
          <w:szCs w:val="17"/>
          <w:color w:val="auto"/>
        </w:rPr>
      </w:pPr>
    </w:p>
    <w:p>
      <w:pPr>
        <w:ind w:firstLine="697"/>
        <w:spacing w:after="0" w:line="280" w:lineRule="auto"/>
        <w:tabs>
          <w:tab w:leader="none" w:pos="952" w:val="left"/>
        </w:tabs>
        <w:numPr>
          <w:ilvl w:val="1"/>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162(m)</w:t>
      </w:r>
      <w:r>
        <w:rPr>
          <w:rFonts w:ascii="Arial" w:cs="Arial" w:eastAsia="Arial" w:hAnsi="Arial"/>
          <w:sz w:val="18"/>
          <w:szCs w:val="18"/>
          <w:color w:val="auto"/>
        </w:rPr>
        <w:t>” means Section 162(m) of the Internal Revenue Code of 1986, as amended, or any successor statute and the Treasury Regulations promulgated thereunder, as they may be amended from time to time.</w:t>
      </w:r>
    </w:p>
    <w:p>
      <w:pPr>
        <w:spacing w:after="0" w:line="109" w:lineRule="exact"/>
        <w:rPr>
          <w:rFonts w:ascii="Arial" w:cs="Arial" w:eastAsia="Arial" w:hAnsi="Arial"/>
          <w:sz w:val="18"/>
          <w:szCs w:val="18"/>
          <w:color w:val="auto"/>
        </w:rPr>
      </w:pPr>
    </w:p>
    <w:p>
      <w:pPr>
        <w:jc w:val="both"/>
        <w:ind w:firstLine="697"/>
        <w:spacing w:after="0" w:line="264" w:lineRule="auto"/>
        <w:tabs>
          <w:tab w:leader="none" w:pos="937" w:val="left"/>
        </w:tabs>
        <w:numPr>
          <w:ilvl w:val="1"/>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162(m) Award</w:t>
      </w:r>
      <w:r>
        <w:rPr>
          <w:rFonts w:ascii="Arial" w:cs="Arial" w:eastAsia="Arial" w:hAnsi="Arial"/>
          <w:sz w:val="18"/>
          <w:szCs w:val="18"/>
          <w:color w:val="auto"/>
        </w:rPr>
        <w:t>” means an Award granted to an individual who, at the Date of Grant, is, or is likely to be, as of the end of the tax year in which the Company would claim a tax deduction in connection with such Award, a Covered Employee and is designated by the Committee as a Section 162(m) Award at the time of grant.</w:t>
      </w:r>
    </w:p>
    <w:p>
      <w:pPr>
        <w:spacing w:after="0" w:line="161" w:lineRule="exact"/>
        <w:rPr>
          <w:rFonts w:ascii="Arial" w:cs="Arial" w:eastAsia="Arial" w:hAnsi="Arial"/>
          <w:sz w:val="18"/>
          <w:szCs w:val="18"/>
          <w:color w:val="auto"/>
        </w:rPr>
      </w:pPr>
    </w:p>
    <w:p>
      <w:pPr>
        <w:jc w:val="both"/>
        <w:ind w:firstLine="697"/>
        <w:spacing w:after="0" w:line="264" w:lineRule="auto"/>
        <w:tabs>
          <w:tab w:leader="none" w:pos="929" w:val="left"/>
        </w:tabs>
        <w:numPr>
          <w:ilvl w:val="1"/>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w:t>
      </w:r>
      <w:r>
        <w:rPr>
          <w:rFonts w:ascii="Arial" w:cs="Arial" w:eastAsia="Arial" w:hAnsi="Arial"/>
          <w:sz w:val="18"/>
          <w:szCs w:val="18"/>
          <w:color w:val="auto"/>
        </w:rPr>
        <w:t>” means, for any Plan Year, the Qualitative Performance Standards and the Quantitative Performance Standards established by the Committee, in its discretion. Qualitative Performance Standards, Quantitative Performance Standards and the weighting of such Standards may differ from Plan Year to Plan Year, and within a Plan Year, may differ among Grantees or classes of Grantees.</w:t>
      </w:r>
    </w:p>
    <w:p>
      <w:pPr>
        <w:spacing w:after="0" w:line="161" w:lineRule="exact"/>
        <w:rPr>
          <w:rFonts w:ascii="Arial" w:cs="Arial" w:eastAsia="Arial" w:hAnsi="Arial"/>
          <w:sz w:val="18"/>
          <w:szCs w:val="18"/>
          <w:color w:val="auto"/>
        </w:rPr>
      </w:pPr>
    </w:p>
    <w:p>
      <w:pPr>
        <w:ind w:firstLine="697"/>
        <w:spacing w:after="0" w:line="280" w:lineRule="auto"/>
        <w:tabs>
          <w:tab w:leader="none" w:pos="958" w:val="left"/>
        </w:tabs>
        <w:numPr>
          <w:ilvl w:val="1"/>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244" w:lineRule="exact"/>
        <w:rPr>
          <w:rFonts w:ascii="Arial" w:cs="Arial" w:eastAsia="Arial" w:hAnsi="Arial"/>
          <w:sz w:val="18"/>
          <w:szCs w:val="18"/>
          <w:color w:val="auto"/>
        </w:rPr>
      </w:pPr>
    </w:p>
    <w:p>
      <w:pPr>
        <w:ind w:left="320" w:hanging="319"/>
        <w:spacing w:after="0"/>
        <w:tabs>
          <w:tab w:leader="none" w:pos="3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112" w:lineRule="exact"/>
        <w:rPr>
          <w:rFonts w:ascii="Arial" w:cs="Arial" w:eastAsia="Arial" w:hAnsi="Arial"/>
          <w:sz w:val="18"/>
          <w:szCs w:val="18"/>
          <w:b w:val="1"/>
          <w:bCs w:val="1"/>
          <w:color w:val="auto"/>
        </w:rPr>
      </w:pPr>
    </w:p>
    <w:p>
      <w:pPr>
        <w:jc w:val="both"/>
        <w:ind w:firstLine="697"/>
        <w:spacing w:after="0" w:line="287" w:lineRule="auto"/>
        <w:tabs>
          <w:tab w:leader="none" w:pos="947"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Administration</w:t>
      </w:r>
      <w:r>
        <w:rPr>
          <w:rFonts w:ascii="Arial" w:cs="Arial" w:eastAsia="Arial" w:hAnsi="Arial"/>
          <w:sz w:val="17"/>
          <w:szCs w:val="17"/>
          <w:color w:val="auto"/>
        </w:rPr>
        <w:t>. The Plan shall be administered by the Committee. The Committee shall have the power and duty to do all things necessary or convenient to effect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143" w:lineRule="exact"/>
        <w:rPr>
          <w:rFonts w:ascii="Arial" w:cs="Arial" w:eastAsia="Arial" w:hAnsi="Arial"/>
          <w:sz w:val="17"/>
          <w:szCs w:val="17"/>
          <w:color w:val="auto"/>
        </w:rPr>
      </w:pPr>
    </w:p>
    <w:p>
      <w:pPr>
        <w:ind w:firstLine="929"/>
        <w:spacing w:after="0" w:line="280" w:lineRule="auto"/>
        <w:tabs>
          <w:tab w:leader="none" w:pos="1187" w:val="left"/>
        </w:tabs>
        <w:numPr>
          <w:ilvl w:val="2"/>
          <w:numId w:val="46"/>
        </w:numPr>
        <w:rPr>
          <w:rFonts w:ascii="Arial" w:cs="Arial" w:eastAsia="Arial" w:hAnsi="Arial"/>
          <w:sz w:val="18"/>
          <w:szCs w:val="18"/>
          <w:color w:val="auto"/>
        </w:rPr>
      </w:pPr>
      <w:r>
        <w:rPr>
          <w:rFonts w:ascii="Arial" w:cs="Arial" w:eastAsia="Arial" w:hAnsi="Arial"/>
          <w:sz w:val="18"/>
          <w:szCs w:val="18"/>
          <w:color w:val="auto"/>
        </w:rPr>
        <w:t>provide rules and regulations for the management, operation and administration of the Plan, and, from time to time, to amend or supplement such rules and regulations;</w:t>
      </w:r>
    </w:p>
    <w:p>
      <w:pPr>
        <w:spacing w:after="0" w:line="147" w:lineRule="exact"/>
        <w:rPr>
          <w:rFonts w:ascii="Arial" w:cs="Arial" w:eastAsia="Arial" w:hAnsi="Arial"/>
          <w:sz w:val="18"/>
          <w:szCs w:val="18"/>
          <w:color w:val="auto"/>
        </w:rPr>
      </w:pPr>
    </w:p>
    <w:p>
      <w:pPr>
        <w:ind w:left="1200" w:hanging="271"/>
        <w:spacing w:after="0"/>
        <w:tabs>
          <w:tab w:leader="none" w:pos="12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construe the Plan, which construction, as long as made in good faith, shall be final and conclusive upon all parties hereto;</w:t>
      </w:r>
    </w:p>
    <w:p>
      <w:pPr>
        <w:spacing w:after="0" w:line="209" w:lineRule="exact"/>
        <w:rPr>
          <w:rFonts w:ascii="Arial" w:cs="Arial" w:eastAsia="Arial" w:hAnsi="Arial"/>
          <w:sz w:val="18"/>
          <w:szCs w:val="18"/>
          <w:color w:val="auto"/>
        </w:rPr>
      </w:pPr>
    </w:p>
    <w:p>
      <w:pPr>
        <w:ind w:firstLine="929"/>
        <w:spacing w:after="0" w:line="280" w:lineRule="auto"/>
        <w:tabs>
          <w:tab w:leader="none" w:pos="1264" w:val="left"/>
        </w:tabs>
        <w:numPr>
          <w:ilvl w:val="2"/>
          <w:numId w:val="46"/>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the Plan in such manner and to such extent as it shall deem expedient to carry the same into effect, and it shall be the sole and final judge of when such action shall be appropriate; and</w:t>
      </w:r>
    </w:p>
    <w:p>
      <w:pPr>
        <w:spacing w:after="0" w:line="147" w:lineRule="exact"/>
        <w:rPr>
          <w:rFonts w:ascii="Arial" w:cs="Arial" w:eastAsia="Arial" w:hAnsi="Arial"/>
          <w:sz w:val="18"/>
          <w:szCs w:val="18"/>
          <w:color w:val="auto"/>
        </w:rPr>
      </w:pPr>
    </w:p>
    <w:p>
      <w:pPr>
        <w:ind w:left="1240" w:hanging="311"/>
        <w:spacing w:after="0"/>
        <w:tabs>
          <w:tab w:leader="none" w:pos="1240" w:val="left"/>
        </w:tabs>
        <w:numPr>
          <w:ilvl w:val="2"/>
          <w:numId w:val="46"/>
        </w:numPr>
        <w:rPr>
          <w:rFonts w:ascii="Arial" w:cs="Arial" w:eastAsia="Arial" w:hAnsi="Arial"/>
          <w:sz w:val="18"/>
          <w:szCs w:val="18"/>
          <w:color w:val="auto"/>
        </w:rPr>
      </w:pPr>
      <w:r>
        <w:rPr>
          <w:rFonts w:ascii="Arial" w:cs="Arial" w:eastAsia="Arial" w:hAnsi="Arial"/>
          <w:sz w:val="18"/>
          <w:szCs w:val="18"/>
          <w:color w:val="auto"/>
        </w:rPr>
        <w:t>determine whether the conditions to the payment of an Award have been satisfied.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191135</wp:posOffset>
            </wp:positionV>
            <wp:extent cx="729678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72" w:name="page73"/>
    <w:bookmarkEnd w:id="72"/>
    <w:p>
      <w:pPr>
        <w:spacing w:after="0" w:line="280" w:lineRule="auto"/>
        <w:rPr>
          <w:sz w:val="20"/>
          <w:szCs w:val="20"/>
          <w:color w:val="auto"/>
        </w:rPr>
      </w:pPr>
      <w:r>
        <w:rPr>
          <w:rFonts w:ascii="Arial" w:cs="Arial" w:eastAsia="Arial" w:hAnsi="Arial"/>
          <w:sz w:val="18"/>
          <w:szCs w:val="18"/>
          <w:color w:val="auto"/>
        </w:rPr>
        <w:t>The resolution of any questions with respect to payments and entitlements pursuant to the provisions of the Plan shall be determined by the Committee, and all such determinations shall be final and conclusive.</w:t>
      </w:r>
    </w:p>
    <w:p>
      <w:pPr>
        <w:spacing w:after="0" w:line="148" w:lineRule="exact"/>
        <w:rPr>
          <w:sz w:val="20"/>
          <w:szCs w:val="20"/>
          <w:color w:val="auto"/>
        </w:rPr>
      </w:pPr>
    </w:p>
    <w:p>
      <w:pPr>
        <w:jc w:val="both"/>
        <w:ind w:firstLine="697"/>
        <w:spacing w:after="0" w:line="264" w:lineRule="auto"/>
        <w:tabs>
          <w:tab w:leader="none" w:pos="97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Subject to the express terms and conditions set forth in the Plan, the Committee shall have the power, from time to time, to select those Eligible Employees to whom Awards shall be granted under the Plan, to determine the amount of cash that may become payable pursuant to each Award, and, pursuant to the provisions of the Plan, to determine the terms and conditions of each Award.</w:t>
      </w:r>
    </w:p>
    <w:p>
      <w:pPr>
        <w:spacing w:after="0" w:line="161" w:lineRule="exact"/>
        <w:rPr>
          <w:rFonts w:ascii="Arial" w:cs="Arial" w:eastAsia="Arial" w:hAnsi="Arial"/>
          <w:sz w:val="18"/>
          <w:szCs w:val="18"/>
          <w:color w:val="auto"/>
        </w:rPr>
      </w:pPr>
    </w:p>
    <w:p>
      <w:pPr>
        <w:jc w:val="both"/>
        <w:ind w:firstLine="697"/>
        <w:spacing w:after="0" w:line="256" w:lineRule="auto"/>
        <w:tabs>
          <w:tab w:leader="none" w:pos="947"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The Committee may delegate its authority with respect to the grant, amendment, interpretation and administration of grants to a person, persons or committee, in its sole and absolute discretion; provided that, with respect to a Section 162(m) Award, the Committee may only delegate its authority to another committee of the Board that satisfies the criteria set forth in Paragraph 2(d). Actions taken by the Committee’s duly-authorized delegate shall have the same force and effect as actions taken by the Committee. Any delegation of authority pursuant to this Paragraph 3(c) shall continue in effect until the earliest of:</w:t>
      </w:r>
    </w:p>
    <w:p>
      <w:pPr>
        <w:spacing w:after="0" w:line="119" w:lineRule="exact"/>
        <w:rPr>
          <w:rFonts w:ascii="Arial" w:cs="Arial" w:eastAsia="Arial" w:hAnsi="Arial"/>
          <w:sz w:val="18"/>
          <w:szCs w:val="18"/>
          <w:color w:val="auto"/>
        </w:rPr>
      </w:pPr>
    </w:p>
    <w:p>
      <w:pPr>
        <w:ind w:left="1140" w:hanging="211"/>
        <w:spacing w:after="0"/>
        <w:tabs>
          <w:tab w:leader="none" w:pos="114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such time as the Committee shall, in its sole and absolute discretion, revoke such delegation of authority;</w:t>
      </w:r>
    </w:p>
    <w:p>
      <w:pPr>
        <w:spacing w:after="0" w:line="158" w:lineRule="exact"/>
        <w:rPr>
          <w:rFonts w:ascii="Arial" w:cs="Arial" w:eastAsia="Arial" w:hAnsi="Arial"/>
          <w:sz w:val="18"/>
          <w:szCs w:val="18"/>
          <w:color w:val="auto"/>
        </w:rPr>
      </w:pPr>
    </w:p>
    <w:p>
      <w:pPr>
        <w:ind w:firstLine="929"/>
        <w:spacing w:after="0" w:line="280" w:lineRule="auto"/>
        <w:tabs>
          <w:tab w:leader="none" w:pos="1223" w:val="left"/>
        </w:tabs>
        <w:numPr>
          <w:ilvl w:val="2"/>
          <w:numId w:val="47"/>
        </w:numPr>
        <w:rPr>
          <w:rFonts w:ascii="Arial" w:cs="Arial" w:eastAsia="Arial" w:hAnsi="Arial"/>
          <w:sz w:val="18"/>
          <w:szCs w:val="18"/>
          <w:color w:val="auto"/>
        </w:rPr>
      </w:pPr>
      <w:r>
        <w:rPr>
          <w:rFonts w:ascii="Arial" w:cs="Arial" w:eastAsia="Arial" w:hAnsi="Arial"/>
          <w:sz w:val="18"/>
          <w:szCs w:val="18"/>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97" w:lineRule="exact"/>
        <w:rPr>
          <w:rFonts w:ascii="Arial" w:cs="Arial" w:eastAsia="Arial" w:hAnsi="Arial"/>
          <w:sz w:val="18"/>
          <w:szCs w:val="18"/>
          <w:color w:val="auto"/>
        </w:rPr>
      </w:pPr>
    </w:p>
    <w:p>
      <w:pPr>
        <w:ind w:left="1260" w:hanging="331"/>
        <w:spacing w:after="0"/>
        <w:tabs>
          <w:tab w:leader="none" w:pos="1260" w:val="left"/>
        </w:tabs>
        <w:numPr>
          <w:ilvl w:val="2"/>
          <w:numId w:val="47"/>
        </w:numPr>
        <w:rPr>
          <w:rFonts w:ascii="Arial" w:cs="Arial" w:eastAsia="Arial" w:hAnsi="Arial"/>
          <w:sz w:val="18"/>
          <w:szCs w:val="18"/>
          <w:color w:val="auto"/>
        </w:rPr>
      </w:pPr>
      <w:r>
        <w:rPr>
          <w:rFonts w:ascii="Arial" w:cs="Arial" w:eastAsia="Arial" w:hAnsi="Arial"/>
          <w:sz w:val="18"/>
          <w:szCs w:val="18"/>
          <w:color w:val="auto"/>
        </w:rPr>
        <w:t>the delegate shall notify the Committee that he or she declines to continue to exercise such authority.</w:t>
      </w:r>
    </w:p>
    <w:p>
      <w:pPr>
        <w:spacing w:after="0" w:line="158" w:lineRule="exact"/>
        <w:rPr>
          <w:rFonts w:ascii="Arial" w:cs="Arial" w:eastAsia="Arial" w:hAnsi="Arial"/>
          <w:sz w:val="18"/>
          <w:szCs w:val="18"/>
          <w:color w:val="auto"/>
        </w:rPr>
      </w:pPr>
    </w:p>
    <w:p>
      <w:pPr>
        <w:jc w:val="both"/>
        <w:ind w:firstLine="697"/>
        <w:spacing w:after="0" w:line="259" w:lineRule="auto"/>
        <w:tabs>
          <w:tab w:leader="none" w:pos="983"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Grantee Information</w:t>
      </w:r>
      <w:r>
        <w:rPr>
          <w:rFonts w:ascii="Arial" w:cs="Arial" w:eastAsia="Arial" w:hAnsi="Arial"/>
          <w:sz w:val="18"/>
          <w:szCs w:val="18"/>
          <w:color w:val="auto"/>
        </w:rPr>
        <w:t>. The Company shall furnish to the Committee in writing all information the Company deems appropriate for the Committee to exercise its powers and duties in administration of the Plan. Such information shall be conclusive for all purposes of the Plan and the Committee shall be entitled to rely thereon without any investigation thereof; provided, however, that the Committee may correct any errors discovered in any such information.</w:t>
      </w:r>
    </w:p>
    <w:p>
      <w:pPr>
        <w:spacing w:after="0" w:line="111" w:lineRule="exact"/>
        <w:rPr>
          <w:rFonts w:ascii="Arial" w:cs="Arial" w:eastAsia="Arial" w:hAnsi="Arial"/>
          <w:sz w:val="18"/>
          <w:szCs w:val="18"/>
          <w:color w:val="auto"/>
        </w:rPr>
      </w:pPr>
    </w:p>
    <w:p>
      <w:pPr>
        <w:ind w:left="320" w:hanging="319"/>
        <w:spacing w:after="0"/>
        <w:tabs>
          <w:tab w:leader="none" w:pos="3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63"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Awards may be granted only to Eligible Employees of the Company and its Affiliates, as determined by the Committee. No Awards shall be granted to an individual who is not an Eligible Employee of the Company or an Affiliate.</w:t>
      </w:r>
    </w:p>
    <w:p>
      <w:pPr>
        <w:spacing w:after="0" w:line="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AWARDS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The Committee may grant Awards in accordance with the Plan. The terms and conditions of Awards shall be as determined from time to time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Committee, consistent, however, with the following:</w:t>
      </w:r>
    </w:p>
    <w:p>
      <w:pPr>
        <w:spacing w:after="0" w:line="143" w:lineRule="exact"/>
        <w:rPr>
          <w:sz w:val="20"/>
          <w:szCs w:val="20"/>
          <w:color w:val="auto"/>
        </w:rPr>
      </w:pPr>
    </w:p>
    <w:p>
      <w:pPr>
        <w:ind w:firstLine="697"/>
        <w:spacing w:after="0" w:line="280"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Awards may be granted at any time from the date of adoption of the Plan by the Board until the Plan is terminated by the Board or the Committee.</w:t>
      </w:r>
    </w:p>
    <w:p>
      <w:pPr>
        <w:spacing w:after="0" w:line="97" w:lineRule="exact"/>
        <w:rPr>
          <w:rFonts w:ascii="Arial" w:cs="Arial" w:eastAsia="Arial" w:hAnsi="Arial"/>
          <w:sz w:val="18"/>
          <w:szCs w:val="18"/>
          <w:color w:val="auto"/>
        </w:rPr>
      </w:pPr>
    </w:p>
    <w:p>
      <w:pPr>
        <w:ind w:left="960" w:hanging="263"/>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Non-uniformity of Awards</w:t>
      </w:r>
      <w:r>
        <w:rPr>
          <w:rFonts w:ascii="Arial" w:cs="Arial" w:eastAsia="Arial" w:hAnsi="Arial"/>
          <w:sz w:val="18"/>
          <w:szCs w:val="18"/>
          <w:color w:val="auto"/>
        </w:rPr>
        <w:t>. The provisions of Awards need not be the same with respect to each Grantee.</w:t>
      </w:r>
    </w:p>
    <w:p>
      <w:pPr>
        <w:spacing w:after="0" w:line="158" w:lineRule="exact"/>
        <w:rPr>
          <w:rFonts w:ascii="Arial" w:cs="Arial" w:eastAsia="Arial" w:hAnsi="Arial"/>
          <w:sz w:val="18"/>
          <w:szCs w:val="18"/>
          <w:color w:val="auto"/>
        </w:rPr>
      </w:pPr>
    </w:p>
    <w:p>
      <w:pPr>
        <w:ind w:left="940" w:hanging="243"/>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Establishment of Targets and Conditions to Payment of Awards</w:t>
      </w:r>
      <w:r>
        <w:rPr>
          <w:rFonts w:ascii="Arial" w:cs="Arial" w:eastAsia="Arial" w:hAnsi="Arial"/>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191135</wp:posOffset>
            </wp:positionV>
            <wp:extent cx="729678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73" w:name="page74"/>
    <w:bookmarkEnd w:id="73"/>
    <w:p>
      <w:pPr>
        <w:ind w:firstLine="929"/>
        <w:spacing w:after="0" w:line="280" w:lineRule="auto"/>
        <w:tabs>
          <w:tab w:leader="none" w:pos="1181" w:val="left"/>
        </w:tabs>
        <w:numPr>
          <w:ilvl w:val="1"/>
          <w:numId w:val="50"/>
        </w:numPr>
        <w:rPr>
          <w:rFonts w:ascii="Arial" w:cs="Arial" w:eastAsia="Arial" w:hAnsi="Arial"/>
          <w:sz w:val="18"/>
          <w:szCs w:val="18"/>
          <w:color w:val="auto"/>
        </w:rPr>
      </w:pPr>
      <w:r>
        <w:rPr>
          <w:rFonts w:ascii="Arial" w:cs="Arial" w:eastAsia="Arial" w:hAnsi="Arial"/>
          <w:sz w:val="18"/>
          <w:szCs w:val="18"/>
          <w:color w:val="auto"/>
        </w:rPr>
        <w:t>Except as otherwise provided by the Committee, Awards shall be expressed as a percentage of a Grantee’s base earnings as of the applicable Date of Grant.</w:t>
      </w:r>
    </w:p>
    <w:p>
      <w:pPr>
        <w:spacing w:after="0" w:line="311" w:lineRule="exact"/>
        <w:rPr>
          <w:rFonts w:ascii="Arial" w:cs="Arial" w:eastAsia="Arial" w:hAnsi="Arial"/>
          <w:sz w:val="18"/>
          <w:szCs w:val="18"/>
          <w:color w:val="auto"/>
        </w:rPr>
      </w:pPr>
    </w:p>
    <w:p>
      <w:pPr>
        <w:ind w:left="1200" w:hanging="268"/>
        <w:spacing w:after="0"/>
        <w:tabs>
          <w:tab w:leader="none" w:pos="12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Committee shall establish such conditions on the payment of an Award as it may, in its sole discretion, deem appropriate.</w:t>
      </w:r>
    </w:p>
    <w:p>
      <w:pPr>
        <w:spacing w:after="0" w:line="158" w:lineRule="exact"/>
        <w:rPr>
          <w:rFonts w:ascii="Arial" w:cs="Arial" w:eastAsia="Arial" w:hAnsi="Arial"/>
          <w:sz w:val="18"/>
          <w:szCs w:val="18"/>
          <w:color w:val="auto"/>
        </w:rPr>
      </w:pPr>
    </w:p>
    <w:p>
      <w:pPr>
        <w:ind w:firstLine="929"/>
        <w:spacing w:after="0" w:line="311" w:lineRule="auto"/>
        <w:tabs>
          <w:tab w:leader="none" w:pos="1262"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The Award may provide for the payment of Awards in installments or in a lump sum, in each case, upon the satisfaction of Qualitative Performance Standards or Quantitative Performance Standards, on an individual, divisional or Company-wide basis, as determined by the Committee.</w:t>
      </w:r>
    </w:p>
    <w:p>
      <w:pPr>
        <w:spacing w:after="0" w:line="73" w:lineRule="exact"/>
        <w:rPr>
          <w:rFonts w:ascii="Arial" w:cs="Arial" w:eastAsia="Arial" w:hAnsi="Arial"/>
          <w:sz w:val="17"/>
          <w:szCs w:val="17"/>
          <w:color w:val="auto"/>
        </w:rPr>
      </w:pPr>
    </w:p>
    <w:p>
      <w:pPr>
        <w:jc w:val="both"/>
        <w:ind w:firstLine="929"/>
        <w:spacing w:after="0" w:line="256" w:lineRule="auto"/>
        <w:tabs>
          <w:tab w:leader="none" w:pos="1242" w:val="left"/>
        </w:tabs>
        <w:numPr>
          <w:ilvl w:val="1"/>
          <w:numId w:val="50"/>
        </w:numPr>
        <w:rPr>
          <w:rFonts w:ascii="Arial" w:cs="Arial" w:eastAsia="Arial" w:hAnsi="Arial"/>
          <w:sz w:val="18"/>
          <w:szCs w:val="18"/>
          <w:color w:val="auto"/>
        </w:rPr>
      </w:pPr>
      <w:r>
        <w:rPr>
          <w:rFonts w:ascii="Arial" w:cs="Arial" w:eastAsia="Arial" w:hAnsi="Arial"/>
          <w:sz w:val="18"/>
          <w:szCs w:val="18"/>
          <w:color w:val="auto"/>
        </w:rPr>
        <w:t>For any Section 162(m) Award, payment of the Award shall be based solely upon the satisfaction of Quantitative Performance Standards; provided that other standards, including Qualitative Performance Standards may be used to reduce, but in no event increase, the amount otherwise payable under such Award. The Quantitative Performance Standards and the related Targets for any Section 162(m) Award shall be set by the Committee within the time period prescribed by, and shall otherwise comply with the requirements of, Section 162(m), as determined by the Committee in its sole discretion.</w:t>
      </w:r>
    </w:p>
    <w:p>
      <w:pPr>
        <w:spacing w:after="0" w:line="119" w:lineRule="exact"/>
        <w:rPr>
          <w:rFonts w:ascii="Arial" w:cs="Arial" w:eastAsia="Arial" w:hAnsi="Arial"/>
          <w:sz w:val="18"/>
          <w:szCs w:val="18"/>
          <w:color w:val="auto"/>
        </w:rPr>
      </w:pPr>
    </w:p>
    <w:p>
      <w:pPr>
        <w:jc w:val="both"/>
        <w:ind w:firstLine="929"/>
        <w:spacing w:after="0" w:line="259" w:lineRule="auto"/>
        <w:tabs>
          <w:tab w:leader="none" w:pos="1197" w:val="left"/>
        </w:tabs>
        <w:numPr>
          <w:ilvl w:val="1"/>
          <w:numId w:val="50"/>
        </w:numPr>
        <w:rPr>
          <w:rFonts w:ascii="Arial" w:cs="Arial" w:eastAsia="Arial" w:hAnsi="Arial"/>
          <w:sz w:val="18"/>
          <w:szCs w:val="18"/>
          <w:color w:val="auto"/>
        </w:rPr>
      </w:pPr>
      <w:r>
        <w:rPr>
          <w:rFonts w:ascii="Arial" w:cs="Arial" w:eastAsia="Arial" w:hAnsi="Arial"/>
          <w:sz w:val="18"/>
          <w:szCs w:val="18"/>
          <w:color w:val="auto"/>
        </w:rPr>
        <w:t>Each Grantee shall be entitled to receive payment of the Award for a Plan Year only after certification by the Committee of the extent to which the Targets established by the Committee for such Plan Year have been satisfied. The Company shall pay the amounts, if any, earned under the Awards to each Grantee as soon as reasonably practicable following the end of each Plan Year, but not later than 2-1/2 months following the close of such Plan Year, unless otherwise determined by the Committee at the Date of Grant.</w:t>
      </w:r>
    </w:p>
    <w:p>
      <w:pPr>
        <w:spacing w:after="0" w:line="165" w:lineRule="exact"/>
        <w:rPr>
          <w:rFonts w:ascii="Arial" w:cs="Arial" w:eastAsia="Arial" w:hAnsi="Arial"/>
          <w:sz w:val="18"/>
          <w:szCs w:val="18"/>
          <w:color w:val="auto"/>
        </w:rPr>
      </w:pPr>
    </w:p>
    <w:p>
      <w:pPr>
        <w:jc w:val="both"/>
        <w:ind w:firstLine="929"/>
        <w:spacing w:after="0" w:line="268" w:lineRule="auto"/>
        <w:tabs>
          <w:tab w:leader="none" w:pos="1250" w:val="left"/>
        </w:tabs>
        <w:numPr>
          <w:ilvl w:val="1"/>
          <w:numId w:val="50"/>
        </w:numPr>
        <w:rPr>
          <w:rFonts w:ascii="Arial" w:cs="Arial" w:eastAsia="Arial" w:hAnsi="Arial"/>
          <w:sz w:val="17"/>
          <w:szCs w:val="17"/>
          <w:color w:val="auto"/>
        </w:rPr>
      </w:pPr>
      <w:r>
        <w:rPr>
          <w:rFonts w:ascii="Arial" w:cs="Arial" w:eastAsia="Arial" w:hAnsi="Arial"/>
          <w:sz w:val="17"/>
          <w:szCs w:val="17"/>
          <w:color w:val="auto"/>
        </w:rPr>
        <w:t>For purposes of calculating whether any Quantitative Performance Standard has been met, in the event there is a significant acquisition or disposition of any assets, business division, company or other business operations of the Company or such division or business unit that is reasonably expected to have an effect on the Quantitative Performance Standard as otherwise determined under the terms of the Plan, the relevant performance objectives shall be adjusted to take into account the impact of such acquisition or disposition by increasing or decreasing such goals in the same proportion as the relevant performance measure of the Company or such division or business unit would have been affected for the prior performance measurement period on a pro forma basis had such an acquisition or disposition occurred on the same date during the prior performance measurement period; provided further that such adjustment shall be based upon the historical equivalent of the relevant performance measure of the business or assets so acquired or disposed of for the prior performance measurement period, as shown by such records as are available to the Company, as further adjusted to reflect any aspects of the transaction that should be taken into account to ensure comparability between amounts in the prior performance measurement period and the current performance measurement period.</w:t>
      </w:r>
    </w:p>
    <w:p>
      <w:pPr>
        <w:spacing w:after="0" w:line="377" w:lineRule="exact"/>
        <w:rPr>
          <w:rFonts w:ascii="Arial" w:cs="Arial" w:eastAsia="Arial" w:hAnsi="Arial"/>
          <w:sz w:val="17"/>
          <w:szCs w:val="17"/>
          <w:color w:val="auto"/>
        </w:rPr>
      </w:pPr>
    </w:p>
    <w:p>
      <w:pPr>
        <w:jc w:val="both"/>
        <w:ind w:firstLine="932"/>
        <w:spacing w:after="0" w:line="279" w:lineRule="auto"/>
        <w:tabs>
          <w:tab w:leader="none" w:pos="1326" w:val="left"/>
        </w:tabs>
        <w:numPr>
          <w:ilvl w:val="1"/>
          <w:numId w:val="50"/>
        </w:numPr>
        <w:rPr>
          <w:rFonts w:ascii="Arial" w:cs="Arial" w:eastAsia="Arial" w:hAnsi="Arial"/>
          <w:sz w:val="17"/>
          <w:szCs w:val="17"/>
          <w:color w:val="auto"/>
        </w:rPr>
      </w:pPr>
      <w:r>
        <w:rPr>
          <w:rFonts w:ascii="Arial" w:cs="Arial" w:eastAsia="Arial" w:hAnsi="Arial"/>
          <w:sz w:val="17"/>
          <w:szCs w:val="17"/>
          <w:color w:val="auto"/>
        </w:rPr>
        <w:t>Notwithstanding the determination of the amount of a Grantee’s bonus payable with respect to any Plan Year under the Plan, the Committee shall have the discretion to reduce or eliminate the bonus otherwise payable to a Grantee if it determines that such a reduction or elimination of the bonus is in the best interests of the Company. The Committee may not waive, in whole or in part, any remaining conditions to payment of a Section 162(m) Award to the extent such action would result in such Section 162(m) Award not being tax deductible under Section 162(m).</w:t>
      </w:r>
    </w:p>
    <w:p>
      <w:pPr>
        <w:spacing w:after="0" w:line="150" w:lineRule="exact"/>
        <w:rPr>
          <w:rFonts w:ascii="Arial" w:cs="Arial" w:eastAsia="Arial" w:hAnsi="Arial"/>
          <w:sz w:val="17"/>
          <w:szCs w:val="17"/>
          <w:color w:val="auto"/>
        </w:rPr>
      </w:pPr>
    </w:p>
    <w:p>
      <w:pPr>
        <w:ind w:left="960" w:hanging="263"/>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Transfer and Termination of Grantee’s Employment</w:t>
      </w:r>
      <w:r>
        <w:rPr>
          <w:rFonts w:ascii="Arial" w:cs="Arial" w:eastAsia="Arial" w:hAnsi="Arial"/>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191135</wp:posOffset>
            </wp:positionV>
            <wp:extent cx="729678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74" w:name="page75"/>
    <w:bookmarkEnd w:id="74"/>
    <w:p>
      <w:pPr>
        <w:jc w:val="both"/>
        <w:ind w:firstLine="929"/>
        <w:spacing w:after="0" w:line="252" w:lineRule="auto"/>
        <w:tabs>
          <w:tab w:leader="none" w:pos="1148"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Transfer of Employment</w:t>
      </w:r>
      <w:r>
        <w:rPr>
          <w:rFonts w:ascii="Arial" w:cs="Arial" w:eastAsia="Arial" w:hAnsi="Arial"/>
          <w:sz w:val="18"/>
          <w:szCs w:val="18"/>
          <w:color w:val="auto"/>
        </w:rPr>
        <w:t>. A transfer of an Eligible Employee between two employers, each of which is the Company or an Affiliate of the Company (a “Transfer”), shall not be deemed a termination of employment. The Committee may grant Awards (other than Section 162(m) Awards) pursuant to which the Committee reserves the right to modify the calculation of an Award in connection with a Transfer. In general, except in connection with a Section 162(m) Award or as otherwise provided by the Committee at the time an Award is granted or in connection with a Transfer, upon the Transfer of a Grantee between divisions while an Award is outstanding and unexpired, a portion of the outstanding Award corresponding to the portion of the Plan Year remaining after the Transfer shall be treated as having terminated and expired, and a new Award shall be treated as having been made, effective as of the effective date of the Transfer, for the portion of the Award which had expired, but subject to the performance and payment conditions applicable generally to Awards for Grantees who are employees of the transferee division, all as shall be determined by the Committee in an equitable manner.</w:t>
      </w:r>
    </w:p>
    <w:p>
      <w:pPr>
        <w:spacing w:after="0" w:line="175" w:lineRule="exact"/>
        <w:rPr>
          <w:rFonts w:ascii="Arial" w:cs="Arial" w:eastAsia="Arial" w:hAnsi="Arial"/>
          <w:sz w:val="18"/>
          <w:szCs w:val="18"/>
          <w:color w:val="auto"/>
        </w:rPr>
      </w:pPr>
    </w:p>
    <w:p>
      <w:pPr>
        <w:ind w:left="1200" w:hanging="271"/>
        <w:spacing w:after="0"/>
        <w:tabs>
          <w:tab w:leader="none" w:pos="1200"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09" w:lineRule="exact"/>
        <w:rPr>
          <w:rFonts w:ascii="Arial" w:cs="Arial" w:eastAsia="Arial" w:hAnsi="Arial"/>
          <w:sz w:val="18"/>
          <w:szCs w:val="18"/>
          <w:color w:val="auto"/>
        </w:rPr>
      </w:pPr>
    </w:p>
    <w:p>
      <w:pPr>
        <w:jc w:val="both"/>
        <w:ind w:left="920" w:firstLine="435"/>
        <w:spacing w:after="0" w:line="271" w:lineRule="auto"/>
        <w:tabs>
          <w:tab w:leader="none" w:pos="1633" w:val="left"/>
        </w:tabs>
        <w:numPr>
          <w:ilvl w:val="2"/>
          <w:numId w:val="52"/>
        </w:numPr>
        <w:rPr>
          <w:rFonts w:ascii="Arial" w:cs="Arial" w:eastAsia="Arial" w:hAnsi="Arial"/>
          <w:sz w:val="17"/>
          <w:szCs w:val="17"/>
          <w:color w:val="auto"/>
        </w:rPr>
      </w:pPr>
      <w:r>
        <w:rPr>
          <w:rFonts w:ascii="Arial" w:cs="Arial" w:eastAsia="Arial" w:hAnsi="Arial"/>
          <w:sz w:val="17"/>
          <w:szCs w:val="17"/>
          <w:u w:val="single" w:color="auto"/>
          <w:color w:val="auto"/>
        </w:rPr>
        <w:t>Termination For Any Reason Other Than Death, Disability or Retirement</w:t>
      </w:r>
      <w:r>
        <w:rPr>
          <w:rFonts w:ascii="Arial" w:cs="Arial" w:eastAsia="Arial" w:hAnsi="Arial"/>
          <w:sz w:val="17"/>
          <w:szCs w:val="17"/>
          <w:color w:val="auto"/>
        </w:rPr>
        <w:t>. An employee must be a full-time employee of the Company or an Affiliate on December 31 of the applicable Plan Year to be eligible to receive payment in respect of his or her Award for such Plan Year, except as otherwise provided by the Committee or in this Plan. Employees in the eligibility group hired during a Plan Year, as determined by the Committee in its sole discretion, will be eligible for an award under the Plan in that year, prorated based on the number of months the Grantee is employed by the Company or an Affiliate. Except as otherwise provided by the Committee, if a Grantee terminates employment with the Company and its Affiliates for any reason other than death, Disability or Retirement, all Awards remaining subject to conditions to payment shall be forfeited by the Grantee and deemed canceled by the Company.</w:t>
      </w:r>
    </w:p>
    <w:p>
      <w:pPr>
        <w:spacing w:after="0" w:line="157" w:lineRule="exact"/>
        <w:rPr>
          <w:rFonts w:ascii="Arial" w:cs="Arial" w:eastAsia="Arial" w:hAnsi="Arial"/>
          <w:sz w:val="17"/>
          <w:szCs w:val="17"/>
          <w:color w:val="auto"/>
        </w:rPr>
      </w:pPr>
    </w:p>
    <w:p>
      <w:pPr>
        <w:jc w:val="both"/>
        <w:ind w:left="920" w:firstLine="435"/>
        <w:spacing w:after="0" w:line="256" w:lineRule="auto"/>
        <w:tabs>
          <w:tab w:leader="none" w:pos="1633" w:val="left"/>
        </w:tabs>
        <w:numPr>
          <w:ilvl w:val="2"/>
          <w:numId w:val="52"/>
        </w:numPr>
        <w:rPr>
          <w:rFonts w:ascii="Arial" w:cs="Arial" w:eastAsia="Arial" w:hAnsi="Arial"/>
          <w:sz w:val="18"/>
          <w:szCs w:val="18"/>
          <w:color w:val="auto"/>
        </w:rPr>
      </w:pPr>
      <w:r>
        <w:rPr>
          <w:rFonts w:ascii="Arial" w:cs="Arial" w:eastAsia="Arial" w:hAnsi="Arial"/>
          <w:sz w:val="18"/>
          <w:szCs w:val="18"/>
          <w:u w:val="single" w:color="auto"/>
          <w:color w:val="auto"/>
        </w:rPr>
        <w:t>Termination Because of Death</w:t>
      </w:r>
      <w:r>
        <w:rPr>
          <w:rFonts w:ascii="Arial" w:cs="Arial" w:eastAsia="Arial" w:hAnsi="Arial"/>
          <w:sz w:val="18"/>
          <w:szCs w:val="18"/>
          <w:color w:val="auto"/>
        </w:rPr>
        <w:t>. Except as otherwise provided by the Committee, if a Grantee terminates employment with the Company and its Affiliates because of death, the Company shall pay the Award to the Grantee’s estate as soon as practicable following the Grantee’s death, but not later than the 15</w:t>
      </w:r>
      <w:r>
        <w:rPr>
          <w:rFonts w:ascii="Arial" w:cs="Arial" w:eastAsia="Arial" w:hAnsi="Arial"/>
          <w:sz w:val="15"/>
          <w:szCs w:val="15"/>
          <w:color w:val="auto"/>
        </w:rPr>
        <w:t>th</w:t>
      </w:r>
      <w:r>
        <w:rPr>
          <w:rFonts w:ascii="Arial" w:cs="Arial" w:eastAsia="Arial" w:hAnsi="Arial"/>
          <w:sz w:val="18"/>
          <w:szCs w:val="18"/>
          <w:color w:val="auto"/>
        </w:rPr>
        <w:t xml:space="preserve"> day of the third month beginning after the Plan Year in which the Grantee dies. The Award shall be calculated based on the assumption that the applicable Targets were satisfied, and such amount shall be pro rated based on the portion of the applicable Plan Year elapsed as of the date of such termination of employment.</w:t>
      </w:r>
    </w:p>
    <w:p>
      <w:pPr>
        <w:spacing w:after="0" w:line="169" w:lineRule="exact"/>
        <w:rPr>
          <w:rFonts w:ascii="Arial" w:cs="Arial" w:eastAsia="Arial" w:hAnsi="Arial"/>
          <w:sz w:val="18"/>
          <w:szCs w:val="18"/>
          <w:color w:val="auto"/>
        </w:rPr>
      </w:pPr>
    </w:p>
    <w:p>
      <w:pPr>
        <w:jc w:val="both"/>
        <w:ind w:left="920" w:firstLine="435"/>
        <w:spacing w:after="0" w:line="256" w:lineRule="auto"/>
        <w:tabs>
          <w:tab w:leader="none" w:pos="1608" w:val="left"/>
        </w:tabs>
        <w:numPr>
          <w:ilvl w:val="2"/>
          <w:numId w:val="52"/>
        </w:numPr>
        <w:rPr>
          <w:rFonts w:ascii="Arial" w:cs="Arial" w:eastAsia="Arial" w:hAnsi="Arial"/>
          <w:sz w:val="18"/>
          <w:szCs w:val="18"/>
          <w:color w:val="auto"/>
        </w:rPr>
      </w:pPr>
      <w:r>
        <w:rPr>
          <w:rFonts w:ascii="Arial" w:cs="Arial" w:eastAsia="Arial" w:hAnsi="Arial"/>
          <w:sz w:val="18"/>
          <w:szCs w:val="18"/>
          <w:u w:val="single" w:color="auto"/>
          <w:color w:val="auto"/>
        </w:rPr>
        <w:t>Termination Because of Disability or Retirement</w:t>
      </w:r>
      <w:r>
        <w:rPr>
          <w:rFonts w:ascii="Arial" w:cs="Arial" w:eastAsia="Arial" w:hAnsi="Arial"/>
          <w:sz w:val="18"/>
          <w:szCs w:val="18"/>
          <w:color w:val="auto"/>
        </w:rPr>
        <w:t>. If a Grantee terminates employment with the Company and its Affiliates because of Disability or Retirement, the Company shall pay the Award to the Grantee at the same time that Awards are payable to Grantees whose employment has not terminated. The Award shall be calculated based on the extent to which the applicable Targets are actually satisfied for the Plan Year in which the Grantee’s employment terminated, and such amount shall be pro rated based on the portion of the applicable Plan Year elapsed as of the date of such termination of employment.</w:t>
      </w:r>
    </w:p>
    <w:p>
      <w:pPr>
        <w:spacing w:after="0" w:line="169" w:lineRule="exact"/>
        <w:rPr>
          <w:rFonts w:ascii="Arial" w:cs="Arial" w:eastAsia="Arial" w:hAnsi="Arial"/>
          <w:sz w:val="18"/>
          <w:szCs w:val="18"/>
          <w:color w:val="auto"/>
        </w:rPr>
      </w:pPr>
    </w:p>
    <w:p>
      <w:pPr>
        <w:ind w:left="940" w:hanging="243"/>
        <w:spacing w:after="0"/>
        <w:tabs>
          <w:tab w:leader="none" w:pos="9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Maximum Grant</w:t>
      </w:r>
      <w:r>
        <w:rPr>
          <w:rFonts w:ascii="Arial" w:cs="Arial" w:eastAsia="Arial" w:hAnsi="Arial"/>
          <w:sz w:val="18"/>
          <w:szCs w:val="18"/>
          <w:color w:val="auto"/>
        </w:rPr>
        <w:t>. In no event shall the amount paid to any Grantee pursuant to an Award for any Plan Year exceed $7.5 million.</w:t>
      </w:r>
    </w:p>
    <w:p>
      <w:pPr>
        <w:spacing w:after="0" w:line="209" w:lineRule="exact"/>
        <w:rPr>
          <w:rFonts w:ascii="Arial" w:cs="Arial" w:eastAsia="Arial" w:hAnsi="Arial"/>
          <w:sz w:val="18"/>
          <w:szCs w:val="18"/>
          <w:color w:val="auto"/>
        </w:rPr>
      </w:pPr>
    </w:p>
    <w:p>
      <w:pPr>
        <w:ind w:firstLine="697"/>
        <w:spacing w:after="0" w:line="280" w:lineRule="auto"/>
        <w:tabs>
          <w:tab w:leader="none" w:pos="92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Shareholder Approval</w:t>
      </w:r>
      <w:r>
        <w:rPr>
          <w:rFonts w:ascii="Arial" w:cs="Arial" w:eastAsia="Arial" w:hAnsi="Arial"/>
          <w:sz w:val="18"/>
          <w:szCs w:val="18"/>
          <w:color w:val="auto"/>
        </w:rPr>
        <w:t>. The effectiveness of the grants of Section 162(m) Awards under the Plan shall be conditioned on the approval of the Plan by the Company’s shareholders in accordance with Section 162(m).</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191135</wp:posOffset>
            </wp:positionV>
            <wp:extent cx="729678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75" w:name="page76"/>
    <w:bookmarkEnd w:id="75"/>
    <w:p>
      <w:pPr>
        <w:spacing w:after="0"/>
        <w:tabs>
          <w:tab w:leader="none" w:pos="300" w:val="left"/>
        </w:tabs>
        <w:rPr>
          <w:sz w:val="20"/>
          <w:szCs w:val="20"/>
          <w:color w:val="auto"/>
        </w:rPr>
      </w:pPr>
      <w:r>
        <w:rPr>
          <w:rFonts w:ascii="Arial" w:cs="Arial" w:eastAsia="Arial" w:hAnsi="Arial"/>
          <w:sz w:val="18"/>
          <w:szCs w:val="18"/>
          <w:b w:val="1"/>
          <w:bCs w:val="1"/>
          <w:color w:val="auto"/>
        </w:rPr>
        <w:t>6.</w:t>
        <w:tab/>
        <w:t>AMENDMENT AND TERMINATION</w:t>
      </w:r>
    </w:p>
    <w:p>
      <w:pPr>
        <w:spacing w:after="0" w:line="213"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The Plan may be terminated by the Board or the Committee at any time. The Plan may be amended by the Board or the Committee at any time. No Award shall be adversely affected by any such termination or amendment without the written consent of the Grantee.</w:t>
      </w:r>
    </w:p>
    <w:p>
      <w:pPr>
        <w:spacing w:after="0" w:line="144" w:lineRule="exact"/>
        <w:rPr>
          <w:sz w:val="20"/>
          <w:szCs w:val="20"/>
          <w:color w:val="auto"/>
        </w:rPr>
      </w:pPr>
    </w:p>
    <w:p>
      <w:pPr>
        <w:ind w:left="320" w:hanging="319"/>
        <w:spacing w:after="0"/>
        <w:tabs>
          <w:tab w:leader="none" w:pos="3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213" w:lineRule="exact"/>
        <w:rPr>
          <w:rFonts w:ascii="Arial" w:cs="Arial" w:eastAsia="Arial" w:hAnsi="Arial"/>
          <w:sz w:val="18"/>
          <w:szCs w:val="18"/>
          <w:b w:val="1"/>
          <w:bCs w:val="1"/>
          <w:color w:val="auto"/>
        </w:rPr>
      </w:pPr>
    </w:p>
    <w:p>
      <w:pPr>
        <w:jc w:val="both"/>
        <w:ind w:firstLine="697"/>
        <w:spacing w:after="0" w:line="256" w:lineRule="auto"/>
        <w:tabs>
          <w:tab w:leader="none" w:pos="972"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Unsecured Creditor Status</w:t>
      </w:r>
      <w:r>
        <w:rPr>
          <w:rFonts w:ascii="Arial" w:cs="Arial" w:eastAsia="Arial" w:hAnsi="Arial"/>
          <w:sz w:val="18"/>
          <w:szCs w:val="18"/>
          <w:color w:val="auto"/>
        </w:rPr>
        <w:t>. A Grantee entitled to payment of an Award hereunder shall rely solely upon the unsecured promise of the Company, as set forth herein, for the payment thereof, and nothing herein contained shall be construed to give to or vest in a Grantee or any other person now or at any time in the future, any right, title, interest or claim in or to any specific asset, fund, reserve, account, insurance or annuity policy or contract, or other property of any kind whatever owned by the Company, or in which the Company may have any right, title or interest, presently or at any time in the future.</w:t>
      </w:r>
    </w:p>
    <w:p>
      <w:pPr>
        <w:spacing w:after="0" w:line="169" w:lineRule="exact"/>
        <w:rPr>
          <w:rFonts w:ascii="Arial" w:cs="Arial" w:eastAsia="Arial" w:hAnsi="Arial"/>
          <w:sz w:val="18"/>
          <w:szCs w:val="18"/>
          <w:color w:val="auto"/>
        </w:rPr>
      </w:pPr>
    </w:p>
    <w:p>
      <w:pPr>
        <w:ind w:firstLine="697"/>
        <w:spacing w:after="0" w:line="280" w:lineRule="auto"/>
        <w:tabs>
          <w:tab w:leader="none" w:pos="958"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Non-Assignment of Awards</w:t>
      </w:r>
      <w:r>
        <w:rPr>
          <w:rFonts w:ascii="Arial" w:cs="Arial" w:eastAsia="Arial" w:hAnsi="Arial"/>
          <w:sz w:val="18"/>
          <w:szCs w:val="18"/>
          <w:color w:val="auto"/>
        </w:rPr>
        <w:t>. The Grantee shall not be permitted to sell, transfer, pledge or assign any amount payable pursuant to the Plan or an Award, provided that the right to payment of an Award may pass by will or the laws of descent and distribution.</w:t>
      </w:r>
    </w:p>
    <w:p>
      <w:pPr>
        <w:spacing w:after="0" w:line="147" w:lineRule="exact"/>
        <w:rPr>
          <w:rFonts w:ascii="Arial" w:cs="Arial" w:eastAsia="Arial" w:hAnsi="Arial"/>
          <w:sz w:val="18"/>
          <w:szCs w:val="18"/>
          <w:color w:val="auto"/>
        </w:rPr>
      </w:pPr>
    </w:p>
    <w:p>
      <w:pPr>
        <w:jc w:val="both"/>
        <w:ind w:firstLine="697"/>
        <w:spacing w:after="0" w:line="259" w:lineRule="auto"/>
        <w:tabs>
          <w:tab w:leader="none" w:pos="947"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Other Company Plans</w:t>
      </w:r>
      <w:r>
        <w:rPr>
          <w:rFonts w:ascii="Arial" w:cs="Arial" w:eastAsia="Arial" w:hAnsi="Arial"/>
          <w:sz w:val="18"/>
          <w:szCs w:val="18"/>
          <w:color w:val="auto"/>
        </w:rPr>
        <w:t>. It is agreed and understood that any benefits under this Plan are in addition to any and all benefits to which a Grantee may otherwise be entitled under any other contract, arrangement, or voluntary pension, profit sharing or other compensation plan of the Company, whether funded or unfunded, and that this Plan shall not affect or impair the rights or obligations of the Company or a Grantee under any other such contract, arrangement or voluntary pension, profit sharing or other compensation plan.</w:t>
      </w:r>
    </w:p>
    <w:p>
      <w:pPr>
        <w:spacing w:after="0" w:line="165" w:lineRule="exact"/>
        <w:rPr>
          <w:rFonts w:ascii="Arial" w:cs="Arial" w:eastAsia="Arial" w:hAnsi="Arial"/>
          <w:sz w:val="18"/>
          <w:szCs w:val="18"/>
          <w:color w:val="auto"/>
        </w:rPr>
      </w:pPr>
    </w:p>
    <w:p>
      <w:pPr>
        <w:jc w:val="both"/>
        <w:ind w:firstLine="697"/>
        <w:spacing w:after="0" w:line="264" w:lineRule="auto"/>
        <w:tabs>
          <w:tab w:leader="none" w:pos="958"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If any term or condition of the Plan shall be 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161" w:lineRule="exact"/>
        <w:rPr>
          <w:rFonts w:ascii="Arial" w:cs="Arial" w:eastAsia="Arial" w:hAnsi="Arial"/>
          <w:sz w:val="18"/>
          <w:szCs w:val="18"/>
          <w:color w:val="auto"/>
        </w:rPr>
      </w:pPr>
    </w:p>
    <w:p>
      <w:pPr>
        <w:jc w:val="both"/>
        <w:ind w:firstLine="697"/>
        <w:spacing w:after="0" w:line="312" w:lineRule="auto"/>
        <w:tabs>
          <w:tab w:leader="none" w:pos="947"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Continued Employment</w:t>
      </w:r>
      <w:r>
        <w:rPr>
          <w:rFonts w:ascii="Arial" w:cs="Arial" w:eastAsia="Arial" w:hAnsi="Arial"/>
          <w:sz w:val="16"/>
          <w:szCs w:val="16"/>
          <w:color w:val="auto"/>
        </w:rPr>
        <w:t>. Neither the establishment of the Plan, any provisions of the Plan, nor any action of the Committee shall be held or construed to confer upon any Grantee the right to a continuation of employment by the Company. The Company reserves the right to dismiss any employee (including a Grantee), or otherwise deal with any employee (including a Grantee) to the same extent as though the Plan had not been adopted.</w:t>
      </w:r>
    </w:p>
    <w:p>
      <w:pPr>
        <w:spacing w:after="0" w:line="127" w:lineRule="exact"/>
        <w:rPr>
          <w:rFonts w:ascii="Arial" w:cs="Arial" w:eastAsia="Arial" w:hAnsi="Arial"/>
          <w:sz w:val="16"/>
          <w:szCs w:val="16"/>
          <w:color w:val="auto"/>
        </w:rPr>
      </w:pPr>
    </w:p>
    <w:p>
      <w:pPr>
        <w:jc w:val="both"/>
        <w:ind w:firstLine="697"/>
        <w:spacing w:after="0" w:line="259" w:lineRule="auto"/>
        <w:tabs>
          <w:tab w:leader="none" w:pos="939"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Incapacity</w:t>
      </w:r>
      <w:r>
        <w:rPr>
          <w:rFonts w:ascii="Arial" w:cs="Arial" w:eastAsia="Arial" w:hAnsi="Arial"/>
          <w:sz w:val="18"/>
          <w:szCs w:val="18"/>
          <w:color w:val="auto"/>
        </w:rPr>
        <w:t>. If the Committee determines that a Grantee is unable to care for his affairs because of illness or accident, any benefit due such Grantee under the Plan may be paid to his or her spouse, child, parent, or any other person deemed by the Committee to have incurred expense for such Grantee (including a duly appointed guardian, committee or other legal representative), and any such payment shall be a complete discharge of the Company’s obligations hereunder.</w:t>
      </w:r>
    </w:p>
    <w:p>
      <w:pPr>
        <w:spacing w:after="0" w:line="165" w:lineRule="exact"/>
        <w:rPr>
          <w:rFonts w:ascii="Arial" w:cs="Arial" w:eastAsia="Arial" w:hAnsi="Arial"/>
          <w:sz w:val="18"/>
          <w:szCs w:val="18"/>
          <w:color w:val="auto"/>
        </w:rPr>
      </w:pPr>
    </w:p>
    <w:p>
      <w:pPr>
        <w:ind w:firstLine="697"/>
        <w:spacing w:after="0" w:line="280" w:lineRule="auto"/>
        <w:tabs>
          <w:tab w:leader="none" w:pos="958"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191135</wp:posOffset>
            </wp:positionV>
            <wp:extent cx="729678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76" w:name="page77"/>
    <w:bookmarkEnd w:id="76"/>
    <w:p>
      <w:pPr>
        <w:jc w:val="both"/>
        <w:ind w:firstLine="704"/>
        <w:spacing w:after="0" w:line="252" w:lineRule="auto"/>
        <w:tabs>
          <w:tab w:leader="none" w:pos="977"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Clawback/Recoupment</w:t>
      </w:r>
      <w:r>
        <w:rPr>
          <w:rFonts w:ascii="Arial" w:cs="Arial" w:eastAsia="Arial" w:hAnsi="Arial"/>
          <w:sz w:val="18"/>
          <w:szCs w:val="18"/>
          <w:color w:val="auto"/>
        </w:rPr>
        <w:t>. Notwithstanding anything to the contrary contained herein, an Award held by a Grantee shall be cancelled if such Grantee, without the consent of the Company, while employed by or providing services to the Company or any Affiliate or after termination of such employment or service, to the extent applicable to the Grantee, violates any policy adopted by the Company or any Affiliate relating to the recovery of compensation granted, paid, delivered, awarded or otherwise provided to any Grantee by the Company or any Affiliate as such policy is in effect on the date of grant of the applicable Award or, to the extent necessary to address the requirements of applicable law (including Section 954 of the Dodd-Frank Wall Street Reform and Consumer Protection Act of 2010, as codified in Section 10D of the Exchange Act, Section 304 of the Sarbanes-Oxley Act of 2002 or any other applicable law), as may be amended from time to time. In addition, to the extent provided in any such policy, (i) a Grantee will forfeit any amount paid under an Award if the Grantee engages in any activity referred to in the preceding sentence, or (ii) a Grantee must repay to the Company the amount previously paid under any Award subject to performance requirements if a financial restatement reduces the amount that would have been earned under such Award.</w:t>
      </w:r>
    </w:p>
    <w:p>
      <w:pPr>
        <w:spacing w:after="0" w:line="168" w:lineRule="exact"/>
        <w:rPr>
          <w:rFonts w:ascii="Arial" w:cs="Arial" w:eastAsia="Arial" w:hAnsi="Arial"/>
          <w:sz w:val="18"/>
          <w:szCs w:val="18"/>
          <w:color w:val="auto"/>
        </w:rPr>
      </w:pPr>
    </w:p>
    <w:p>
      <w:pPr>
        <w:ind w:left="320" w:hanging="319"/>
        <w:spacing w:after="0"/>
        <w:tabs>
          <w:tab w:leader="none" w:pos="3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Plan and all determinations made and actions taken pursuant to the Plan shall be governed in accordance with North Carolina law.</w:t>
      </w:r>
    </w:p>
    <w:p>
      <w:pPr>
        <w:spacing w:after="0" w:line="20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EFFECTIVE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effective date of this Plan is February 18,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324"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31.01</w:t>
      </w:r>
    </w:p>
    <w:p>
      <w:pPr>
        <w:spacing w:after="0" w:line="200" w:lineRule="exact"/>
        <w:rPr>
          <w:sz w:val="20"/>
          <w:szCs w:val="20"/>
          <w:color w:val="auto"/>
        </w:rPr>
      </w:pPr>
    </w:p>
    <w:p>
      <w:pPr>
        <w:spacing w:after="0" w:line="261" w:lineRule="exact"/>
        <w:rPr>
          <w:sz w:val="20"/>
          <w:szCs w:val="20"/>
          <w:color w:val="auto"/>
        </w:rPr>
      </w:pPr>
    </w:p>
    <w:p>
      <w:pPr>
        <w:jc w:val="center"/>
        <w:spacing w:after="0" w:line="285" w:lineRule="auto"/>
        <w:rPr>
          <w:sz w:val="20"/>
          <w:szCs w:val="20"/>
          <w:color w:val="auto"/>
        </w:rPr>
      </w:pPr>
      <w:r>
        <w:rPr>
          <w:rFonts w:ascii="Arial" w:cs="Arial" w:eastAsia="Arial" w:hAnsi="Arial"/>
          <w:sz w:val="18"/>
          <w:szCs w:val="18"/>
          <w:b w:val="1"/>
          <w:bCs w:val="1"/>
          <w:color w:val="auto"/>
        </w:rPr>
        <w:t>CERTIFICATION PURSUANT TO SECURITIES AND EXCHANGE ACT OF 1934 RULE 13a-14 AS ADOPTED PURSUANT TO SECTION 302 OF SARBANES-OXLEY ACT OF 2002</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I, C. Howard Nye, certify that:</w:t>
      </w:r>
    </w:p>
    <w:p>
      <w:pPr>
        <w:spacing w:after="0" w:line="222" w:lineRule="exact"/>
        <w:rPr>
          <w:sz w:val="20"/>
          <w:szCs w:val="20"/>
          <w:color w:val="auto"/>
        </w:rPr>
      </w:pPr>
    </w:p>
    <w:p>
      <w:pPr>
        <w:ind w:left="1300" w:hanging="429"/>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Form 10-Q of Martin Marietta Materials, Inc.;</w:t>
      </w:r>
    </w:p>
    <w:p>
      <w:pPr>
        <w:spacing w:after="0" w:line="221" w:lineRule="exact"/>
        <w:rPr>
          <w:rFonts w:ascii="Arial" w:cs="Arial" w:eastAsia="Arial" w:hAnsi="Arial"/>
          <w:sz w:val="18"/>
          <w:szCs w:val="18"/>
          <w:color w:val="auto"/>
        </w:rPr>
      </w:pPr>
    </w:p>
    <w:p>
      <w:pPr>
        <w:jc w:val="both"/>
        <w:ind w:left="1300" w:hanging="429"/>
        <w:spacing w:after="0" w:line="264"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jc w:val="both"/>
        <w:ind w:left="1300" w:hanging="429"/>
        <w:spacing w:after="0" w:line="264"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74" w:lineRule="exact"/>
        <w:rPr>
          <w:rFonts w:ascii="Arial" w:cs="Arial" w:eastAsia="Arial" w:hAnsi="Arial"/>
          <w:sz w:val="18"/>
          <w:szCs w:val="18"/>
          <w:color w:val="auto"/>
        </w:rPr>
      </w:pPr>
    </w:p>
    <w:p>
      <w:pPr>
        <w:jc w:val="both"/>
        <w:ind w:left="1300" w:hanging="429"/>
        <w:spacing w:after="0" w:line="290" w:lineRule="auto"/>
        <w:tabs>
          <w:tab w:leader="none" w:pos="1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05" w:lineRule="exact"/>
        <w:rPr>
          <w:rFonts w:ascii="Arial" w:cs="Arial" w:eastAsia="Arial" w:hAnsi="Arial"/>
          <w:sz w:val="16"/>
          <w:szCs w:val="16"/>
          <w:color w:val="auto"/>
        </w:rPr>
      </w:pPr>
    </w:p>
    <w:p>
      <w:pPr>
        <w:jc w:val="both"/>
        <w:ind w:left="2180" w:hanging="426"/>
        <w:spacing w:after="0" w:line="287" w:lineRule="auto"/>
        <w:tabs>
          <w:tab w:leader="none" w:pos="218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7"/>
          <w:szCs w:val="17"/>
          <w:color w:val="auto"/>
        </w:rPr>
      </w:pPr>
    </w:p>
    <w:p>
      <w:pPr>
        <w:jc w:val="both"/>
        <w:ind w:left="2180" w:hanging="426"/>
        <w:spacing w:after="0" w:line="259" w:lineRule="auto"/>
        <w:tabs>
          <w:tab w:leader="none" w:pos="21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78" w:lineRule="exact"/>
        <w:rPr>
          <w:rFonts w:ascii="Arial" w:cs="Arial" w:eastAsia="Arial" w:hAnsi="Arial"/>
          <w:sz w:val="18"/>
          <w:szCs w:val="18"/>
          <w:color w:val="auto"/>
        </w:rPr>
      </w:pPr>
    </w:p>
    <w:p>
      <w:pPr>
        <w:jc w:val="both"/>
        <w:ind w:left="2180" w:hanging="426"/>
        <w:spacing w:after="0" w:line="264" w:lineRule="auto"/>
        <w:tabs>
          <w:tab w:leader="none" w:pos="21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8"/>
          <w:szCs w:val="18"/>
          <w:color w:val="auto"/>
        </w:rPr>
      </w:pPr>
    </w:p>
    <w:p>
      <w:pPr>
        <w:jc w:val="both"/>
        <w:ind w:left="2180" w:hanging="426"/>
        <w:spacing w:after="0" w:line="264" w:lineRule="auto"/>
        <w:tabs>
          <w:tab w:leader="none" w:pos="21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429260</wp:posOffset>
            </wp:positionV>
            <wp:extent cx="729678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78" w:name="page79"/>
    <w:bookmarkEnd w:id="78"/>
    <w:p>
      <w:pPr>
        <w:jc w:val="both"/>
        <w:ind w:left="1300" w:hanging="429"/>
        <w:spacing w:after="0" w:line="264"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8"/>
          <w:szCs w:val="18"/>
          <w:color w:val="auto"/>
        </w:rPr>
      </w:pPr>
    </w:p>
    <w:p>
      <w:pPr>
        <w:jc w:val="both"/>
        <w:ind w:left="2180" w:hanging="426"/>
        <w:spacing w:after="0" w:line="264" w:lineRule="auto"/>
        <w:tabs>
          <w:tab w:leader="none" w:pos="21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8"/>
          <w:szCs w:val="18"/>
          <w:color w:val="auto"/>
        </w:rPr>
      </w:pPr>
    </w:p>
    <w:p>
      <w:pPr>
        <w:ind w:left="2180" w:hanging="426"/>
        <w:spacing w:after="0" w:line="280" w:lineRule="auto"/>
        <w:tabs>
          <w:tab w:leader="none" w:pos="21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40" w:type="dxa"/>
            <w:vAlign w:val="bottom"/>
          </w:tcPr>
          <w:p>
            <w:pPr>
              <w:spacing w:after="0"/>
              <w:rPr>
                <w:sz w:val="20"/>
                <w:szCs w:val="20"/>
                <w:color w:val="auto"/>
              </w:rPr>
            </w:pPr>
            <w:r>
              <w:rPr>
                <w:rFonts w:ascii="Arial" w:cs="Arial" w:eastAsia="Arial" w:hAnsi="Arial"/>
                <w:sz w:val="18"/>
                <w:szCs w:val="18"/>
                <w:color w:val="auto"/>
              </w:rPr>
              <w:t>Date: August 4, 2016</w:t>
            </w:r>
          </w:p>
        </w:tc>
        <w:tc>
          <w:tcPr>
            <w:tcW w:w="7180" w:type="dxa"/>
            <w:vAlign w:val="bottom"/>
            <w:gridSpan w:val="2"/>
          </w:tcPr>
          <w:p>
            <w:pPr>
              <w:ind w:left="2620"/>
              <w:spacing w:after="0"/>
              <w:rPr>
                <w:sz w:val="20"/>
                <w:szCs w:val="20"/>
                <w:color w:val="auto"/>
              </w:rPr>
            </w:pPr>
            <w:r>
              <w:rPr>
                <w:rFonts w:ascii="Arial" w:cs="Arial" w:eastAsia="Arial" w:hAnsi="Arial"/>
                <w:sz w:val="18"/>
                <w:szCs w:val="18"/>
                <w:color w:val="auto"/>
              </w:rPr>
              <w:t>By:  /s/ C. Howard Nye</w:t>
            </w:r>
          </w:p>
        </w:tc>
      </w:tr>
      <w:tr>
        <w:trPr>
          <w:trHeight w:val="190"/>
        </w:trPr>
        <w:tc>
          <w:tcPr>
            <w:tcW w:w="42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100" w:type="dxa"/>
            <w:vAlign w:val="bottom"/>
            <w:tcBorders>
              <w:top w:val="single" w:sz="8" w:color="auto"/>
            </w:tcBorders>
          </w:tcPr>
          <w:p>
            <w:pPr>
              <w:spacing w:after="0" w:line="190" w:lineRule="exact"/>
              <w:rPr>
                <w:sz w:val="20"/>
                <w:szCs w:val="20"/>
                <w:color w:val="auto"/>
              </w:rPr>
            </w:pPr>
            <w:r>
              <w:rPr>
                <w:rFonts w:ascii="Arial" w:cs="Arial" w:eastAsia="Arial" w:hAnsi="Arial"/>
                <w:sz w:val="18"/>
                <w:szCs w:val="18"/>
                <w:color w:val="auto"/>
              </w:rPr>
              <w:t>C. Howard Nye</w:t>
            </w:r>
          </w:p>
        </w:tc>
      </w:tr>
      <w:tr>
        <w:trPr>
          <w:trHeight w:val="214"/>
        </w:trPr>
        <w:tc>
          <w:tcPr>
            <w:tcW w:w="4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Chairman, President and</w:t>
            </w:r>
          </w:p>
        </w:tc>
      </w:tr>
      <w:tr>
        <w:trPr>
          <w:trHeight w:val="235"/>
        </w:trPr>
        <w:tc>
          <w:tcPr>
            <w:tcW w:w="4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9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31.02</w:t>
      </w:r>
    </w:p>
    <w:p>
      <w:pPr>
        <w:spacing w:after="0" w:line="200" w:lineRule="exact"/>
        <w:rPr>
          <w:sz w:val="20"/>
          <w:szCs w:val="20"/>
          <w:color w:val="auto"/>
        </w:rPr>
      </w:pPr>
    </w:p>
    <w:p>
      <w:pPr>
        <w:spacing w:after="0" w:line="261" w:lineRule="exact"/>
        <w:rPr>
          <w:sz w:val="20"/>
          <w:szCs w:val="20"/>
          <w:color w:val="auto"/>
        </w:rPr>
      </w:pPr>
    </w:p>
    <w:p>
      <w:pPr>
        <w:jc w:val="center"/>
        <w:spacing w:after="0" w:line="285" w:lineRule="auto"/>
        <w:rPr>
          <w:sz w:val="20"/>
          <w:szCs w:val="20"/>
          <w:color w:val="auto"/>
        </w:rPr>
      </w:pPr>
      <w:r>
        <w:rPr>
          <w:rFonts w:ascii="Arial" w:cs="Arial" w:eastAsia="Arial" w:hAnsi="Arial"/>
          <w:sz w:val="18"/>
          <w:szCs w:val="18"/>
          <w:b w:val="1"/>
          <w:bCs w:val="1"/>
          <w:color w:val="auto"/>
        </w:rPr>
        <w:t>CERTIFICATION PURSUANT TO SECURITIES AND EXCHANGE ACT OF 1934 RULE 13a-14 AS ADOPTED PURSUANT TO SECTION 302 OF SARBANES-OXLEY ACT OF 2002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 Anne H. Lloyd, certify that:</w:t>
      </w:r>
    </w:p>
    <w:p>
      <w:pPr>
        <w:spacing w:after="0" w:line="222" w:lineRule="exact"/>
        <w:rPr>
          <w:sz w:val="20"/>
          <w:szCs w:val="20"/>
          <w:color w:val="auto"/>
        </w:rPr>
      </w:pPr>
    </w:p>
    <w:p>
      <w:pPr>
        <w:ind w:left="1300" w:hanging="429"/>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Form 10-Q of Martin Marietta Materials, Inc.;</w:t>
      </w:r>
    </w:p>
    <w:p>
      <w:pPr>
        <w:spacing w:after="0" w:line="221" w:lineRule="exact"/>
        <w:rPr>
          <w:rFonts w:ascii="Arial" w:cs="Arial" w:eastAsia="Arial" w:hAnsi="Arial"/>
          <w:sz w:val="18"/>
          <w:szCs w:val="18"/>
          <w:color w:val="auto"/>
        </w:rPr>
      </w:pPr>
    </w:p>
    <w:p>
      <w:pPr>
        <w:jc w:val="both"/>
        <w:ind w:left="1300" w:hanging="429"/>
        <w:spacing w:after="0" w:line="264"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jc w:val="both"/>
        <w:ind w:left="1300" w:hanging="429"/>
        <w:spacing w:after="0" w:line="264"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74" w:lineRule="exact"/>
        <w:rPr>
          <w:rFonts w:ascii="Arial" w:cs="Arial" w:eastAsia="Arial" w:hAnsi="Arial"/>
          <w:sz w:val="18"/>
          <w:szCs w:val="18"/>
          <w:color w:val="auto"/>
        </w:rPr>
      </w:pPr>
    </w:p>
    <w:p>
      <w:pPr>
        <w:jc w:val="both"/>
        <w:ind w:left="1300" w:hanging="429"/>
        <w:spacing w:after="0" w:line="290" w:lineRule="auto"/>
        <w:tabs>
          <w:tab w:leader="none" w:pos="1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05" w:lineRule="exact"/>
        <w:rPr>
          <w:rFonts w:ascii="Arial" w:cs="Arial" w:eastAsia="Arial" w:hAnsi="Arial"/>
          <w:sz w:val="16"/>
          <w:szCs w:val="16"/>
          <w:color w:val="auto"/>
        </w:rPr>
      </w:pPr>
    </w:p>
    <w:p>
      <w:pPr>
        <w:jc w:val="both"/>
        <w:ind w:left="2180" w:hanging="426"/>
        <w:spacing w:after="0" w:line="287" w:lineRule="auto"/>
        <w:tabs>
          <w:tab w:leader="none" w:pos="218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7"/>
          <w:szCs w:val="17"/>
          <w:color w:val="auto"/>
        </w:rPr>
      </w:pPr>
    </w:p>
    <w:p>
      <w:pPr>
        <w:jc w:val="both"/>
        <w:ind w:left="2180" w:hanging="426"/>
        <w:spacing w:after="0" w:line="259" w:lineRule="auto"/>
        <w:tabs>
          <w:tab w:leader="none" w:pos="21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78" w:lineRule="exact"/>
        <w:rPr>
          <w:rFonts w:ascii="Arial" w:cs="Arial" w:eastAsia="Arial" w:hAnsi="Arial"/>
          <w:sz w:val="18"/>
          <w:szCs w:val="18"/>
          <w:color w:val="auto"/>
        </w:rPr>
      </w:pPr>
    </w:p>
    <w:p>
      <w:pPr>
        <w:jc w:val="both"/>
        <w:ind w:left="2180" w:hanging="426"/>
        <w:spacing w:after="0" w:line="264" w:lineRule="auto"/>
        <w:tabs>
          <w:tab w:leader="none" w:pos="21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8"/>
          <w:szCs w:val="18"/>
          <w:color w:val="auto"/>
        </w:rPr>
      </w:pPr>
    </w:p>
    <w:p>
      <w:pPr>
        <w:jc w:val="both"/>
        <w:ind w:left="2180" w:hanging="426"/>
        <w:spacing w:after="0" w:line="264" w:lineRule="auto"/>
        <w:tabs>
          <w:tab w:leader="none" w:pos="21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581025</wp:posOffset>
            </wp:positionV>
            <wp:extent cx="729678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573" w:right="239" w:bottom="1440" w:gutter="0" w:footer="0" w:header="0"/>
        </w:sectPr>
      </w:pPr>
    </w:p>
    <w:bookmarkStart w:id="80" w:name="page81"/>
    <w:bookmarkEnd w:id="80"/>
    <w:p>
      <w:pPr>
        <w:jc w:val="both"/>
        <w:ind w:left="1300" w:hanging="429"/>
        <w:spacing w:after="0" w:line="264"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8"/>
          <w:szCs w:val="18"/>
          <w:color w:val="auto"/>
        </w:rPr>
      </w:pPr>
    </w:p>
    <w:p>
      <w:pPr>
        <w:jc w:val="both"/>
        <w:ind w:left="2180" w:hanging="426"/>
        <w:spacing w:after="0" w:line="264" w:lineRule="auto"/>
        <w:tabs>
          <w:tab w:leader="none" w:pos="21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8"/>
          <w:szCs w:val="18"/>
          <w:color w:val="auto"/>
        </w:rPr>
      </w:pPr>
    </w:p>
    <w:p>
      <w:pPr>
        <w:ind w:left="2180" w:hanging="426"/>
        <w:spacing w:after="0" w:line="280" w:lineRule="auto"/>
        <w:tabs>
          <w:tab w:leader="none" w:pos="21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20" w:type="dxa"/>
            <w:vAlign w:val="bottom"/>
          </w:tcPr>
          <w:p>
            <w:pPr>
              <w:spacing w:after="0"/>
              <w:rPr>
                <w:sz w:val="20"/>
                <w:szCs w:val="20"/>
                <w:color w:val="auto"/>
              </w:rPr>
            </w:pPr>
            <w:r>
              <w:rPr>
                <w:rFonts w:ascii="Arial" w:cs="Arial" w:eastAsia="Arial" w:hAnsi="Arial"/>
                <w:sz w:val="18"/>
                <w:szCs w:val="18"/>
                <w:color w:val="auto"/>
              </w:rPr>
              <w:t>Date: August 4, 2016</w:t>
            </w:r>
          </w:p>
        </w:tc>
        <w:tc>
          <w:tcPr>
            <w:tcW w:w="7200" w:type="dxa"/>
            <w:vAlign w:val="bottom"/>
            <w:gridSpan w:val="2"/>
          </w:tcPr>
          <w:p>
            <w:pPr>
              <w:ind w:left="2640"/>
              <w:spacing w:after="0"/>
              <w:rPr>
                <w:sz w:val="20"/>
                <w:szCs w:val="20"/>
                <w:color w:val="auto"/>
              </w:rPr>
            </w:pPr>
            <w:r>
              <w:rPr>
                <w:rFonts w:ascii="Arial" w:cs="Arial" w:eastAsia="Arial" w:hAnsi="Arial"/>
                <w:sz w:val="18"/>
                <w:szCs w:val="18"/>
                <w:color w:val="auto"/>
              </w:rPr>
              <w:t>By:  /s/ Anne H. Lloyd</w:t>
            </w:r>
          </w:p>
        </w:tc>
      </w:tr>
      <w:tr>
        <w:trPr>
          <w:trHeight w:val="190"/>
        </w:trPr>
        <w:tc>
          <w:tcPr>
            <w:tcW w:w="42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100" w:type="dxa"/>
            <w:vAlign w:val="bottom"/>
            <w:tcBorders>
              <w:top w:val="single" w:sz="8" w:color="auto"/>
            </w:tcBorders>
          </w:tcPr>
          <w:p>
            <w:pPr>
              <w:spacing w:after="0" w:line="190" w:lineRule="exact"/>
              <w:rPr>
                <w:sz w:val="20"/>
                <w:szCs w:val="20"/>
                <w:color w:val="auto"/>
              </w:rPr>
            </w:pPr>
            <w:r>
              <w:rPr>
                <w:rFonts w:ascii="Arial" w:cs="Arial" w:eastAsia="Arial" w:hAnsi="Arial"/>
                <w:sz w:val="18"/>
                <w:szCs w:val="18"/>
                <w:color w:val="auto"/>
              </w:rPr>
              <w:t>Anne H. Lloyd</w:t>
            </w:r>
          </w:p>
        </w:tc>
      </w:tr>
      <w:tr>
        <w:trPr>
          <w:trHeight w:val="214"/>
        </w:trPr>
        <w:tc>
          <w:tcPr>
            <w:tcW w:w="4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5"/>
        </w:trPr>
        <w:tc>
          <w:tcPr>
            <w:tcW w:w="42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980"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32.01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Pursuant to 18 U.S.C.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0" w:lineRule="exact"/>
        <w:rPr>
          <w:sz w:val="20"/>
          <w:szCs w:val="20"/>
          <w:color w:val="auto"/>
        </w:rPr>
      </w:pPr>
    </w:p>
    <w:p>
      <w:pPr>
        <w:jc w:val="both"/>
        <w:ind w:firstLine="879"/>
        <w:spacing w:after="0" w:line="264" w:lineRule="auto"/>
        <w:rPr>
          <w:sz w:val="20"/>
          <w:szCs w:val="20"/>
          <w:color w:val="auto"/>
        </w:rPr>
      </w:pPr>
      <w:r>
        <w:rPr>
          <w:rFonts w:ascii="Arial" w:cs="Arial" w:eastAsia="Arial" w:hAnsi="Arial"/>
          <w:sz w:val="18"/>
          <w:szCs w:val="18"/>
          <w:color w:val="auto"/>
        </w:rPr>
        <w:t>In connection with the Quarterly Report on Form 10-Q for the period ended June 30, 2016 (the “Report”) of Martin Marietta Materials, Inc. (the “Registrant”), as filed with the Securities and Exchange Commission on the date hereof, I, C. Howard Nye, the Chief Executive Officer of the Registrant, certify, to the best of my knowledge, that:</w:t>
      </w:r>
    </w:p>
    <w:p>
      <w:pPr>
        <w:spacing w:after="0" w:line="175" w:lineRule="exact"/>
        <w:rPr>
          <w:sz w:val="20"/>
          <w:szCs w:val="20"/>
          <w:color w:val="auto"/>
        </w:rPr>
      </w:pPr>
    </w:p>
    <w:p>
      <w:pPr>
        <w:ind w:left="1740" w:hanging="869"/>
        <w:spacing w:after="0" w:line="280" w:lineRule="auto"/>
        <w:tabs>
          <w:tab w:leader="none" w:pos="1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60" w:lineRule="exact"/>
        <w:rPr>
          <w:rFonts w:ascii="Arial" w:cs="Arial" w:eastAsia="Arial" w:hAnsi="Arial"/>
          <w:sz w:val="18"/>
          <w:szCs w:val="18"/>
          <w:color w:val="auto"/>
        </w:rPr>
      </w:pPr>
    </w:p>
    <w:p>
      <w:pPr>
        <w:ind w:left="1740" w:hanging="869"/>
        <w:spacing w:after="0" w:line="280" w:lineRule="auto"/>
        <w:tabs>
          <w:tab w:leader="none" w:pos="1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15240</wp:posOffset>
            </wp:positionV>
            <wp:extent cx="28987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spacing w:after="0" w:line="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 Howard Nye</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President and</w:t>
      </w:r>
    </w:p>
    <w:p>
      <w:pPr>
        <w:spacing w:after="0" w:line="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2016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547"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32.02</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Pursuant to 18 U.S.C.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0" w:lineRule="exact"/>
        <w:rPr>
          <w:sz w:val="20"/>
          <w:szCs w:val="20"/>
          <w:color w:val="auto"/>
        </w:rPr>
      </w:pPr>
    </w:p>
    <w:p>
      <w:pPr>
        <w:jc w:val="both"/>
        <w:ind w:firstLine="879"/>
        <w:spacing w:after="0" w:line="264" w:lineRule="auto"/>
        <w:rPr>
          <w:sz w:val="20"/>
          <w:szCs w:val="20"/>
          <w:color w:val="auto"/>
        </w:rPr>
      </w:pPr>
      <w:r>
        <w:rPr>
          <w:rFonts w:ascii="Arial" w:cs="Arial" w:eastAsia="Arial" w:hAnsi="Arial"/>
          <w:sz w:val="18"/>
          <w:szCs w:val="18"/>
          <w:color w:val="auto"/>
        </w:rPr>
        <w:t>In connection with the Quarterly Report on Form 10-Q for the period ended June 30, 2016 (the “Report”) of Martin Marietta Materials, Inc. (the “Registrant”), as filed with the Securities and Exchange Commission on the date hereof, I, Anne H. Lloyd, the Chief Financial Officer of the Registrant, certify, to the best of my knowledge, that:</w:t>
      </w:r>
    </w:p>
    <w:p>
      <w:pPr>
        <w:spacing w:after="0" w:line="175" w:lineRule="exact"/>
        <w:rPr>
          <w:sz w:val="20"/>
          <w:szCs w:val="20"/>
          <w:color w:val="auto"/>
        </w:rPr>
      </w:pPr>
    </w:p>
    <w:p>
      <w:pPr>
        <w:ind w:left="1740" w:hanging="869"/>
        <w:spacing w:after="0" w:line="280" w:lineRule="auto"/>
        <w:tabs>
          <w:tab w:leader="none" w:pos="1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60" w:lineRule="exact"/>
        <w:rPr>
          <w:rFonts w:ascii="Arial" w:cs="Arial" w:eastAsia="Arial" w:hAnsi="Arial"/>
          <w:sz w:val="18"/>
          <w:szCs w:val="18"/>
          <w:color w:val="auto"/>
        </w:rPr>
      </w:pPr>
    </w:p>
    <w:p>
      <w:pPr>
        <w:ind w:left="1740" w:hanging="869"/>
        <w:spacing w:after="0" w:line="280" w:lineRule="auto"/>
        <w:tabs>
          <w:tab w:leader="none" w:pos="1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Anne H.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15240</wp:posOffset>
            </wp:positionV>
            <wp:extent cx="28987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spacing w:after="0" w:line="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Anne H. Lloyd</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w:t>
      </w:r>
    </w:p>
    <w:p>
      <w:pPr>
        <w:spacing w:after="0" w:line="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2016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346"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95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operation of the Corporation’s domestic aggregates quarries and mines is subject to regulation by the federal Mine Safety and Health Administration (MSHA) under the Federal Mine Safety and Health Act of 1977 (the “Mine Act”). MSHA inspects the Corporation’s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and are sometimes dismissed.</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Dodd-Frank Wall Street Reform and Consumer Protection Act (the “Dodd-Frank Act”), the Corporation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Corporation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Corporation’s quarries and mines operated outside the United States.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presents the following items regarding certain mining safety and health matters for the three months ended June 30, 2016:</w:t>
      </w:r>
    </w:p>
    <w:p>
      <w:pPr>
        <w:spacing w:after="0" w:line="222" w:lineRule="exact"/>
        <w:rPr>
          <w:sz w:val="20"/>
          <w:szCs w:val="20"/>
          <w:color w:val="auto"/>
        </w:rPr>
      </w:pPr>
    </w:p>
    <w:p>
      <w:pPr>
        <w:jc w:val="both"/>
        <w:ind w:left="500" w:hanging="436"/>
        <w:spacing w:after="0" w:line="255" w:lineRule="auto"/>
        <w:tabs>
          <w:tab w:leader="none" w:pos="50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Total number of violations of mandatory health or safety standards that could significantly and substantially contribute to the cause and effect of a mine safety or health hazard under section 104 of the Mine Act for which the Corporation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 “S&amp;S” violation). MSHA inspectors will classify each citation or order written as a “S&amp;S” violation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433705</wp:posOffset>
            </wp:positionV>
            <wp:extent cx="729678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4" w:name="page85"/>
    <w:bookmarkEnd w:id="84"/>
    <w:p>
      <w:pPr>
        <w:jc w:val="both"/>
        <w:ind w:left="436" w:hanging="436"/>
        <w:spacing w:after="0" w:line="258" w:lineRule="auto"/>
        <w:tabs>
          <w:tab w:leader="none" w:pos="436"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spacing w:after="0" w:line="181" w:lineRule="exact"/>
        <w:rPr>
          <w:rFonts w:ascii="Arial" w:cs="Arial" w:eastAsia="Arial" w:hAnsi="Arial"/>
          <w:sz w:val="18"/>
          <w:szCs w:val="18"/>
          <w:b w:val="1"/>
          <w:bCs w:val="1"/>
          <w:color w:val="auto"/>
        </w:rPr>
      </w:pPr>
    </w:p>
    <w:p>
      <w:pPr>
        <w:jc w:val="both"/>
        <w:ind w:left="436" w:hanging="436"/>
        <w:spacing w:after="0" w:line="256" w:lineRule="auto"/>
        <w:tabs>
          <w:tab w:leader="none" w:pos="436"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 or health hazard, but the conditions do not cause imminent danger, and the MSHA inspector finds that the violation is caused by an unwarranted failure of the operator to comply with the health and safety standards.</w:t>
      </w:r>
    </w:p>
    <w:p>
      <w:pPr>
        <w:spacing w:after="0" w:line="182" w:lineRule="exact"/>
        <w:rPr>
          <w:rFonts w:ascii="Arial" w:cs="Arial" w:eastAsia="Arial" w:hAnsi="Arial"/>
          <w:sz w:val="18"/>
          <w:szCs w:val="18"/>
          <w:b w:val="1"/>
          <w:bCs w:val="1"/>
          <w:color w:val="auto"/>
        </w:rPr>
      </w:pPr>
    </w:p>
    <w:p>
      <w:pPr>
        <w:jc w:val="both"/>
        <w:ind w:left="436" w:hanging="436"/>
        <w:spacing w:after="0" w:line="259" w:lineRule="auto"/>
        <w:tabs>
          <w:tab w:leader="none" w:pos="436"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78" w:lineRule="exact"/>
        <w:rPr>
          <w:rFonts w:ascii="Arial" w:cs="Arial" w:eastAsia="Arial" w:hAnsi="Arial"/>
          <w:sz w:val="18"/>
          <w:szCs w:val="18"/>
          <w:b w:val="1"/>
          <w:bCs w:val="1"/>
          <w:color w:val="auto"/>
        </w:rPr>
      </w:pPr>
    </w:p>
    <w:p>
      <w:pPr>
        <w:jc w:val="both"/>
        <w:ind w:left="436" w:hanging="436"/>
        <w:spacing w:after="0" w:line="259" w:lineRule="auto"/>
        <w:tabs>
          <w:tab w:leader="none" w:pos="436"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178" w:lineRule="exact"/>
        <w:rPr>
          <w:rFonts w:ascii="Arial" w:cs="Arial" w:eastAsia="Arial" w:hAnsi="Arial"/>
          <w:sz w:val="18"/>
          <w:szCs w:val="18"/>
          <w:b w:val="1"/>
          <w:bCs w:val="1"/>
          <w:color w:val="auto"/>
        </w:rPr>
      </w:pPr>
    </w:p>
    <w:p>
      <w:pPr>
        <w:jc w:val="both"/>
        <w:ind w:left="436" w:hanging="436"/>
        <w:spacing w:after="0" w:line="259" w:lineRule="auto"/>
        <w:tabs>
          <w:tab w:leader="none" w:pos="436"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178" w:lineRule="exact"/>
        <w:rPr>
          <w:rFonts w:ascii="Arial" w:cs="Arial" w:eastAsia="Arial" w:hAnsi="Arial"/>
          <w:sz w:val="18"/>
          <w:szCs w:val="18"/>
          <w:b w:val="1"/>
          <w:bCs w:val="1"/>
          <w:color w:val="auto"/>
        </w:rPr>
      </w:pPr>
    </w:p>
    <w:p>
      <w:pPr>
        <w:jc w:val="both"/>
        <w:ind w:left="436" w:hanging="436"/>
        <w:spacing w:after="0" w:line="264" w:lineRule="auto"/>
        <w:tabs>
          <w:tab w:leader="none" w:pos="436"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292735</wp:posOffset>
            </wp:positionV>
            <wp:extent cx="729678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356"/>
          </w:cols>
          <w:pgMar w:left="304" w:top="124" w:right="239" w:bottom="1440" w:gutter="0" w:footer="0" w:header="0"/>
        </w:sectPr>
      </w:pPr>
    </w:p>
    <w:bookmarkStart w:id="85" w:name="page86"/>
    <w:bookmarkEnd w:id="85"/>
    <w:p>
      <w:pPr>
        <w:jc w:val="both"/>
        <w:ind w:left="436" w:hanging="436"/>
        <w:spacing w:after="0" w:line="259" w:lineRule="auto"/>
        <w:tabs>
          <w:tab w:leader="none" w:pos="436"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spacing w:after="0" w:line="178" w:lineRule="exact"/>
        <w:rPr>
          <w:rFonts w:ascii="Arial" w:cs="Arial" w:eastAsia="Arial" w:hAnsi="Arial"/>
          <w:sz w:val="18"/>
          <w:szCs w:val="18"/>
          <w:b w:val="1"/>
          <w:bCs w:val="1"/>
          <w:color w:val="auto"/>
        </w:rPr>
      </w:pPr>
    </w:p>
    <w:p>
      <w:pPr>
        <w:ind w:left="436" w:hanging="436"/>
        <w:spacing w:after="0"/>
        <w:tabs>
          <w:tab w:leader="none" w:pos="436"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Legal actions before the Federal Mine Safety and Health Review Commissions pending as of the last day of period.</w:t>
      </w:r>
    </w:p>
    <w:p>
      <w:pPr>
        <w:spacing w:after="0" w:line="221" w:lineRule="exact"/>
        <w:rPr>
          <w:rFonts w:ascii="Arial" w:cs="Arial" w:eastAsia="Arial" w:hAnsi="Arial"/>
          <w:sz w:val="18"/>
          <w:szCs w:val="18"/>
          <w:b w:val="1"/>
          <w:bCs w:val="1"/>
          <w:color w:val="auto"/>
        </w:rPr>
      </w:pPr>
    </w:p>
    <w:p>
      <w:pPr>
        <w:ind w:left="436" w:hanging="436"/>
        <w:spacing w:after="0"/>
        <w:tabs>
          <w:tab w:leader="none" w:pos="436"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Legal actions before the Federal Mine Safety and Health Review Commissions initiated during period.</w:t>
      </w:r>
    </w:p>
    <w:p>
      <w:pPr>
        <w:spacing w:after="0" w:line="221" w:lineRule="exact"/>
        <w:rPr>
          <w:rFonts w:ascii="Arial" w:cs="Arial" w:eastAsia="Arial" w:hAnsi="Arial"/>
          <w:sz w:val="18"/>
          <w:szCs w:val="18"/>
          <w:b w:val="1"/>
          <w:bCs w:val="1"/>
          <w:color w:val="auto"/>
        </w:rPr>
      </w:pPr>
    </w:p>
    <w:p>
      <w:pPr>
        <w:ind w:left="436" w:hanging="436"/>
        <w:spacing w:after="0"/>
        <w:tabs>
          <w:tab w:leader="none" w:pos="436"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Legal actions before the Federal Mine Safety and Health Review Commissions resolved during period.</w:t>
      </w:r>
    </w:p>
    <w:p>
      <w:pPr>
        <w:spacing w:after="0" w:line="200" w:lineRule="exact"/>
        <w:rPr>
          <w:sz w:val="20"/>
          <w:szCs w:val="20"/>
          <w:color w:val="auto"/>
        </w:rPr>
      </w:pPr>
    </w:p>
    <w:p>
      <w:pPr>
        <w:spacing w:after="0" w:line="236" w:lineRule="exact"/>
        <w:rPr>
          <w:sz w:val="20"/>
          <w:szCs w:val="20"/>
          <w:color w:val="auto"/>
        </w:rPr>
      </w:pPr>
    </w:p>
    <w:p>
      <w:pPr>
        <w:jc w:val="both"/>
        <w:ind w:left="56"/>
        <w:spacing w:after="0" w:line="253" w:lineRule="auto"/>
        <w:rPr>
          <w:sz w:val="20"/>
          <w:szCs w:val="20"/>
          <w:color w:val="auto"/>
        </w:rPr>
      </w:pPr>
      <w:r>
        <w:rPr>
          <w:rFonts w:ascii="Arial" w:cs="Arial" w:eastAsia="Arial" w:hAnsi="Arial"/>
          <w:sz w:val="18"/>
          <w:szCs w:val="18"/>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 penalties they have received from MSHA, or complaints of discrimination by miners under Section 105 of the Mine Act. Appendix 1 shows, for each of the Corporation’s quarries and mines identified, as of June 30, 2016,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84" w:lineRule="exact"/>
        <w:rPr>
          <w:sz w:val="20"/>
          <w:szCs w:val="20"/>
          <w:color w:val="auto"/>
        </w:rPr>
      </w:pPr>
    </w:p>
    <w:p>
      <w:pPr>
        <w:ind w:left="56"/>
        <w:spacing w:after="0"/>
        <w:rPr>
          <w:sz w:val="20"/>
          <w:szCs w:val="20"/>
          <w:color w:val="auto"/>
        </w:rPr>
      </w:pPr>
      <w:r>
        <w:rPr>
          <w:rFonts w:ascii="Arial" w:cs="Arial" w:eastAsia="Arial" w:hAnsi="Arial"/>
          <w:sz w:val="18"/>
          <w:szCs w:val="18"/>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594995</wp:posOffset>
            </wp:positionV>
            <wp:extent cx="729678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6785" cy="41275"/>
                    </a:xfrm>
                    <a:prstGeom prst="rect">
                      <a:avLst/>
                    </a:prstGeom>
                    <a:noFill/>
                  </pic:spPr>
                </pic:pic>
              </a:graphicData>
            </a:graphic>
          </wp:anchor>
        </w:drawing>
      </w:r>
    </w:p>
    <w:p>
      <w:pPr>
        <w:sectPr>
          <w:pgSz w:w="11900" w:h="16838" w:orient="portrait"/>
          <w:cols w:equalWidth="0" w:num="1">
            <w:col w:w="11356"/>
          </w:cols>
          <w:pgMar w:left="304" w:top="337"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40" w:type="dxa"/>
            <w:vAlign w:val="bottom"/>
            <w:gridSpan w:val="3"/>
          </w:tcPr>
          <w:p>
            <w:pPr>
              <w:ind w:left="640"/>
              <w:spacing w:after="0"/>
              <w:rPr>
                <w:sz w:val="20"/>
                <w:szCs w:val="20"/>
                <w:color w:val="auto"/>
              </w:rPr>
            </w:pPr>
            <w:r>
              <w:rPr>
                <w:rFonts w:ascii="Arial" w:cs="Arial" w:eastAsia="Arial" w:hAnsi="Arial"/>
                <w:sz w:val="18"/>
                <w:szCs w:val="18"/>
                <w:color w:val="auto"/>
                <w:w w:val="97"/>
              </w:rPr>
              <w:t>Appendix 1</w:t>
            </w:r>
          </w:p>
        </w:tc>
      </w:tr>
      <w:tr>
        <w:trPr>
          <w:trHeight w:val="417"/>
        </w:trPr>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Received Received</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4"/>
        </w:trPr>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Notice of Notice of</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7"/>
              </w:rPr>
              <w:t>Legal</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6"/>
              </w:rPr>
              <w:t>Pattern</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2"/>
              </w:rPr>
              <w:t>Potential</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7"/>
              </w:rPr>
              <w:t>Actions</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Section</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6"/>
              </w:rPr>
              <w:t>Number</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3"/>
              </w:rPr>
              <w:t>of</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to have</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2"/>
              </w:rPr>
              <w:t>Pending</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3"/>
              </w:rPr>
              <w:t>Legal</w:t>
            </w:r>
          </w:p>
        </w:tc>
        <w:tc>
          <w:tcPr>
            <w:tcW w:w="7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Legal</w:t>
            </w:r>
          </w:p>
        </w:tc>
      </w:tr>
      <w:tr>
        <w:trPr>
          <w:trHeight w:val="214"/>
        </w:trPr>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4"/>
              </w:rPr>
              <w:t>104(d)</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Total Dollar</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4"/>
              </w:rPr>
              <w:t>Violation</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6"/>
              </w:rPr>
              <w:t>Pattern</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0"/>
              </w:rPr>
              <w:t>as of</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7"/>
              </w:rPr>
              <w:t>Actions</w:t>
            </w:r>
          </w:p>
        </w:tc>
        <w:tc>
          <w:tcPr>
            <w:tcW w:w="7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Actions</w:t>
            </w:r>
          </w:p>
        </w:tc>
      </w:tr>
      <w:tr>
        <w:trPr>
          <w:trHeight w:val="214"/>
        </w:trPr>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9"/>
              </w:rPr>
              <w:t>Section</w:t>
            </w:r>
          </w:p>
        </w:tc>
        <w:tc>
          <w:tcPr>
            <w:tcW w:w="700" w:type="dxa"/>
            <w:vAlign w:val="bottom"/>
          </w:tcPr>
          <w:p>
            <w:pPr>
              <w:ind w:left="60"/>
              <w:spacing w:after="0"/>
              <w:rPr>
                <w:sz w:val="20"/>
                <w:szCs w:val="20"/>
                <w:color w:val="auto"/>
              </w:rPr>
            </w:pPr>
            <w:r>
              <w:rPr>
                <w:rFonts w:ascii="Arial" w:cs="Arial" w:eastAsia="Arial" w:hAnsi="Arial"/>
                <w:sz w:val="18"/>
                <w:szCs w:val="18"/>
                <w:b w:val="1"/>
                <w:bCs w:val="1"/>
                <w:color w:val="auto"/>
                <w:w w:val="95"/>
              </w:rPr>
              <w:t>Section</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3"/>
              </w:rPr>
              <w:t>Citations</w:t>
            </w:r>
          </w:p>
        </w:tc>
        <w:tc>
          <w:tcPr>
            <w:tcW w:w="800" w:type="dxa"/>
            <w:vAlign w:val="bottom"/>
          </w:tcPr>
          <w:p>
            <w:pPr>
              <w:ind w:left="120"/>
              <w:spacing w:after="0"/>
              <w:rPr>
                <w:sz w:val="20"/>
                <w:szCs w:val="20"/>
                <w:color w:val="auto"/>
              </w:rPr>
            </w:pPr>
            <w:r>
              <w:rPr>
                <w:rFonts w:ascii="Arial" w:cs="Arial" w:eastAsia="Arial" w:hAnsi="Arial"/>
                <w:sz w:val="18"/>
                <w:szCs w:val="18"/>
                <w:b w:val="1"/>
                <w:bCs w:val="1"/>
                <w:color w:val="auto"/>
              </w:rPr>
              <w:t>Section</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5"/>
              </w:rPr>
              <w:t>Section</w:t>
            </w:r>
          </w:p>
        </w:tc>
        <w:tc>
          <w:tcPr>
            <w:tcW w:w="160" w:type="dxa"/>
            <w:vAlign w:val="bottom"/>
          </w:tcPr>
          <w:p>
            <w:pPr>
              <w:spacing w:after="0"/>
              <w:rPr>
                <w:sz w:val="18"/>
                <w:szCs w:val="18"/>
                <w:color w:val="auto"/>
              </w:rPr>
            </w:pPr>
          </w:p>
        </w:tc>
        <w:tc>
          <w:tcPr>
            <w:tcW w:w="980" w:type="dxa"/>
            <w:vAlign w:val="bottom"/>
          </w:tcPr>
          <w:p>
            <w:pPr>
              <w:jc w:val="center"/>
              <w:ind w:right="88"/>
              <w:spacing w:after="0"/>
              <w:rPr>
                <w:sz w:val="20"/>
                <w:szCs w:val="20"/>
                <w:color w:val="auto"/>
              </w:rPr>
            </w:pPr>
            <w:r>
              <w:rPr>
                <w:rFonts w:ascii="Arial" w:cs="Arial" w:eastAsia="Arial" w:hAnsi="Arial"/>
                <w:sz w:val="18"/>
                <w:szCs w:val="18"/>
                <w:b w:val="1"/>
                <w:bCs w:val="1"/>
                <w:color w:val="auto"/>
                <w:w w:val="91"/>
              </w:rPr>
              <w:t>Value of</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9"/>
              </w:rPr>
              <w:t>Mining</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6"/>
              </w:rPr>
              <w:t>Under</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5"/>
              </w:rPr>
              <w:t>under</w:t>
            </w:r>
          </w:p>
        </w:tc>
        <w:tc>
          <w:tcPr>
            <w:tcW w:w="23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Last Day Instituted Resolved</w:t>
            </w:r>
          </w:p>
        </w:tc>
      </w:tr>
      <w:tr>
        <w:trPr>
          <w:trHeight w:val="214"/>
        </w:trPr>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7"/>
              </w:rPr>
              <w:t>104 S&amp;S</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4"/>
              </w:rPr>
              <w:t>104(b)</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3"/>
              </w:rPr>
              <w:t>and</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5"/>
              </w:rPr>
              <w:t>110(b)(2)</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6"/>
              </w:rPr>
              <w:t>107(a)</w:t>
            </w:r>
          </w:p>
        </w:tc>
        <w:tc>
          <w:tcPr>
            <w:tcW w:w="160" w:type="dxa"/>
            <w:vAlign w:val="bottom"/>
          </w:tcPr>
          <w:p>
            <w:pPr>
              <w:spacing w:after="0"/>
              <w:rPr>
                <w:sz w:val="18"/>
                <w:szCs w:val="18"/>
                <w:color w:val="auto"/>
              </w:rPr>
            </w:pPr>
          </w:p>
        </w:tc>
        <w:tc>
          <w:tcPr>
            <w:tcW w:w="980" w:type="dxa"/>
            <w:vAlign w:val="bottom"/>
          </w:tcPr>
          <w:p>
            <w:pPr>
              <w:jc w:val="center"/>
              <w:ind w:right="88"/>
              <w:spacing w:after="0"/>
              <w:rPr>
                <w:sz w:val="20"/>
                <w:szCs w:val="20"/>
                <w:color w:val="auto"/>
              </w:rPr>
            </w:pPr>
            <w:r>
              <w:rPr>
                <w:rFonts w:ascii="Arial" w:cs="Arial" w:eastAsia="Arial" w:hAnsi="Arial"/>
                <w:sz w:val="18"/>
                <w:szCs w:val="18"/>
                <w:b w:val="1"/>
                <w:bCs w:val="1"/>
                <w:color w:val="auto"/>
              </w:rPr>
              <w:t>MSHA</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5"/>
              </w:rPr>
              <w:t>Related</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Section</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9"/>
              </w:rPr>
              <w:t>Section</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9"/>
              </w:rPr>
              <w:t>During</w:t>
            </w:r>
          </w:p>
        </w:tc>
        <w:tc>
          <w:tcPr>
            <w:tcW w:w="7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6"/>
              </w:rPr>
              <w:t>During</w:t>
            </w:r>
          </w:p>
        </w:tc>
      </w:tr>
      <w:tr>
        <w:trPr>
          <w:trHeight w:val="214"/>
        </w:trPr>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MSHA</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3"/>
              </w:rPr>
              <w:t>Citations</w:t>
            </w:r>
          </w:p>
        </w:tc>
        <w:tc>
          <w:tcPr>
            <w:tcW w:w="700" w:type="dxa"/>
            <w:vAlign w:val="bottom"/>
          </w:tcPr>
          <w:p>
            <w:pPr>
              <w:ind w:left="80"/>
              <w:spacing w:after="0"/>
              <w:rPr>
                <w:sz w:val="20"/>
                <w:szCs w:val="20"/>
                <w:color w:val="auto"/>
              </w:rPr>
            </w:pPr>
            <w:r>
              <w:rPr>
                <w:rFonts w:ascii="Arial" w:cs="Arial" w:eastAsia="Arial" w:hAnsi="Arial"/>
                <w:sz w:val="18"/>
                <w:szCs w:val="18"/>
                <w:b w:val="1"/>
                <w:bCs w:val="1"/>
                <w:color w:val="auto"/>
              </w:rPr>
              <w:t>Orders</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4"/>
              </w:rPr>
              <w:t>Orders</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Violations Orders</w:t>
            </w: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Assessment/$</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4"/>
              </w:rPr>
              <w:t>Fatalities</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2"/>
              </w:rPr>
              <w:t>104(e)</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2"/>
              </w:rPr>
              <w:t>104(e)</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6"/>
              </w:rPr>
              <w:t>Period</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c>
          <w:tcPr>
            <w:tcW w:w="7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Period</w:t>
            </w:r>
          </w:p>
        </w:tc>
      </w:tr>
      <w:tr>
        <w:trPr>
          <w:trHeight w:val="235"/>
        </w:trPr>
        <w:tc>
          <w:tcPr>
            <w:tcW w:w="1220" w:type="dxa"/>
            <w:vAlign w:val="bottom"/>
          </w:tcPr>
          <w:p>
            <w:pPr>
              <w:ind w:left="260"/>
              <w:spacing w:after="0"/>
              <w:rPr>
                <w:sz w:val="20"/>
                <w:szCs w:val="20"/>
                <w:color w:val="auto"/>
              </w:rPr>
            </w:pPr>
            <w:r>
              <w:rPr>
                <w:rFonts w:ascii="Arial" w:cs="Arial" w:eastAsia="Arial" w:hAnsi="Arial"/>
                <w:sz w:val="18"/>
                <w:szCs w:val="18"/>
                <w:b w:val="1"/>
                <w:bCs w:val="1"/>
                <w:color w:val="auto"/>
              </w:rPr>
              <w:t>Location</w:t>
            </w:r>
          </w:p>
        </w:tc>
        <w:tc>
          <w:tcPr>
            <w:tcW w:w="700" w:type="dxa"/>
            <w:vAlign w:val="bottom"/>
          </w:tcPr>
          <w:p>
            <w:pPr>
              <w:jc w:val="right"/>
              <w:ind w:right="168"/>
              <w:spacing w:after="0"/>
              <w:rPr>
                <w:sz w:val="20"/>
                <w:szCs w:val="20"/>
                <w:color w:val="auto"/>
              </w:rPr>
            </w:pPr>
            <w:r>
              <w:rPr>
                <w:rFonts w:ascii="Arial" w:cs="Arial" w:eastAsia="Arial" w:hAnsi="Arial"/>
                <w:sz w:val="18"/>
                <w:szCs w:val="18"/>
                <w:b w:val="1"/>
                <w:bCs w:val="1"/>
                <w:color w:val="auto"/>
              </w:rPr>
              <w:t>ID</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0"/>
                <w:szCs w:val="20"/>
                <w:color w:val="auto"/>
              </w:rPr>
            </w:pPr>
          </w:p>
        </w:tc>
        <w:tc>
          <w:tcPr>
            <w:tcW w:w="980" w:type="dxa"/>
            <w:vAlign w:val="bottom"/>
          </w:tcPr>
          <w:p>
            <w:pPr>
              <w:jc w:val="center"/>
              <w:ind w:right="108"/>
              <w:spacing w:after="0"/>
              <w:rPr>
                <w:sz w:val="20"/>
                <w:szCs w:val="20"/>
                <w:color w:val="auto"/>
              </w:rPr>
            </w:pPr>
            <w:r>
              <w:rPr>
                <w:rFonts w:ascii="Arial" w:cs="Arial" w:eastAsia="Arial" w:hAnsi="Arial"/>
                <w:sz w:val="18"/>
                <w:szCs w:val="18"/>
                <w:b w:val="1"/>
                <w:bCs w:val="1"/>
                <w:color w:val="auto"/>
                <w:w w:val="89"/>
              </w:rPr>
              <w:t>Proposed</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(yes/no)</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9"/>
              </w:rPr>
              <w:t>(yes/no)</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40" w:type="dxa"/>
            <w:vAlign w:val="bottom"/>
          </w:tcPr>
          <w:p>
            <w:pPr>
              <w:spacing w:after="0"/>
              <w:rPr>
                <w:sz w:val="20"/>
                <w:szCs w:val="20"/>
                <w:color w:val="auto"/>
              </w:rPr>
            </w:pPr>
          </w:p>
        </w:tc>
      </w:tr>
      <w:tr>
        <w:trPr>
          <w:trHeight w:val="210"/>
        </w:trPr>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Alexander</w:t>
            </w:r>
          </w:p>
        </w:tc>
        <w:tc>
          <w:tcPr>
            <w:tcW w:w="7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Quarry</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BN5</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w w:val="93"/>
              </w:rPr>
              <w:t>American Stone</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220" w:type="dxa"/>
            <w:vAlign w:val="bottom"/>
          </w:tcPr>
          <w:p>
            <w:pPr>
              <w:spacing w:after="0"/>
              <w:rPr>
                <w:sz w:val="20"/>
                <w:szCs w:val="20"/>
                <w:color w:val="auto"/>
              </w:rPr>
            </w:pPr>
            <w:r>
              <w:rPr>
                <w:rFonts w:ascii="Arial" w:cs="Arial" w:eastAsia="Arial" w:hAnsi="Arial"/>
                <w:sz w:val="18"/>
                <w:szCs w:val="18"/>
                <w:color w:val="auto"/>
              </w:rPr>
              <w:t>Quarry</w:t>
            </w:r>
          </w:p>
        </w:tc>
        <w:tc>
          <w:tcPr>
            <w:tcW w:w="700" w:type="dxa"/>
            <w:vAlign w:val="bottom"/>
          </w:tcPr>
          <w:p>
            <w:pPr>
              <w:jc w:val="right"/>
              <w:spacing w:after="0"/>
              <w:rPr>
                <w:sz w:val="20"/>
                <w:szCs w:val="20"/>
                <w:color w:val="auto"/>
              </w:rPr>
            </w:pPr>
            <w:r>
              <w:rPr>
                <w:rFonts w:ascii="Arial" w:cs="Arial" w:eastAsia="Arial" w:hAnsi="Arial"/>
                <w:sz w:val="18"/>
                <w:szCs w:val="18"/>
                <w:color w:val="auto"/>
                <w:w w:val="94"/>
              </w:rPr>
              <w:t>3100189</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227"/>
        </w:trPr>
        <w:tc>
          <w:tcPr>
            <w:tcW w:w="19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2"/>
              </w:rPr>
              <w:t>Anderson Creek 4402963</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19"/>
                <w:szCs w:val="19"/>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Arrowood</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220" w:type="dxa"/>
            <w:vAlign w:val="bottom"/>
          </w:tcPr>
          <w:p>
            <w:pPr>
              <w:spacing w:after="0"/>
              <w:rPr>
                <w:sz w:val="20"/>
                <w:szCs w:val="20"/>
                <w:color w:val="auto"/>
              </w:rPr>
            </w:pPr>
            <w:r>
              <w:rPr>
                <w:rFonts w:ascii="Arial" w:cs="Arial" w:eastAsia="Arial" w:hAnsi="Arial"/>
                <w:sz w:val="18"/>
                <w:szCs w:val="18"/>
                <w:color w:val="auto"/>
              </w:rPr>
              <w:t>Quarry</w:t>
            </w:r>
          </w:p>
        </w:tc>
        <w:tc>
          <w:tcPr>
            <w:tcW w:w="700" w:type="dxa"/>
            <w:vAlign w:val="bottom"/>
          </w:tcPr>
          <w:p>
            <w:pPr>
              <w:jc w:val="right"/>
              <w:spacing w:after="0"/>
              <w:rPr>
                <w:sz w:val="20"/>
                <w:szCs w:val="20"/>
                <w:color w:val="auto"/>
              </w:rPr>
            </w:pPr>
            <w:r>
              <w:rPr>
                <w:rFonts w:ascii="Arial" w:cs="Arial" w:eastAsia="Arial" w:hAnsi="Arial"/>
                <w:sz w:val="18"/>
                <w:szCs w:val="18"/>
                <w:color w:val="auto"/>
                <w:w w:val="94"/>
              </w:rPr>
              <w:t>3100059</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210"/>
        </w:trPr>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Asheboro</w:t>
            </w:r>
          </w:p>
        </w:tc>
        <w:tc>
          <w:tcPr>
            <w:tcW w:w="7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Quarry</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3100066</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227"/>
        </w:trPr>
        <w:tc>
          <w:tcPr>
            <w:tcW w:w="1220" w:type="dxa"/>
            <w:vAlign w:val="bottom"/>
          </w:tcPr>
          <w:p>
            <w:pPr>
              <w:spacing w:after="0"/>
              <w:rPr>
                <w:sz w:val="20"/>
                <w:szCs w:val="20"/>
                <w:color w:val="auto"/>
              </w:rPr>
            </w:pPr>
            <w:r>
              <w:rPr>
                <w:rFonts w:ascii="Arial" w:cs="Arial" w:eastAsia="Arial" w:hAnsi="Arial"/>
                <w:sz w:val="18"/>
                <w:szCs w:val="18"/>
                <w:color w:val="auto"/>
              </w:rPr>
              <w:t>Bakers Quarry</w:t>
            </w:r>
          </w:p>
        </w:tc>
        <w:tc>
          <w:tcPr>
            <w:tcW w:w="700" w:type="dxa"/>
            <w:vAlign w:val="bottom"/>
          </w:tcPr>
          <w:p>
            <w:pPr>
              <w:jc w:val="right"/>
              <w:spacing w:after="0"/>
              <w:rPr>
                <w:sz w:val="20"/>
                <w:szCs w:val="20"/>
                <w:color w:val="auto"/>
              </w:rPr>
            </w:pPr>
            <w:r>
              <w:rPr>
                <w:rFonts w:ascii="Arial" w:cs="Arial" w:eastAsia="Arial" w:hAnsi="Arial"/>
                <w:sz w:val="18"/>
                <w:szCs w:val="18"/>
                <w:color w:val="auto"/>
                <w:w w:val="94"/>
              </w:rPr>
              <w:t>3100071</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19"/>
                <w:szCs w:val="19"/>
                <w:color w:val="auto"/>
              </w:rPr>
            </w:pPr>
          </w:p>
        </w:tc>
      </w:tr>
      <w:tr>
        <w:trPr>
          <w:trHeight w:val="210"/>
        </w:trPr>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Belgrade</w:t>
            </w:r>
          </w:p>
        </w:tc>
        <w:tc>
          <w:tcPr>
            <w:tcW w:w="7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Quarry</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3100064</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227"/>
        </w:trPr>
        <w:tc>
          <w:tcPr>
            <w:tcW w:w="1220" w:type="dxa"/>
            <w:vAlign w:val="bottom"/>
          </w:tcPr>
          <w:p>
            <w:pPr>
              <w:spacing w:after="0"/>
              <w:rPr>
                <w:sz w:val="20"/>
                <w:szCs w:val="20"/>
                <w:color w:val="auto"/>
              </w:rPr>
            </w:pPr>
            <w:r>
              <w:rPr>
                <w:rFonts w:ascii="Arial" w:cs="Arial" w:eastAsia="Arial" w:hAnsi="Arial"/>
                <w:sz w:val="18"/>
                <w:szCs w:val="18"/>
                <w:color w:val="auto"/>
                <w:w w:val="99"/>
              </w:rPr>
              <w:t>Benson Quarry</w:t>
            </w:r>
          </w:p>
        </w:tc>
        <w:tc>
          <w:tcPr>
            <w:tcW w:w="700" w:type="dxa"/>
            <w:vAlign w:val="bottom"/>
          </w:tcPr>
          <w:p>
            <w:pPr>
              <w:jc w:val="right"/>
              <w:spacing w:after="0"/>
              <w:rPr>
                <w:sz w:val="20"/>
                <w:szCs w:val="20"/>
                <w:color w:val="auto"/>
              </w:rPr>
            </w:pPr>
            <w:r>
              <w:rPr>
                <w:rFonts w:ascii="Arial" w:cs="Arial" w:eastAsia="Arial" w:hAnsi="Arial"/>
                <w:sz w:val="18"/>
                <w:szCs w:val="18"/>
                <w:color w:val="auto"/>
                <w:w w:val="94"/>
              </w:rPr>
              <w:t>3101979</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19"/>
                <w:szCs w:val="19"/>
                <w:color w:val="auto"/>
              </w:rPr>
            </w:pPr>
          </w:p>
        </w:tc>
      </w:tr>
      <w:tr>
        <w:trPr>
          <w:trHeight w:val="210"/>
        </w:trPr>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Berkeley</w:t>
            </w:r>
          </w:p>
        </w:tc>
        <w:tc>
          <w:tcPr>
            <w:tcW w:w="7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Quarry</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3800072</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Bessemer City</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220" w:type="dxa"/>
            <w:vAlign w:val="bottom"/>
          </w:tcPr>
          <w:p>
            <w:pPr>
              <w:spacing w:after="0"/>
              <w:rPr>
                <w:sz w:val="20"/>
                <w:szCs w:val="20"/>
                <w:color w:val="auto"/>
              </w:rPr>
            </w:pPr>
            <w:r>
              <w:rPr>
                <w:rFonts w:ascii="Arial" w:cs="Arial" w:eastAsia="Arial" w:hAnsi="Arial"/>
                <w:sz w:val="18"/>
                <w:szCs w:val="18"/>
                <w:color w:val="auto"/>
              </w:rPr>
              <w:t>Quarry</w:t>
            </w:r>
          </w:p>
        </w:tc>
        <w:tc>
          <w:tcPr>
            <w:tcW w:w="700" w:type="dxa"/>
            <w:vAlign w:val="bottom"/>
          </w:tcPr>
          <w:p>
            <w:pPr>
              <w:jc w:val="right"/>
              <w:spacing w:after="0"/>
              <w:rPr>
                <w:sz w:val="20"/>
                <w:szCs w:val="20"/>
                <w:color w:val="auto"/>
              </w:rPr>
            </w:pPr>
            <w:r>
              <w:rPr>
                <w:rFonts w:ascii="Arial" w:cs="Arial" w:eastAsia="Arial" w:hAnsi="Arial"/>
                <w:sz w:val="18"/>
                <w:szCs w:val="18"/>
                <w:color w:val="auto"/>
                <w:w w:val="94"/>
              </w:rPr>
              <w:t>3101105</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210"/>
        </w:trPr>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Black Ankle</w:t>
            </w:r>
          </w:p>
        </w:tc>
        <w:tc>
          <w:tcPr>
            <w:tcW w:w="7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Quarry</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3102220</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Bonds Gravel</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220" w:type="dxa"/>
            <w:vAlign w:val="bottom"/>
          </w:tcPr>
          <w:p>
            <w:pPr>
              <w:spacing w:after="0"/>
              <w:rPr>
                <w:sz w:val="20"/>
                <w:szCs w:val="20"/>
                <w:color w:val="auto"/>
              </w:rPr>
            </w:pPr>
            <w:r>
              <w:rPr>
                <w:rFonts w:ascii="Arial" w:cs="Arial" w:eastAsia="Arial" w:hAnsi="Arial"/>
                <w:sz w:val="18"/>
                <w:szCs w:val="18"/>
                <w:color w:val="auto"/>
              </w:rPr>
              <w:t>Pit</w:t>
            </w:r>
          </w:p>
        </w:tc>
        <w:tc>
          <w:tcPr>
            <w:tcW w:w="700" w:type="dxa"/>
            <w:vAlign w:val="bottom"/>
          </w:tcPr>
          <w:p>
            <w:pPr>
              <w:jc w:val="right"/>
              <w:spacing w:after="0"/>
              <w:rPr>
                <w:sz w:val="20"/>
                <w:szCs w:val="20"/>
                <w:color w:val="auto"/>
              </w:rPr>
            </w:pPr>
            <w:r>
              <w:rPr>
                <w:rFonts w:ascii="Arial" w:cs="Arial" w:eastAsia="Arial" w:hAnsi="Arial"/>
                <w:sz w:val="18"/>
                <w:szCs w:val="18"/>
                <w:color w:val="auto"/>
                <w:w w:val="94"/>
              </w:rPr>
              <w:t>3101963</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210"/>
        </w:trPr>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Boonsboro</w:t>
            </w:r>
          </w:p>
        </w:tc>
        <w:tc>
          <w:tcPr>
            <w:tcW w:w="7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Quarry</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1800024</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Burlington</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220" w:type="dxa"/>
            <w:vAlign w:val="bottom"/>
          </w:tcPr>
          <w:p>
            <w:pPr>
              <w:spacing w:after="0"/>
              <w:rPr>
                <w:sz w:val="20"/>
                <w:szCs w:val="20"/>
                <w:color w:val="auto"/>
              </w:rPr>
            </w:pPr>
            <w:r>
              <w:rPr>
                <w:rFonts w:ascii="Arial" w:cs="Arial" w:eastAsia="Arial" w:hAnsi="Arial"/>
                <w:sz w:val="18"/>
                <w:szCs w:val="18"/>
                <w:color w:val="auto"/>
              </w:rPr>
              <w:t>Quarry</w:t>
            </w:r>
          </w:p>
        </w:tc>
        <w:tc>
          <w:tcPr>
            <w:tcW w:w="700" w:type="dxa"/>
            <w:vAlign w:val="bottom"/>
          </w:tcPr>
          <w:p>
            <w:pPr>
              <w:jc w:val="right"/>
              <w:spacing w:after="0"/>
              <w:rPr>
                <w:sz w:val="20"/>
                <w:szCs w:val="20"/>
                <w:color w:val="auto"/>
              </w:rPr>
            </w:pPr>
            <w:r>
              <w:rPr>
                <w:rFonts w:ascii="Arial" w:cs="Arial" w:eastAsia="Arial" w:hAnsi="Arial"/>
                <w:sz w:val="18"/>
                <w:szCs w:val="18"/>
                <w:color w:val="auto"/>
                <w:w w:val="94"/>
              </w:rPr>
              <w:t>3100042</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210"/>
        </w:trPr>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Caldwell</w:t>
            </w:r>
          </w:p>
        </w:tc>
        <w:tc>
          <w:tcPr>
            <w:tcW w:w="7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Quarry</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3101869</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Castle Hayne</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220" w:type="dxa"/>
            <w:vAlign w:val="bottom"/>
          </w:tcPr>
          <w:p>
            <w:pPr>
              <w:spacing w:after="0"/>
              <w:rPr>
                <w:sz w:val="20"/>
                <w:szCs w:val="20"/>
                <w:color w:val="auto"/>
              </w:rPr>
            </w:pPr>
            <w:r>
              <w:rPr>
                <w:rFonts w:ascii="Arial" w:cs="Arial" w:eastAsia="Arial" w:hAnsi="Arial"/>
                <w:sz w:val="18"/>
                <w:szCs w:val="18"/>
                <w:color w:val="auto"/>
              </w:rPr>
              <w:t>Quarry</w:t>
            </w:r>
          </w:p>
        </w:tc>
        <w:tc>
          <w:tcPr>
            <w:tcW w:w="700" w:type="dxa"/>
            <w:vAlign w:val="bottom"/>
          </w:tcPr>
          <w:p>
            <w:pPr>
              <w:jc w:val="right"/>
              <w:spacing w:after="0"/>
              <w:rPr>
                <w:sz w:val="20"/>
                <w:szCs w:val="20"/>
                <w:color w:val="auto"/>
              </w:rPr>
            </w:pPr>
            <w:r>
              <w:rPr>
                <w:rFonts w:ascii="Arial" w:cs="Arial" w:eastAsia="Arial" w:hAnsi="Arial"/>
                <w:sz w:val="18"/>
                <w:szCs w:val="18"/>
                <w:color w:val="auto"/>
                <w:w w:val="94"/>
              </w:rPr>
              <w:t>3100063</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227"/>
        </w:trPr>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Cayce Quarry</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3800016</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19"/>
                <w:szCs w:val="19"/>
                <w:color w:val="auto"/>
              </w:rPr>
            </w:pPr>
          </w:p>
        </w:tc>
      </w:tr>
      <w:tr>
        <w:trPr>
          <w:trHeight w:val="210"/>
        </w:trPr>
        <w:tc>
          <w:tcPr>
            <w:tcW w:w="1220" w:type="dxa"/>
            <w:vAlign w:val="bottom"/>
          </w:tcPr>
          <w:p>
            <w:pPr>
              <w:spacing w:after="0"/>
              <w:rPr>
                <w:sz w:val="20"/>
                <w:szCs w:val="20"/>
                <w:color w:val="auto"/>
              </w:rPr>
            </w:pPr>
            <w:r>
              <w:rPr>
                <w:rFonts w:ascii="Arial" w:cs="Arial" w:eastAsia="Arial" w:hAnsi="Arial"/>
                <w:sz w:val="18"/>
                <w:szCs w:val="18"/>
                <w:color w:val="auto"/>
              </w:rPr>
              <w:t>Central Rock</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220" w:type="dxa"/>
            <w:vAlign w:val="bottom"/>
          </w:tcPr>
          <w:p>
            <w:pPr>
              <w:spacing w:after="0"/>
              <w:rPr>
                <w:sz w:val="20"/>
                <w:szCs w:val="20"/>
                <w:color w:val="auto"/>
              </w:rPr>
            </w:pPr>
            <w:r>
              <w:rPr>
                <w:rFonts w:ascii="Arial" w:cs="Arial" w:eastAsia="Arial" w:hAnsi="Arial"/>
                <w:sz w:val="18"/>
                <w:szCs w:val="18"/>
                <w:color w:val="auto"/>
              </w:rPr>
              <w:t>Quarry</w:t>
            </w:r>
          </w:p>
        </w:tc>
        <w:tc>
          <w:tcPr>
            <w:tcW w:w="700" w:type="dxa"/>
            <w:vAlign w:val="bottom"/>
          </w:tcPr>
          <w:p>
            <w:pPr>
              <w:jc w:val="right"/>
              <w:spacing w:after="0"/>
              <w:rPr>
                <w:sz w:val="20"/>
                <w:szCs w:val="20"/>
                <w:color w:val="auto"/>
              </w:rPr>
            </w:pPr>
            <w:r>
              <w:rPr>
                <w:rFonts w:ascii="Arial" w:cs="Arial" w:eastAsia="Arial" w:hAnsi="Arial"/>
                <w:sz w:val="18"/>
                <w:szCs w:val="18"/>
                <w:color w:val="auto"/>
                <w:w w:val="94"/>
              </w:rPr>
              <w:t>3100050</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210"/>
        </w:trPr>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Charlotte</w:t>
            </w:r>
          </w:p>
        </w:tc>
        <w:tc>
          <w:tcPr>
            <w:tcW w:w="7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Quarry</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3100057</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227"/>
        </w:trPr>
        <w:tc>
          <w:tcPr>
            <w:tcW w:w="1220" w:type="dxa"/>
            <w:vAlign w:val="bottom"/>
          </w:tcPr>
          <w:p>
            <w:pPr>
              <w:spacing w:after="0"/>
              <w:rPr>
                <w:sz w:val="20"/>
                <w:szCs w:val="20"/>
                <w:color w:val="auto"/>
              </w:rPr>
            </w:pPr>
            <w:r>
              <w:rPr>
                <w:rFonts w:ascii="Arial" w:cs="Arial" w:eastAsia="Arial" w:hAnsi="Arial"/>
                <w:sz w:val="18"/>
                <w:szCs w:val="18"/>
                <w:color w:val="auto"/>
              </w:rPr>
              <w:t>Clarks Quarry</w:t>
            </w:r>
          </w:p>
        </w:tc>
        <w:tc>
          <w:tcPr>
            <w:tcW w:w="700" w:type="dxa"/>
            <w:vAlign w:val="bottom"/>
          </w:tcPr>
          <w:p>
            <w:pPr>
              <w:jc w:val="right"/>
              <w:spacing w:after="0"/>
              <w:rPr>
                <w:sz w:val="20"/>
                <w:szCs w:val="20"/>
                <w:color w:val="auto"/>
              </w:rPr>
            </w:pPr>
            <w:r>
              <w:rPr>
                <w:rFonts w:ascii="Arial" w:cs="Arial" w:eastAsia="Arial" w:hAnsi="Arial"/>
                <w:sz w:val="18"/>
                <w:szCs w:val="18"/>
                <w:color w:val="auto"/>
                <w:w w:val="94"/>
              </w:rPr>
              <w:t>3102009</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19"/>
                <w:szCs w:val="19"/>
                <w:color w:val="auto"/>
              </w:rPr>
            </w:pPr>
          </w:p>
        </w:tc>
      </w:tr>
      <w:tr>
        <w:trPr>
          <w:trHeight w:val="210"/>
        </w:trPr>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Cumberland</w:t>
            </w:r>
          </w:p>
        </w:tc>
        <w:tc>
          <w:tcPr>
            <w:tcW w:w="7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Quarry</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3102237</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227"/>
        </w:trPr>
        <w:tc>
          <w:tcPr>
            <w:tcW w:w="1220" w:type="dxa"/>
            <w:vAlign w:val="bottom"/>
          </w:tcPr>
          <w:p>
            <w:pPr>
              <w:spacing w:after="0"/>
              <w:rPr>
                <w:sz w:val="20"/>
                <w:szCs w:val="20"/>
                <w:color w:val="auto"/>
              </w:rPr>
            </w:pPr>
            <w:r>
              <w:rPr>
                <w:rFonts w:ascii="Arial" w:cs="Arial" w:eastAsia="Arial" w:hAnsi="Arial"/>
                <w:sz w:val="18"/>
                <w:szCs w:val="18"/>
                <w:color w:val="auto"/>
              </w:rPr>
              <w:t>Denver</w:t>
            </w:r>
          </w:p>
        </w:tc>
        <w:tc>
          <w:tcPr>
            <w:tcW w:w="700" w:type="dxa"/>
            <w:vAlign w:val="bottom"/>
          </w:tcPr>
          <w:p>
            <w:pPr>
              <w:jc w:val="right"/>
              <w:spacing w:after="0"/>
              <w:rPr>
                <w:sz w:val="20"/>
                <w:szCs w:val="20"/>
                <w:color w:val="auto"/>
              </w:rPr>
            </w:pPr>
            <w:r>
              <w:rPr>
                <w:rFonts w:ascii="Arial" w:cs="Arial" w:eastAsia="Arial" w:hAnsi="Arial"/>
                <w:sz w:val="18"/>
                <w:szCs w:val="18"/>
                <w:color w:val="auto"/>
                <w:w w:val="94"/>
              </w:rPr>
              <w:t>3101971</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19"/>
                <w:szCs w:val="19"/>
                <w:color w:val="auto"/>
              </w:rPr>
            </w:pPr>
          </w:p>
        </w:tc>
      </w:tr>
      <w:tr>
        <w:trPr>
          <w:trHeight w:val="227"/>
        </w:trPr>
        <w:tc>
          <w:tcPr>
            <w:tcW w:w="19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5"/>
              </w:rPr>
              <w:t>Doswell Quarry 4400045</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19"/>
                <w:szCs w:val="19"/>
                <w:color w:val="auto"/>
              </w:rPr>
            </w:pPr>
          </w:p>
        </w:tc>
      </w:tr>
      <w:tr>
        <w:trPr>
          <w:trHeight w:val="227"/>
        </w:trPr>
        <w:tc>
          <w:tcPr>
            <w:tcW w:w="1220" w:type="dxa"/>
            <w:vAlign w:val="bottom"/>
          </w:tcPr>
          <w:p>
            <w:pPr>
              <w:spacing w:after="0"/>
              <w:rPr>
                <w:sz w:val="20"/>
                <w:szCs w:val="20"/>
                <w:color w:val="auto"/>
              </w:rPr>
            </w:pPr>
            <w:r>
              <w:rPr>
                <w:rFonts w:ascii="Arial" w:cs="Arial" w:eastAsia="Arial" w:hAnsi="Arial"/>
                <w:sz w:val="18"/>
                <w:szCs w:val="18"/>
                <w:color w:val="auto"/>
                <w:w w:val="99"/>
              </w:rPr>
              <w:t>East Alamance</w:t>
            </w:r>
          </w:p>
        </w:tc>
        <w:tc>
          <w:tcPr>
            <w:tcW w:w="700" w:type="dxa"/>
            <w:vAlign w:val="bottom"/>
          </w:tcPr>
          <w:p>
            <w:pPr>
              <w:jc w:val="right"/>
              <w:spacing w:after="0"/>
              <w:rPr>
                <w:sz w:val="20"/>
                <w:szCs w:val="20"/>
                <w:color w:val="auto"/>
              </w:rPr>
            </w:pPr>
            <w:r>
              <w:rPr>
                <w:rFonts w:ascii="Arial" w:cs="Arial" w:eastAsia="Arial" w:hAnsi="Arial"/>
                <w:sz w:val="18"/>
                <w:szCs w:val="18"/>
                <w:color w:val="auto"/>
                <w:w w:val="94"/>
              </w:rPr>
              <w:t>3102021</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no</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19"/>
                <w:szCs w:val="19"/>
                <w:color w:val="auto"/>
              </w:rPr>
            </w:pPr>
          </w:p>
        </w:tc>
      </w:tr>
      <w:tr>
        <w:trPr>
          <w:trHeight w:val="210"/>
        </w:trPr>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Fountain</w:t>
            </w:r>
          </w:p>
        </w:tc>
        <w:tc>
          <w:tcPr>
            <w:tcW w:w="7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Quarry</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3100065</w:t>
            </w: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w:t>
            </w: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40" w:type="dxa"/>
            <w:vAlign w:val="bottom"/>
          </w:tcPr>
          <w:p>
            <w:pPr>
              <w:spacing w:after="0"/>
              <w:rPr>
                <w:sz w:val="20"/>
                <w:szCs w:val="20"/>
                <w:color w:val="auto"/>
              </w:rPr>
            </w:pPr>
          </w:p>
        </w:tc>
      </w:tr>
      <w:tr>
        <w:trPr>
          <w:trHeight w:val="510"/>
        </w:trPr>
        <w:tc>
          <w:tcPr>
            <w:tcW w:w="1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-27940</wp:posOffset>
            </wp:positionV>
            <wp:extent cx="3365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w w:val="97"/>
              </w:rPr>
              <w:t>Appendix 1</w:t>
            </w:r>
          </w:p>
        </w:tc>
      </w:tr>
      <w:tr>
        <w:trPr>
          <w:trHeight w:val="438"/>
        </w:trPr>
        <w:tc>
          <w:tcPr>
            <w:tcW w:w="1540" w:type="dxa"/>
            <w:vAlign w:val="bottom"/>
          </w:tcPr>
          <w:p>
            <w:pPr>
              <w:spacing w:after="0"/>
              <w:rPr>
                <w:sz w:val="20"/>
                <w:szCs w:val="20"/>
                <w:color w:val="auto"/>
              </w:rPr>
            </w:pPr>
            <w:r>
              <w:rPr>
                <w:rFonts w:ascii="Arial" w:cs="Arial" w:eastAsia="Arial" w:hAnsi="Arial"/>
                <w:sz w:val="18"/>
                <w:szCs w:val="18"/>
                <w:color w:val="auto"/>
              </w:rPr>
              <w:t>Franklin Quarry</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3102130</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Fuquay Quarry</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3102055</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217</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Garner Quarry</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3100072</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10"/>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Georgetown ll</w:t>
            </w:r>
          </w:p>
        </w:tc>
        <w:tc>
          <w:tcPr>
            <w:tcW w:w="9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Quarry</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3800525</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1</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190</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Hickory Quarry</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3100043</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Hicone Quarry</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3102088</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Jamestown Quarry</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3100051</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Kannapolis Quarry</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3100070</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117</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10"/>
        </w:trPr>
        <w:tc>
          <w:tcPr>
            <w:tcW w:w="1540" w:type="dxa"/>
            <w:vAlign w:val="bottom"/>
          </w:tcPr>
          <w:p>
            <w:pPr>
              <w:spacing w:after="0"/>
              <w:rPr>
                <w:sz w:val="20"/>
                <w:szCs w:val="20"/>
                <w:color w:val="auto"/>
              </w:rPr>
            </w:pPr>
            <w:r>
              <w:rPr>
                <w:rFonts w:ascii="Arial" w:cs="Arial" w:eastAsia="Arial" w:hAnsi="Arial"/>
                <w:sz w:val="18"/>
                <w:szCs w:val="18"/>
                <w:color w:val="auto"/>
              </w:rPr>
              <w:t>Kings Mountain</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40" w:type="dxa"/>
            <w:vAlign w:val="bottom"/>
          </w:tcPr>
          <w:p>
            <w:pPr>
              <w:spacing w:after="0"/>
              <w:rPr>
                <w:sz w:val="20"/>
                <w:szCs w:val="20"/>
                <w:color w:val="auto"/>
              </w:rPr>
            </w:pPr>
            <w:r>
              <w:rPr>
                <w:rFonts w:ascii="Arial" w:cs="Arial" w:eastAsia="Arial" w:hAnsi="Arial"/>
                <w:sz w:val="18"/>
                <w:szCs w:val="18"/>
                <w:color w:val="auto"/>
              </w:rPr>
              <w:t>Quarry</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3100047</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10"/>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Lemon Springs</w:t>
            </w:r>
          </w:p>
        </w:tc>
        <w:tc>
          <w:tcPr>
            <w:tcW w:w="9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Quarry</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3101104</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10"/>
        </w:trPr>
        <w:tc>
          <w:tcPr>
            <w:tcW w:w="1540" w:type="dxa"/>
            <w:vAlign w:val="bottom"/>
          </w:tcPr>
          <w:p>
            <w:pPr>
              <w:spacing w:after="0"/>
              <w:rPr>
                <w:sz w:val="20"/>
                <w:szCs w:val="20"/>
                <w:color w:val="auto"/>
              </w:rPr>
            </w:pPr>
            <w:r>
              <w:rPr>
                <w:rFonts w:ascii="Arial" w:cs="Arial" w:eastAsia="Arial" w:hAnsi="Arial"/>
                <w:sz w:val="18"/>
                <w:szCs w:val="18"/>
                <w:color w:val="auto"/>
              </w:rPr>
              <w:t>Loamy Sand and</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40" w:type="dxa"/>
            <w:vAlign w:val="bottom"/>
          </w:tcPr>
          <w:p>
            <w:pPr>
              <w:spacing w:after="0"/>
              <w:rPr>
                <w:sz w:val="20"/>
                <w:szCs w:val="20"/>
                <w:color w:val="auto"/>
              </w:rPr>
            </w:pPr>
            <w:r>
              <w:rPr>
                <w:rFonts w:ascii="Arial" w:cs="Arial" w:eastAsia="Arial" w:hAnsi="Arial"/>
                <w:sz w:val="18"/>
                <w:szCs w:val="18"/>
                <w:color w:val="auto"/>
              </w:rPr>
              <w:t>Gravel</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3800721</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Maiden Quarry</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3102125</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10"/>
        </w:trPr>
        <w:tc>
          <w:tcPr>
            <w:tcW w:w="1540" w:type="dxa"/>
            <w:vAlign w:val="bottom"/>
          </w:tcPr>
          <w:p>
            <w:pPr>
              <w:spacing w:after="0"/>
              <w:rPr>
                <w:sz w:val="20"/>
                <w:szCs w:val="20"/>
                <w:color w:val="auto"/>
              </w:rPr>
            </w:pPr>
            <w:r>
              <w:rPr>
                <w:rFonts w:ascii="Arial" w:cs="Arial" w:eastAsia="Arial" w:hAnsi="Arial"/>
                <w:sz w:val="18"/>
                <w:szCs w:val="18"/>
                <w:color w:val="auto"/>
              </w:rPr>
              <w:t>Mallard Creek</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40" w:type="dxa"/>
            <w:vAlign w:val="bottom"/>
          </w:tcPr>
          <w:p>
            <w:pPr>
              <w:spacing w:after="0"/>
              <w:rPr>
                <w:sz w:val="20"/>
                <w:szCs w:val="20"/>
                <w:color w:val="auto"/>
              </w:rPr>
            </w:pPr>
            <w:r>
              <w:rPr>
                <w:rFonts w:ascii="Arial" w:cs="Arial" w:eastAsia="Arial" w:hAnsi="Arial"/>
                <w:sz w:val="18"/>
                <w:szCs w:val="18"/>
                <w:color w:val="auto"/>
              </w:rPr>
              <w:t>Quarry</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3102006</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100</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Matthews Quarry</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3102084</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Midlothian Quarry</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4403767</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10"/>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North Columbia</w:t>
            </w:r>
          </w:p>
        </w:tc>
        <w:tc>
          <w:tcPr>
            <w:tcW w:w="9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Quarry</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3800146</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Onslow Quarry</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3102120</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Pinesburg</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1800021</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Pomona Quarry</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3100052</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10"/>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Raleigh Durham</w:t>
            </w:r>
          </w:p>
        </w:tc>
        <w:tc>
          <w:tcPr>
            <w:tcW w:w="9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Quarry</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3101941</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Red Hill Quarry</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4400072</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2</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Reidsville Quarry</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3100068</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rPr>
              <w:t>Rock Hill Quarry</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3800026</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w w:val="97"/>
              </w:rPr>
              <w:t>Rocky Point Quarry</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3101956</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10"/>
        </w:trPr>
        <w:tc>
          <w:tcPr>
            <w:tcW w:w="1540" w:type="dxa"/>
            <w:vAlign w:val="bottom"/>
          </w:tcPr>
          <w:p>
            <w:pPr>
              <w:spacing w:after="0"/>
              <w:rPr>
                <w:sz w:val="20"/>
                <w:szCs w:val="20"/>
                <w:color w:val="auto"/>
              </w:rPr>
            </w:pPr>
            <w:r>
              <w:rPr>
                <w:rFonts w:ascii="Arial" w:cs="Arial" w:eastAsia="Arial" w:hAnsi="Arial"/>
                <w:sz w:val="18"/>
                <w:szCs w:val="18"/>
                <w:color w:val="auto"/>
              </w:rPr>
              <w:t>Salem Stone</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40" w:type="dxa"/>
            <w:vAlign w:val="bottom"/>
          </w:tcPr>
          <w:p>
            <w:pPr>
              <w:spacing w:after="0"/>
              <w:rPr>
                <w:sz w:val="20"/>
                <w:szCs w:val="20"/>
                <w:color w:val="auto"/>
              </w:rPr>
            </w:pPr>
            <w:r>
              <w:rPr>
                <w:rFonts w:ascii="Arial" w:cs="Arial" w:eastAsia="Arial" w:hAnsi="Arial"/>
                <w:sz w:val="18"/>
                <w:szCs w:val="18"/>
                <w:color w:val="auto"/>
              </w:rPr>
              <w:t>Company</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3102038</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Statesville Quarry</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3100055</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1</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w w:val="97"/>
              </w:rPr>
              <w:t>Thomasville Quarry</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3101475</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Woodleaf Quarry</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3100069</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1</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822</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510"/>
        </w:trPr>
        <w:tc>
          <w:tcPr>
            <w:tcW w:w="15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-27940</wp:posOffset>
            </wp:positionV>
            <wp:extent cx="33655"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w w:val="97"/>
              </w:rPr>
              <w:t>Appendix 1</w:t>
            </w:r>
          </w:p>
        </w:tc>
      </w:tr>
      <w:tr>
        <w:trPr>
          <w:trHeight w:val="421"/>
        </w:trPr>
        <w:tc>
          <w:tcPr>
            <w:tcW w:w="1580" w:type="dxa"/>
            <w:vAlign w:val="bottom"/>
          </w:tcPr>
          <w:p>
            <w:pPr>
              <w:spacing w:after="0"/>
              <w:rPr>
                <w:sz w:val="20"/>
                <w:szCs w:val="20"/>
                <w:color w:val="auto"/>
              </w:rPr>
            </w:pPr>
            <w:r>
              <w:rPr>
                <w:rFonts w:ascii="Arial" w:cs="Arial" w:eastAsia="Arial" w:hAnsi="Arial"/>
                <w:sz w:val="18"/>
                <w:szCs w:val="18"/>
                <w:color w:val="auto"/>
              </w:rPr>
              <w:t>(45) North</w:t>
            </w: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4"/>
        </w:trPr>
        <w:tc>
          <w:tcPr>
            <w:tcW w:w="1580" w:type="dxa"/>
            <w:vAlign w:val="bottom"/>
          </w:tcPr>
          <w:p>
            <w:pPr>
              <w:spacing w:after="0"/>
              <w:rPr>
                <w:sz w:val="20"/>
                <w:szCs w:val="20"/>
                <w:color w:val="auto"/>
              </w:rPr>
            </w:pPr>
            <w:r>
              <w:rPr>
                <w:rFonts w:ascii="Arial" w:cs="Arial" w:eastAsia="Arial" w:hAnsi="Arial"/>
                <w:sz w:val="18"/>
                <w:szCs w:val="18"/>
                <w:color w:val="auto"/>
              </w:rPr>
              <w:t>Indianapolis</w:t>
            </w: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80" w:type="dxa"/>
            <w:vAlign w:val="bottom"/>
          </w:tcPr>
          <w:p>
            <w:pPr>
              <w:spacing w:after="0"/>
              <w:rPr>
                <w:sz w:val="20"/>
                <w:szCs w:val="20"/>
                <w:color w:val="auto"/>
              </w:rPr>
            </w:pPr>
            <w:r>
              <w:rPr>
                <w:rFonts w:ascii="Arial" w:cs="Arial" w:eastAsia="Arial" w:hAnsi="Arial"/>
                <w:sz w:val="18"/>
                <w:szCs w:val="18"/>
                <w:color w:val="auto"/>
              </w:rPr>
              <w:t>SURFACE</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w w:val="91"/>
              </w:rPr>
              <w:t>1200002</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200</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27"/>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Apple Grove</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1"/>
              </w:rPr>
              <w:t>3301676</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1</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100</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tcPr>
          <w:p>
            <w:pPr>
              <w:spacing w:after="0"/>
              <w:rPr>
                <w:sz w:val="20"/>
                <w:szCs w:val="20"/>
                <w:color w:val="auto"/>
              </w:rPr>
            </w:pPr>
            <w:r>
              <w:rPr>
                <w:rFonts w:ascii="Arial" w:cs="Arial" w:eastAsia="Arial" w:hAnsi="Arial"/>
                <w:sz w:val="18"/>
                <w:szCs w:val="18"/>
                <w:color w:val="auto"/>
              </w:rPr>
              <w:t>Belmont Sand</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w w:val="91"/>
              </w:rPr>
              <w:t>1201911</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Burning Springs</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1"/>
              </w:rPr>
              <w:t>4608862</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2</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308</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tcPr>
          <w:p>
            <w:pPr>
              <w:spacing w:after="0"/>
              <w:rPr>
                <w:sz w:val="20"/>
                <w:szCs w:val="20"/>
                <w:color w:val="auto"/>
              </w:rPr>
            </w:pPr>
            <w:r>
              <w:rPr>
                <w:rFonts w:ascii="Arial" w:cs="Arial" w:eastAsia="Arial" w:hAnsi="Arial"/>
                <w:sz w:val="18"/>
                <w:szCs w:val="18"/>
                <w:color w:val="auto"/>
              </w:rPr>
              <w:t>Carmel SandG</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w w:val="91"/>
              </w:rPr>
              <w:t>1202124</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Cedarville</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1"/>
              </w:rPr>
              <w:t>3304072</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1</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tcPr>
          <w:p>
            <w:pPr>
              <w:spacing w:after="0"/>
              <w:rPr>
                <w:sz w:val="20"/>
                <w:szCs w:val="20"/>
                <w:color w:val="auto"/>
              </w:rPr>
            </w:pPr>
            <w:r>
              <w:rPr>
                <w:rFonts w:ascii="Arial" w:cs="Arial" w:eastAsia="Arial" w:hAnsi="Arial"/>
                <w:sz w:val="18"/>
                <w:szCs w:val="18"/>
                <w:color w:val="auto"/>
              </w:rPr>
              <w:t>Cloverdale</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w w:val="91"/>
              </w:rPr>
              <w:t>1201744</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Cook Road</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1"/>
              </w:rPr>
              <w:t>3304534</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tcPr>
          <w:p>
            <w:pPr>
              <w:spacing w:after="0"/>
              <w:rPr>
                <w:sz w:val="20"/>
                <w:szCs w:val="20"/>
                <w:color w:val="auto"/>
              </w:rPr>
            </w:pPr>
            <w:r>
              <w:rPr>
                <w:rFonts w:ascii="Arial" w:cs="Arial" w:eastAsia="Arial" w:hAnsi="Arial"/>
                <w:sz w:val="18"/>
                <w:szCs w:val="18"/>
                <w:color w:val="auto"/>
              </w:rPr>
              <w:t>E-Town SandG</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w w:val="91"/>
              </w:rPr>
              <w:t>3304279</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Fairfield</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1"/>
              </w:rPr>
              <w:t>3301396</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tcPr>
          <w:p>
            <w:pPr>
              <w:spacing w:after="0"/>
              <w:rPr>
                <w:sz w:val="20"/>
                <w:szCs w:val="20"/>
                <w:color w:val="auto"/>
              </w:rPr>
            </w:pPr>
            <w:r>
              <w:rPr>
                <w:rFonts w:ascii="Arial" w:cs="Arial" w:eastAsia="Arial" w:hAnsi="Arial"/>
                <w:sz w:val="18"/>
                <w:szCs w:val="18"/>
                <w:color w:val="auto"/>
              </w:rPr>
              <w:t>Franklin Gravel</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w w:val="91"/>
              </w:rPr>
              <w:t>3302940</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Kentucky Ave Mine</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1"/>
              </w:rPr>
              <w:t>1201762</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2</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tcPr>
          <w:p>
            <w:pPr>
              <w:spacing w:after="0"/>
              <w:rPr>
                <w:sz w:val="20"/>
                <w:szCs w:val="20"/>
                <w:color w:val="auto"/>
              </w:rPr>
            </w:pPr>
            <w:r>
              <w:rPr>
                <w:rFonts w:ascii="Arial" w:cs="Arial" w:eastAsia="Arial" w:hAnsi="Arial"/>
                <w:sz w:val="18"/>
                <w:szCs w:val="18"/>
                <w:color w:val="auto"/>
              </w:rPr>
              <w:t>Kokomo Mine</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w w:val="91"/>
              </w:rPr>
              <w:t>1202105</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Kokomo Sand</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1"/>
              </w:rPr>
              <w:t>1202203</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tcPr>
          <w:p>
            <w:pPr>
              <w:spacing w:after="0"/>
              <w:rPr>
                <w:sz w:val="20"/>
                <w:szCs w:val="20"/>
                <w:color w:val="auto"/>
              </w:rPr>
            </w:pPr>
            <w:r>
              <w:rPr>
                <w:rFonts w:ascii="Arial" w:cs="Arial" w:eastAsia="Arial" w:hAnsi="Arial"/>
                <w:sz w:val="18"/>
                <w:szCs w:val="18"/>
                <w:color w:val="auto"/>
              </w:rPr>
              <w:t>Kokomo Stone</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w w:val="91"/>
              </w:rPr>
              <w:t>1200142</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Noblesville SandG</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1"/>
              </w:rPr>
              <w:t>1201994</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300</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tcPr>
          <w:p>
            <w:pPr>
              <w:spacing w:after="0"/>
              <w:rPr>
                <w:sz w:val="20"/>
                <w:szCs w:val="20"/>
                <w:color w:val="auto"/>
              </w:rPr>
            </w:pPr>
            <w:r>
              <w:rPr>
                <w:rFonts w:ascii="Arial" w:cs="Arial" w:eastAsia="Arial" w:hAnsi="Arial"/>
                <w:sz w:val="18"/>
                <w:szCs w:val="18"/>
                <w:color w:val="auto"/>
              </w:rPr>
              <w:t>Noblesville Stone</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w w:val="91"/>
              </w:rPr>
              <w:t>1202176</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1</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383</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2</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North Indianapolis</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1"/>
              </w:rPr>
              <w:t>1201993</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tcPr>
          <w:p>
            <w:pPr>
              <w:spacing w:after="0"/>
              <w:rPr>
                <w:sz w:val="20"/>
                <w:szCs w:val="20"/>
                <w:color w:val="auto"/>
              </w:rPr>
            </w:pPr>
            <w:r>
              <w:rPr>
                <w:rFonts w:ascii="Arial" w:cs="Arial" w:eastAsia="Arial" w:hAnsi="Arial"/>
                <w:sz w:val="18"/>
                <w:szCs w:val="18"/>
                <w:color w:val="auto"/>
              </w:rPr>
              <w:t>Petersburg</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w w:val="91"/>
              </w:rPr>
              <w:t>1516895</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Phillipsburg</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1"/>
              </w:rPr>
              <w:t>3300006</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tcPr>
          <w:p>
            <w:pPr>
              <w:spacing w:after="0"/>
              <w:rPr>
                <w:sz w:val="20"/>
                <w:szCs w:val="20"/>
                <w:color w:val="auto"/>
              </w:rPr>
            </w:pPr>
            <w:r>
              <w:rPr>
                <w:rFonts w:ascii="Arial" w:cs="Arial" w:eastAsia="Arial" w:hAnsi="Arial"/>
                <w:sz w:val="18"/>
                <w:szCs w:val="18"/>
                <w:color w:val="auto"/>
              </w:rPr>
              <w:t>Shamrock SG</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w w:val="91"/>
              </w:rPr>
              <w:t>3304011</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Troy Gravel</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1"/>
              </w:rPr>
              <w:t>3301678</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tcPr>
          <w:p>
            <w:pPr>
              <w:spacing w:after="0"/>
              <w:rPr>
                <w:sz w:val="20"/>
                <w:szCs w:val="20"/>
                <w:color w:val="auto"/>
              </w:rPr>
            </w:pPr>
            <w:r>
              <w:rPr>
                <w:rFonts w:ascii="Arial" w:cs="Arial" w:eastAsia="Arial" w:hAnsi="Arial"/>
                <w:sz w:val="18"/>
                <w:szCs w:val="18"/>
                <w:color w:val="auto"/>
              </w:rPr>
              <w:t>Waverly Sand</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w w:val="91"/>
              </w:rPr>
              <w:t>1202038</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Xenia</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1"/>
              </w:rPr>
              <w:t>3301393</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tcPr>
          <w:p>
            <w:pPr>
              <w:spacing w:after="0"/>
              <w:rPr>
                <w:sz w:val="20"/>
                <w:szCs w:val="20"/>
                <w:color w:val="auto"/>
              </w:rPr>
            </w:pPr>
            <w:r>
              <w:rPr>
                <w:rFonts w:ascii="Arial" w:cs="Arial" w:eastAsia="Arial" w:hAnsi="Arial"/>
                <w:sz w:val="18"/>
                <w:szCs w:val="18"/>
                <w:color w:val="auto"/>
              </w:rPr>
              <w:t>Appling Quarry</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rPr>
              <w:t>901083</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Auburn, Al Quarry</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100006</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tcPr>
          <w:p>
            <w:pPr>
              <w:spacing w:after="0"/>
              <w:rPr>
                <w:sz w:val="20"/>
                <w:szCs w:val="20"/>
                <w:color w:val="auto"/>
              </w:rPr>
            </w:pPr>
            <w:r>
              <w:rPr>
                <w:rFonts w:ascii="Arial" w:cs="Arial" w:eastAsia="Arial" w:hAnsi="Arial"/>
                <w:sz w:val="18"/>
                <w:szCs w:val="18"/>
                <w:color w:val="auto"/>
              </w:rPr>
              <w:t>Auburn, GA Quarry</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rPr>
              <w:t>900436</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w w:val="98"/>
              </w:rPr>
              <w:t>Augusta Quarry-GA</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900065</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2440" w:type="dxa"/>
            <w:vAlign w:val="bottom"/>
            <w:gridSpan w:val="2"/>
          </w:tcPr>
          <w:p>
            <w:pPr>
              <w:spacing w:after="0"/>
              <w:rPr>
                <w:sz w:val="20"/>
                <w:szCs w:val="20"/>
                <w:color w:val="auto"/>
              </w:rPr>
            </w:pPr>
            <w:r>
              <w:rPr>
                <w:rFonts w:ascii="Arial" w:cs="Arial" w:eastAsia="Arial" w:hAnsi="Arial"/>
                <w:sz w:val="18"/>
                <w:szCs w:val="18"/>
                <w:color w:val="auto"/>
              </w:rPr>
              <w:t>Chattanooga Quarry 4003159</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Forsyth Quarry</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901035</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tcPr>
          <w:p>
            <w:pPr>
              <w:spacing w:after="0"/>
              <w:rPr>
                <w:sz w:val="20"/>
                <w:szCs w:val="20"/>
                <w:color w:val="auto"/>
              </w:rPr>
            </w:pPr>
            <w:r>
              <w:rPr>
                <w:rFonts w:ascii="Arial" w:cs="Arial" w:eastAsia="Arial" w:hAnsi="Arial"/>
                <w:sz w:val="18"/>
                <w:szCs w:val="18"/>
                <w:color w:val="auto"/>
              </w:rPr>
              <w:t>Jefferson Quarry</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rPr>
              <w:t>901106</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2</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480</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w w:val="95"/>
              </w:rPr>
              <w:t>Junction City Quarry</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901029</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35"/>
        </w:trPr>
        <w:tc>
          <w:tcPr>
            <w:tcW w:w="1580" w:type="dxa"/>
            <w:vAlign w:val="bottom"/>
          </w:tcPr>
          <w:p>
            <w:pPr>
              <w:spacing w:after="0"/>
              <w:rPr>
                <w:sz w:val="20"/>
                <w:szCs w:val="20"/>
                <w:color w:val="auto"/>
              </w:rPr>
            </w:pPr>
            <w:r>
              <w:rPr>
                <w:rFonts w:ascii="Arial" w:cs="Arial" w:eastAsia="Arial" w:hAnsi="Arial"/>
                <w:sz w:val="18"/>
                <w:szCs w:val="18"/>
                <w:color w:val="auto"/>
              </w:rPr>
              <w:t>Lithonia Quarry</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rPr>
              <w:t>900023</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502"/>
        </w:trPr>
        <w:tc>
          <w:tcPr>
            <w:tcW w:w="15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-27940</wp:posOffset>
            </wp:positionV>
            <wp:extent cx="3365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w w:val="97"/>
              </w:rPr>
              <w:t>Appendix 1</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Maylene Quarry</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100634</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Morgan Co Quarry</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rPr>
              <w:t>901126</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Newton Quarry</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900899</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w w:val="96"/>
              </w:rPr>
              <w:t>ONeal Quarry Co19</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rPr>
              <w:t>103076</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100</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Paulding Quarry</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901107</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Perry Quarry</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rPr>
              <w:t>801083</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Red Oak Quarry</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900069</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Ruby Quarry</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rPr>
              <w:t>900074</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Six Mile Quarry</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901144</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2</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Tyrone Quarry</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rPr>
              <w:t>900306</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w w:val="96"/>
              </w:rPr>
              <w:t>Vance Quarry Co19</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103022</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1</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Warrenton Quarry</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rPr>
              <w:t>900580</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Alden Portable Sand1302037</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w w:val="93"/>
              </w:rPr>
              <w:t>Alden Portable Plant</w:t>
            </w: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580" w:type="dxa"/>
            <w:vAlign w:val="bottom"/>
            <w:gridSpan w:val="2"/>
          </w:tcPr>
          <w:p>
            <w:pPr>
              <w:spacing w:after="0"/>
              <w:rPr>
                <w:sz w:val="20"/>
                <w:szCs w:val="20"/>
                <w:color w:val="auto"/>
              </w:rPr>
            </w:pPr>
            <w:r>
              <w:rPr>
                <w:rFonts w:ascii="Arial" w:cs="Arial" w:eastAsia="Arial" w:hAnsi="Arial"/>
                <w:sz w:val="18"/>
                <w:szCs w:val="18"/>
                <w:color w:val="auto"/>
              </w:rPr>
              <w:t>1</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w w:val="91"/>
              </w:rPr>
              <w:t>1302031</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w w:val="93"/>
              </w:rPr>
              <w:t>Alden Portable Plant</w:t>
            </w:r>
          </w:p>
        </w:tc>
        <w:tc>
          <w:tcPr>
            <w:tcW w:w="8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2</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1"/>
              </w:rPr>
              <w:t>1302033</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w w:val="98"/>
              </w:rPr>
              <w:t>Alden Portable Wash 1302122</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Alden Quarry - Shop 1300228</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1</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w w:val="93"/>
              </w:rPr>
              <w:t>1,642</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Ames Mine</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w w:val="91"/>
              </w:rPr>
              <w:t>1300014</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1</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w w:val="93"/>
              </w:rPr>
              <w:t>1,838</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1</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Beaver Lake Quarry 4503347</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w w:val="97"/>
              </w:rPr>
              <w:t>Cedar Rapids Quarry 1300122</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Des Moines Portable 1300150</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Des Moines Shop</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w w:val="91"/>
              </w:rPr>
              <w:t>1300932</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Dubois Quarry</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1"/>
              </w:rPr>
              <w:t>2501046</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200</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Durham Mine</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w w:val="91"/>
              </w:rPr>
              <w:t>1301225</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100</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Earlham Quarry</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1"/>
              </w:rPr>
              <w:t>1302123</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3</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646</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1</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w w:val="95"/>
              </w:rPr>
              <w:t>Environmental Crew</w:t>
            </w: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580" w:type="dxa"/>
            <w:vAlign w:val="bottom"/>
            <w:gridSpan w:val="2"/>
          </w:tcPr>
          <w:p>
            <w:pPr>
              <w:spacing w:after="0"/>
              <w:rPr>
                <w:sz w:val="20"/>
                <w:szCs w:val="20"/>
                <w:color w:val="auto"/>
              </w:rPr>
            </w:pPr>
            <w:r>
              <w:rPr>
                <w:rFonts w:ascii="Arial" w:cs="Arial" w:eastAsia="Arial" w:hAnsi="Arial"/>
                <w:sz w:val="18"/>
                <w:szCs w:val="18"/>
                <w:color w:val="auto"/>
              </w:rPr>
              <w:t>(Plant 854)</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w w:val="91"/>
              </w:rPr>
              <w:t>1302126</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Ferguson Quarry</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1"/>
              </w:rPr>
              <w:t>1300124</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100</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Fort Calhoun</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w w:val="91"/>
              </w:rPr>
              <w:t>2500006</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2</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Fort Dodge Mine</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1"/>
              </w:rPr>
              <w:t>1300032</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Greenwood</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w w:val="91"/>
              </w:rPr>
              <w:t>2300141</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1</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w w:val="93"/>
              </w:rPr>
              <w:t>1,668</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Iowa Grading</w:t>
            </w:r>
          </w:p>
        </w:tc>
        <w:tc>
          <w:tcPr>
            <w:tcW w:w="86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1"/>
              </w:rPr>
              <w:t>1302316</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2</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Linn County Sand</w:t>
            </w:r>
          </w:p>
        </w:tc>
        <w:tc>
          <w:tcPr>
            <w:tcW w:w="860" w:type="dxa"/>
            <w:vAlign w:val="bottom"/>
          </w:tcPr>
          <w:p>
            <w:pPr>
              <w:jc w:val="right"/>
              <w:ind w:right="108"/>
              <w:spacing w:after="0"/>
              <w:rPr>
                <w:sz w:val="20"/>
                <w:szCs w:val="20"/>
                <w:color w:val="auto"/>
              </w:rPr>
            </w:pPr>
            <w:r>
              <w:rPr>
                <w:rFonts w:ascii="Arial" w:cs="Arial" w:eastAsia="Arial" w:hAnsi="Arial"/>
                <w:sz w:val="18"/>
                <w:szCs w:val="18"/>
                <w:color w:val="auto"/>
                <w:w w:val="91"/>
              </w:rPr>
              <w:t>1302208</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108</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2"/>
        </w:trPr>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-27940</wp:posOffset>
            </wp:positionV>
            <wp:extent cx="33655"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w w:val="97"/>
              </w:rPr>
              <w:t>Appendix 1</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18"/>
                <w:szCs w:val="18"/>
                <w:color w:val="auto"/>
              </w:rPr>
              <w:t>Malcom Mine</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1300112</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512</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w w:val="97"/>
              </w:rPr>
              <w:t>Marshalltown Sand</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1300718</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18"/>
                <w:szCs w:val="18"/>
                <w:color w:val="auto"/>
              </w:rPr>
              <w:t>Moore Quarry</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1302188</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New Harvey Sand</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1301778</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18"/>
                <w:szCs w:val="18"/>
                <w:color w:val="auto"/>
              </w:rPr>
              <w:t>Northwest Division</w:t>
            </w:r>
          </w:p>
        </w:tc>
        <w:tc>
          <w:tcPr>
            <w:tcW w:w="9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18"/>
                <w:szCs w:val="18"/>
                <w:color w:val="auto"/>
              </w:rPr>
              <w:t>OH</w:t>
            </w:r>
          </w:p>
        </w:tc>
        <w:tc>
          <w:tcPr>
            <w:tcW w:w="90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A2354</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Ottawa Quarry</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1401590</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18"/>
                <w:szCs w:val="18"/>
                <w:color w:val="auto"/>
              </w:rPr>
              <w:t>Pacific Quarry</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4500844</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Parkville Mine</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2301883</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1</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725</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18"/>
                <w:szCs w:val="18"/>
                <w:color w:val="auto"/>
              </w:rPr>
              <w:t>Pederson Quarry</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1302192</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w w:val="99"/>
              </w:rPr>
              <w:t>Raccoon River Sand 1302315</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18"/>
                <w:szCs w:val="18"/>
                <w:color w:val="auto"/>
              </w:rPr>
              <w:t>Randolph Deep</w:t>
            </w:r>
          </w:p>
        </w:tc>
        <w:tc>
          <w:tcPr>
            <w:tcW w:w="9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18"/>
                <w:szCs w:val="18"/>
                <w:color w:val="auto"/>
              </w:rPr>
              <w:t>Mine</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2302308</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Reasoner Sand</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1300814</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18"/>
                <w:szCs w:val="18"/>
                <w:color w:val="auto"/>
              </w:rPr>
              <w:t>Saylorville Sand</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1302290</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234</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St Cloud Quarry</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2100081</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18"/>
                <w:szCs w:val="18"/>
                <w:color w:val="auto"/>
              </w:rPr>
              <w:t>Stamper Mine</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2302232</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1</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Sully Mine</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1300063</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576</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18"/>
                <w:szCs w:val="18"/>
                <w:color w:val="auto"/>
              </w:rPr>
              <w:t>Sunflower</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1401556</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w w:val="98"/>
              </w:rPr>
              <w:t>Weeping Water Mine 2500998</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2</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w w:val="93"/>
              </w:rPr>
              <w:t>5,559</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3</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2</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18"/>
                <w:szCs w:val="18"/>
                <w:color w:val="auto"/>
              </w:rPr>
              <w:t>Yellow Medicine</w:t>
            </w:r>
          </w:p>
        </w:tc>
        <w:tc>
          <w:tcPr>
            <w:tcW w:w="9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18"/>
                <w:szCs w:val="18"/>
                <w:color w:val="auto"/>
              </w:rPr>
              <w:t>Quarry</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2100033</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211 Quarry</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4103829</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200</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18"/>
                <w:szCs w:val="18"/>
                <w:color w:val="auto"/>
                <w:w w:val="96"/>
              </w:rPr>
              <w:t>Augusta Quarry-KS</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1400126</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1</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663</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Beckman Quarry</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4101335</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2</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18"/>
                <w:szCs w:val="18"/>
                <w:color w:val="auto"/>
              </w:rPr>
              <w:t>Bedrock Plant</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4103283</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Bells Savoy SG TXI 4104019</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18"/>
                <w:szCs w:val="18"/>
                <w:color w:val="auto"/>
                <w:w w:val="99"/>
              </w:rPr>
              <w:t>Black Rock Quarry</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300011</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1</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1</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Black Spur Quarry</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4104159</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1</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18"/>
                <w:szCs w:val="18"/>
                <w:color w:val="auto"/>
              </w:rPr>
              <w:t>Blake Quarry</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1401584</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Bridgeport Stone</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540" w:type="dxa"/>
            <w:vAlign w:val="bottom"/>
            <w:gridSpan w:val="2"/>
          </w:tcPr>
          <w:p>
            <w:pPr>
              <w:spacing w:after="0"/>
              <w:rPr>
                <w:sz w:val="20"/>
                <w:szCs w:val="20"/>
                <w:color w:val="auto"/>
              </w:rPr>
            </w:pPr>
            <w:r>
              <w:rPr>
                <w:rFonts w:ascii="Arial" w:cs="Arial" w:eastAsia="Arial" w:hAnsi="Arial"/>
                <w:sz w:val="18"/>
                <w:szCs w:val="18"/>
                <w:color w:val="auto"/>
              </w:rPr>
              <w:t>TXI</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4100007</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1</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18"/>
                <w:szCs w:val="18"/>
                <w:color w:val="auto"/>
                <w:w w:val="94"/>
              </w:rPr>
              <w:t>Broken Bow SandG</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3400460</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Chico</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4103360</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18"/>
                <w:szCs w:val="18"/>
                <w:color w:val="auto"/>
              </w:rPr>
              <w:t>Davis</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3401299</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Garfield SG TXI</w:t>
            </w:r>
          </w:p>
        </w:tc>
        <w:tc>
          <w:tcPr>
            <w:tcW w:w="900" w:type="dxa"/>
            <w:vAlign w:val="bottom"/>
          </w:tcPr>
          <w:p>
            <w:pPr>
              <w:jc w:val="right"/>
              <w:ind w:right="108"/>
              <w:spacing w:after="0"/>
              <w:rPr>
                <w:sz w:val="20"/>
                <w:szCs w:val="20"/>
                <w:color w:val="auto"/>
              </w:rPr>
            </w:pPr>
            <w:r>
              <w:rPr>
                <w:rFonts w:ascii="Arial" w:cs="Arial" w:eastAsia="Arial" w:hAnsi="Arial"/>
                <w:sz w:val="18"/>
                <w:szCs w:val="18"/>
                <w:color w:val="auto"/>
                <w:w w:val="96"/>
              </w:rPr>
              <w:t>4103909</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100</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20" w:type="dxa"/>
            <w:vAlign w:val="bottom"/>
            <w:shd w:val="clear" w:color="auto" w:fill="CFF0FC"/>
          </w:tcPr>
          <w:p>
            <w:pPr>
              <w:spacing w:after="0"/>
              <w:rPr>
                <w:sz w:val="20"/>
                <w:szCs w:val="20"/>
                <w:color w:val="auto"/>
              </w:rPr>
            </w:pPr>
            <w:r>
              <w:rPr>
                <w:rFonts w:ascii="Arial" w:cs="Arial" w:eastAsia="Arial" w:hAnsi="Arial"/>
                <w:sz w:val="18"/>
                <w:szCs w:val="18"/>
                <w:color w:val="auto"/>
              </w:rPr>
              <w:t>Garwood</w:t>
            </w:r>
          </w:p>
        </w:tc>
        <w:tc>
          <w:tcPr>
            <w:tcW w:w="90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w w:val="96"/>
              </w:rPr>
              <w:t>4102886</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0"/>
        </w:trPr>
        <w:tc>
          <w:tcPr>
            <w:tcW w:w="20" w:type="dxa"/>
            <w:vAlign w:val="bottom"/>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-27940</wp:posOffset>
            </wp:positionV>
            <wp:extent cx="33655"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w w:val="97"/>
              </w:rPr>
              <w:t>Appendix 1</w:t>
            </w:r>
          </w:p>
        </w:tc>
      </w:tr>
      <w:tr>
        <w:trPr>
          <w:trHeight w:val="438"/>
        </w:trPr>
        <w:tc>
          <w:tcPr>
            <w:tcW w:w="1500" w:type="dxa"/>
            <w:vAlign w:val="bottom"/>
          </w:tcPr>
          <w:p>
            <w:pPr>
              <w:spacing w:after="0"/>
              <w:rPr>
                <w:sz w:val="20"/>
                <w:szCs w:val="20"/>
                <w:color w:val="auto"/>
              </w:rPr>
            </w:pPr>
            <w:r>
              <w:rPr>
                <w:rFonts w:ascii="Arial" w:cs="Arial" w:eastAsia="Arial" w:hAnsi="Arial"/>
                <w:sz w:val="18"/>
                <w:szCs w:val="18"/>
                <w:color w:val="auto"/>
              </w:rPr>
              <w:t>GMS - TXI</w:t>
            </w:r>
          </w:p>
        </w:tc>
        <w:tc>
          <w:tcPr>
            <w:tcW w:w="940" w:type="dxa"/>
            <w:vAlign w:val="bottom"/>
          </w:tcPr>
          <w:p>
            <w:pPr>
              <w:jc w:val="right"/>
              <w:ind w:right="348"/>
              <w:spacing w:after="0"/>
              <w:rPr>
                <w:sz w:val="20"/>
                <w:szCs w:val="20"/>
                <w:color w:val="auto"/>
              </w:rPr>
            </w:pPr>
            <w:r>
              <w:rPr>
                <w:rFonts w:ascii="Arial" w:cs="Arial" w:eastAsia="Arial" w:hAnsi="Arial"/>
                <w:sz w:val="18"/>
                <w:szCs w:val="18"/>
                <w:color w:val="auto"/>
              </w:rPr>
              <w:t>C335</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r>
      <w:tr>
        <w:trPr>
          <w:trHeight w:val="227"/>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Hatton Quarry</w:t>
            </w:r>
          </w:p>
        </w:tc>
        <w:tc>
          <w:tcPr>
            <w:tcW w:w="94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301614</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100</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tcPr>
          <w:p>
            <w:pPr>
              <w:spacing w:after="0"/>
              <w:rPr>
                <w:sz w:val="20"/>
                <w:szCs w:val="20"/>
                <w:color w:val="auto"/>
              </w:rPr>
            </w:pPr>
            <w:r>
              <w:rPr>
                <w:rFonts w:ascii="Arial" w:cs="Arial" w:eastAsia="Arial" w:hAnsi="Arial"/>
                <w:sz w:val="18"/>
                <w:szCs w:val="18"/>
                <w:color w:val="auto"/>
              </w:rPr>
              <w:t>Helotes</w:t>
            </w:r>
          </w:p>
        </w:tc>
        <w:tc>
          <w:tcPr>
            <w:tcW w:w="940" w:type="dxa"/>
            <w:vAlign w:val="bottom"/>
          </w:tcPr>
          <w:p>
            <w:pPr>
              <w:jc w:val="right"/>
              <w:ind w:right="108"/>
              <w:spacing w:after="0"/>
              <w:rPr>
                <w:sz w:val="20"/>
                <w:szCs w:val="20"/>
                <w:color w:val="auto"/>
              </w:rPr>
            </w:pPr>
            <w:r>
              <w:rPr>
                <w:rFonts w:ascii="Arial" w:cs="Arial" w:eastAsia="Arial" w:hAnsi="Arial"/>
                <w:sz w:val="18"/>
                <w:szCs w:val="18"/>
                <w:color w:val="auto"/>
              </w:rPr>
              <w:t>4103137</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Hondo</w:t>
            </w:r>
          </w:p>
        </w:tc>
        <w:tc>
          <w:tcPr>
            <w:tcW w:w="94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4104708</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200</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tcPr>
          <w:p>
            <w:pPr>
              <w:spacing w:after="0"/>
              <w:rPr>
                <w:sz w:val="20"/>
                <w:szCs w:val="20"/>
                <w:color w:val="auto"/>
              </w:rPr>
            </w:pPr>
            <w:r>
              <w:rPr>
                <w:rFonts w:ascii="Arial" w:cs="Arial" w:eastAsia="Arial" w:hAnsi="Arial"/>
                <w:sz w:val="18"/>
                <w:szCs w:val="18"/>
                <w:color w:val="auto"/>
              </w:rPr>
              <w:t>Hondo-1</w:t>
            </w:r>
          </w:p>
        </w:tc>
        <w:tc>
          <w:tcPr>
            <w:tcW w:w="940" w:type="dxa"/>
            <w:vAlign w:val="bottom"/>
          </w:tcPr>
          <w:p>
            <w:pPr>
              <w:jc w:val="right"/>
              <w:ind w:right="108"/>
              <w:spacing w:after="0"/>
              <w:rPr>
                <w:sz w:val="20"/>
                <w:szCs w:val="20"/>
                <w:color w:val="auto"/>
              </w:rPr>
            </w:pPr>
            <w:r>
              <w:rPr>
                <w:rFonts w:ascii="Arial" w:cs="Arial" w:eastAsia="Arial" w:hAnsi="Arial"/>
                <w:sz w:val="18"/>
                <w:szCs w:val="18"/>
                <w:color w:val="auto"/>
              </w:rPr>
              <w:t>4104090</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Hugo</w:t>
            </w:r>
          </w:p>
        </w:tc>
        <w:tc>
          <w:tcPr>
            <w:tcW w:w="94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3400061</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tcPr>
          <w:p>
            <w:pPr>
              <w:spacing w:after="0"/>
              <w:rPr>
                <w:sz w:val="20"/>
                <w:szCs w:val="20"/>
                <w:color w:val="auto"/>
              </w:rPr>
            </w:pPr>
            <w:r>
              <w:rPr>
                <w:rFonts w:ascii="Arial" w:cs="Arial" w:eastAsia="Arial" w:hAnsi="Arial"/>
                <w:sz w:val="18"/>
                <w:szCs w:val="18"/>
                <w:color w:val="auto"/>
              </w:rPr>
              <w:t>Idabel</w:t>
            </w:r>
          </w:p>
        </w:tc>
        <w:tc>
          <w:tcPr>
            <w:tcW w:w="940" w:type="dxa"/>
            <w:vAlign w:val="bottom"/>
          </w:tcPr>
          <w:p>
            <w:pPr>
              <w:jc w:val="right"/>
              <w:ind w:right="108"/>
              <w:spacing w:after="0"/>
              <w:rPr>
                <w:sz w:val="20"/>
                <w:szCs w:val="20"/>
                <w:color w:val="auto"/>
              </w:rPr>
            </w:pPr>
            <w:r>
              <w:rPr>
                <w:rFonts w:ascii="Arial" w:cs="Arial" w:eastAsia="Arial" w:hAnsi="Arial"/>
                <w:sz w:val="18"/>
                <w:szCs w:val="18"/>
                <w:color w:val="auto"/>
              </w:rPr>
              <w:t>3400507</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24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Jena Aggregates TXI 1601298</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tcPr>
          <w:p>
            <w:pPr>
              <w:spacing w:after="0"/>
              <w:rPr>
                <w:sz w:val="20"/>
                <w:szCs w:val="20"/>
                <w:color w:val="auto"/>
              </w:rPr>
            </w:pPr>
            <w:r>
              <w:rPr>
                <w:rFonts w:ascii="Arial" w:cs="Arial" w:eastAsia="Arial" w:hAnsi="Arial"/>
                <w:sz w:val="18"/>
                <w:szCs w:val="18"/>
                <w:color w:val="auto"/>
              </w:rPr>
              <w:t>Jones Mill Quarry</w:t>
            </w:r>
          </w:p>
        </w:tc>
        <w:tc>
          <w:tcPr>
            <w:tcW w:w="940" w:type="dxa"/>
            <w:vAlign w:val="bottom"/>
          </w:tcPr>
          <w:p>
            <w:pPr>
              <w:jc w:val="right"/>
              <w:ind w:right="108"/>
              <w:spacing w:after="0"/>
              <w:rPr>
                <w:sz w:val="20"/>
                <w:szCs w:val="20"/>
                <w:color w:val="auto"/>
              </w:rPr>
            </w:pPr>
            <w:r>
              <w:rPr>
                <w:rFonts w:ascii="Arial" w:cs="Arial" w:eastAsia="Arial" w:hAnsi="Arial"/>
                <w:sz w:val="18"/>
                <w:szCs w:val="18"/>
                <w:color w:val="auto"/>
              </w:rPr>
              <w:t>301586</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10"/>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Koontz McCombs</w:t>
            </w: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Pit</w:t>
            </w:r>
          </w:p>
        </w:tc>
        <w:tc>
          <w:tcPr>
            <w:tcW w:w="94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4105048</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10"/>
        </w:trPr>
        <w:tc>
          <w:tcPr>
            <w:tcW w:w="1500" w:type="dxa"/>
            <w:vAlign w:val="bottom"/>
          </w:tcPr>
          <w:p>
            <w:pPr>
              <w:spacing w:after="0"/>
              <w:rPr>
                <w:sz w:val="20"/>
                <w:szCs w:val="20"/>
                <w:color w:val="auto"/>
              </w:rPr>
            </w:pPr>
            <w:r>
              <w:rPr>
                <w:rFonts w:ascii="Arial" w:cs="Arial" w:eastAsia="Arial" w:hAnsi="Arial"/>
                <w:sz w:val="18"/>
                <w:szCs w:val="18"/>
                <w:color w:val="auto"/>
              </w:rPr>
              <w:t>Medina Rock and</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00" w:type="dxa"/>
            <w:vAlign w:val="bottom"/>
          </w:tcPr>
          <w:p>
            <w:pPr>
              <w:spacing w:after="0"/>
              <w:rPr>
                <w:sz w:val="20"/>
                <w:szCs w:val="20"/>
                <w:color w:val="auto"/>
              </w:rPr>
            </w:pPr>
            <w:r>
              <w:rPr>
                <w:rFonts w:ascii="Arial" w:cs="Arial" w:eastAsia="Arial" w:hAnsi="Arial"/>
                <w:sz w:val="18"/>
                <w:szCs w:val="18"/>
                <w:color w:val="auto"/>
              </w:rPr>
              <w:t>Rail</w:t>
            </w:r>
          </w:p>
        </w:tc>
        <w:tc>
          <w:tcPr>
            <w:tcW w:w="940" w:type="dxa"/>
            <w:vAlign w:val="bottom"/>
          </w:tcPr>
          <w:p>
            <w:pPr>
              <w:jc w:val="right"/>
              <w:ind w:right="108"/>
              <w:spacing w:after="0"/>
              <w:rPr>
                <w:sz w:val="20"/>
                <w:szCs w:val="20"/>
                <w:color w:val="auto"/>
              </w:rPr>
            </w:pPr>
            <w:r>
              <w:rPr>
                <w:rFonts w:ascii="Arial" w:cs="Arial" w:eastAsia="Arial" w:hAnsi="Arial"/>
                <w:sz w:val="18"/>
                <w:szCs w:val="18"/>
                <w:color w:val="auto"/>
              </w:rPr>
              <w:t>4105170</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1</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w w:val="93"/>
              </w:rPr>
              <w:t>1,100</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27"/>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Mill Creek</w:t>
            </w:r>
          </w:p>
        </w:tc>
        <w:tc>
          <w:tcPr>
            <w:tcW w:w="94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3401285</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tcPr>
          <w:p>
            <w:pPr>
              <w:spacing w:after="0"/>
              <w:rPr>
                <w:sz w:val="20"/>
                <w:szCs w:val="20"/>
                <w:color w:val="auto"/>
              </w:rPr>
            </w:pPr>
            <w:r>
              <w:rPr>
                <w:rFonts w:ascii="Arial" w:cs="Arial" w:eastAsia="Arial" w:hAnsi="Arial"/>
                <w:sz w:val="18"/>
                <w:szCs w:val="18"/>
                <w:color w:val="auto"/>
              </w:rPr>
              <w:t>Mill Creek TXI</w:t>
            </w:r>
          </w:p>
        </w:tc>
        <w:tc>
          <w:tcPr>
            <w:tcW w:w="940" w:type="dxa"/>
            <w:vAlign w:val="bottom"/>
          </w:tcPr>
          <w:p>
            <w:pPr>
              <w:jc w:val="right"/>
              <w:ind w:right="108"/>
              <w:spacing w:after="0"/>
              <w:rPr>
                <w:sz w:val="20"/>
                <w:szCs w:val="20"/>
                <w:color w:val="auto"/>
              </w:rPr>
            </w:pPr>
            <w:r>
              <w:rPr>
                <w:rFonts w:ascii="Arial" w:cs="Arial" w:eastAsia="Arial" w:hAnsi="Arial"/>
                <w:sz w:val="18"/>
                <w:szCs w:val="18"/>
                <w:color w:val="auto"/>
              </w:rPr>
              <w:t>3401859</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1</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10"/>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New Braunfels</w:t>
            </w: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Quarry</w:t>
            </w:r>
          </w:p>
        </w:tc>
        <w:tc>
          <w:tcPr>
            <w:tcW w:w="94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4104264</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1</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10"/>
        </w:trPr>
        <w:tc>
          <w:tcPr>
            <w:tcW w:w="1500" w:type="dxa"/>
            <w:vAlign w:val="bottom"/>
          </w:tcPr>
          <w:p>
            <w:pPr>
              <w:spacing w:after="0"/>
              <w:rPr>
                <w:sz w:val="20"/>
                <w:szCs w:val="20"/>
                <w:color w:val="auto"/>
              </w:rPr>
            </w:pPr>
            <w:r>
              <w:rPr>
                <w:rFonts w:ascii="Arial" w:cs="Arial" w:eastAsia="Arial" w:hAnsi="Arial"/>
                <w:sz w:val="18"/>
                <w:szCs w:val="18"/>
                <w:color w:val="auto"/>
              </w:rPr>
              <w:t>Perryville</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00" w:type="dxa"/>
            <w:vAlign w:val="bottom"/>
          </w:tcPr>
          <w:p>
            <w:pPr>
              <w:spacing w:after="0"/>
              <w:rPr>
                <w:sz w:val="20"/>
                <w:szCs w:val="20"/>
                <w:color w:val="auto"/>
              </w:rPr>
            </w:pPr>
            <w:r>
              <w:rPr>
                <w:rFonts w:ascii="Arial" w:cs="Arial" w:eastAsia="Arial" w:hAnsi="Arial"/>
                <w:sz w:val="18"/>
                <w:szCs w:val="18"/>
                <w:color w:val="auto"/>
              </w:rPr>
              <w:t>Aggregates TXI</w:t>
            </w:r>
          </w:p>
        </w:tc>
        <w:tc>
          <w:tcPr>
            <w:tcW w:w="940" w:type="dxa"/>
            <w:vAlign w:val="bottom"/>
          </w:tcPr>
          <w:p>
            <w:pPr>
              <w:jc w:val="right"/>
              <w:ind w:right="108"/>
              <w:spacing w:after="0"/>
              <w:rPr>
                <w:sz w:val="20"/>
                <w:szCs w:val="20"/>
                <w:color w:val="auto"/>
              </w:rPr>
            </w:pPr>
            <w:r>
              <w:rPr>
                <w:rFonts w:ascii="Arial" w:cs="Arial" w:eastAsia="Arial" w:hAnsi="Arial"/>
                <w:sz w:val="18"/>
                <w:szCs w:val="18"/>
                <w:color w:val="auto"/>
              </w:rPr>
              <w:t>1601417</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27"/>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w w:val="94"/>
              </w:rPr>
              <w:t>Poteet (Sand Plant)</w:t>
            </w:r>
          </w:p>
        </w:tc>
        <w:tc>
          <w:tcPr>
            <w:tcW w:w="94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4101342</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tcPr>
          <w:p>
            <w:pPr>
              <w:spacing w:after="0"/>
              <w:rPr>
                <w:sz w:val="20"/>
                <w:szCs w:val="20"/>
                <w:color w:val="auto"/>
              </w:rPr>
            </w:pPr>
            <w:r>
              <w:rPr>
                <w:rFonts w:ascii="Arial" w:cs="Arial" w:eastAsia="Arial" w:hAnsi="Arial"/>
                <w:sz w:val="18"/>
                <w:szCs w:val="18"/>
                <w:color w:val="auto"/>
              </w:rPr>
              <w:t>Rio Medina</w:t>
            </w:r>
          </w:p>
        </w:tc>
        <w:tc>
          <w:tcPr>
            <w:tcW w:w="940" w:type="dxa"/>
            <w:vAlign w:val="bottom"/>
          </w:tcPr>
          <w:p>
            <w:pPr>
              <w:jc w:val="right"/>
              <w:ind w:right="108"/>
              <w:spacing w:after="0"/>
              <w:rPr>
                <w:sz w:val="20"/>
                <w:szCs w:val="20"/>
                <w:color w:val="auto"/>
              </w:rPr>
            </w:pPr>
            <w:r>
              <w:rPr>
                <w:rFonts w:ascii="Arial" w:cs="Arial" w:eastAsia="Arial" w:hAnsi="Arial"/>
                <w:sz w:val="18"/>
                <w:szCs w:val="18"/>
                <w:color w:val="auto"/>
              </w:rPr>
              <w:t>4103594</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250</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San Pedro Quarry</w:t>
            </w:r>
          </w:p>
        </w:tc>
        <w:tc>
          <w:tcPr>
            <w:tcW w:w="94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4101337</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100</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tcPr>
          <w:p>
            <w:pPr>
              <w:spacing w:after="0"/>
              <w:rPr>
                <w:sz w:val="20"/>
                <w:szCs w:val="20"/>
                <w:color w:val="auto"/>
              </w:rPr>
            </w:pPr>
            <w:r>
              <w:rPr>
                <w:rFonts w:ascii="Arial" w:cs="Arial" w:eastAsia="Arial" w:hAnsi="Arial"/>
                <w:sz w:val="18"/>
                <w:szCs w:val="18"/>
                <w:color w:val="auto"/>
              </w:rPr>
              <w:t>Sawyer</w:t>
            </w:r>
          </w:p>
        </w:tc>
        <w:tc>
          <w:tcPr>
            <w:tcW w:w="940" w:type="dxa"/>
            <w:vAlign w:val="bottom"/>
          </w:tcPr>
          <w:p>
            <w:pPr>
              <w:jc w:val="right"/>
              <w:ind w:right="108"/>
              <w:spacing w:after="0"/>
              <w:rPr>
                <w:sz w:val="20"/>
                <w:szCs w:val="20"/>
                <w:color w:val="auto"/>
              </w:rPr>
            </w:pPr>
            <w:r>
              <w:rPr>
                <w:rFonts w:ascii="Arial" w:cs="Arial" w:eastAsia="Arial" w:hAnsi="Arial"/>
                <w:sz w:val="18"/>
                <w:szCs w:val="18"/>
                <w:color w:val="auto"/>
              </w:rPr>
              <w:t>3401634</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Snyder</w:t>
            </w:r>
          </w:p>
        </w:tc>
        <w:tc>
          <w:tcPr>
            <w:tcW w:w="94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3401651</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10"/>
        </w:trPr>
        <w:tc>
          <w:tcPr>
            <w:tcW w:w="1500" w:type="dxa"/>
            <w:vAlign w:val="bottom"/>
          </w:tcPr>
          <w:p>
            <w:pPr>
              <w:spacing w:after="0"/>
              <w:rPr>
                <w:sz w:val="20"/>
                <w:szCs w:val="20"/>
                <w:color w:val="auto"/>
              </w:rPr>
            </w:pPr>
            <w:r>
              <w:rPr>
                <w:rFonts w:ascii="Arial" w:cs="Arial" w:eastAsia="Arial" w:hAnsi="Arial"/>
                <w:sz w:val="18"/>
                <w:szCs w:val="18"/>
                <w:color w:val="auto"/>
              </w:rPr>
              <w:t>South Texas Port</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00" w:type="dxa"/>
            <w:vAlign w:val="bottom"/>
          </w:tcPr>
          <w:p>
            <w:pPr>
              <w:spacing w:after="0"/>
              <w:rPr>
                <w:sz w:val="20"/>
                <w:szCs w:val="20"/>
                <w:color w:val="auto"/>
              </w:rPr>
            </w:pPr>
            <w:r>
              <w:rPr>
                <w:rFonts w:ascii="Arial" w:cs="Arial" w:eastAsia="Arial" w:hAnsi="Arial"/>
                <w:sz w:val="18"/>
                <w:szCs w:val="18"/>
                <w:color w:val="auto"/>
              </w:rPr>
              <w:t>No.2</w:t>
            </w:r>
          </w:p>
        </w:tc>
        <w:tc>
          <w:tcPr>
            <w:tcW w:w="940" w:type="dxa"/>
            <w:vAlign w:val="bottom"/>
          </w:tcPr>
          <w:p>
            <w:pPr>
              <w:jc w:val="right"/>
              <w:ind w:right="108"/>
              <w:spacing w:after="0"/>
              <w:rPr>
                <w:sz w:val="20"/>
                <w:szCs w:val="20"/>
                <w:color w:val="auto"/>
              </w:rPr>
            </w:pPr>
            <w:r>
              <w:rPr>
                <w:rFonts w:ascii="Arial" w:cs="Arial" w:eastAsia="Arial" w:hAnsi="Arial"/>
                <w:sz w:val="18"/>
                <w:szCs w:val="18"/>
                <w:color w:val="auto"/>
              </w:rPr>
              <w:t>4104204</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27"/>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Tin Top SG TXI</w:t>
            </w:r>
          </w:p>
        </w:tc>
        <w:tc>
          <w:tcPr>
            <w:tcW w:w="94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4102852</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tcPr>
          <w:p>
            <w:pPr>
              <w:spacing w:after="0"/>
              <w:rPr>
                <w:sz w:val="20"/>
                <w:szCs w:val="20"/>
                <w:color w:val="auto"/>
              </w:rPr>
            </w:pPr>
            <w:r>
              <w:rPr>
                <w:rFonts w:ascii="Arial" w:cs="Arial" w:eastAsia="Arial" w:hAnsi="Arial"/>
                <w:sz w:val="18"/>
                <w:szCs w:val="18"/>
                <w:color w:val="auto"/>
              </w:rPr>
              <w:t>Washita Quarry</w:t>
            </w:r>
          </w:p>
        </w:tc>
        <w:tc>
          <w:tcPr>
            <w:tcW w:w="940" w:type="dxa"/>
            <w:vAlign w:val="bottom"/>
          </w:tcPr>
          <w:p>
            <w:pPr>
              <w:jc w:val="right"/>
              <w:ind w:right="108"/>
              <w:spacing w:after="0"/>
              <w:rPr>
                <w:sz w:val="20"/>
                <w:szCs w:val="20"/>
                <w:color w:val="auto"/>
              </w:rPr>
            </w:pPr>
            <w:r>
              <w:rPr>
                <w:rFonts w:ascii="Arial" w:cs="Arial" w:eastAsia="Arial" w:hAnsi="Arial"/>
                <w:sz w:val="18"/>
                <w:szCs w:val="18"/>
                <w:color w:val="auto"/>
              </w:rPr>
              <w:t>3402049</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r>
      <w:tr>
        <w:trPr>
          <w:trHeight w:val="227"/>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Webberville TXI</w:t>
            </w:r>
          </w:p>
        </w:tc>
        <w:tc>
          <w:tcPr>
            <w:tcW w:w="94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4104363</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100</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r>
      <w:tr>
        <w:trPr>
          <w:trHeight w:val="210"/>
        </w:trPr>
        <w:tc>
          <w:tcPr>
            <w:tcW w:w="1500" w:type="dxa"/>
            <w:vAlign w:val="bottom"/>
          </w:tcPr>
          <w:p>
            <w:pPr>
              <w:spacing w:after="0"/>
              <w:rPr>
                <w:sz w:val="20"/>
                <w:szCs w:val="20"/>
                <w:color w:val="auto"/>
              </w:rPr>
            </w:pPr>
            <w:r>
              <w:rPr>
                <w:rFonts w:ascii="Arial" w:cs="Arial" w:eastAsia="Arial" w:hAnsi="Arial"/>
                <w:sz w:val="18"/>
                <w:szCs w:val="18"/>
                <w:color w:val="auto"/>
              </w:rPr>
              <w:t>Woodworth</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00" w:type="dxa"/>
            <w:vAlign w:val="bottom"/>
          </w:tcPr>
          <w:p>
            <w:pPr>
              <w:spacing w:after="0"/>
              <w:rPr>
                <w:sz w:val="20"/>
                <w:szCs w:val="20"/>
                <w:color w:val="auto"/>
              </w:rPr>
            </w:pPr>
            <w:r>
              <w:rPr>
                <w:rFonts w:ascii="Arial" w:cs="Arial" w:eastAsia="Arial" w:hAnsi="Arial"/>
                <w:sz w:val="18"/>
                <w:szCs w:val="18"/>
                <w:color w:val="auto"/>
              </w:rPr>
              <w:t>Aggregates TXI</w:t>
            </w:r>
          </w:p>
        </w:tc>
        <w:tc>
          <w:tcPr>
            <w:tcW w:w="940" w:type="dxa"/>
            <w:vAlign w:val="bottom"/>
          </w:tcPr>
          <w:p>
            <w:pPr>
              <w:jc w:val="right"/>
              <w:ind w:right="108"/>
              <w:spacing w:after="0"/>
              <w:rPr>
                <w:sz w:val="20"/>
                <w:szCs w:val="20"/>
                <w:color w:val="auto"/>
              </w:rPr>
            </w:pPr>
            <w:r>
              <w:rPr>
                <w:rFonts w:ascii="Arial" w:cs="Arial" w:eastAsia="Arial" w:hAnsi="Arial"/>
                <w:sz w:val="18"/>
                <w:szCs w:val="18"/>
                <w:color w:val="auto"/>
              </w:rPr>
              <w:t>1601070</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10"/>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Cottonwood Sand</w:t>
            </w: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and Gravel</w:t>
            </w:r>
          </w:p>
        </w:tc>
        <w:tc>
          <w:tcPr>
            <w:tcW w:w="94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504418</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0</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10"/>
        </w:trPr>
        <w:tc>
          <w:tcPr>
            <w:tcW w:w="1500" w:type="dxa"/>
            <w:vAlign w:val="bottom"/>
          </w:tcPr>
          <w:p>
            <w:pPr>
              <w:spacing w:after="0"/>
              <w:rPr>
                <w:sz w:val="20"/>
                <w:szCs w:val="20"/>
                <w:color w:val="auto"/>
              </w:rPr>
            </w:pPr>
            <w:r>
              <w:rPr>
                <w:rFonts w:ascii="Arial" w:cs="Arial" w:eastAsia="Arial" w:hAnsi="Arial"/>
                <w:sz w:val="18"/>
                <w:szCs w:val="18"/>
                <w:color w:val="auto"/>
                <w:w w:val="97"/>
              </w:rPr>
              <w:t>Fountain Sand and</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00" w:type="dxa"/>
            <w:vAlign w:val="bottom"/>
          </w:tcPr>
          <w:p>
            <w:pPr>
              <w:spacing w:after="0"/>
              <w:rPr>
                <w:sz w:val="20"/>
                <w:szCs w:val="20"/>
                <w:color w:val="auto"/>
              </w:rPr>
            </w:pPr>
            <w:r>
              <w:rPr>
                <w:rFonts w:ascii="Arial" w:cs="Arial" w:eastAsia="Arial" w:hAnsi="Arial"/>
                <w:sz w:val="18"/>
                <w:szCs w:val="18"/>
                <w:color w:val="auto"/>
              </w:rPr>
              <w:t>Gravel</w:t>
            </w:r>
          </w:p>
        </w:tc>
        <w:tc>
          <w:tcPr>
            <w:tcW w:w="940" w:type="dxa"/>
            <w:vAlign w:val="bottom"/>
          </w:tcPr>
          <w:p>
            <w:pPr>
              <w:jc w:val="right"/>
              <w:ind w:right="108"/>
              <w:spacing w:after="0"/>
              <w:rPr>
                <w:sz w:val="20"/>
                <w:szCs w:val="20"/>
                <w:color w:val="auto"/>
              </w:rPr>
            </w:pPr>
            <w:r>
              <w:rPr>
                <w:rFonts w:ascii="Arial" w:cs="Arial" w:eastAsia="Arial" w:hAnsi="Arial"/>
                <w:sz w:val="18"/>
                <w:szCs w:val="18"/>
                <w:color w:val="auto"/>
              </w:rPr>
              <w:t>503821</w:t>
            </w:r>
          </w:p>
        </w:tc>
        <w:tc>
          <w:tcPr>
            <w:tcW w:w="720" w:type="dxa"/>
            <w:vAlign w:val="bottom"/>
          </w:tcPr>
          <w:p>
            <w:pPr>
              <w:jc w:val="right"/>
              <w:ind w:right="328"/>
              <w:spacing w:after="0"/>
              <w:rPr>
                <w:sz w:val="20"/>
                <w:szCs w:val="20"/>
                <w:color w:val="auto"/>
              </w:rPr>
            </w:pPr>
            <w:r>
              <w:rPr>
                <w:rFonts w:ascii="Arial" w:cs="Arial" w:eastAsia="Arial" w:hAnsi="Arial"/>
                <w:sz w:val="18"/>
                <w:szCs w:val="18"/>
                <w:color w:val="auto"/>
              </w:rPr>
              <w:t>1</w:t>
            </w:r>
          </w:p>
        </w:tc>
        <w:tc>
          <w:tcPr>
            <w:tcW w:w="86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80"/>
              <w:spacing w:after="0"/>
              <w:rPr>
                <w:sz w:val="20"/>
                <w:szCs w:val="20"/>
                <w:color w:val="auto"/>
              </w:rPr>
            </w:pPr>
            <w:r>
              <w:rPr>
                <w:rFonts w:ascii="Arial" w:cs="Arial" w:eastAsia="Arial" w:hAnsi="Arial"/>
                <w:sz w:val="18"/>
                <w:szCs w:val="18"/>
                <w:color w:val="auto"/>
              </w:rPr>
              <w:t>no</w:t>
            </w:r>
          </w:p>
        </w:tc>
        <w:tc>
          <w:tcPr>
            <w:tcW w:w="860" w:type="dxa"/>
            <w:vAlign w:val="bottom"/>
          </w:tcPr>
          <w:p>
            <w:pPr>
              <w:ind w:left="320"/>
              <w:spacing w:after="0"/>
              <w:rPr>
                <w:sz w:val="20"/>
                <w:szCs w:val="20"/>
                <w:color w:val="auto"/>
              </w:rPr>
            </w:pPr>
            <w:r>
              <w:rPr>
                <w:rFonts w:ascii="Arial" w:cs="Arial" w:eastAsia="Arial" w:hAnsi="Arial"/>
                <w:sz w:val="18"/>
                <w:szCs w:val="18"/>
                <w:color w:val="auto"/>
              </w:rPr>
              <w:t>no</w:t>
            </w:r>
          </w:p>
        </w:tc>
        <w:tc>
          <w:tcPr>
            <w:tcW w:w="780" w:type="dxa"/>
            <w:vAlign w:val="bottom"/>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210"/>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Granite Canyon</w:t>
            </w: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Quarry</w:t>
            </w:r>
          </w:p>
        </w:tc>
        <w:tc>
          <w:tcPr>
            <w:tcW w:w="940" w:type="dxa"/>
            <w:vAlign w:val="bottom"/>
            <w:shd w:val="clear" w:color="auto" w:fill="CFF0FC"/>
          </w:tcPr>
          <w:p>
            <w:pPr>
              <w:jc w:val="right"/>
              <w:ind w:right="108"/>
              <w:spacing w:after="0"/>
              <w:rPr>
                <w:sz w:val="20"/>
                <w:szCs w:val="20"/>
                <w:color w:val="auto"/>
              </w:rPr>
            </w:pPr>
            <w:r>
              <w:rPr>
                <w:rFonts w:ascii="Arial" w:cs="Arial" w:eastAsia="Arial" w:hAnsi="Arial"/>
                <w:sz w:val="18"/>
                <w:szCs w:val="18"/>
                <w:color w:val="auto"/>
              </w:rPr>
              <w:t>4800018</w:t>
            </w:r>
          </w:p>
        </w:tc>
        <w:tc>
          <w:tcPr>
            <w:tcW w:w="720" w:type="dxa"/>
            <w:vAlign w:val="bottom"/>
            <w:shd w:val="clear" w:color="auto" w:fill="CFF0FC"/>
          </w:tcPr>
          <w:p>
            <w:pPr>
              <w:jc w:val="right"/>
              <w:ind w:right="328"/>
              <w:spacing w:after="0"/>
              <w:rPr>
                <w:sz w:val="20"/>
                <w:szCs w:val="20"/>
                <w:color w:val="auto"/>
              </w:rPr>
            </w:pPr>
            <w:r>
              <w:rPr>
                <w:rFonts w:ascii="Arial" w:cs="Arial" w:eastAsia="Arial" w:hAnsi="Arial"/>
                <w:sz w:val="18"/>
                <w:szCs w:val="18"/>
                <w:color w:val="auto"/>
              </w:rPr>
              <w:t>1</w:t>
            </w:r>
          </w:p>
        </w:tc>
        <w:tc>
          <w:tcPr>
            <w:tcW w:w="86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w w:val="93"/>
              </w:rPr>
              <w:t>1,063</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w:t>
            </w:r>
          </w:p>
        </w:tc>
        <w:tc>
          <w:tcPr>
            <w:tcW w:w="8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no</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8"/>
                <w:szCs w:val="18"/>
                <w:color w:val="auto"/>
              </w:rPr>
              <w:t>0</w:t>
            </w:r>
          </w:p>
        </w:tc>
        <w:tc>
          <w:tcPr>
            <w:tcW w:w="540" w:type="dxa"/>
            <w:vAlign w:val="bottom"/>
            <w:shd w:val="clear" w:color="auto" w:fill="CFF0FC"/>
          </w:tcPr>
          <w:p>
            <w:pPr>
              <w:jc w:val="right"/>
              <w:ind w:right="8"/>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r>
      <w:tr>
        <w:trPr>
          <w:trHeight w:val="510"/>
        </w:trPr>
        <w:tc>
          <w:tcPr>
            <w:tcW w:w="1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-27940</wp:posOffset>
            </wp:positionV>
            <wp:extent cx="33655"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Appendix 1</w:t>
            </w:r>
          </w:p>
        </w:tc>
      </w:tr>
      <w:tr>
        <w:trPr>
          <w:trHeight w:val="421"/>
        </w:trPr>
        <w:tc>
          <w:tcPr>
            <w:tcW w:w="1580" w:type="dxa"/>
            <w:vAlign w:val="bottom"/>
          </w:tcPr>
          <w:p>
            <w:pPr>
              <w:spacing w:after="0"/>
              <w:rPr>
                <w:sz w:val="20"/>
                <w:szCs w:val="20"/>
                <w:color w:val="auto"/>
              </w:rPr>
            </w:pPr>
            <w:r>
              <w:rPr>
                <w:rFonts w:ascii="Arial" w:cs="Arial" w:eastAsia="Arial" w:hAnsi="Arial"/>
                <w:sz w:val="18"/>
                <w:szCs w:val="18"/>
                <w:color w:val="auto"/>
                <w:w w:val="97"/>
              </w:rPr>
              <w:t>Greeley 35th Ready</w:t>
            </w: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1"/>
        </w:trPr>
        <w:tc>
          <w:tcPr>
            <w:tcW w:w="1580" w:type="dxa"/>
            <w:vAlign w:val="bottom"/>
          </w:tcPr>
          <w:p>
            <w:pPr>
              <w:spacing w:after="0"/>
              <w:rPr>
                <w:sz w:val="20"/>
                <w:szCs w:val="20"/>
                <w:color w:val="auto"/>
              </w:rPr>
            </w:pPr>
            <w:r>
              <w:rPr>
                <w:rFonts w:ascii="Arial" w:cs="Arial" w:eastAsia="Arial" w:hAnsi="Arial"/>
                <w:sz w:val="18"/>
                <w:szCs w:val="18"/>
                <w:color w:val="auto"/>
              </w:rPr>
              <w:t>Mix</w:t>
            </w:r>
          </w:p>
        </w:tc>
        <w:tc>
          <w:tcPr>
            <w:tcW w:w="840" w:type="dxa"/>
            <w:vAlign w:val="bottom"/>
          </w:tcPr>
          <w:p>
            <w:pPr>
              <w:jc w:val="right"/>
              <w:ind w:right="88"/>
              <w:spacing w:after="0"/>
              <w:rPr>
                <w:sz w:val="20"/>
                <w:szCs w:val="20"/>
                <w:color w:val="auto"/>
              </w:rPr>
            </w:pPr>
            <w:r>
              <w:rPr>
                <w:rFonts w:ascii="Arial" w:cs="Arial" w:eastAsia="Arial" w:hAnsi="Arial"/>
                <w:sz w:val="18"/>
                <w:szCs w:val="18"/>
                <w:color w:val="auto"/>
              </w:rPr>
              <w:t>503215</w:t>
            </w:r>
          </w:p>
        </w:tc>
        <w:tc>
          <w:tcPr>
            <w:tcW w:w="760" w:type="dxa"/>
            <w:vAlign w:val="bottom"/>
          </w:tcPr>
          <w:p>
            <w:pPr>
              <w:jc w:val="center"/>
              <w:ind w:right="108"/>
              <w:spacing w:after="0"/>
              <w:rPr>
                <w:sz w:val="20"/>
                <w:szCs w:val="20"/>
                <w:color w:val="auto"/>
              </w:rPr>
            </w:pPr>
            <w:r>
              <w:rPr>
                <w:rFonts w:ascii="Arial" w:cs="Arial" w:eastAsia="Arial" w:hAnsi="Arial"/>
                <w:sz w:val="18"/>
                <w:szCs w:val="18"/>
                <w:color w:val="auto"/>
                <w:w w:val="79"/>
              </w:rPr>
              <w:t>0</w:t>
            </w:r>
          </w:p>
        </w:tc>
        <w:tc>
          <w:tcPr>
            <w:tcW w:w="84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60"/>
              <w:spacing w:after="0"/>
              <w:rPr>
                <w:sz w:val="20"/>
                <w:szCs w:val="20"/>
                <w:color w:val="auto"/>
              </w:rPr>
            </w:pPr>
            <w:r>
              <w:rPr>
                <w:rFonts w:ascii="Arial" w:cs="Arial" w:eastAsia="Arial" w:hAnsi="Arial"/>
                <w:sz w:val="18"/>
                <w:szCs w:val="18"/>
                <w:color w:val="auto"/>
              </w:rPr>
              <w:t>no</w:t>
            </w:r>
          </w:p>
        </w:tc>
        <w:tc>
          <w:tcPr>
            <w:tcW w:w="820" w:type="dxa"/>
            <w:vAlign w:val="bottom"/>
          </w:tcPr>
          <w:p>
            <w:pPr>
              <w:ind w:left="300"/>
              <w:spacing w:after="0"/>
              <w:rPr>
                <w:sz w:val="20"/>
                <w:szCs w:val="20"/>
                <w:color w:val="auto"/>
              </w:rPr>
            </w:pPr>
            <w:r>
              <w:rPr>
                <w:rFonts w:ascii="Arial" w:cs="Arial" w:eastAsia="Arial" w:hAnsi="Arial"/>
                <w:sz w:val="18"/>
                <w:szCs w:val="18"/>
                <w:color w:val="auto"/>
              </w:rPr>
              <w:t>no</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r>
      <w:tr>
        <w:trPr>
          <w:trHeight w:val="210"/>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Greeley 35th Sand</w:t>
            </w:r>
          </w:p>
        </w:tc>
        <w:tc>
          <w:tcPr>
            <w:tcW w:w="8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31"/>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and Gravel</w:t>
            </w:r>
          </w:p>
        </w:tc>
        <w:tc>
          <w:tcPr>
            <w:tcW w:w="84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504613</w:t>
            </w:r>
          </w:p>
        </w:tc>
        <w:tc>
          <w:tcPr>
            <w:tcW w:w="760" w:type="dxa"/>
            <w:vAlign w:val="bottom"/>
            <w:shd w:val="clear" w:color="auto" w:fill="CFF0FC"/>
          </w:tcPr>
          <w:p>
            <w:pPr>
              <w:jc w:val="center"/>
              <w:ind w:right="108"/>
              <w:spacing w:after="0"/>
              <w:rPr>
                <w:sz w:val="20"/>
                <w:szCs w:val="20"/>
                <w:color w:val="auto"/>
              </w:rPr>
            </w:pPr>
            <w:r>
              <w:rPr>
                <w:rFonts w:ascii="Arial" w:cs="Arial" w:eastAsia="Arial" w:hAnsi="Arial"/>
                <w:sz w:val="18"/>
                <w:szCs w:val="18"/>
                <w:color w:val="auto"/>
                <w:w w:val="79"/>
              </w:rPr>
              <w:t>0</w:t>
            </w:r>
          </w:p>
        </w:tc>
        <w:tc>
          <w:tcPr>
            <w:tcW w:w="84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r>
      <w:tr>
        <w:trPr>
          <w:trHeight w:val="227"/>
        </w:trPr>
        <w:tc>
          <w:tcPr>
            <w:tcW w:w="1580" w:type="dxa"/>
            <w:vAlign w:val="bottom"/>
          </w:tcPr>
          <w:p>
            <w:pPr>
              <w:spacing w:after="0"/>
              <w:rPr>
                <w:sz w:val="20"/>
                <w:szCs w:val="20"/>
                <w:color w:val="auto"/>
              </w:rPr>
            </w:pPr>
            <w:r>
              <w:rPr>
                <w:rFonts w:ascii="Arial" w:cs="Arial" w:eastAsia="Arial" w:hAnsi="Arial"/>
                <w:sz w:val="18"/>
                <w:szCs w:val="18"/>
                <w:color w:val="auto"/>
              </w:rPr>
              <w:t>Guernsey</w:t>
            </w:r>
          </w:p>
        </w:tc>
        <w:tc>
          <w:tcPr>
            <w:tcW w:w="840" w:type="dxa"/>
            <w:vAlign w:val="bottom"/>
          </w:tcPr>
          <w:p>
            <w:pPr>
              <w:jc w:val="right"/>
              <w:ind w:right="88"/>
              <w:spacing w:after="0"/>
              <w:rPr>
                <w:sz w:val="20"/>
                <w:szCs w:val="20"/>
                <w:color w:val="auto"/>
              </w:rPr>
            </w:pPr>
            <w:r>
              <w:rPr>
                <w:rFonts w:ascii="Arial" w:cs="Arial" w:eastAsia="Arial" w:hAnsi="Arial"/>
                <w:sz w:val="18"/>
                <w:szCs w:val="18"/>
                <w:color w:val="auto"/>
                <w:w w:val="91"/>
              </w:rPr>
              <w:t>4800004</w:t>
            </w:r>
          </w:p>
        </w:tc>
        <w:tc>
          <w:tcPr>
            <w:tcW w:w="760" w:type="dxa"/>
            <w:vAlign w:val="bottom"/>
          </w:tcPr>
          <w:p>
            <w:pPr>
              <w:jc w:val="center"/>
              <w:ind w:right="108"/>
              <w:spacing w:after="0"/>
              <w:rPr>
                <w:sz w:val="20"/>
                <w:szCs w:val="20"/>
                <w:color w:val="auto"/>
              </w:rPr>
            </w:pPr>
            <w:r>
              <w:rPr>
                <w:rFonts w:ascii="Arial" w:cs="Arial" w:eastAsia="Arial" w:hAnsi="Arial"/>
                <w:sz w:val="18"/>
                <w:szCs w:val="18"/>
                <w:color w:val="auto"/>
                <w:w w:val="79"/>
              </w:rPr>
              <w:t>0</w:t>
            </w:r>
          </w:p>
        </w:tc>
        <w:tc>
          <w:tcPr>
            <w:tcW w:w="84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60"/>
              <w:spacing w:after="0"/>
              <w:rPr>
                <w:sz w:val="20"/>
                <w:szCs w:val="20"/>
                <w:color w:val="auto"/>
              </w:rPr>
            </w:pPr>
            <w:r>
              <w:rPr>
                <w:rFonts w:ascii="Arial" w:cs="Arial" w:eastAsia="Arial" w:hAnsi="Arial"/>
                <w:sz w:val="18"/>
                <w:szCs w:val="18"/>
                <w:color w:val="auto"/>
              </w:rPr>
              <w:t>no</w:t>
            </w:r>
          </w:p>
        </w:tc>
        <w:tc>
          <w:tcPr>
            <w:tcW w:w="820" w:type="dxa"/>
            <w:vAlign w:val="bottom"/>
          </w:tcPr>
          <w:p>
            <w:pPr>
              <w:ind w:left="300"/>
              <w:spacing w:after="0"/>
              <w:rPr>
                <w:sz w:val="20"/>
                <w:szCs w:val="20"/>
                <w:color w:val="auto"/>
              </w:rPr>
            </w:pPr>
            <w:r>
              <w:rPr>
                <w:rFonts w:ascii="Arial" w:cs="Arial" w:eastAsia="Arial" w:hAnsi="Arial"/>
                <w:sz w:val="18"/>
                <w:szCs w:val="18"/>
                <w:color w:val="auto"/>
              </w:rPr>
              <w:t>no</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r>
      <w:tr>
        <w:trPr>
          <w:trHeight w:val="227"/>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Milford</w:t>
            </w:r>
          </w:p>
        </w:tc>
        <w:tc>
          <w:tcPr>
            <w:tcW w:w="84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w w:val="91"/>
              </w:rPr>
              <w:t>4202177</w:t>
            </w:r>
          </w:p>
        </w:tc>
        <w:tc>
          <w:tcPr>
            <w:tcW w:w="760" w:type="dxa"/>
            <w:vAlign w:val="bottom"/>
            <w:shd w:val="clear" w:color="auto" w:fill="CFF0FC"/>
          </w:tcPr>
          <w:p>
            <w:pPr>
              <w:jc w:val="center"/>
              <w:ind w:right="108"/>
              <w:spacing w:after="0"/>
              <w:rPr>
                <w:sz w:val="20"/>
                <w:szCs w:val="20"/>
                <w:color w:val="auto"/>
              </w:rPr>
            </w:pPr>
            <w:r>
              <w:rPr>
                <w:rFonts w:ascii="Arial" w:cs="Arial" w:eastAsia="Arial" w:hAnsi="Arial"/>
                <w:sz w:val="18"/>
                <w:szCs w:val="18"/>
                <w:color w:val="auto"/>
                <w:w w:val="79"/>
              </w:rPr>
              <w:t>0</w:t>
            </w:r>
          </w:p>
        </w:tc>
        <w:tc>
          <w:tcPr>
            <w:tcW w:w="84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r>
      <w:tr>
        <w:trPr>
          <w:trHeight w:val="210"/>
        </w:trPr>
        <w:tc>
          <w:tcPr>
            <w:tcW w:w="1580" w:type="dxa"/>
            <w:vAlign w:val="bottom"/>
          </w:tcPr>
          <w:p>
            <w:pPr>
              <w:spacing w:after="0"/>
              <w:rPr>
                <w:sz w:val="20"/>
                <w:szCs w:val="20"/>
                <w:color w:val="auto"/>
              </w:rPr>
            </w:pPr>
            <w:r>
              <w:rPr>
                <w:rFonts w:ascii="Arial" w:cs="Arial" w:eastAsia="Arial" w:hAnsi="Arial"/>
                <w:sz w:val="18"/>
                <w:szCs w:val="18"/>
                <w:color w:val="auto"/>
              </w:rPr>
              <w:t>Northern Portable</w:t>
            </w: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1"/>
        </w:trPr>
        <w:tc>
          <w:tcPr>
            <w:tcW w:w="1580" w:type="dxa"/>
            <w:vAlign w:val="bottom"/>
          </w:tcPr>
          <w:p>
            <w:pPr>
              <w:spacing w:after="0"/>
              <w:rPr>
                <w:sz w:val="20"/>
                <w:szCs w:val="20"/>
                <w:color w:val="auto"/>
              </w:rPr>
            </w:pPr>
            <w:r>
              <w:rPr>
                <w:rFonts w:ascii="Arial" w:cs="Arial" w:eastAsia="Arial" w:hAnsi="Arial"/>
                <w:sz w:val="18"/>
                <w:szCs w:val="18"/>
                <w:color w:val="auto"/>
              </w:rPr>
              <w:t>Plant #3</w:t>
            </w:r>
          </w:p>
        </w:tc>
        <w:tc>
          <w:tcPr>
            <w:tcW w:w="840" w:type="dxa"/>
            <w:vAlign w:val="bottom"/>
          </w:tcPr>
          <w:p>
            <w:pPr>
              <w:jc w:val="right"/>
              <w:ind w:right="88"/>
              <w:spacing w:after="0"/>
              <w:rPr>
                <w:sz w:val="20"/>
                <w:szCs w:val="20"/>
                <w:color w:val="auto"/>
              </w:rPr>
            </w:pPr>
            <w:r>
              <w:rPr>
                <w:rFonts w:ascii="Arial" w:cs="Arial" w:eastAsia="Arial" w:hAnsi="Arial"/>
                <w:sz w:val="18"/>
                <w:szCs w:val="18"/>
                <w:color w:val="auto"/>
              </w:rPr>
              <w:t>504361</w:t>
            </w:r>
          </w:p>
        </w:tc>
        <w:tc>
          <w:tcPr>
            <w:tcW w:w="760" w:type="dxa"/>
            <w:vAlign w:val="bottom"/>
          </w:tcPr>
          <w:p>
            <w:pPr>
              <w:jc w:val="center"/>
              <w:ind w:right="108"/>
              <w:spacing w:after="0"/>
              <w:rPr>
                <w:sz w:val="20"/>
                <w:szCs w:val="20"/>
                <w:color w:val="auto"/>
              </w:rPr>
            </w:pPr>
            <w:r>
              <w:rPr>
                <w:rFonts w:ascii="Arial" w:cs="Arial" w:eastAsia="Arial" w:hAnsi="Arial"/>
                <w:sz w:val="18"/>
                <w:szCs w:val="18"/>
                <w:color w:val="auto"/>
                <w:w w:val="79"/>
              </w:rPr>
              <w:t>0</w:t>
            </w:r>
          </w:p>
        </w:tc>
        <w:tc>
          <w:tcPr>
            <w:tcW w:w="84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60"/>
              <w:spacing w:after="0"/>
              <w:rPr>
                <w:sz w:val="20"/>
                <w:szCs w:val="20"/>
                <w:color w:val="auto"/>
              </w:rPr>
            </w:pPr>
            <w:r>
              <w:rPr>
                <w:rFonts w:ascii="Arial" w:cs="Arial" w:eastAsia="Arial" w:hAnsi="Arial"/>
                <w:sz w:val="18"/>
                <w:szCs w:val="18"/>
                <w:color w:val="auto"/>
              </w:rPr>
              <w:t>no</w:t>
            </w:r>
          </w:p>
        </w:tc>
        <w:tc>
          <w:tcPr>
            <w:tcW w:w="820" w:type="dxa"/>
            <w:vAlign w:val="bottom"/>
          </w:tcPr>
          <w:p>
            <w:pPr>
              <w:ind w:left="300"/>
              <w:spacing w:after="0"/>
              <w:rPr>
                <w:sz w:val="20"/>
                <w:szCs w:val="20"/>
                <w:color w:val="auto"/>
              </w:rPr>
            </w:pPr>
            <w:r>
              <w:rPr>
                <w:rFonts w:ascii="Arial" w:cs="Arial" w:eastAsia="Arial" w:hAnsi="Arial"/>
                <w:sz w:val="18"/>
                <w:szCs w:val="18"/>
                <w:color w:val="auto"/>
              </w:rPr>
              <w:t>no</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r>
      <w:tr>
        <w:trPr>
          <w:trHeight w:val="210"/>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Northern Portable</w:t>
            </w:r>
          </w:p>
        </w:tc>
        <w:tc>
          <w:tcPr>
            <w:tcW w:w="8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31"/>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Plant #19</w:t>
            </w:r>
          </w:p>
        </w:tc>
        <w:tc>
          <w:tcPr>
            <w:tcW w:w="84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504382</w:t>
            </w:r>
          </w:p>
        </w:tc>
        <w:tc>
          <w:tcPr>
            <w:tcW w:w="760" w:type="dxa"/>
            <w:vAlign w:val="bottom"/>
            <w:shd w:val="clear" w:color="auto" w:fill="CFF0FC"/>
          </w:tcPr>
          <w:p>
            <w:pPr>
              <w:jc w:val="center"/>
              <w:ind w:right="108"/>
              <w:spacing w:after="0"/>
              <w:rPr>
                <w:sz w:val="20"/>
                <w:szCs w:val="20"/>
                <w:color w:val="auto"/>
              </w:rPr>
            </w:pPr>
            <w:r>
              <w:rPr>
                <w:rFonts w:ascii="Arial" w:cs="Arial" w:eastAsia="Arial" w:hAnsi="Arial"/>
                <w:sz w:val="18"/>
                <w:szCs w:val="18"/>
                <w:color w:val="auto"/>
                <w:w w:val="79"/>
              </w:rPr>
              <w:t>0</w:t>
            </w:r>
          </w:p>
        </w:tc>
        <w:tc>
          <w:tcPr>
            <w:tcW w:w="84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r>
      <w:tr>
        <w:trPr>
          <w:trHeight w:val="227"/>
        </w:trPr>
        <w:tc>
          <w:tcPr>
            <w:tcW w:w="1580" w:type="dxa"/>
            <w:vAlign w:val="bottom"/>
          </w:tcPr>
          <w:p>
            <w:pPr>
              <w:spacing w:after="0"/>
              <w:rPr>
                <w:sz w:val="20"/>
                <w:szCs w:val="20"/>
                <w:color w:val="auto"/>
              </w:rPr>
            </w:pPr>
            <w:r>
              <w:rPr>
                <w:rFonts w:ascii="Arial" w:cs="Arial" w:eastAsia="Arial" w:hAnsi="Arial"/>
                <w:sz w:val="18"/>
                <w:szCs w:val="18"/>
                <w:color w:val="auto"/>
              </w:rPr>
              <w:t>Parkdale Quarry</w:t>
            </w:r>
          </w:p>
        </w:tc>
        <w:tc>
          <w:tcPr>
            <w:tcW w:w="840" w:type="dxa"/>
            <w:vAlign w:val="bottom"/>
          </w:tcPr>
          <w:p>
            <w:pPr>
              <w:jc w:val="right"/>
              <w:ind w:right="88"/>
              <w:spacing w:after="0"/>
              <w:rPr>
                <w:sz w:val="20"/>
                <w:szCs w:val="20"/>
                <w:color w:val="auto"/>
              </w:rPr>
            </w:pPr>
            <w:r>
              <w:rPr>
                <w:rFonts w:ascii="Arial" w:cs="Arial" w:eastAsia="Arial" w:hAnsi="Arial"/>
                <w:sz w:val="18"/>
                <w:szCs w:val="18"/>
                <w:color w:val="auto"/>
              </w:rPr>
              <w:t>504635</w:t>
            </w:r>
          </w:p>
        </w:tc>
        <w:tc>
          <w:tcPr>
            <w:tcW w:w="760" w:type="dxa"/>
            <w:vAlign w:val="bottom"/>
          </w:tcPr>
          <w:p>
            <w:pPr>
              <w:jc w:val="center"/>
              <w:ind w:right="108"/>
              <w:spacing w:after="0"/>
              <w:rPr>
                <w:sz w:val="20"/>
                <w:szCs w:val="20"/>
                <w:color w:val="auto"/>
              </w:rPr>
            </w:pPr>
            <w:r>
              <w:rPr>
                <w:rFonts w:ascii="Arial" w:cs="Arial" w:eastAsia="Arial" w:hAnsi="Arial"/>
                <w:sz w:val="18"/>
                <w:szCs w:val="18"/>
                <w:color w:val="auto"/>
                <w:w w:val="79"/>
              </w:rPr>
              <w:t>0</w:t>
            </w:r>
          </w:p>
        </w:tc>
        <w:tc>
          <w:tcPr>
            <w:tcW w:w="840" w:type="dxa"/>
            <w:vAlign w:val="bottom"/>
          </w:tcPr>
          <w:p>
            <w:pPr>
              <w:jc w:val="right"/>
              <w:ind w:right="268"/>
              <w:spacing w:after="0"/>
              <w:rPr>
                <w:sz w:val="20"/>
                <w:szCs w:val="20"/>
                <w:color w:val="auto"/>
              </w:rPr>
            </w:pPr>
            <w:r>
              <w:rPr>
                <w:rFonts w:ascii="Arial" w:cs="Arial" w:eastAsia="Arial" w:hAnsi="Arial"/>
                <w:sz w:val="18"/>
                <w:szCs w:val="18"/>
                <w:color w:val="auto"/>
              </w:rPr>
              <w:t>4</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60"/>
              <w:spacing w:after="0"/>
              <w:rPr>
                <w:sz w:val="20"/>
                <w:szCs w:val="20"/>
                <w:color w:val="auto"/>
              </w:rPr>
            </w:pPr>
            <w:r>
              <w:rPr>
                <w:rFonts w:ascii="Arial" w:cs="Arial" w:eastAsia="Arial" w:hAnsi="Arial"/>
                <w:sz w:val="18"/>
                <w:szCs w:val="18"/>
                <w:color w:val="auto"/>
              </w:rPr>
              <w:t>no</w:t>
            </w:r>
          </w:p>
        </w:tc>
        <w:tc>
          <w:tcPr>
            <w:tcW w:w="820" w:type="dxa"/>
            <w:vAlign w:val="bottom"/>
          </w:tcPr>
          <w:p>
            <w:pPr>
              <w:ind w:left="300"/>
              <w:spacing w:after="0"/>
              <w:rPr>
                <w:sz w:val="20"/>
                <w:szCs w:val="20"/>
                <w:color w:val="auto"/>
              </w:rPr>
            </w:pPr>
            <w:r>
              <w:rPr>
                <w:rFonts w:ascii="Arial" w:cs="Arial" w:eastAsia="Arial" w:hAnsi="Arial"/>
                <w:sz w:val="18"/>
                <w:szCs w:val="18"/>
                <w:color w:val="auto"/>
              </w:rPr>
              <w:t>no</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r>
      <w:tr>
        <w:trPr>
          <w:trHeight w:val="227"/>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Penrose SG</w:t>
            </w:r>
          </w:p>
        </w:tc>
        <w:tc>
          <w:tcPr>
            <w:tcW w:w="84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504509</w:t>
            </w:r>
          </w:p>
        </w:tc>
        <w:tc>
          <w:tcPr>
            <w:tcW w:w="760" w:type="dxa"/>
            <w:vAlign w:val="bottom"/>
            <w:shd w:val="clear" w:color="auto" w:fill="CFF0FC"/>
          </w:tcPr>
          <w:p>
            <w:pPr>
              <w:jc w:val="center"/>
              <w:ind w:right="108"/>
              <w:spacing w:after="0"/>
              <w:rPr>
                <w:sz w:val="20"/>
                <w:szCs w:val="20"/>
                <w:color w:val="auto"/>
              </w:rPr>
            </w:pPr>
            <w:r>
              <w:rPr>
                <w:rFonts w:ascii="Arial" w:cs="Arial" w:eastAsia="Arial" w:hAnsi="Arial"/>
                <w:sz w:val="18"/>
                <w:szCs w:val="18"/>
                <w:color w:val="auto"/>
                <w:w w:val="79"/>
              </w:rPr>
              <w:t>0</w:t>
            </w:r>
          </w:p>
        </w:tc>
        <w:tc>
          <w:tcPr>
            <w:tcW w:w="84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300</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r>
      <w:tr>
        <w:trPr>
          <w:trHeight w:val="227"/>
        </w:trPr>
        <w:tc>
          <w:tcPr>
            <w:tcW w:w="1580" w:type="dxa"/>
            <w:vAlign w:val="bottom"/>
          </w:tcPr>
          <w:p>
            <w:pPr>
              <w:spacing w:after="0"/>
              <w:rPr>
                <w:sz w:val="20"/>
                <w:szCs w:val="20"/>
                <w:color w:val="auto"/>
              </w:rPr>
            </w:pPr>
            <w:r>
              <w:rPr>
                <w:rFonts w:ascii="Arial" w:cs="Arial" w:eastAsia="Arial" w:hAnsi="Arial"/>
                <w:sz w:val="18"/>
                <w:szCs w:val="18"/>
                <w:color w:val="auto"/>
              </w:rPr>
              <w:t>Portable Crushing</w:t>
            </w:r>
          </w:p>
        </w:tc>
        <w:tc>
          <w:tcPr>
            <w:tcW w:w="840" w:type="dxa"/>
            <w:vAlign w:val="bottom"/>
          </w:tcPr>
          <w:p>
            <w:pPr>
              <w:jc w:val="right"/>
              <w:ind w:right="88"/>
              <w:spacing w:after="0"/>
              <w:rPr>
                <w:sz w:val="20"/>
                <w:szCs w:val="20"/>
                <w:color w:val="auto"/>
              </w:rPr>
            </w:pPr>
            <w:r>
              <w:rPr>
                <w:rFonts w:ascii="Arial" w:cs="Arial" w:eastAsia="Arial" w:hAnsi="Arial"/>
                <w:sz w:val="18"/>
                <w:szCs w:val="18"/>
                <w:color w:val="auto"/>
              </w:rPr>
              <w:t>503984</w:t>
            </w:r>
          </w:p>
        </w:tc>
        <w:tc>
          <w:tcPr>
            <w:tcW w:w="760" w:type="dxa"/>
            <w:vAlign w:val="bottom"/>
          </w:tcPr>
          <w:p>
            <w:pPr>
              <w:jc w:val="center"/>
              <w:ind w:right="108"/>
              <w:spacing w:after="0"/>
              <w:rPr>
                <w:sz w:val="20"/>
                <w:szCs w:val="20"/>
                <w:color w:val="auto"/>
              </w:rPr>
            </w:pPr>
            <w:r>
              <w:rPr>
                <w:rFonts w:ascii="Arial" w:cs="Arial" w:eastAsia="Arial" w:hAnsi="Arial"/>
                <w:sz w:val="18"/>
                <w:szCs w:val="18"/>
                <w:color w:val="auto"/>
                <w:w w:val="79"/>
              </w:rPr>
              <w:t>0</w:t>
            </w:r>
          </w:p>
        </w:tc>
        <w:tc>
          <w:tcPr>
            <w:tcW w:w="84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60"/>
              <w:spacing w:after="0"/>
              <w:rPr>
                <w:sz w:val="20"/>
                <w:szCs w:val="20"/>
                <w:color w:val="auto"/>
              </w:rPr>
            </w:pPr>
            <w:r>
              <w:rPr>
                <w:rFonts w:ascii="Arial" w:cs="Arial" w:eastAsia="Arial" w:hAnsi="Arial"/>
                <w:sz w:val="18"/>
                <w:szCs w:val="18"/>
                <w:color w:val="auto"/>
              </w:rPr>
              <w:t>no</w:t>
            </w:r>
          </w:p>
        </w:tc>
        <w:tc>
          <w:tcPr>
            <w:tcW w:w="820" w:type="dxa"/>
            <w:vAlign w:val="bottom"/>
          </w:tcPr>
          <w:p>
            <w:pPr>
              <w:ind w:left="300"/>
              <w:spacing w:after="0"/>
              <w:rPr>
                <w:sz w:val="20"/>
                <w:szCs w:val="20"/>
                <w:color w:val="auto"/>
              </w:rPr>
            </w:pPr>
            <w:r>
              <w:rPr>
                <w:rFonts w:ascii="Arial" w:cs="Arial" w:eastAsia="Arial" w:hAnsi="Arial"/>
                <w:sz w:val="18"/>
                <w:szCs w:val="18"/>
                <w:color w:val="auto"/>
              </w:rPr>
              <w:t>no</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r>
      <w:tr>
        <w:trPr>
          <w:trHeight w:val="227"/>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w w:val="96"/>
              </w:rPr>
              <w:t>Portable Recycle 21</w:t>
            </w:r>
          </w:p>
        </w:tc>
        <w:tc>
          <w:tcPr>
            <w:tcW w:w="84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504520</w:t>
            </w:r>
          </w:p>
        </w:tc>
        <w:tc>
          <w:tcPr>
            <w:tcW w:w="760" w:type="dxa"/>
            <w:vAlign w:val="bottom"/>
            <w:shd w:val="clear" w:color="auto" w:fill="CFF0FC"/>
          </w:tcPr>
          <w:p>
            <w:pPr>
              <w:jc w:val="center"/>
              <w:ind w:right="108"/>
              <w:spacing w:after="0"/>
              <w:rPr>
                <w:sz w:val="20"/>
                <w:szCs w:val="20"/>
                <w:color w:val="auto"/>
              </w:rPr>
            </w:pPr>
            <w:r>
              <w:rPr>
                <w:rFonts w:ascii="Arial" w:cs="Arial" w:eastAsia="Arial" w:hAnsi="Arial"/>
                <w:sz w:val="18"/>
                <w:szCs w:val="18"/>
                <w:color w:val="auto"/>
                <w:w w:val="79"/>
              </w:rPr>
              <w:t>0</w:t>
            </w:r>
          </w:p>
        </w:tc>
        <w:tc>
          <w:tcPr>
            <w:tcW w:w="84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r>
      <w:tr>
        <w:trPr>
          <w:trHeight w:val="227"/>
        </w:trPr>
        <w:tc>
          <w:tcPr>
            <w:tcW w:w="1580" w:type="dxa"/>
            <w:vAlign w:val="bottom"/>
          </w:tcPr>
          <w:p>
            <w:pPr>
              <w:spacing w:after="0"/>
              <w:rPr>
                <w:sz w:val="20"/>
                <w:szCs w:val="20"/>
                <w:color w:val="auto"/>
              </w:rPr>
            </w:pPr>
            <w:r>
              <w:rPr>
                <w:rFonts w:ascii="Arial" w:cs="Arial" w:eastAsia="Arial" w:hAnsi="Arial"/>
                <w:sz w:val="18"/>
                <w:szCs w:val="18"/>
                <w:color w:val="auto"/>
              </w:rPr>
              <w:t>Powers Portable</w:t>
            </w:r>
          </w:p>
        </w:tc>
        <w:tc>
          <w:tcPr>
            <w:tcW w:w="840" w:type="dxa"/>
            <w:vAlign w:val="bottom"/>
          </w:tcPr>
          <w:p>
            <w:pPr>
              <w:jc w:val="right"/>
              <w:ind w:right="88"/>
              <w:spacing w:after="0"/>
              <w:rPr>
                <w:sz w:val="20"/>
                <w:szCs w:val="20"/>
                <w:color w:val="auto"/>
              </w:rPr>
            </w:pPr>
            <w:r>
              <w:rPr>
                <w:rFonts w:ascii="Arial" w:cs="Arial" w:eastAsia="Arial" w:hAnsi="Arial"/>
                <w:sz w:val="18"/>
                <w:szCs w:val="18"/>
                <w:color w:val="auto"/>
              </w:rPr>
              <w:t>504531</w:t>
            </w:r>
          </w:p>
        </w:tc>
        <w:tc>
          <w:tcPr>
            <w:tcW w:w="760" w:type="dxa"/>
            <w:vAlign w:val="bottom"/>
          </w:tcPr>
          <w:p>
            <w:pPr>
              <w:jc w:val="center"/>
              <w:ind w:right="108"/>
              <w:spacing w:after="0"/>
              <w:rPr>
                <w:sz w:val="20"/>
                <w:szCs w:val="20"/>
                <w:color w:val="auto"/>
              </w:rPr>
            </w:pPr>
            <w:r>
              <w:rPr>
                <w:rFonts w:ascii="Arial" w:cs="Arial" w:eastAsia="Arial" w:hAnsi="Arial"/>
                <w:sz w:val="18"/>
                <w:szCs w:val="18"/>
                <w:color w:val="auto"/>
                <w:w w:val="79"/>
              </w:rPr>
              <w:t>0</w:t>
            </w:r>
          </w:p>
        </w:tc>
        <w:tc>
          <w:tcPr>
            <w:tcW w:w="84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60"/>
              <w:spacing w:after="0"/>
              <w:rPr>
                <w:sz w:val="20"/>
                <w:szCs w:val="20"/>
                <w:color w:val="auto"/>
              </w:rPr>
            </w:pPr>
            <w:r>
              <w:rPr>
                <w:rFonts w:ascii="Arial" w:cs="Arial" w:eastAsia="Arial" w:hAnsi="Arial"/>
                <w:sz w:val="18"/>
                <w:szCs w:val="18"/>
                <w:color w:val="auto"/>
              </w:rPr>
              <w:t>no</w:t>
            </w:r>
          </w:p>
        </w:tc>
        <w:tc>
          <w:tcPr>
            <w:tcW w:w="820" w:type="dxa"/>
            <w:vAlign w:val="bottom"/>
          </w:tcPr>
          <w:p>
            <w:pPr>
              <w:ind w:left="300"/>
              <w:spacing w:after="0"/>
              <w:rPr>
                <w:sz w:val="20"/>
                <w:szCs w:val="20"/>
                <w:color w:val="auto"/>
              </w:rPr>
            </w:pPr>
            <w:r>
              <w:rPr>
                <w:rFonts w:ascii="Arial" w:cs="Arial" w:eastAsia="Arial" w:hAnsi="Arial"/>
                <w:sz w:val="18"/>
                <w:szCs w:val="18"/>
                <w:color w:val="auto"/>
              </w:rPr>
              <w:t>no</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r>
      <w:tr>
        <w:trPr>
          <w:trHeight w:val="227"/>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w w:val="97"/>
              </w:rPr>
              <w:t>Red Canyon Quarry</w:t>
            </w:r>
          </w:p>
        </w:tc>
        <w:tc>
          <w:tcPr>
            <w:tcW w:w="84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504136</w:t>
            </w:r>
          </w:p>
        </w:tc>
        <w:tc>
          <w:tcPr>
            <w:tcW w:w="760" w:type="dxa"/>
            <w:vAlign w:val="bottom"/>
            <w:shd w:val="clear" w:color="auto" w:fill="CFF0FC"/>
          </w:tcPr>
          <w:p>
            <w:pPr>
              <w:jc w:val="center"/>
              <w:ind w:right="108"/>
              <w:spacing w:after="0"/>
              <w:rPr>
                <w:sz w:val="20"/>
                <w:szCs w:val="20"/>
                <w:color w:val="auto"/>
              </w:rPr>
            </w:pPr>
            <w:r>
              <w:rPr>
                <w:rFonts w:ascii="Arial" w:cs="Arial" w:eastAsia="Arial" w:hAnsi="Arial"/>
                <w:sz w:val="18"/>
                <w:szCs w:val="18"/>
                <w:color w:val="auto"/>
                <w:w w:val="79"/>
              </w:rPr>
              <w:t>0</w:t>
            </w:r>
          </w:p>
        </w:tc>
        <w:tc>
          <w:tcPr>
            <w:tcW w:w="84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r>
      <w:tr>
        <w:trPr>
          <w:trHeight w:val="210"/>
        </w:trPr>
        <w:tc>
          <w:tcPr>
            <w:tcW w:w="1580" w:type="dxa"/>
            <w:vAlign w:val="bottom"/>
          </w:tcPr>
          <w:p>
            <w:pPr>
              <w:spacing w:after="0"/>
              <w:rPr>
                <w:sz w:val="20"/>
                <w:szCs w:val="20"/>
                <w:color w:val="auto"/>
              </w:rPr>
            </w:pPr>
            <w:r>
              <w:rPr>
                <w:rFonts w:ascii="Arial" w:cs="Arial" w:eastAsia="Arial" w:hAnsi="Arial"/>
                <w:sz w:val="18"/>
                <w:szCs w:val="18"/>
                <w:color w:val="auto"/>
                <w:w w:val="95"/>
              </w:rPr>
              <w:t>Riverbend Sand and</w:t>
            </w: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1"/>
        </w:trPr>
        <w:tc>
          <w:tcPr>
            <w:tcW w:w="1580" w:type="dxa"/>
            <w:vAlign w:val="bottom"/>
          </w:tcPr>
          <w:p>
            <w:pPr>
              <w:spacing w:after="0"/>
              <w:rPr>
                <w:sz w:val="20"/>
                <w:szCs w:val="20"/>
                <w:color w:val="auto"/>
              </w:rPr>
            </w:pPr>
            <w:r>
              <w:rPr>
                <w:rFonts w:ascii="Arial" w:cs="Arial" w:eastAsia="Arial" w:hAnsi="Arial"/>
                <w:sz w:val="18"/>
                <w:szCs w:val="18"/>
                <w:color w:val="auto"/>
              </w:rPr>
              <w:t>Gravel</w:t>
            </w:r>
          </w:p>
        </w:tc>
        <w:tc>
          <w:tcPr>
            <w:tcW w:w="840" w:type="dxa"/>
            <w:vAlign w:val="bottom"/>
          </w:tcPr>
          <w:p>
            <w:pPr>
              <w:jc w:val="right"/>
              <w:ind w:right="88"/>
              <w:spacing w:after="0"/>
              <w:rPr>
                <w:sz w:val="20"/>
                <w:szCs w:val="20"/>
                <w:color w:val="auto"/>
              </w:rPr>
            </w:pPr>
            <w:r>
              <w:rPr>
                <w:rFonts w:ascii="Arial" w:cs="Arial" w:eastAsia="Arial" w:hAnsi="Arial"/>
                <w:sz w:val="18"/>
                <w:szCs w:val="18"/>
                <w:color w:val="auto"/>
              </w:rPr>
              <w:t>504841</w:t>
            </w:r>
          </w:p>
        </w:tc>
        <w:tc>
          <w:tcPr>
            <w:tcW w:w="760" w:type="dxa"/>
            <w:vAlign w:val="bottom"/>
          </w:tcPr>
          <w:p>
            <w:pPr>
              <w:jc w:val="center"/>
              <w:ind w:right="108"/>
              <w:spacing w:after="0"/>
              <w:rPr>
                <w:sz w:val="20"/>
                <w:szCs w:val="20"/>
                <w:color w:val="auto"/>
              </w:rPr>
            </w:pPr>
            <w:r>
              <w:rPr>
                <w:rFonts w:ascii="Arial" w:cs="Arial" w:eastAsia="Arial" w:hAnsi="Arial"/>
                <w:sz w:val="18"/>
                <w:szCs w:val="18"/>
                <w:color w:val="auto"/>
                <w:w w:val="79"/>
              </w:rPr>
              <w:t>0</w:t>
            </w:r>
          </w:p>
        </w:tc>
        <w:tc>
          <w:tcPr>
            <w:tcW w:w="84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60"/>
              <w:spacing w:after="0"/>
              <w:rPr>
                <w:sz w:val="20"/>
                <w:szCs w:val="20"/>
                <w:color w:val="auto"/>
              </w:rPr>
            </w:pPr>
            <w:r>
              <w:rPr>
                <w:rFonts w:ascii="Arial" w:cs="Arial" w:eastAsia="Arial" w:hAnsi="Arial"/>
                <w:sz w:val="18"/>
                <w:szCs w:val="18"/>
                <w:color w:val="auto"/>
              </w:rPr>
              <w:t>no</w:t>
            </w:r>
          </w:p>
        </w:tc>
        <w:tc>
          <w:tcPr>
            <w:tcW w:w="820" w:type="dxa"/>
            <w:vAlign w:val="bottom"/>
          </w:tcPr>
          <w:p>
            <w:pPr>
              <w:ind w:left="300"/>
              <w:spacing w:after="0"/>
              <w:rPr>
                <w:sz w:val="20"/>
                <w:szCs w:val="20"/>
                <w:color w:val="auto"/>
              </w:rPr>
            </w:pPr>
            <w:r>
              <w:rPr>
                <w:rFonts w:ascii="Arial" w:cs="Arial" w:eastAsia="Arial" w:hAnsi="Arial"/>
                <w:sz w:val="18"/>
                <w:szCs w:val="18"/>
                <w:color w:val="auto"/>
              </w:rPr>
              <w:t>no</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r>
      <w:tr>
        <w:trPr>
          <w:trHeight w:val="227"/>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Sokol SG</w:t>
            </w:r>
          </w:p>
        </w:tc>
        <w:tc>
          <w:tcPr>
            <w:tcW w:w="84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504977</w:t>
            </w:r>
          </w:p>
        </w:tc>
        <w:tc>
          <w:tcPr>
            <w:tcW w:w="760" w:type="dxa"/>
            <w:vAlign w:val="bottom"/>
            <w:shd w:val="clear" w:color="auto" w:fill="CFF0FC"/>
          </w:tcPr>
          <w:p>
            <w:pPr>
              <w:jc w:val="center"/>
              <w:ind w:right="108"/>
              <w:spacing w:after="0"/>
              <w:rPr>
                <w:sz w:val="20"/>
                <w:szCs w:val="20"/>
                <w:color w:val="auto"/>
              </w:rPr>
            </w:pPr>
            <w:r>
              <w:rPr>
                <w:rFonts w:ascii="Arial" w:cs="Arial" w:eastAsia="Arial" w:hAnsi="Arial"/>
                <w:sz w:val="18"/>
                <w:szCs w:val="18"/>
                <w:color w:val="auto"/>
                <w:w w:val="79"/>
              </w:rPr>
              <w:t>0</w:t>
            </w:r>
          </w:p>
        </w:tc>
        <w:tc>
          <w:tcPr>
            <w:tcW w:w="84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r>
      <w:tr>
        <w:trPr>
          <w:trHeight w:val="210"/>
        </w:trPr>
        <w:tc>
          <w:tcPr>
            <w:tcW w:w="1580" w:type="dxa"/>
            <w:vAlign w:val="bottom"/>
          </w:tcPr>
          <w:p>
            <w:pPr>
              <w:spacing w:after="0"/>
              <w:rPr>
                <w:sz w:val="20"/>
                <w:szCs w:val="20"/>
                <w:color w:val="auto"/>
              </w:rPr>
            </w:pPr>
            <w:r>
              <w:rPr>
                <w:rFonts w:ascii="Arial" w:cs="Arial" w:eastAsia="Arial" w:hAnsi="Arial"/>
                <w:sz w:val="18"/>
                <w:szCs w:val="18"/>
                <w:color w:val="auto"/>
                <w:w w:val="98"/>
              </w:rPr>
              <w:t>Spanish Springs Co</w:t>
            </w: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1"/>
        </w:trPr>
        <w:tc>
          <w:tcPr>
            <w:tcW w:w="1580" w:type="dxa"/>
            <w:vAlign w:val="bottom"/>
          </w:tcPr>
          <w:p>
            <w:pPr>
              <w:spacing w:after="0"/>
              <w:rPr>
                <w:sz w:val="20"/>
                <w:szCs w:val="20"/>
                <w:color w:val="auto"/>
              </w:rPr>
            </w:pPr>
            <w:r>
              <w:rPr>
                <w:rFonts w:ascii="Arial" w:cs="Arial" w:eastAsia="Arial" w:hAnsi="Arial"/>
                <w:sz w:val="18"/>
                <w:szCs w:val="18"/>
                <w:color w:val="auto"/>
              </w:rPr>
              <w:t>2</w:t>
            </w:r>
          </w:p>
        </w:tc>
        <w:tc>
          <w:tcPr>
            <w:tcW w:w="840" w:type="dxa"/>
            <w:vAlign w:val="bottom"/>
          </w:tcPr>
          <w:p>
            <w:pPr>
              <w:jc w:val="right"/>
              <w:ind w:right="88"/>
              <w:spacing w:after="0"/>
              <w:rPr>
                <w:sz w:val="20"/>
                <w:szCs w:val="20"/>
                <w:color w:val="auto"/>
              </w:rPr>
            </w:pPr>
            <w:r>
              <w:rPr>
                <w:rFonts w:ascii="Arial" w:cs="Arial" w:eastAsia="Arial" w:hAnsi="Arial"/>
                <w:sz w:val="18"/>
                <w:szCs w:val="18"/>
                <w:color w:val="auto"/>
                <w:w w:val="91"/>
              </w:rPr>
              <w:t>2600803</w:t>
            </w:r>
          </w:p>
        </w:tc>
        <w:tc>
          <w:tcPr>
            <w:tcW w:w="760" w:type="dxa"/>
            <w:vAlign w:val="bottom"/>
          </w:tcPr>
          <w:p>
            <w:pPr>
              <w:jc w:val="center"/>
              <w:ind w:right="108"/>
              <w:spacing w:after="0"/>
              <w:rPr>
                <w:sz w:val="20"/>
                <w:szCs w:val="20"/>
                <w:color w:val="auto"/>
              </w:rPr>
            </w:pPr>
            <w:r>
              <w:rPr>
                <w:rFonts w:ascii="Arial" w:cs="Arial" w:eastAsia="Arial" w:hAnsi="Arial"/>
                <w:sz w:val="18"/>
                <w:szCs w:val="18"/>
                <w:color w:val="auto"/>
                <w:w w:val="79"/>
              </w:rPr>
              <w:t>3</w:t>
            </w:r>
          </w:p>
        </w:tc>
        <w:tc>
          <w:tcPr>
            <w:tcW w:w="84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60"/>
              <w:spacing w:after="0"/>
              <w:rPr>
                <w:sz w:val="20"/>
                <w:szCs w:val="20"/>
                <w:color w:val="auto"/>
              </w:rPr>
            </w:pPr>
            <w:r>
              <w:rPr>
                <w:rFonts w:ascii="Arial" w:cs="Arial" w:eastAsia="Arial" w:hAnsi="Arial"/>
                <w:sz w:val="18"/>
                <w:szCs w:val="18"/>
                <w:color w:val="auto"/>
              </w:rPr>
              <w:t>no</w:t>
            </w:r>
          </w:p>
        </w:tc>
        <w:tc>
          <w:tcPr>
            <w:tcW w:w="820" w:type="dxa"/>
            <w:vAlign w:val="bottom"/>
          </w:tcPr>
          <w:p>
            <w:pPr>
              <w:ind w:left="300"/>
              <w:spacing w:after="0"/>
              <w:rPr>
                <w:sz w:val="20"/>
                <w:szCs w:val="20"/>
                <w:color w:val="auto"/>
              </w:rPr>
            </w:pPr>
            <w:r>
              <w:rPr>
                <w:rFonts w:ascii="Arial" w:cs="Arial" w:eastAsia="Arial" w:hAnsi="Arial"/>
                <w:sz w:val="18"/>
                <w:szCs w:val="18"/>
                <w:color w:val="auto"/>
              </w:rPr>
              <w:t>no</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r>
      <w:tr>
        <w:trPr>
          <w:trHeight w:val="210"/>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w w:val="97"/>
              </w:rPr>
              <w:t>Spec Agg Sand and</w:t>
            </w:r>
          </w:p>
        </w:tc>
        <w:tc>
          <w:tcPr>
            <w:tcW w:w="8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31"/>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Gravel</w:t>
            </w:r>
          </w:p>
        </w:tc>
        <w:tc>
          <w:tcPr>
            <w:tcW w:w="84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500860</w:t>
            </w:r>
          </w:p>
        </w:tc>
        <w:tc>
          <w:tcPr>
            <w:tcW w:w="760" w:type="dxa"/>
            <w:vAlign w:val="bottom"/>
            <w:shd w:val="clear" w:color="auto" w:fill="CFF0FC"/>
          </w:tcPr>
          <w:p>
            <w:pPr>
              <w:jc w:val="center"/>
              <w:ind w:right="108"/>
              <w:spacing w:after="0"/>
              <w:rPr>
                <w:sz w:val="20"/>
                <w:szCs w:val="20"/>
                <w:color w:val="auto"/>
              </w:rPr>
            </w:pPr>
            <w:r>
              <w:rPr>
                <w:rFonts w:ascii="Arial" w:cs="Arial" w:eastAsia="Arial" w:hAnsi="Arial"/>
                <w:sz w:val="18"/>
                <w:szCs w:val="18"/>
                <w:color w:val="auto"/>
                <w:w w:val="79"/>
              </w:rPr>
              <w:t>0</w:t>
            </w:r>
          </w:p>
        </w:tc>
        <w:tc>
          <w:tcPr>
            <w:tcW w:w="84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r>
      <w:tr>
        <w:trPr>
          <w:trHeight w:val="227"/>
        </w:trPr>
        <w:tc>
          <w:tcPr>
            <w:tcW w:w="1580" w:type="dxa"/>
            <w:vAlign w:val="bottom"/>
          </w:tcPr>
          <w:p>
            <w:pPr>
              <w:spacing w:after="0"/>
              <w:rPr>
                <w:sz w:val="20"/>
                <w:szCs w:val="20"/>
                <w:color w:val="auto"/>
              </w:rPr>
            </w:pPr>
            <w:r>
              <w:rPr>
                <w:rFonts w:ascii="Arial" w:cs="Arial" w:eastAsia="Arial" w:hAnsi="Arial"/>
                <w:sz w:val="18"/>
                <w:szCs w:val="18"/>
                <w:color w:val="auto"/>
                <w:w w:val="91"/>
              </w:rPr>
              <w:t>Taft Sand and Gravel</w:t>
            </w:r>
          </w:p>
        </w:tc>
        <w:tc>
          <w:tcPr>
            <w:tcW w:w="840" w:type="dxa"/>
            <w:vAlign w:val="bottom"/>
          </w:tcPr>
          <w:p>
            <w:pPr>
              <w:jc w:val="right"/>
              <w:ind w:right="88"/>
              <w:spacing w:after="0"/>
              <w:rPr>
                <w:sz w:val="20"/>
                <w:szCs w:val="20"/>
                <w:color w:val="auto"/>
              </w:rPr>
            </w:pPr>
            <w:r>
              <w:rPr>
                <w:rFonts w:ascii="Arial" w:cs="Arial" w:eastAsia="Arial" w:hAnsi="Arial"/>
                <w:sz w:val="18"/>
                <w:szCs w:val="18"/>
                <w:color w:val="auto"/>
              </w:rPr>
              <w:t>504526</w:t>
            </w:r>
          </w:p>
        </w:tc>
        <w:tc>
          <w:tcPr>
            <w:tcW w:w="760" w:type="dxa"/>
            <w:vAlign w:val="bottom"/>
          </w:tcPr>
          <w:p>
            <w:pPr>
              <w:jc w:val="center"/>
              <w:ind w:right="108"/>
              <w:spacing w:after="0"/>
              <w:rPr>
                <w:sz w:val="20"/>
                <w:szCs w:val="20"/>
                <w:color w:val="auto"/>
              </w:rPr>
            </w:pPr>
            <w:r>
              <w:rPr>
                <w:rFonts w:ascii="Arial" w:cs="Arial" w:eastAsia="Arial" w:hAnsi="Arial"/>
                <w:sz w:val="18"/>
                <w:szCs w:val="18"/>
                <w:color w:val="auto"/>
                <w:w w:val="79"/>
              </w:rPr>
              <w:t>0</w:t>
            </w:r>
          </w:p>
        </w:tc>
        <w:tc>
          <w:tcPr>
            <w:tcW w:w="84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60"/>
              <w:spacing w:after="0"/>
              <w:rPr>
                <w:sz w:val="20"/>
                <w:szCs w:val="20"/>
                <w:color w:val="auto"/>
              </w:rPr>
            </w:pPr>
            <w:r>
              <w:rPr>
                <w:rFonts w:ascii="Arial" w:cs="Arial" w:eastAsia="Arial" w:hAnsi="Arial"/>
                <w:sz w:val="18"/>
                <w:szCs w:val="18"/>
                <w:color w:val="auto"/>
              </w:rPr>
              <w:t>no</w:t>
            </w:r>
          </w:p>
        </w:tc>
        <w:tc>
          <w:tcPr>
            <w:tcW w:w="820" w:type="dxa"/>
            <w:vAlign w:val="bottom"/>
          </w:tcPr>
          <w:p>
            <w:pPr>
              <w:ind w:left="300"/>
              <w:spacing w:after="0"/>
              <w:rPr>
                <w:sz w:val="20"/>
                <w:szCs w:val="20"/>
                <w:color w:val="auto"/>
              </w:rPr>
            </w:pPr>
            <w:r>
              <w:rPr>
                <w:rFonts w:ascii="Arial" w:cs="Arial" w:eastAsia="Arial" w:hAnsi="Arial"/>
                <w:sz w:val="18"/>
                <w:szCs w:val="18"/>
                <w:color w:val="auto"/>
              </w:rPr>
              <w:t>no</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r>
      <w:tr>
        <w:trPr>
          <w:trHeight w:val="227"/>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Taft Shop</w:t>
            </w:r>
          </w:p>
        </w:tc>
        <w:tc>
          <w:tcPr>
            <w:tcW w:w="84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504735</w:t>
            </w:r>
          </w:p>
        </w:tc>
        <w:tc>
          <w:tcPr>
            <w:tcW w:w="760" w:type="dxa"/>
            <w:vAlign w:val="bottom"/>
            <w:shd w:val="clear" w:color="auto" w:fill="CFF0FC"/>
          </w:tcPr>
          <w:p>
            <w:pPr>
              <w:jc w:val="center"/>
              <w:ind w:right="108"/>
              <w:spacing w:after="0"/>
              <w:rPr>
                <w:sz w:val="20"/>
                <w:szCs w:val="20"/>
                <w:color w:val="auto"/>
              </w:rPr>
            </w:pPr>
            <w:r>
              <w:rPr>
                <w:rFonts w:ascii="Arial" w:cs="Arial" w:eastAsia="Arial" w:hAnsi="Arial"/>
                <w:sz w:val="18"/>
                <w:szCs w:val="18"/>
                <w:color w:val="auto"/>
                <w:w w:val="79"/>
              </w:rPr>
              <w:t>0</w:t>
            </w:r>
          </w:p>
        </w:tc>
        <w:tc>
          <w:tcPr>
            <w:tcW w:w="84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r>
      <w:tr>
        <w:trPr>
          <w:trHeight w:val="210"/>
        </w:trPr>
        <w:tc>
          <w:tcPr>
            <w:tcW w:w="1580" w:type="dxa"/>
            <w:vAlign w:val="bottom"/>
          </w:tcPr>
          <w:p>
            <w:pPr>
              <w:spacing w:after="0"/>
              <w:rPr>
                <w:sz w:val="20"/>
                <w:szCs w:val="20"/>
                <w:color w:val="auto"/>
              </w:rPr>
            </w:pPr>
            <w:r>
              <w:rPr>
                <w:rFonts w:ascii="Arial" w:cs="Arial" w:eastAsia="Arial" w:hAnsi="Arial"/>
                <w:sz w:val="18"/>
                <w:szCs w:val="18"/>
                <w:color w:val="auto"/>
              </w:rPr>
              <w:t>Three Bells Ditullio</w:t>
            </w: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1"/>
        </w:trPr>
        <w:tc>
          <w:tcPr>
            <w:tcW w:w="1580" w:type="dxa"/>
            <w:vAlign w:val="bottom"/>
          </w:tcPr>
          <w:p>
            <w:pPr>
              <w:spacing w:after="0"/>
              <w:rPr>
                <w:sz w:val="20"/>
                <w:szCs w:val="20"/>
                <w:color w:val="auto"/>
              </w:rPr>
            </w:pPr>
            <w:r>
              <w:rPr>
                <w:rFonts w:ascii="Arial" w:cs="Arial" w:eastAsia="Arial" w:hAnsi="Arial"/>
                <w:sz w:val="18"/>
                <w:szCs w:val="18"/>
                <w:color w:val="auto"/>
              </w:rPr>
              <w:t>Sand and Gravel</w:t>
            </w:r>
          </w:p>
        </w:tc>
        <w:tc>
          <w:tcPr>
            <w:tcW w:w="840" w:type="dxa"/>
            <w:vAlign w:val="bottom"/>
          </w:tcPr>
          <w:p>
            <w:pPr>
              <w:jc w:val="right"/>
              <w:ind w:right="88"/>
              <w:spacing w:after="0"/>
              <w:rPr>
                <w:sz w:val="20"/>
                <w:szCs w:val="20"/>
                <w:color w:val="auto"/>
              </w:rPr>
            </w:pPr>
            <w:r>
              <w:rPr>
                <w:rFonts w:ascii="Arial" w:cs="Arial" w:eastAsia="Arial" w:hAnsi="Arial"/>
                <w:sz w:val="18"/>
                <w:szCs w:val="18"/>
                <w:color w:val="auto"/>
              </w:rPr>
              <w:t>504361</w:t>
            </w:r>
          </w:p>
        </w:tc>
        <w:tc>
          <w:tcPr>
            <w:tcW w:w="760" w:type="dxa"/>
            <w:vAlign w:val="bottom"/>
          </w:tcPr>
          <w:p>
            <w:pPr>
              <w:jc w:val="center"/>
              <w:ind w:right="108"/>
              <w:spacing w:after="0"/>
              <w:rPr>
                <w:sz w:val="20"/>
                <w:szCs w:val="20"/>
                <w:color w:val="auto"/>
              </w:rPr>
            </w:pPr>
            <w:r>
              <w:rPr>
                <w:rFonts w:ascii="Arial" w:cs="Arial" w:eastAsia="Arial" w:hAnsi="Arial"/>
                <w:sz w:val="18"/>
                <w:szCs w:val="18"/>
                <w:color w:val="auto"/>
                <w:w w:val="79"/>
              </w:rPr>
              <w:t>0</w:t>
            </w:r>
          </w:p>
        </w:tc>
        <w:tc>
          <w:tcPr>
            <w:tcW w:w="84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60"/>
              <w:spacing w:after="0"/>
              <w:rPr>
                <w:sz w:val="20"/>
                <w:szCs w:val="20"/>
                <w:color w:val="auto"/>
              </w:rPr>
            </w:pPr>
            <w:r>
              <w:rPr>
                <w:rFonts w:ascii="Arial" w:cs="Arial" w:eastAsia="Arial" w:hAnsi="Arial"/>
                <w:sz w:val="18"/>
                <w:szCs w:val="18"/>
                <w:color w:val="auto"/>
              </w:rPr>
              <w:t>no</w:t>
            </w:r>
          </w:p>
        </w:tc>
        <w:tc>
          <w:tcPr>
            <w:tcW w:w="820" w:type="dxa"/>
            <w:vAlign w:val="bottom"/>
          </w:tcPr>
          <w:p>
            <w:pPr>
              <w:ind w:left="300"/>
              <w:spacing w:after="0"/>
              <w:rPr>
                <w:sz w:val="20"/>
                <w:szCs w:val="20"/>
                <w:color w:val="auto"/>
              </w:rPr>
            </w:pPr>
            <w:r>
              <w:rPr>
                <w:rFonts w:ascii="Arial" w:cs="Arial" w:eastAsia="Arial" w:hAnsi="Arial"/>
                <w:sz w:val="18"/>
                <w:szCs w:val="18"/>
                <w:color w:val="auto"/>
              </w:rPr>
              <w:t>no</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r>
      <w:tr>
        <w:trPr>
          <w:trHeight w:val="227"/>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Hunter Cement TXI</w:t>
            </w:r>
          </w:p>
        </w:tc>
        <w:tc>
          <w:tcPr>
            <w:tcW w:w="84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w w:val="91"/>
              </w:rPr>
              <w:t>4102820</w:t>
            </w:r>
          </w:p>
        </w:tc>
        <w:tc>
          <w:tcPr>
            <w:tcW w:w="760" w:type="dxa"/>
            <w:vAlign w:val="bottom"/>
            <w:shd w:val="clear" w:color="auto" w:fill="CFF0FC"/>
          </w:tcPr>
          <w:p>
            <w:pPr>
              <w:jc w:val="center"/>
              <w:ind w:right="108"/>
              <w:spacing w:after="0"/>
              <w:rPr>
                <w:sz w:val="20"/>
                <w:szCs w:val="20"/>
                <w:color w:val="auto"/>
              </w:rPr>
            </w:pPr>
            <w:r>
              <w:rPr>
                <w:rFonts w:ascii="Arial" w:cs="Arial" w:eastAsia="Arial" w:hAnsi="Arial"/>
                <w:sz w:val="18"/>
                <w:szCs w:val="18"/>
                <w:color w:val="auto"/>
                <w:w w:val="79"/>
              </w:rPr>
              <w:t>0</w:t>
            </w:r>
          </w:p>
        </w:tc>
        <w:tc>
          <w:tcPr>
            <w:tcW w:w="84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r>
      <w:tr>
        <w:trPr>
          <w:trHeight w:val="210"/>
        </w:trPr>
        <w:tc>
          <w:tcPr>
            <w:tcW w:w="1580" w:type="dxa"/>
            <w:vAlign w:val="bottom"/>
          </w:tcPr>
          <w:p>
            <w:pPr>
              <w:spacing w:after="0"/>
              <w:rPr>
                <w:sz w:val="20"/>
                <w:szCs w:val="20"/>
                <w:color w:val="auto"/>
              </w:rPr>
            </w:pPr>
            <w:r>
              <w:rPr>
                <w:rFonts w:ascii="Arial" w:cs="Arial" w:eastAsia="Arial" w:hAnsi="Arial"/>
                <w:sz w:val="18"/>
                <w:szCs w:val="18"/>
                <w:color w:val="auto"/>
              </w:rPr>
              <w:t>Midlothian Cement</w:t>
            </w: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1"/>
        </w:trPr>
        <w:tc>
          <w:tcPr>
            <w:tcW w:w="1580" w:type="dxa"/>
            <w:vAlign w:val="bottom"/>
          </w:tcPr>
          <w:p>
            <w:pPr>
              <w:spacing w:after="0"/>
              <w:rPr>
                <w:sz w:val="20"/>
                <w:szCs w:val="20"/>
                <w:color w:val="auto"/>
              </w:rPr>
            </w:pPr>
            <w:r>
              <w:rPr>
                <w:rFonts w:ascii="Arial" w:cs="Arial" w:eastAsia="Arial" w:hAnsi="Arial"/>
                <w:sz w:val="18"/>
                <w:szCs w:val="18"/>
                <w:color w:val="auto"/>
              </w:rPr>
              <w:t>TXI</w:t>
            </w:r>
          </w:p>
        </w:tc>
        <w:tc>
          <w:tcPr>
            <w:tcW w:w="840" w:type="dxa"/>
            <w:vAlign w:val="bottom"/>
          </w:tcPr>
          <w:p>
            <w:pPr>
              <w:jc w:val="right"/>
              <w:ind w:right="88"/>
              <w:spacing w:after="0"/>
              <w:rPr>
                <w:sz w:val="20"/>
                <w:szCs w:val="20"/>
                <w:color w:val="auto"/>
              </w:rPr>
            </w:pPr>
            <w:r>
              <w:rPr>
                <w:rFonts w:ascii="Arial" w:cs="Arial" w:eastAsia="Arial" w:hAnsi="Arial"/>
                <w:sz w:val="18"/>
                <w:szCs w:val="18"/>
                <w:color w:val="auto"/>
                <w:w w:val="91"/>
              </w:rPr>
              <w:t>4100071</w:t>
            </w:r>
          </w:p>
        </w:tc>
        <w:tc>
          <w:tcPr>
            <w:tcW w:w="760" w:type="dxa"/>
            <w:vAlign w:val="bottom"/>
          </w:tcPr>
          <w:p>
            <w:pPr>
              <w:jc w:val="center"/>
              <w:ind w:right="108"/>
              <w:spacing w:after="0"/>
              <w:rPr>
                <w:sz w:val="20"/>
                <w:szCs w:val="20"/>
                <w:color w:val="auto"/>
              </w:rPr>
            </w:pPr>
            <w:r>
              <w:rPr>
                <w:rFonts w:ascii="Arial" w:cs="Arial" w:eastAsia="Arial" w:hAnsi="Arial"/>
                <w:sz w:val="18"/>
                <w:szCs w:val="18"/>
                <w:color w:val="auto"/>
                <w:w w:val="79"/>
              </w:rPr>
              <w:t>2</w:t>
            </w:r>
          </w:p>
        </w:tc>
        <w:tc>
          <w:tcPr>
            <w:tcW w:w="84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88"/>
              <w:spacing w:after="0"/>
              <w:rPr>
                <w:sz w:val="20"/>
                <w:szCs w:val="20"/>
                <w:color w:val="auto"/>
              </w:rPr>
            </w:pPr>
            <w:r>
              <w:rPr>
                <w:rFonts w:ascii="Arial" w:cs="Arial" w:eastAsia="Arial" w:hAnsi="Arial"/>
                <w:sz w:val="18"/>
                <w:szCs w:val="18"/>
                <w:color w:val="auto"/>
              </w:rPr>
              <w:t>2,335</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60"/>
              <w:spacing w:after="0"/>
              <w:rPr>
                <w:sz w:val="20"/>
                <w:szCs w:val="20"/>
                <w:color w:val="auto"/>
              </w:rPr>
            </w:pPr>
            <w:r>
              <w:rPr>
                <w:rFonts w:ascii="Arial" w:cs="Arial" w:eastAsia="Arial" w:hAnsi="Arial"/>
                <w:sz w:val="18"/>
                <w:szCs w:val="18"/>
                <w:color w:val="auto"/>
              </w:rPr>
              <w:t>no</w:t>
            </w:r>
          </w:p>
        </w:tc>
        <w:tc>
          <w:tcPr>
            <w:tcW w:w="820" w:type="dxa"/>
            <w:vAlign w:val="bottom"/>
          </w:tcPr>
          <w:p>
            <w:pPr>
              <w:ind w:left="300"/>
              <w:spacing w:after="0"/>
              <w:rPr>
                <w:sz w:val="20"/>
                <w:szCs w:val="20"/>
                <w:color w:val="auto"/>
              </w:rPr>
            </w:pPr>
            <w:r>
              <w:rPr>
                <w:rFonts w:ascii="Arial" w:cs="Arial" w:eastAsia="Arial" w:hAnsi="Arial"/>
                <w:sz w:val="18"/>
                <w:szCs w:val="18"/>
                <w:color w:val="auto"/>
              </w:rPr>
              <w:t>no</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r>
      <w:tr>
        <w:trPr>
          <w:trHeight w:val="227"/>
        </w:trPr>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Salisbury Shop</w:t>
            </w:r>
          </w:p>
        </w:tc>
        <w:tc>
          <w:tcPr>
            <w:tcW w:w="84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w w:val="91"/>
              </w:rPr>
              <w:t>3101235</w:t>
            </w:r>
          </w:p>
        </w:tc>
        <w:tc>
          <w:tcPr>
            <w:tcW w:w="760" w:type="dxa"/>
            <w:vAlign w:val="bottom"/>
            <w:shd w:val="clear" w:color="auto" w:fill="CFF0FC"/>
          </w:tcPr>
          <w:p>
            <w:pPr>
              <w:jc w:val="center"/>
              <w:ind w:right="108"/>
              <w:spacing w:after="0"/>
              <w:rPr>
                <w:sz w:val="20"/>
                <w:szCs w:val="20"/>
                <w:color w:val="auto"/>
              </w:rPr>
            </w:pPr>
            <w:r>
              <w:rPr>
                <w:rFonts w:ascii="Arial" w:cs="Arial" w:eastAsia="Arial" w:hAnsi="Arial"/>
                <w:sz w:val="18"/>
                <w:szCs w:val="18"/>
                <w:color w:val="auto"/>
                <w:w w:val="79"/>
              </w:rPr>
              <w:t>0</w:t>
            </w:r>
          </w:p>
        </w:tc>
        <w:tc>
          <w:tcPr>
            <w:tcW w:w="840" w:type="dxa"/>
            <w:vAlign w:val="bottom"/>
            <w:shd w:val="clear" w:color="auto" w:fill="CFF0FC"/>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8"/>
                <w:szCs w:val="18"/>
                <w:color w:val="auto"/>
              </w:rPr>
              <w:t>376</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w:t>
            </w:r>
          </w:p>
        </w:tc>
        <w:tc>
          <w:tcPr>
            <w:tcW w:w="8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no</w:t>
            </w: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0</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color w:val="auto"/>
              </w:rPr>
              <w:t>0</w:t>
            </w:r>
          </w:p>
        </w:tc>
      </w:tr>
      <w:tr>
        <w:trPr>
          <w:trHeight w:val="227"/>
        </w:trPr>
        <w:tc>
          <w:tcPr>
            <w:tcW w:w="1580" w:type="dxa"/>
            <w:vAlign w:val="bottom"/>
          </w:tcPr>
          <w:p>
            <w:pPr>
              <w:spacing w:after="0"/>
              <w:rPr>
                <w:sz w:val="20"/>
                <w:szCs w:val="20"/>
                <w:color w:val="auto"/>
              </w:rPr>
            </w:pPr>
            <w:r>
              <w:rPr>
                <w:rFonts w:ascii="Arial" w:cs="Arial" w:eastAsia="Arial" w:hAnsi="Arial"/>
                <w:sz w:val="18"/>
                <w:szCs w:val="18"/>
                <w:color w:val="auto"/>
              </w:rPr>
              <w:t>Woodville</w:t>
            </w:r>
          </w:p>
        </w:tc>
        <w:tc>
          <w:tcPr>
            <w:tcW w:w="840" w:type="dxa"/>
            <w:vAlign w:val="bottom"/>
          </w:tcPr>
          <w:p>
            <w:pPr>
              <w:jc w:val="right"/>
              <w:ind w:right="88"/>
              <w:spacing w:after="0"/>
              <w:rPr>
                <w:sz w:val="20"/>
                <w:szCs w:val="20"/>
                <w:color w:val="auto"/>
              </w:rPr>
            </w:pPr>
            <w:r>
              <w:rPr>
                <w:rFonts w:ascii="Arial" w:cs="Arial" w:eastAsia="Arial" w:hAnsi="Arial"/>
                <w:sz w:val="18"/>
                <w:szCs w:val="18"/>
                <w:color w:val="auto"/>
                <w:w w:val="91"/>
              </w:rPr>
              <w:t>3300156</w:t>
            </w:r>
          </w:p>
        </w:tc>
        <w:tc>
          <w:tcPr>
            <w:tcW w:w="760" w:type="dxa"/>
            <w:vAlign w:val="bottom"/>
          </w:tcPr>
          <w:p>
            <w:pPr>
              <w:jc w:val="center"/>
              <w:ind w:right="108"/>
              <w:spacing w:after="0"/>
              <w:rPr>
                <w:sz w:val="20"/>
                <w:szCs w:val="20"/>
                <w:color w:val="auto"/>
              </w:rPr>
            </w:pPr>
            <w:r>
              <w:rPr>
                <w:rFonts w:ascii="Arial" w:cs="Arial" w:eastAsia="Arial" w:hAnsi="Arial"/>
                <w:sz w:val="18"/>
                <w:szCs w:val="18"/>
                <w:color w:val="auto"/>
                <w:w w:val="79"/>
              </w:rPr>
              <w:t>0</w:t>
            </w:r>
          </w:p>
        </w:tc>
        <w:tc>
          <w:tcPr>
            <w:tcW w:w="840" w:type="dxa"/>
            <w:vAlign w:val="bottom"/>
          </w:tcPr>
          <w:p>
            <w:pPr>
              <w:jc w:val="right"/>
              <w:ind w:right="268"/>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208"/>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68"/>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68"/>
              <w:spacing w:after="0"/>
              <w:rPr>
                <w:sz w:val="20"/>
                <w:szCs w:val="20"/>
                <w:color w:val="auto"/>
              </w:rPr>
            </w:pPr>
            <w:r>
              <w:rPr>
                <w:rFonts w:ascii="Arial" w:cs="Arial" w:eastAsia="Arial" w:hAnsi="Arial"/>
                <w:sz w:val="18"/>
                <w:szCs w:val="18"/>
                <w:color w:val="auto"/>
              </w:rPr>
              <w:t>0</w:t>
            </w:r>
          </w:p>
        </w:tc>
        <w:tc>
          <w:tcPr>
            <w:tcW w:w="780" w:type="dxa"/>
            <w:vAlign w:val="bottom"/>
          </w:tcPr>
          <w:p>
            <w:pPr>
              <w:ind w:left="260"/>
              <w:spacing w:after="0"/>
              <w:rPr>
                <w:sz w:val="20"/>
                <w:szCs w:val="20"/>
                <w:color w:val="auto"/>
              </w:rPr>
            </w:pPr>
            <w:r>
              <w:rPr>
                <w:rFonts w:ascii="Arial" w:cs="Arial" w:eastAsia="Arial" w:hAnsi="Arial"/>
                <w:sz w:val="18"/>
                <w:szCs w:val="18"/>
                <w:color w:val="auto"/>
              </w:rPr>
              <w:t>no</w:t>
            </w:r>
          </w:p>
        </w:tc>
        <w:tc>
          <w:tcPr>
            <w:tcW w:w="820" w:type="dxa"/>
            <w:vAlign w:val="bottom"/>
          </w:tcPr>
          <w:p>
            <w:pPr>
              <w:ind w:left="300"/>
              <w:spacing w:after="0"/>
              <w:rPr>
                <w:sz w:val="20"/>
                <w:szCs w:val="20"/>
                <w:color w:val="auto"/>
              </w:rPr>
            </w:pPr>
            <w:r>
              <w:rPr>
                <w:rFonts w:ascii="Arial" w:cs="Arial" w:eastAsia="Arial" w:hAnsi="Arial"/>
                <w:sz w:val="18"/>
                <w:szCs w:val="18"/>
                <w:color w:val="auto"/>
              </w:rPr>
              <w:t>no</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228"/>
              <w:spacing w:after="0"/>
              <w:rPr>
                <w:sz w:val="20"/>
                <w:szCs w:val="20"/>
                <w:color w:val="auto"/>
              </w:rPr>
            </w:pPr>
            <w:r>
              <w:rPr>
                <w:rFonts w:ascii="Arial" w:cs="Arial" w:eastAsia="Arial" w:hAnsi="Arial"/>
                <w:sz w:val="18"/>
                <w:szCs w:val="18"/>
                <w:color w:val="auto"/>
              </w:rPr>
              <w:t>0</w:t>
            </w:r>
          </w:p>
        </w:tc>
      </w:tr>
      <w:tr>
        <w:trPr>
          <w:trHeight w:val="227"/>
        </w:trPr>
        <w:tc>
          <w:tcPr>
            <w:tcW w:w="1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TOTALS:</w:t>
            </w:r>
          </w:p>
        </w:tc>
        <w:tc>
          <w:tcPr>
            <w:tcW w:w="840" w:type="dxa"/>
            <w:vAlign w:val="bottom"/>
            <w:shd w:val="clear" w:color="auto" w:fill="CFF0FC"/>
          </w:tcPr>
          <w:p>
            <w:pPr>
              <w:spacing w:after="0"/>
              <w:rPr>
                <w:sz w:val="19"/>
                <w:szCs w:val="19"/>
                <w:color w:val="auto"/>
              </w:rPr>
            </w:pPr>
          </w:p>
        </w:tc>
        <w:tc>
          <w:tcPr>
            <w:tcW w:w="760" w:type="dxa"/>
            <w:vAlign w:val="bottom"/>
            <w:shd w:val="clear" w:color="auto" w:fill="CFF0FC"/>
          </w:tcPr>
          <w:p>
            <w:pPr>
              <w:jc w:val="center"/>
              <w:ind w:right="108"/>
              <w:spacing w:after="0"/>
              <w:rPr>
                <w:sz w:val="20"/>
                <w:szCs w:val="20"/>
                <w:color w:val="auto"/>
              </w:rPr>
            </w:pPr>
            <w:r>
              <w:rPr>
                <w:rFonts w:ascii="Arial" w:cs="Arial" w:eastAsia="Arial" w:hAnsi="Arial"/>
                <w:sz w:val="18"/>
                <w:szCs w:val="18"/>
                <w:b w:val="1"/>
                <w:bCs w:val="1"/>
                <w:color w:val="auto"/>
                <w:w w:val="99"/>
              </w:rPr>
              <w:t>44</w:t>
            </w:r>
          </w:p>
        </w:tc>
        <w:tc>
          <w:tcPr>
            <w:tcW w:w="840" w:type="dxa"/>
            <w:vAlign w:val="bottom"/>
            <w:shd w:val="clear" w:color="auto" w:fill="CFF0FC"/>
          </w:tcPr>
          <w:p>
            <w:pPr>
              <w:jc w:val="right"/>
              <w:ind w:right="268"/>
              <w:spacing w:after="0"/>
              <w:rPr>
                <w:sz w:val="20"/>
                <w:szCs w:val="20"/>
                <w:color w:val="auto"/>
              </w:rPr>
            </w:pPr>
            <w:r>
              <w:rPr>
                <w:rFonts w:ascii="Arial" w:cs="Arial" w:eastAsia="Arial" w:hAnsi="Arial"/>
                <w:sz w:val="18"/>
                <w:szCs w:val="18"/>
                <w:b w:val="1"/>
                <w:bCs w:val="1"/>
                <w:color w:val="auto"/>
              </w:rPr>
              <w:t>4</w:t>
            </w:r>
          </w:p>
        </w:tc>
        <w:tc>
          <w:tcPr>
            <w:tcW w:w="760" w:type="dxa"/>
            <w:vAlign w:val="bottom"/>
            <w:shd w:val="clear" w:color="auto" w:fill="CFF0FC"/>
          </w:tcPr>
          <w:p>
            <w:pPr>
              <w:jc w:val="right"/>
              <w:ind w:right="208"/>
              <w:spacing w:after="0"/>
              <w:rPr>
                <w:sz w:val="20"/>
                <w:szCs w:val="20"/>
                <w:color w:val="auto"/>
              </w:rPr>
            </w:pPr>
            <w:r>
              <w:rPr>
                <w:rFonts w:ascii="Arial" w:cs="Arial" w:eastAsia="Arial" w:hAnsi="Arial"/>
                <w:sz w:val="18"/>
                <w:szCs w:val="18"/>
                <w:b w:val="1"/>
                <w:bCs w:val="1"/>
                <w:color w:val="auto"/>
              </w:rPr>
              <w:t>0</w:t>
            </w:r>
          </w:p>
        </w:tc>
        <w:tc>
          <w:tcPr>
            <w:tcW w:w="700" w:type="dxa"/>
            <w:vAlign w:val="bottom"/>
            <w:shd w:val="clear" w:color="auto" w:fill="CFF0FC"/>
          </w:tcPr>
          <w:p>
            <w:pPr>
              <w:jc w:val="right"/>
              <w:ind w:right="208"/>
              <w:spacing w:after="0"/>
              <w:rPr>
                <w:sz w:val="20"/>
                <w:szCs w:val="20"/>
                <w:color w:val="auto"/>
              </w:rPr>
            </w:pPr>
            <w:r>
              <w:rPr>
                <w:rFonts w:ascii="Arial" w:cs="Arial" w:eastAsia="Arial" w:hAnsi="Arial"/>
                <w:sz w:val="18"/>
                <w:szCs w:val="18"/>
                <w:b w:val="1"/>
                <w:bCs w:val="1"/>
                <w:color w:val="auto"/>
              </w:rPr>
              <w:t>0</w:t>
            </w:r>
          </w:p>
        </w:tc>
        <w:tc>
          <w:tcPr>
            <w:tcW w:w="580" w:type="dxa"/>
            <w:vAlign w:val="bottom"/>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8"/>
                <w:szCs w:val="18"/>
                <w:b w:val="1"/>
                <w:bCs w:val="1"/>
                <w:color w:val="auto"/>
                <w:w w:val="90"/>
              </w:rPr>
              <w:t>24,620</w:t>
            </w:r>
          </w:p>
        </w:tc>
        <w:tc>
          <w:tcPr>
            <w:tcW w:w="520" w:type="dxa"/>
            <w:vAlign w:val="bottom"/>
            <w:shd w:val="clear" w:color="auto" w:fill="CFF0FC"/>
          </w:tcPr>
          <w:p>
            <w:pPr>
              <w:jc w:val="right"/>
              <w:ind w:right="168"/>
              <w:spacing w:after="0"/>
              <w:rPr>
                <w:sz w:val="20"/>
                <w:szCs w:val="20"/>
                <w:color w:val="auto"/>
              </w:rPr>
            </w:pPr>
            <w:r>
              <w:rPr>
                <w:rFonts w:ascii="Arial" w:cs="Arial" w:eastAsia="Arial" w:hAnsi="Arial"/>
                <w:sz w:val="18"/>
                <w:szCs w:val="18"/>
                <w:b w:val="1"/>
                <w:bCs w:val="1"/>
                <w:color w:val="auto"/>
              </w:rPr>
              <w:t>0</w:t>
            </w: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12</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960" w:type="dxa"/>
            <w:vAlign w:val="bottom"/>
            <w:shd w:val="clear" w:color="auto" w:fill="CFF0FC"/>
          </w:tcPr>
          <w:p>
            <w:pPr>
              <w:jc w:val="right"/>
              <w:ind w:right="228"/>
              <w:spacing w:after="0"/>
              <w:rPr>
                <w:sz w:val="20"/>
                <w:szCs w:val="20"/>
                <w:color w:val="auto"/>
              </w:rPr>
            </w:pPr>
            <w:r>
              <w:rPr>
                <w:rFonts w:ascii="Arial" w:cs="Arial" w:eastAsia="Arial" w:hAnsi="Arial"/>
                <w:sz w:val="18"/>
                <w:szCs w:val="18"/>
                <w:b w:val="1"/>
                <w:bCs w:val="1"/>
                <w:color w:val="auto"/>
              </w:rPr>
              <w:t>7</w:t>
            </w:r>
          </w:p>
        </w:tc>
      </w:tr>
    </w:tbl>
    <w:p>
      <w:pPr>
        <w:spacing w:after="0" w:line="84" w:lineRule="exact"/>
        <w:rPr>
          <w:sz w:val="20"/>
          <w:szCs w:val="20"/>
          <w:color w:val="auto"/>
        </w:rPr>
      </w:pPr>
    </w:p>
    <w:p>
      <w:pPr>
        <w:jc w:val="both"/>
        <w:ind w:left="80"/>
        <w:spacing w:after="0" w:line="259" w:lineRule="auto"/>
        <w:rPr>
          <w:sz w:val="20"/>
          <w:szCs w:val="20"/>
          <w:color w:val="auto"/>
        </w:rPr>
      </w:pPr>
      <w:r>
        <w:rPr>
          <w:rFonts w:ascii="Arial" w:cs="Arial" w:eastAsia="Arial" w:hAnsi="Arial"/>
          <w:sz w:val="18"/>
          <w:szCs w:val="18"/>
          <w:color w:val="auto"/>
        </w:rPr>
        <w:t>*Of the 12 legal actions pending on June 30, 2016, 8 were contests of citations or orders referenced in Subpart B of CFR Part 2700, which includes contests of citations and orders issued under Section 104 of the Mine Act and contests of imminent danger orders under Section 107 of the Mine Act and four were contests of proposed penalties referenced in Subpart C of 29 CFR Part 2700, which are administrative proceedings before the Commission challenging a civil penalty that MSHA has proposed for the violation contained in a citation or order.</w:t>
      </w:r>
    </w:p>
    <w:sectPr>
      <w:pgSz w:w="11900" w:h="16838" w:orient="portrait"/>
      <w:cols w:equalWidth="0" w:num="1">
        <w:col w:w="11420"/>
      </w:cols>
      <w:pgMar w:left="240" w:top="12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o"/>
      <w:numFmt w:val="bullet"/>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1."/>
      <w:numFmt w:val="decimal"/>
      <w:start w:val="1"/>
    </w:lvl>
  </w:abstractNum>
  <w:abstractNum w:abstractNumId="8">
    <w:nsid w:val="77465F01"/>
    <w:multiLevelType w:val="hybridMultilevel"/>
    <w:lvl w:ilvl="0">
      <w:lvlJc w:val="left"/>
      <w:lvlText w:val="%1."/>
      <w:numFmt w:val="decimal"/>
      <w:start w:val="1"/>
    </w:lvl>
  </w:abstractNum>
  <w:abstractNum w:abstractNumId="9">
    <w:nsid w:val="7724C67E"/>
    <w:multiLevelType w:val="hybridMultilevel"/>
    <w:lvl w:ilvl="0">
      <w:lvlJc w:val="left"/>
      <w:lvlText w:val="%1."/>
      <w:numFmt w:val="decimal"/>
      <w:start w:val="1"/>
    </w:lvl>
  </w:abstractNum>
  <w:abstractNum w:abstractNumId="10">
    <w:nsid w:val="5C482A97"/>
    <w:multiLevelType w:val="hybridMultilevel"/>
    <w:lvl w:ilvl="0">
      <w:lvlJc w:val="left"/>
      <w:lvlText w:val="%1."/>
      <w:numFmt w:val="decimal"/>
      <w:start w:val="3"/>
    </w:lvl>
  </w:abstractNum>
  <w:abstractNum w:abstractNumId="11">
    <w:nsid w:val="2463B9EA"/>
    <w:multiLevelType w:val="hybridMultilevel"/>
    <w:lvl w:ilvl="0">
      <w:lvlJc w:val="left"/>
      <w:lvlText w:val="%1."/>
      <w:numFmt w:val="decimal"/>
      <w:start w:val="4"/>
    </w:lvl>
  </w:abstractNum>
  <w:abstractNum w:abstractNumId="12">
    <w:nsid w:val="5E884ADC"/>
    <w:multiLevelType w:val="hybridMultilevel"/>
    <w:lvl w:ilvl="0">
      <w:lvlJc w:val="left"/>
      <w:lvlText w:val="%1."/>
      <w:numFmt w:val="decimal"/>
      <w:start w:val="6"/>
    </w:lvl>
  </w:abstractNum>
  <w:abstractNum w:abstractNumId="13">
    <w:nsid w:val="51EAD36B"/>
    <w:multiLevelType w:val="hybridMultilevel"/>
    <w:lvl w:ilvl="0">
      <w:lvlJc w:val="left"/>
      <w:lvlText w:val="%1."/>
      <w:numFmt w:val="decimal"/>
      <w:start w:val="7"/>
    </w:lvl>
  </w:abstractNum>
  <w:abstractNum w:abstractNumId="14">
    <w:nsid w:val="2D517796"/>
    <w:multiLevelType w:val="hybridMultilevel"/>
    <w:lvl w:ilvl="0">
      <w:lvlJc w:val="left"/>
      <w:lvlText w:val="%1."/>
      <w:numFmt w:val="decimal"/>
      <w:start w:val="8"/>
    </w:lvl>
  </w:abstractNum>
  <w:abstractNum w:abstractNumId="15">
    <w:nsid w:val="580BD78F"/>
    <w:multiLevelType w:val="hybridMultilevel"/>
    <w:lvl w:ilvl="0">
      <w:lvlJc w:val="left"/>
      <w:lvlText w:val="%1."/>
      <w:numFmt w:val="decimal"/>
      <w:start w:val="8"/>
    </w:lvl>
  </w:abstractNum>
  <w:abstractNum w:abstractNumId="16">
    <w:nsid w:val="153EA438"/>
    <w:multiLevelType w:val="hybridMultilevel"/>
    <w:lvl w:ilvl="0">
      <w:lvlJc w:val="left"/>
      <w:lvlText w:val="%1."/>
      <w:numFmt w:val="decimal"/>
      <w:start w:val="9"/>
    </w:lvl>
  </w:abstractNum>
  <w:abstractNum w:abstractNumId="17">
    <w:nsid w:val="3855585C"/>
    <w:multiLevelType w:val="hybridMultilevel"/>
    <w:lvl w:ilvl="0">
      <w:lvlJc w:val="left"/>
      <w:lvlText w:val="%1."/>
      <w:numFmt w:val="decimal"/>
      <w:start w:val="10"/>
    </w:lvl>
  </w:abstractNum>
  <w:abstractNum w:abstractNumId="18">
    <w:nsid w:val="70A64E2A"/>
    <w:multiLevelType w:val="hybridMultilevel"/>
    <w:lvl w:ilvl="0">
      <w:lvlJc w:val="left"/>
      <w:lvlText w:val="·"/>
      <w:numFmt w:val="bullet"/>
      <w:start w:val="1"/>
    </w:lvl>
    <w:lvl w:ilvl="1">
      <w:lvlJc w:val="left"/>
      <w:lvlText w:val="─"/>
      <w:numFmt w:val="bullet"/>
      <w:start w:val="1"/>
    </w:lvl>
  </w:abstractNum>
  <w:abstractNum w:abstractNumId="19">
    <w:nsid w:val="6A2342EC"/>
    <w:multiLevelType w:val="hybridMultilevel"/>
    <w:lvl w:ilvl="0">
      <w:lvlJc w:val="left"/>
      <w:lvlText w:val="(%1)"/>
      <w:numFmt w:val="decimal"/>
      <w:start w:val="1"/>
    </w:lvl>
  </w:abstractNum>
  <w:abstractNum w:abstractNumId="20">
    <w:nsid w:val="2A487CB0"/>
    <w:multiLevelType w:val="hybridMultilevel"/>
    <w:lvl w:ilvl="0">
      <w:lvlJc w:val="left"/>
      <w:lvlText w:val="1"/>
      <w:numFmt w:val="bullet"/>
      <w:start w:val="1"/>
    </w:lvl>
  </w:abstractNum>
  <w:abstractNum w:abstractNumId="21">
    <w:nsid w:val="1D4ED43B"/>
    <w:multiLevelType w:val="hybridMultilevel"/>
    <w:lvl w:ilvl="0">
      <w:lvlJc w:val="left"/>
      <w:lvlText w:val="·"/>
      <w:numFmt w:val="bullet"/>
      <w:start w:val="1"/>
    </w:lvl>
    <w:lvl w:ilvl="1">
      <w:lvlJc w:val="left"/>
      <w:lvlText w:val="─"/>
      <w:numFmt w:val="bullet"/>
      <w:start w:val="1"/>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1)"/>
      <w:numFmt w:val="lowerRoman"/>
      <w:start w:val="4"/>
    </w:lvl>
  </w:abstractNum>
  <w:abstractNum w:abstractNumId="27">
    <w:nsid w:val="542289EC"/>
    <w:multiLevelType w:val="hybridMultilevel"/>
    <w:lvl w:ilvl="0">
      <w:lvlJc w:val="left"/>
      <w:lvlText w:val="(%1)"/>
      <w:numFmt w:val="lowerRoman"/>
      <w:start w:val="7"/>
    </w:lvl>
  </w:abstractNum>
  <w:abstractNum w:abstractNumId="28">
    <w:nsid w:val="6DE91B18"/>
    <w:multiLevelType w:val="hybridMultilevel"/>
    <w:lvl w:ilvl="0">
      <w:lvlJc w:val="left"/>
      <w:lvlText w:val="(%1)"/>
      <w:numFmt w:val="lowerRoman"/>
      <w:start w:val="12"/>
    </w:lvl>
  </w:abstractNum>
  <w:abstractNum w:abstractNumId="29">
    <w:nsid w:val="38437FDB"/>
    <w:multiLevelType w:val="hybridMultilevel"/>
    <w:lvl w:ilvl="0">
      <w:lvlJc w:val="left"/>
      <w:lvlText w:val="(%1)"/>
      <w:numFmt w:val="lowerRoman"/>
      <w:start w:val="1"/>
    </w:lvl>
  </w:abstractNum>
  <w:abstractNum w:abstractNumId="30">
    <w:nsid w:val="7644A45C"/>
    <w:multiLevelType w:val="hybridMultilevel"/>
    <w:lvl w:ilvl="0">
      <w:lvlJc w:val="left"/>
      <w:lvlText w:val="(%1)"/>
      <w:numFmt w:val="lowerRoman"/>
      <w:start w:val="1"/>
    </w:lvl>
  </w:abstractNum>
  <w:abstractNum w:abstractNumId="31">
    <w:nsid w:val="32FFF902"/>
    <w:multiLevelType w:val="hybridMultilevel"/>
    <w:lvl w:ilvl="0">
      <w:lvlJc w:val="left"/>
      <w:lvlText w:val="%1"/>
      <w:numFmt w:val="lowerLetter"/>
      <w:start w:val="1"/>
    </w:lvl>
    <w:lvl w:ilvl="1">
      <w:lvlJc w:val="left"/>
      <w:lvlText w:val="(%2)"/>
      <w:numFmt w:val="lowerLetter"/>
      <w:start w:val="35"/>
    </w:lvl>
  </w:abstractNum>
  <w:abstractNum w:abstractNumId="32">
    <w:nsid w:val="684A481A"/>
    <w:multiLevelType w:val="hybridMultilevel"/>
    <w:lvl w:ilvl="0">
      <w:lvlJc w:val="left"/>
      <w:lvlText w:val="(%1)"/>
      <w:numFmt w:val="lowerLetter"/>
      <w:start w:val="6"/>
    </w:lvl>
    <w:lvl w:ilvl="1">
      <w:lvlJc w:val="left"/>
      <w:lvlText w:val="%2"/>
      <w:numFmt w:val="lowerLetter"/>
      <w:start w:val="1"/>
    </w:lvl>
  </w:abstractNum>
  <w:abstractNum w:abstractNumId="33">
    <w:nsid w:val="579478FE"/>
    <w:multiLevelType w:val="hybridMultilevel"/>
    <w:lvl w:ilvl="0">
      <w:lvlJc w:val="left"/>
      <w:lvlText w:val="(%1)"/>
      <w:numFmt w:val="lowerRoman"/>
      <w:start w:val="1"/>
    </w:lvl>
  </w:abstractNum>
  <w:abstractNum w:abstractNumId="34">
    <w:nsid w:val="749ABB43"/>
    <w:multiLevelType w:val="hybridMultilevel"/>
    <w:lvl w:ilvl="0">
      <w:lvlJc w:val="left"/>
      <w:lvlText w:val="(%1)"/>
      <w:numFmt w:val="lowerRoman"/>
      <w:start w:val="1"/>
    </w:lvl>
  </w:abstractNum>
  <w:abstractNum w:abstractNumId="35">
    <w:nsid w:val="3DC240FB"/>
    <w:multiLevelType w:val="hybridMultilevel"/>
    <w:lvl w:ilvl="0">
      <w:lvlJc w:val="left"/>
      <w:lvlText w:val="(%1)"/>
      <w:numFmt w:val="lowerRoman"/>
      <w:start w:val="1"/>
    </w:lvl>
  </w:abstractNum>
  <w:abstractNum w:abstractNumId="36">
    <w:nsid w:val="1BA026FA"/>
    <w:multiLevelType w:val="hybridMultilevel"/>
    <w:lvl w:ilvl="0">
      <w:lvlJc w:val="left"/>
      <w:lvlText w:val="(%1)"/>
      <w:numFmt w:val="lowerLetter"/>
      <w:start w:val="6"/>
    </w:lvl>
  </w:abstractNum>
  <w:abstractNum w:abstractNumId="37">
    <w:nsid w:val="79A1DEAA"/>
    <w:multiLevelType w:val="hybridMultilevel"/>
    <w:lvl w:ilvl="0">
      <w:lvlJc w:val="left"/>
      <w:lvlText w:val="(%1)"/>
      <w:numFmt w:val="lowerRoman"/>
      <w:start w:val="1"/>
    </w:lvl>
  </w:abstractNum>
  <w:abstractNum w:abstractNumId="38">
    <w:nsid w:val="75C6C33A"/>
    <w:multiLevelType w:val="hybridMultilevel"/>
    <w:lvl w:ilvl="0">
      <w:lvlJc w:val="left"/>
      <w:lvlText w:val="(%1)"/>
      <w:numFmt w:val="lowerLetter"/>
      <w:start w:val="6"/>
    </w:lvl>
  </w:abstractNum>
  <w:abstractNum w:abstractNumId="39">
    <w:nsid w:val="12E685FB"/>
    <w:multiLevelType w:val="hybridMultilevel"/>
    <w:lvl w:ilvl="0">
      <w:lvlJc w:val="left"/>
      <w:lvlText w:val="(%1)"/>
      <w:numFmt w:val="lowerRoman"/>
      <w:start w:val="1"/>
    </w:lvl>
  </w:abstractNum>
  <w:abstractNum w:abstractNumId="40">
    <w:nsid w:val="70C6A529"/>
    <w:multiLevelType w:val="hybridMultilevel"/>
    <w:lvl w:ilvl="0">
      <w:lvlJc w:val="left"/>
      <w:lvlText w:val="(%1)"/>
      <w:numFmt w:val="lowerLetter"/>
      <w:start w:val="1"/>
    </w:lvl>
  </w:abstractNum>
  <w:abstractNum w:abstractNumId="41">
    <w:nsid w:val="520EEDD1"/>
    <w:multiLevelType w:val="hybridMultilevel"/>
    <w:lvl w:ilvl="0">
      <w:lvlJc w:val="left"/>
      <w:lvlText w:val="%1."/>
      <w:numFmt w:val="decimal"/>
      <w:start w:val="2"/>
    </w:lvl>
    <w:lvl w:ilvl="1">
      <w:lvlJc w:val="left"/>
      <w:lvlText w:val="(%2)"/>
      <w:numFmt w:val="lowerLetter"/>
      <w:start w:val="1"/>
    </w:lvl>
  </w:abstractNum>
  <w:abstractNum w:abstractNumId="42">
    <w:nsid w:val="374A3FE6"/>
    <w:multiLevelType w:val="hybridMultilevel"/>
    <w:lvl w:ilvl="0">
      <w:lvlJc w:val="left"/>
      <w:lvlText w:val="%1"/>
      <w:numFmt w:val="lowerLetter"/>
      <w:start w:val="1"/>
    </w:lvl>
    <w:lvl w:ilvl="1">
      <w:lvlJc w:val="left"/>
      <w:lvlText w:val="(%2)"/>
      <w:numFmt w:val="lowerLetter"/>
      <w:start w:val="7"/>
    </w:lvl>
  </w:abstractNum>
  <w:abstractNum w:abstractNumId="43">
    <w:nsid w:val="4F4EF005"/>
    <w:multiLevelType w:val="hybridMultilevel"/>
    <w:lvl w:ilvl="0">
      <w:lvlJc w:val="left"/>
      <w:lvlText w:val="(%1)"/>
      <w:numFmt w:val="lowerLetter"/>
      <w:start w:val="35"/>
    </w:lvl>
    <w:lvl w:ilvl="1">
      <w:lvlJc w:val="left"/>
      <w:lvlText w:val="%2"/>
      <w:numFmt w:val="lowerLetter"/>
      <w:start w:val="1"/>
    </w:lvl>
  </w:abstractNum>
  <w:abstractNum w:abstractNumId="44">
    <w:nsid w:val="23F9C13C"/>
    <w:multiLevelType w:val="hybridMultilevel"/>
    <w:lvl w:ilvl="0">
      <w:lvlJc w:val="left"/>
      <w:lvlText w:val="%1"/>
      <w:numFmt w:val="decimal"/>
      <w:start w:val="1"/>
    </w:lvl>
    <w:lvl w:ilvl="1">
      <w:lvlJc w:val="left"/>
      <w:lvlText w:val="(%2)"/>
      <w:numFmt w:val="lowerLetter"/>
      <w:start w:val="16"/>
    </w:lvl>
    <w:lvl w:ilvl="2">
      <w:lvlJc w:val="left"/>
      <w:lvlText w:val="%3"/>
      <w:numFmt w:val="lowerRoman"/>
      <w:start w:val="1"/>
    </w:lvl>
  </w:abstractNum>
  <w:abstractNum w:abstractNumId="45">
    <w:nsid w:val="649BB77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6">
    <w:nsid w:val="275AC79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7">
    <w:nsid w:val="3938657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8">
    <w:nsid w:val="1CF10FD8"/>
    <w:multiLevelType w:val="hybridMultilevel"/>
    <w:lvl w:ilvl="0">
      <w:lvlJc w:val="left"/>
      <w:lvlText w:val="(%1)"/>
      <w:numFmt w:val="lowerLetter"/>
      <w:start w:val="1"/>
    </w:lvl>
  </w:abstractNum>
  <w:abstractNum w:abstractNumId="49">
    <w:nsid w:val="180115BE"/>
    <w:multiLevelType w:val="hybridMultilevel"/>
    <w:lvl w:ilvl="0">
      <w:lvlJc w:val="left"/>
      <w:lvlText w:val="%1"/>
      <w:numFmt w:val="lowerLetter"/>
      <w:start w:val="1"/>
    </w:lvl>
    <w:lvl w:ilvl="1">
      <w:lvlJc w:val="left"/>
      <w:lvlText w:val="(%2)"/>
      <w:numFmt w:val="lowerRoman"/>
      <w:start w:val="1"/>
    </w:lvl>
  </w:abstractNum>
  <w:abstractNum w:abstractNumId="50">
    <w:nsid w:val="235BA861"/>
    <w:multiLevelType w:val="hybridMultilevel"/>
    <w:lvl w:ilvl="0">
      <w:lvlJc w:val="left"/>
      <w:lvlText w:val="(%1)"/>
      <w:numFmt w:val="lowerLetter"/>
      <w:start w:val="4"/>
    </w:lvl>
    <w:lvl w:ilvl="1">
      <w:lvlJc w:val="left"/>
      <w:lvlText w:val="%2"/>
      <w:numFmt w:val="lowerRoman"/>
      <w:start w:val="1"/>
    </w:lvl>
  </w:abstractNum>
  <w:abstractNum w:abstractNumId="51">
    <w:nsid w:val="47398C8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52">
    <w:nsid w:val="354FE9F9"/>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53">
    <w:nsid w:val="15B5AF5C"/>
    <w:multiLevelType w:val="hybridMultilevel"/>
    <w:lvl w:ilvl="0">
      <w:lvlJc w:val="left"/>
      <w:lvlText w:val="%1."/>
      <w:numFmt w:val="decimal"/>
      <w:start w:val="7"/>
    </w:lvl>
    <w:lvl w:ilvl="1">
      <w:lvlJc w:val="left"/>
      <w:lvlText w:val="(%2)"/>
      <w:numFmt w:val="lowerLetter"/>
      <w:start w:val="1"/>
    </w:lvl>
  </w:abstractNum>
  <w:abstractNum w:abstractNumId="54">
    <w:nsid w:val="741226BB"/>
    <w:multiLevelType w:val="hybridMultilevel"/>
    <w:lvl w:ilvl="0">
      <w:lvlJc w:val="left"/>
      <w:lvlText w:val="%1"/>
      <w:numFmt w:val="decimal"/>
      <w:start w:val="1"/>
    </w:lvl>
    <w:lvl w:ilvl="1">
      <w:lvlJc w:val="left"/>
      <w:lvlText w:val="(%2)"/>
      <w:numFmt w:val="lowerLetter"/>
      <w:start w:val="8"/>
    </w:lvl>
  </w:abstractNum>
  <w:abstractNum w:abstractNumId="55">
    <w:nsid w:val="D34B6A8"/>
    <w:multiLevelType w:val="hybridMultilevel"/>
    <w:lvl w:ilvl="0">
      <w:lvlJc w:val="left"/>
      <w:lvlText w:val="%1."/>
      <w:numFmt w:val="decimal"/>
      <w:start w:val="8"/>
    </w:lvl>
    <w:lvl w:ilvl="1">
      <w:lvlJc w:val="left"/>
      <w:lvlText w:val="%2"/>
      <w:numFmt w:val="lowerLetter"/>
      <w:start w:val="1"/>
    </w:lvl>
  </w:abstractNum>
  <w:abstractNum w:abstractNumId="56">
    <w:nsid w:val="10233C99"/>
    <w:multiLevelType w:val="hybridMultilevel"/>
    <w:lvl w:ilvl="0">
      <w:lvlJc w:val="left"/>
      <w:lvlText w:val="%1."/>
      <w:numFmt w:val="decimal"/>
      <w:start w:val="1"/>
    </w:lvl>
    <w:lvl w:ilvl="1">
      <w:lvlJc w:val="left"/>
      <w:lvlText w:val="%2."/>
      <w:numFmt w:val="lowerLetter"/>
      <w:start w:val="1"/>
    </w:lvl>
  </w:abstractNum>
  <w:abstractNum w:abstractNumId="57">
    <w:nsid w:val="3F6AB60F"/>
    <w:multiLevelType w:val="hybridMultilevel"/>
    <w:lvl w:ilvl="0">
      <w:lvlJc w:val="left"/>
      <w:lvlText w:val="%1."/>
      <w:numFmt w:val="decimal"/>
      <w:start w:val="5"/>
    </w:lvl>
    <w:lvl w:ilvl="1">
      <w:lvlJc w:val="left"/>
      <w:lvlText w:val="%2."/>
      <w:numFmt w:val="lowerLetter"/>
      <w:start w:val="1"/>
    </w:lvl>
  </w:abstractNum>
  <w:abstractNum w:abstractNumId="58">
    <w:nsid w:val="61574095"/>
    <w:multiLevelType w:val="hybridMultilevel"/>
    <w:lvl w:ilvl="0">
      <w:lvlJc w:val="left"/>
      <w:lvlText w:val="%1."/>
      <w:numFmt w:val="decimal"/>
      <w:start w:val="1"/>
    </w:lvl>
    <w:lvl w:ilvl="1">
      <w:lvlJc w:val="left"/>
      <w:lvlText w:val="%2."/>
      <w:numFmt w:val="lowerLetter"/>
      <w:start w:val="1"/>
    </w:lvl>
  </w:abstractNum>
  <w:abstractNum w:abstractNumId="59">
    <w:nsid w:val="7E0C57B1"/>
    <w:multiLevelType w:val="hybridMultilevel"/>
    <w:lvl w:ilvl="0">
      <w:lvlJc w:val="left"/>
      <w:lvlText w:val="%1."/>
      <w:numFmt w:val="decimal"/>
      <w:start w:val="5"/>
    </w:lvl>
    <w:lvl w:ilvl="1">
      <w:lvlJc w:val="left"/>
      <w:lvlText w:val="%2."/>
      <w:numFmt w:val="lowerLetter"/>
      <w:start w:val="1"/>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2019-12-29T09:50:44Z</dcterms:created>
  <dcterms:modified xsi:type="dcterms:W3CDTF">2019-12-29T09:50:44Z</dcterms:modified>
</cp:coreProperties>
</file>