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3770"/>
        <w:gridCol w:w="2300"/>
        <w:gridCol w:w="3020"/>
      </w:tblGrid>
      <w:tr>
        <w:trPr/>
        <w:tc>
          <w:tcPr>
            <w:tcW w:w="37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North Carolina</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710"/>
            <w:bookmarkEnd w:id="6"/>
            <w:r>
              <w:rPr>
                <w:rFonts w:ascii="Times New Roman;Times;Serif" w:hAnsi="Times New Roman;Times;Serif"/>
                <w:b/>
                <w:sz w:val="20"/>
              </w:rPr>
              <w:t>001-12744</w:t>
            </w:r>
          </w:p>
        </w:tc>
        <w:tc>
          <w:tcPr>
            <w:tcW w:w="3020"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56-1848578</w:t>
            </w:r>
          </w:p>
        </w:tc>
      </w:tr>
      <w:tr>
        <w:trPr/>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377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4123 Parklake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Raleigh, </w:t>
            </w:r>
            <w:bookmarkStart w:id="10" w:name="xdx_906_edei--EntityAddressStateOrProvin"/>
            <w:bookmarkEnd w:id="10"/>
            <w:r>
              <w:rPr>
                <w:rFonts w:ascii="Times New Roman;Times;Serif" w:hAnsi="Times New Roman;Times;Serif"/>
                <w:b/>
                <w:i w:val="false"/>
                <w:caps w:val="false"/>
                <w:smallCaps w:val="false"/>
                <w:sz w:val="20"/>
              </w:rPr>
              <w:t>North Carolina</w:t>
            </w:r>
          </w:p>
        </w:tc>
        <w:tc>
          <w:tcPr>
            <w:tcW w:w="230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27612</w:t>
            </w:r>
          </w:p>
        </w:tc>
      </w:tr>
      <w:tr>
        <w:trPr/>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30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r>
        <w:trPr/>
        <w:tc>
          <w:tcPr>
            <w:tcW w:w="9090" w:type="dxa"/>
            <w:gridSpan w:val="3"/>
            <w:tcBorders/>
            <w:vAlign w:val="center"/>
          </w:tcPr>
          <w:p>
            <w:pPr>
              <w:pStyle w:val="TableContents"/>
              <w:bidi w:val="0"/>
              <w:spacing w:before="0" w:after="283"/>
              <w:jc w:val="center"/>
              <w:rPr/>
            </w:pPr>
            <w:r>
              <w:rPr/>
              <w:t> </w:t>
            </w:r>
          </w:p>
        </w:tc>
      </w:tr>
      <w:tr>
        <w:trPr/>
        <w:tc>
          <w:tcPr>
            <w:tcW w:w="9090" w:type="dxa"/>
            <w:gridSpan w:val="3"/>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0_edei--CityAreaCode_c20260710__20"/>
            <w:bookmarkEnd w:id="12"/>
            <w:r>
              <w:rPr>
                <w:rFonts w:ascii="Times New Roman;Times;Serif" w:hAnsi="Times New Roman;Times;Serif"/>
                <w:b/>
                <w:i w:val="false"/>
                <w:caps w:val="false"/>
                <w:smallCaps w:val="false"/>
                <w:sz w:val="20"/>
              </w:rPr>
              <w:t>919-</w:t>
            </w:r>
            <w:bookmarkStart w:id="13" w:name="xdx_905_edei--LocalPhoneNumber_c20260710"/>
            <w:bookmarkEnd w:id="13"/>
            <w:r>
              <w:rPr>
                <w:rFonts w:ascii="Times New Roman;Times;Serif" w:hAnsi="Times New Roman;Times;Serif"/>
                <w:b/>
                <w:i w:val="false"/>
                <w:caps w:val="false"/>
                <w:smallCaps w:val="false"/>
                <w:sz w:val="20"/>
              </w:rPr>
              <w:t>781-4550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9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D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28" w:type="dxa"/>
          <w:right w:w="0" w:type="dxa"/>
        </w:tblCellMar>
      </w:tblPr>
      <w:tblGrid>
        <w:gridCol w:w="3631"/>
        <w:gridCol w:w="116"/>
        <w:gridCol w:w="1471"/>
        <w:gridCol w:w="116"/>
        <w:gridCol w:w="2326"/>
      </w:tblGrid>
      <w:tr>
        <w:trPr/>
        <w:tc>
          <w:tcPr>
            <w:tcW w:w="363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47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23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31"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sz w:val="20"/>
              </w:rPr>
            </w:pPr>
            <w:bookmarkStart w:id="18" w:name="xdx_902_edei--Security12bTitle_c20260710"/>
            <w:bookmarkEnd w:id="18"/>
            <w:r>
              <w:rPr>
                <w:rFonts w:ascii="Times New Roman;Times;Serif" w:hAnsi="Times New Roman;Times;Serif"/>
                <w:b/>
                <w:sz w:val="20"/>
              </w:rPr>
              <w:t>Common Stock, $0.01 par value per share</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471"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sz w:val="20"/>
              </w:rPr>
            </w:pPr>
            <w:bookmarkStart w:id="19" w:name="xdx_905_edei--TradingSymbol_c20260710__2"/>
            <w:bookmarkEnd w:id="19"/>
            <w:r>
              <w:rPr>
                <w:rFonts w:ascii="Times New Roman;Times;Serif" w:hAnsi="Times New Roman;Times;Serif"/>
                <w:b/>
                <w:sz w:val="20"/>
              </w:rPr>
              <w:t>MLM</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2326"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b/>
                <w:sz w:val="20"/>
              </w:rPr>
            </w:pPr>
            <w:bookmarkStart w:id="20" w:name="xdx_908_edei--SecurityExchangeName_c2026"/>
            <w:bookmarkEnd w:id="20"/>
            <w:r>
              <w:rPr>
                <w:rFonts w:ascii="Times New Roman;Times;Serif" w:hAnsi="Times New Roman;Times;Serif"/>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No. 1 to Credit Agreement</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Martin Marietta Materials, Inc. (the “Corporation”) entered into Amendment No. 1 (the “Amendment”) with JPMorgan Chase Bank, N.A. (“JPMCB”) and certain financial institutions, as lenders, to the Corporation’s $800,000,000 five-year senior unsecured revolving credit facility with JPMCB, as administrative agent, and the lenders and issuing lenders party thereto (the “Revolving Credit Agreement”, and the facility thereunder, the “Revolving Facility”).</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amends the Revolving Credit Agreement to modify the financial covenant contained therein to provide that if the Corporation’s previously announced acquisition of Lhoist North America, Inc. (the “Acquisition”) is consummated, then the maximum Leverage Ratio (as defined in the Revolving Credit Agreement) shall not exceed (a) for the first three fiscal quarters ending after the closing date of the Acquisition, 4.75:1.00, (b) for the next succeeding three fiscal quarters, 4.25:1.00 and (c) thereafter, 3.75:1.00.</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Amendment is filed as Exhibit 10.1 hereto and is incorporated herein by reference. The description of the Amendment and Revolving Credit Agreement contained herein are qualified in their entirety by the terms of the Amendment and the Revolving Credit Agreement.</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Credit Agreement</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Corporation entered into a Term Credit Agreement (the “Term Credit Agreement”) with JPMCB, as administrative agent, and certain financial institutions, as lenders, pursuant to which such lenders committed to provide, subject to the consummation of the Acquisition and other customary conditions, a three-year senior unsecured term loan facility in an aggregate principal amount of $1,500,000,000 (the “Term Facility”). The proceeds of the Term Facility may be used by the Corporation to pay a portion of the cash consideration payable in connection with the Acquisition and to pay related fees and expenses. The Term Facility matures three years after the date on which it is funded and is not subject to amortization.</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Term Credit Agreement will bear interest, at the option of the Corporation, at either the Term SOFR Rate (determined in accordance with the Term Credit Agreement) or the Base Rate (determined in accordance with the Term Credit Agreement), in each case plus a margin determined in accordance with a ratings-based pricing grid. In addition, the Corporation will pay a commitment fee on the daily amount of undrawn commitments under the Term Facility at a rate per annum determined in accordance with a ratings-based pricing grid, during the period from and including October 25, 2026 to but excluding the date on which the commitments under the Term Facility terminate (including upon the borrowing of the loans under the Term Facility).</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Credit Agreement contains certain customary covenants and events of default, including a covenant that the Corporation will maintain a maximum Leverage Ratio (as defined in the Term Credit Agreement) not to exceed (a) for the first three fiscal quarters ending after the closing date of the Acquisition, 4.75:1.00, (b) for the next succeeding three fiscal quarters, 4.25:1.00 and (c) thereafter, 3.75:1.00, provided that the Corporation may exclude from the Leverage Ratio debt incurred in connection with certain acquisitions for a period of four quarters so long as the Leverage Ratio calculated without such exclusion does not exceed 4.25:1.00. Additionally, if there are no amounts outstanding under both the Revolving Facility and the Corporation’s accounts receivable securitization facility, consolidated debt will be reduced for purposes of the calculation of the Leverage Ratio by the Corporation’s cash and cash equivalents, such reduction not to exceed $500,000,000. If any of the events of default occur and are not cured within applicable grace periods or waived, any unpaid amounts under the Term Credit Agreement may be declared immediately due and payable.</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Term Credit Agreement is filed as Exhibit 10.2 hereto and is incorporated herein by reference. The description of the Term Credit Agreement contained herein is qualified in its entirety by the terms of the Term Credit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50"/>
        <w:gridCol w:w="9317"/>
      </w:tblGrid>
      <w:tr>
        <w:trPr/>
        <w:tc>
          <w:tcPr>
            <w:tcW w:w="3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b/>
              </w:rPr>
            </w:pPr>
            <w:r>
              <w:rPr>
                <w:b/>
              </w:rPr>
              <w:t>Item 2.03</w:t>
            </w:r>
          </w:p>
        </w:tc>
        <w:tc>
          <w:tcPr>
            <w:tcW w:w="9317"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is included under Item 1.01 “Entry into a Material Definitive Agreement” with respect to the Term Credit Agreement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Exhibits</w:t>
            </w:r>
          </w:p>
        </w:tc>
        <w:tc>
          <w:tcPr>
            <w:tcW w:w="9376" w:type="dxa"/>
            <w:tcBorders/>
            <w:vAlign w:val="center"/>
          </w:tcPr>
          <w:p>
            <w:pPr>
              <w:pStyle w:val="TableContents"/>
              <w:bidi w:val="0"/>
              <w:spacing w:before="0" w:after="283"/>
              <w:jc w:val="left"/>
              <w:rPr/>
            </w:pPr>
            <w:r>
              <w:rPr/>
              <w:t> </w:t>
            </w:r>
          </w:p>
        </w:tc>
      </w:tr>
      <w:tr>
        <w:trPr/>
        <w:tc>
          <w:tcPr>
            <w:tcW w:w="829" w:type="dxa"/>
            <w:tcBorders/>
            <w:vAlign w:val="center"/>
          </w:tcPr>
          <w:p>
            <w:pPr>
              <w:pStyle w:val="TableContents"/>
              <w:bidi w:val="0"/>
              <w:spacing w:before="0" w:after="283"/>
              <w:jc w:val="left"/>
              <w:rPr/>
            </w:pPr>
            <w:r>
              <w:rPr/>
              <w:t> </w:t>
            </w:r>
          </w:p>
        </w:tc>
        <w:tc>
          <w:tcPr>
            <w:tcW w:w="9376" w:type="dxa"/>
            <w:tcBorders/>
            <w:vAlign w:val="center"/>
          </w:tcPr>
          <w:p>
            <w:pPr>
              <w:pStyle w:val="TableContents"/>
              <w:bidi w:val="0"/>
              <w:spacing w:before="0" w:after="283"/>
              <w:jc w:val="left"/>
              <w:rPr/>
            </w:pPr>
            <w:r>
              <w:rPr/>
              <w:t> </w:t>
            </w:r>
          </w:p>
        </w:tc>
      </w:tr>
      <w:tr>
        <w:trPr/>
        <w:tc>
          <w:tcPr>
            <w:tcW w:w="829" w:type="dxa"/>
            <w:tcBorders/>
            <w:vAlign w:val="center"/>
          </w:tcPr>
          <w:p>
            <w:pPr>
              <w:pStyle w:val="TableContents"/>
              <w:bidi w:val="0"/>
              <w:spacing w:before="0" w:after="283"/>
              <w:jc w:val="left"/>
              <w:rPr/>
            </w:pPr>
            <w:hyperlink w:anchor="ex10-1.htm">
              <w:r>
                <w:rPr>
                  <w:rStyle w:val="InternetLink"/>
                  <w:rFonts w:ascii="Times New Roman;Times;Serif" w:hAnsi="Times New Roman;Times;Serif"/>
                  <w:sz w:val="20"/>
                </w:rPr>
                <w:t>10.1</w:t>
              </w:r>
            </w:hyperlink>
          </w:p>
        </w:tc>
        <w:tc>
          <w:tcPr>
            <w:tcW w:w="9376" w:type="dxa"/>
            <w:tcBorders/>
            <w:vAlign w:val="center"/>
          </w:tcPr>
          <w:p>
            <w:pPr>
              <w:pStyle w:val="TableContents"/>
              <w:bidi w:val="0"/>
              <w:spacing w:before="0" w:after="283"/>
              <w:jc w:val="left"/>
              <w:rPr/>
            </w:pPr>
            <w:hyperlink w:anchor="ex10-1.htm">
              <w:r>
                <w:rPr>
                  <w:rStyle w:val="InternetLink"/>
                  <w:rFonts w:ascii="Times New Roman;Times;Serif" w:hAnsi="Times New Roman;Times;Serif"/>
                  <w:sz w:val="20"/>
                </w:rPr>
                <w:t>Amendment No. 1 dated as of July 10, 2026 among the Corporation, the Lenders (as defined in the Revolving Credit Agreement) and JPMCB.</w:t>
              </w:r>
            </w:hyperlink>
          </w:p>
        </w:tc>
      </w:tr>
      <w:tr>
        <w:trPr/>
        <w:tc>
          <w:tcPr>
            <w:tcW w:w="829" w:type="dxa"/>
            <w:tcBorders/>
            <w:vAlign w:val="center"/>
          </w:tcPr>
          <w:p>
            <w:pPr>
              <w:pStyle w:val="TableContents"/>
              <w:bidi w:val="0"/>
              <w:spacing w:before="0" w:after="283"/>
              <w:jc w:val="left"/>
              <w:rPr/>
            </w:pPr>
            <w:r>
              <w:rPr/>
              <w:t> </w:t>
            </w:r>
          </w:p>
        </w:tc>
        <w:tc>
          <w:tcPr>
            <w:tcW w:w="9376" w:type="dxa"/>
            <w:tcBorders/>
            <w:vAlign w:val="center"/>
          </w:tcPr>
          <w:p>
            <w:pPr>
              <w:pStyle w:val="TableContents"/>
              <w:bidi w:val="0"/>
              <w:spacing w:before="0" w:after="283"/>
              <w:jc w:val="left"/>
              <w:rPr/>
            </w:pPr>
            <w:r>
              <w:rPr/>
              <w:t> </w:t>
            </w:r>
          </w:p>
        </w:tc>
      </w:tr>
      <w:tr>
        <w:trPr/>
        <w:tc>
          <w:tcPr>
            <w:tcW w:w="829" w:type="dxa"/>
            <w:tcBorders/>
            <w:vAlign w:val="center"/>
          </w:tcPr>
          <w:p>
            <w:pPr>
              <w:pStyle w:val="TableContents"/>
              <w:bidi w:val="0"/>
              <w:spacing w:before="0" w:after="283"/>
              <w:jc w:val="left"/>
              <w:rPr/>
            </w:pPr>
            <w:hyperlink w:anchor="ex10-2.htm">
              <w:r>
                <w:rPr>
                  <w:rStyle w:val="InternetLink"/>
                </w:rPr>
                <w:t>10.2</w:t>
              </w:r>
            </w:hyperlink>
          </w:p>
        </w:tc>
        <w:tc>
          <w:tcPr>
            <w:tcW w:w="9376" w:type="dxa"/>
            <w:tcBorders/>
            <w:vAlign w:val="center"/>
          </w:tcPr>
          <w:p>
            <w:pPr>
              <w:pStyle w:val="TableContents"/>
              <w:bidi w:val="0"/>
              <w:spacing w:before="0" w:after="283"/>
              <w:jc w:val="left"/>
              <w:rPr/>
            </w:pPr>
            <w:hyperlink w:anchor="ex10-2.htm">
              <w:r>
                <w:rPr>
                  <w:rStyle w:val="InternetLink"/>
                </w:rPr>
                <w:t>Term Credit Agreement dated as of July 15, 2026 among the Corporation, the Lenders (as defined in the Term Credit Agreement) and JPMCB.</w:t>
              </w:r>
            </w:hyperlink>
            <w:r>
              <w:rPr/>
              <w:t xml:space="preserve"> </w:t>
            </w:r>
          </w:p>
        </w:tc>
      </w:tr>
      <w:tr>
        <w:trPr/>
        <w:tc>
          <w:tcPr>
            <w:tcW w:w="829" w:type="dxa"/>
            <w:tcBorders/>
            <w:vAlign w:val="center"/>
          </w:tcPr>
          <w:p>
            <w:pPr>
              <w:pStyle w:val="TableContents"/>
              <w:bidi w:val="0"/>
              <w:spacing w:before="0" w:after="283"/>
              <w:jc w:val="left"/>
              <w:rPr/>
            </w:pPr>
            <w:r>
              <w:rPr/>
              <w:t> </w:t>
            </w:r>
          </w:p>
        </w:tc>
        <w:tc>
          <w:tcPr>
            <w:tcW w:w="9376" w:type="dxa"/>
            <w:tcBorders/>
            <w:vAlign w:val="center"/>
          </w:tcPr>
          <w:p>
            <w:pPr>
              <w:pStyle w:val="TableContents"/>
              <w:bidi w:val="0"/>
              <w:spacing w:before="0" w:after="283"/>
              <w:jc w:val="left"/>
              <w:rPr/>
            </w:pPr>
            <w:r>
              <w:rPr/>
              <w:t> </w:t>
            </w:r>
          </w:p>
        </w:tc>
      </w:tr>
      <w:tr>
        <w:trPr/>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3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105" w:type="dxa"/>
        <w:jc w:val="left"/>
        <w:tblInd w:w="0" w:type="dxa"/>
        <w:tblLayout w:type="fixed"/>
        <w:tblCellMar>
          <w:top w:w="0" w:type="dxa"/>
          <w:left w:w="0" w:type="dxa"/>
          <w:bottom w:w="0" w:type="dxa"/>
          <w:right w:w="0" w:type="dxa"/>
        </w:tblCellMar>
      </w:tblPr>
      <w:tblGrid>
        <w:gridCol w:w="1670"/>
        <w:gridCol w:w="320"/>
        <w:gridCol w:w="545"/>
        <w:gridCol w:w="5495"/>
        <w:gridCol w:w="75"/>
      </w:tblGrid>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15, 2026</w:t>
            </w:r>
          </w:p>
        </w:tc>
        <w:tc>
          <w:tcPr>
            <w:tcW w:w="6435"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MARIETTA MATERIALS, INC.</w:t>
            </w:r>
          </w:p>
        </w:tc>
      </w:tr>
      <w:tr>
        <w:trPr/>
        <w:tc>
          <w:tcPr>
            <w:tcW w:w="1670" w:type="dxa"/>
            <w:tcBorders/>
            <w:vAlign w:val="center"/>
          </w:tcPr>
          <w:p>
            <w:pPr>
              <w:pStyle w:val="TableContents"/>
              <w:bidi w:val="0"/>
              <w:spacing w:before="0" w:after="283"/>
              <w:jc w:val="left"/>
              <w:rPr/>
            </w:pPr>
            <w:r>
              <w:rPr/>
              <w:t> </w:t>
            </w:r>
          </w:p>
        </w:tc>
        <w:tc>
          <w:tcPr>
            <w:tcW w:w="63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George F. Schoen</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F. Schoen</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x10-1.htm"/>
      <w:bookmarkStart w:id="23" w:name="ksex101"/>
      <w:bookmarkEnd w:id="22"/>
      <w:bookmarkEnd w:id="23"/>
      <w:r>
        <w:rPr>
          <w:b/>
        </w:rPr>
        <w:t>Exhibit 10.1</w:t>
      </w:r>
      <w:r>
        <w:br w:type="page"/>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dated as of July 10,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Martin Marietta Materials, Inc., a North Carolina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(as defined below) party hereto and JPMorgan Chase Bank, N.A. (“</w:t>
      </w:r>
      <w:r>
        <w:rPr>
          <w:rFonts w:ascii="Times New Roman;Times;Serif" w:hAnsi="Times New Roman;Times;Serif"/>
          <w:b w:val="false"/>
          <w:i w:val="false"/>
          <w:caps w:val="false"/>
          <w:smallCaps w:val="false"/>
          <w:sz w:val="20"/>
          <w:u w:val="single"/>
        </w:rPr>
        <w:t>JPMCB</w:t>
      </w:r>
      <w:r>
        <w:rPr>
          <w:rFonts w:ascii="Times New Roman;Times;Serif" w:hAnsi="Times New Roman;Times;Serif"/>
          <w:b w:val="false"/>
          <w:i w:val="false"/>
          <w:caps w:val="false"/>
          <w:smallCaps w:val="false"/>
          <w:sz w:val="20"/>
        </w:rPr>
        <w:t>”), as administrative agent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Capitalized terms used but not defined herein shall have the meanings assigned to such terms in the Credit Agreement referred to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RECITALS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Borrower is party to that certain Credit Agreement dated as of December 21, 2021 (as amended by that certain Loan Modification No. 1 and Extension Agreement, dated as of December 22, 2022, by that certain Loan Modification No. 2 and Extension Agreement, dated as of December 21, 2023, by that certain Loan Modification No. 3 and Extension Agreement, dated as of December 20, 2024, by that certain Loan Modification No. 4 and Extension Agreement, dated as of December 19, 2025 and as further amended, restated, amended and restated, supplemented or otherwise modified from time to time prior to the date hereof,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and the Credit Agreement as amended by this Amendment, the “</w:t>
      </w:r>
      <w:r>
        <w:rPr>
          <w:rFonts w:ascii="Times New Roman;Times;Serif" w:hAnsi="Times New Roman;Times;Serif"/>
          <w:b w:val="false"/>
          <w:i w:val="false"/>
          <w:caps w:val="false"/>
          <w:smallCaps w:val="false"/>
          <w:sz w:val="20"/>
          <w:u w:val="single"/>
        </w:rPr>
        <w:t>Amended Credit Agreement</w:t>
      </w:r>
      <w:r>
        <w:rPr>
          <w:rFonts w:ascii="Times New Roman;Times;Serif" w:hAnsi="Times New Roman;Times;Serif"/>
          <w:b w:val="false"/>
          <w:i w:val="false"/>
          <w:caps w:val="false"/>
          <w:smallCaps w:val="false"/>
          <w:sz w:val="20"/>
        </w:rPr>
        <w:t>”) by and among the Borrower, the lenders from time to time party thereto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the issuing lenders from time to time party thereto and JPMCB,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Pursuant to Section 9.07 of the Credit Agreement, the Borrower has requested that the Administrative Agent and the Lenders amend certain provisions of the Credit Agreement as set forth in Section 1 below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Now, therefore, in consideration of the foregoing and for other good and valuable consideration, the receipt and sufficiency of all of which is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 </w:t>
      </w:r>
      <w:r>
        <w:rPr>
          <w:rFonts w:ascii="Times New Roman;Times;Serif" w:hAnsi="Times New Roman;Times;Serif"/>
          <w:b w:val="false"/>
          <w:i w:val="false"/>
          <w:caps w:val="false"/>
          <w:smallCaps w:val="false"/>
          <w:sz w:val="20"/>
          <w:u w:val="single"/>
        </w:rPr>
        <w:t>Amendments to Credit Agreement</w:t>
      </w:r>
      <w:r>
        <w:rPr>
          <w:rFonts w:ascii="Times New Roman;Times;Serif" w:hAnsi="Times New Roman;Times;Serif"/>
          <w:b w:val="false"/>
          <w:i w:val="false"/>
          <w:caps w:val="false"/>
          <w:smallCaps w:val="false"/>
          <w:sz w:val="20"/>
        </w:rPr>
        <w:t xml:space="preserve">. Effective as of the Agreement Effective Date (as defined below), and subject to the satisfaction (or waiver) of the conditions set forth in Section 3 below, the Credit Agreement is hereby amended to delete the stricken text (indicated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in the same manner as the following example: </w:t>
      </w:r>
      <w:r>
        <w:rPr>
          <w:rFonts w:ascii="Times New Roman;Times;Serif" w:hAnsi="Times New Roman;Times;Serif"/>
          <w:b w:val="false"/>
          <w:i w:val="false"/>
          <w:caps w:val="false"/>
          <w:smallCaps w:val="false"/>
          <w:color w:val="0070C0"/>
          <w:sz w:val="20"/>
          <w:u w:val="single"/>
        </w:rPr>
        <w:t>double-underlined text</w:t>
      </w:r>
      <w:r>
        <w:rPr>
          <w:rFonts w:ascii="Times New Roman;Times;Serif" w:hAnsi="Times New Roman;Times;Serif"/>
          <w:b w:val="false"/>
          <w:i w:val="false"/>
          <w:caps w:val="false"/>
          <w:smallCaps w:val="false"/>
          <w:sz w:val="20"/>
        </w:rPr>
        <w:t xml:space="preserve">) as set forth in the copy of the Amended Credit Agreement attached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To induce the Lenders and the Administrative Agent to enter into this Agreement, the Borrower hereby represents and warrants to the Lenders and the Administrative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Borrower has the corporate power to enter into and perform this Agreement, (ii) the execution, delivery and performance by the Borrower of this Agreement are within the corporate powers of the Borrower and have been duly authorized by all necessary corporate action and (iii) this Agreement constitutes a valid and binding agreement of the Borrower enforceable against the Borrower in accordance with its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the Borrower set forth in Article 4 of the Credit Agreement (other than the representations and warranties set forth in Sections 4.04(c), ‎4.05, ‎4.06, ‎4.08, ‎4.13 and ‎4.14 of the Credit Agreement) are true and correct in all material respects on and as of the date hereof, except to the extent (x) they expressly relate to an earlier date, in which case they shall be true in all material respects as of such earlier date or (y) any representation or warranty is qualified by or subject to a “material adverse effect”, “material adverse change” or similar term or qualification, in which case the same shall be true and correct in all respects; and</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hereof, no Default or Event of Default has occurred and is continuing or would result from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 </w:t>
      </w:r>
      <w:r>
        <w:rPr>
          <w:rFonts w:ascii="Times New Roman;Times;Serif" w:hAnsi="Times New Roman;Times;Serif"/>
          <w:b w:val="false"/>
          <w:i w:val="false"/>
          <w:caps w:val="false"/>
          <w:smallCaps w:val="false"/>
          <w:sz w:val="20"/>
          <w:u w:val="single"/>
        </w:rPr>
        <w:t>Conditions of Effectiveness of the Amendment</w:t>
      </w:r>
      <w:r>
        <w:rPr>
          <w:rFonts w:ascii="Times New Roman;Times;Serif" w:hAnsi="Times New Roman;Times;Serif"/>
          <w:b w:val="false"/>
          <w:i w:val="false"/>
          <w:caps w:val="false"/>
          <w:smallCaps w:val="false"/>
          <w:sz w:val="20"/>
        </w:rPr>
        <w:t>. The Amendment shall become effective as of the date hereof (the “</w:t>
      </w:r>
      <w:r>
        <w:rPr>
          <w:rFonts w:ascii="Times New Roman;Times;Serif" w:hAnsi="Times New Roman;Times;Serif"/>
          <w:b w:val="false"/>
          <w:i w:val="false"/>
          <w:caps w:val="false"/>
          <w:smallCaps w:val="false"/>
          <w:sz w:val="20"/>
          <w:u w:val="single"/>
        </w:rPr>
        <w:t>Agreement Effective Date</w:t>
      </w:r>
      <w:r>
        <w:rPr>
          <w:rFonts w:ascii="Times New Roman;Times;Serif" w:hAnsi="Times New Roman;Times;Serif"/>
          <w:b w:val="false"/>
          <w:i w:val="false"/>
          <w:caps w:val="false"/>
          <w:smallCaps w:val="false"/>
          <w:sz w:val="20"/>
        </w:rPr>
        <w:t>”) so long as the Administrative Agent shall have received (i) an executed counterpart (which may include a facsimile or other electronic transmission) of this Agreement from the Borrower and Lenders constituting the Required Lenders and (ii) a certificate executed by a Responsible Officer of the Borrower, dated the Agreement Effective Date, certifying that as of such date (A) no Default shall have occurred and be continuing and (B) the representations and warranties of the Borrower contained in Section 2 of this Agreement and Article 4 of the Credit Agreement (other than the representations and warranties set forth in Sections 4.04(c), ‎4.05, ‎4.06, ‎4.08, ‎4.13 and ‎4.14 of the Credit Agreement) shall be true in all material respects on and as of such date, except to the extent (x) they expressly relate to an earlier date, in which case they shall be true in all material respects as of such earlier date or (y) any representation or warranty is qualified by or subject to a “material adverse effect”, “material adverse change” or similar term or qualification, in which case the same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 </w:t>
      </w:r>
      <w:r>
        <w:rPr>
          <w:rFonts w:ascii="Times New Roman;Times;Serif" w:hAnsi="Times New Roman;Times;Serif"/>
          <w:b w:val="false"/>
          <w:i w:val="false"/>
          <w:caps w:val="false"/>
          <w:smallCaps w:val="false"/>
          <w:sz w:val="20"/>
          <w:u w:val="single"/>
        </w:rPr>
        <w:t>Reference to and Effect on the Credit Agreement and the other Loan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and after the Agreement Effective Date, each reference in the Credit Agreement to “this Agreement,” “hereunder,” “hereof” or words of like import referring to the Credit Agreement shall mean and be a reference to the Credit Agreement, as amended by the Amendment. The Credit Agreement and each of the other Loan Documents, as specifically amended by the Amendment, are and shall continue to be in full force and effect and are hereby in all respects ratified and confirmed.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effectiveness of this Agreement shall not operate as a waiver of any right, power or remedy of any Lender or the Administrative Agent under any of the Loan Documents, nor constitute a waiver of any provision of any of the Loan Documents except as expressly set forth herein. This Agreement shall for all purposes constitute a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The Borrower hereby acknowledges that it has read this Agreement and consents to its terms, and further hereby affirms, confirms, represents, warrants and agrees that notwithstanding the effectiveness of this Agreement, the obligations of the Borrower under each of the Loan Documents shall not be impaired and each of the Loan Documents is, and shall continue to be, in full force and effect and is hereby confirmed and ratified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The Borrower hereby agrees to reimburse the Administrative Agent for its reasonable and documented out-of-pocket expenses in connection with this Agreement, including the reasonable fees, charges and disbursements of counsel for the Administrative Agent, all in accordance with the terms and conditions of Section 9.04(a)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together shall constitute one and the same instrument. Delivery by facsimile or electronic transmission of an executed counterpart of a signature page to this Agreement shall be effective as delivery of an original executed counterpart of this Agreement. The words “execution,” “signed,” “signature,” “delivery,” and words of like import in or relating to this Agreement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means any electronic symbol or process attached to, or associated with, any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 This Agreement and any claim, controversy, dispute, proceeding or cause of action (whether in contract, tort or otherwise and whether at law or in equity) based upon, arising out of or relating to this Agreement and the transactions contemplated hereby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hereby agrees as set forth in Sections 9.12 and 9.14 of the Credit Agreement as if such sections were set forth in full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herein are included for convenience of reference only and shall not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 </w:t>
      </w:r>
    </w:p>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75"/>
        <w:gridCol w:w="365"/>
        <w:gridCol w:w="650"/>
        <w:gridCol w:w="4730"/>
        <w:gridCol w:w="75"/>
      </w:tblGrid>
      <w:tr>
        <w:trPr/>
        <w:tc>
          <w:tcPr>
            <w:tcW w:w="75" w:type="dxa"/>
            <w:tcBorders/>
            <w:vAlign w:val="center"/>
          </w:tcPr>
          <w:p>
            <w:pPr>
              <w:pStyle w:val="TableHeading"/>
              <w:bidi w:val="0"/>
              <w:spacing w:before="0" w:after="283"/>
              <w:jc w:val="left"/>
              <w:rPr/>
            </w:pPr>
            <w:r>
              <w:rPr/>
              <w:t> </w:t>
            </w:r>
          </w:p>
        </w:tc>
        <w:tc>
          <w:tcPr>
            <w:tcW w:w="5745"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as the Borrower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380" w:type="dxa"/>
            <w:gridSpan w:val="2"/>
            <w:tcBorders>
              <w:bottom w:val="single" w:sz="8" w:space="0" w:color="000000"/>
            </w:tcBorders>
            <w:tcMar>
              <w:bottom w:w="28" w:type="dxa"/>
            </w:tcMar>
            <w:vAlign w:val="center"/>
          </w:tcPr>
          <w:p>
            <w:pPr>
              <w:pStyle w:val="TableContents"/>
              <w:bidi w:val="0"/>
              <w:spacing w:before="0" w:after="283"/>
              <w:jc w:val="left"/>
              <w:rPr/>
            </w:pPr>
            <w:r>
              <w:rPr/>
              <w:t>/s/ 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730" w:type="dxa"/>
            <w:tcBorders/>
            <w:vAlign w:val="center"/>
          </w:tcPr>
          <w:p>
            <w:pPr>
              <w:pStyle w:val="TableContents"/>
              <w:bidi w:val="0"/>
              <w:spacing w:before="0" w:after="283"/>
              <w:jc w:val="left"/>
              <w:rPr/>
            </w:pPr>
            <w:r>
              <w:rPr/>
              <w:t>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730" w:type="dxa"/>
            <w:tcBorders/>
            <w:vAlign w:val="center"/>
          </w:tcPr>
          <w:p>
            <w:pPr>
              <w:pStyle w:val="TableContents"/>
              <w:bidi w:val="0"/>
              <w:spacing w:before="0" w:after="283"/>
              <w:jc w:val="left"/>
              <w:rPr/>
            </w:pPr>
            <w:r>
              <w:rPr/>
              <w:t>Senior Vice President and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74" w:type="dxa"/>
        <w:jc w:val="left"/>
        <w:tblInd w:w="0" w:type="dxa"/>
        <w:tblLayout w:type="fixed"/>
        <w:tblCellMar>
          <w:top w:w="0" w:type="dxa"/>
          <w:left w:w="0" w:type="dxa"/>
          <w:bottom w:w="0" w:type="dxa"/>
          <w:right w:w="0" w:type="dxa"/>
        </w:tblCellMar>
      </w:tblPr>
      <w:tblGrid>
        <w:gridCol w:w="75"/>
        <w:gridCol w:w="760"/>
        <w:gridCol w:w="1354"/>
        <w:gridCol w:w="4010"/>
        <w:gridCol w:w="75"/>
      </w:tblGrid>
      <w:tr>
        <w:trPr/>
        <w:tc>
          <w:tcPr>
            <w:tcW w:w="75" w:type="dxa"/>
            <w:tcBorders/>
            <w:vAlign w:val="center"/>
          </w:tcPr>
          <w:p>
            <w:pPr>
              <w:pStyle w:val="TableHeading"/>
              <w:bidi w:val="0"/>
              <w:spacing w:before="0" w:after="283"/>
              <w:jc w:val="left"/>
              <w:rPr/>
            </w:pPr>
            <w:r>
              <w:rPr/>
              <w:t> </w:t>
            </w:r>
          </w:p>
        </w:tc>
        <w:tc>
          <w:tcPr>
            <w:tcW w:w="6124"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Administrative Agent and 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By:</w:t>
            </w:r>
          </w:p>
        </w:tc>
        <w:tc>
          <w:tcPr>
            <w:tcW w:w="5364" w:type="dxa"/>
            <w:gridSpan w:val="2"/>
            <w:tcBorders>
              <w:bottom w:val="single" w:sz="8" w:space="0" w:color="000000"/>
            </w:tcBorders>
            <w:tcMar>
              <w:bottom w:w="28" w:type="dxa"/>
            </w:tcMar>
            <w:vAlign w:val="center"/>
          </w:tcPr>
          <w:p>
            <w:pPr>
              <w:pStyle w:val="TableContents"/>
              <w:bidi w:val="0"/>
              <w:spacing w:before="0" w:after="283"/>
              <w:jc w:val="left"/>
              <w:rPr/>
            </w:pPr>
            <w:r>
              <w:rPr/>
              <w:t>/s/ Nicholas Nussbaum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Name:</w:t>
            </w:r>
          </w:p>
        </w:tc>
        <w:tc>
          <w:tcPr>
            <w:tcW w:w="4010" w:type="dxa"/>
            <w:tcBorders/>
            <w:vAlign w:val="center"/>
          </w:tcPr>
          <w:p>
            <w:pPr>
              <w:pStyle w:val="TableContents"/>
              <w:bidi w:val="0"/>
              <w:spacing w:before="0" w:after="283"/>
              <w:jc w:val="left"/>
              <w:rPr/>
            </w:pPr>
            <w:r>
              <w:rPr/>
              <w:t>Nicholas Nussbaum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left"/>
              <w:rPr/>
            </w:pPr>
            <w:r>
              <w:rPr/>
              <w:t>Title:</w:t>
            </w:r>
          </w:p>
        </w:tc>
        <w:tc>
          <w:tcPr>
            <w:tcW w:w="401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 </w:t>
      </w:r>
    </w:p>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75"/>
        <w:gridCol w:w="618"/>
        <w:gridCol w:w="1101"/>
        <w:gridCol w:w="2169"/>
        <w:gridCol w:w="75"/>
      </w:tblGrid>
      <w:tr>
        <w:trPr/>
        <w:tc>
          <w:tcPr>
            <w:tcW w:w="75" w:type="dxa"/>
            <w:tcBorders/>
            <w:vAlign w:val="center"/>
          </w:tcPr>
          <w:p>
            <w:pPr>
              <w:pStyle w:val="TableHeading"/>
              <w:bidi w:val="0"/>
              <w:spacing w:before="0" w:after="283"/>
              <w:jc w:val="left"/>
              <w:rPr/>
            </w:pPr>
            <w:r>
              <w:rPr/>
              <w:t> </w:t>
            </w:r>
          </w:p>
        </w:tc>
        <w:tc>
          <w:tcPr>
            <w:tcW w:w="3888" w:type="dxa"/>
            <w:gridSpan w:val="3"/>
            <w:tcBorders/>
            <w:vAlign w:val="center"/>
          </w:tcPr>
          <w:p>
            <w:pPr>
              <w:pStyle w:val="TableHeading"/>
              <w:bidi w:val="0"/>
              <w:spacing w:before="0" w:after="0"/>
              <w:ind w:left="337" w:right="0" w:hanging="33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NEW YORK BRANCH,</w:t>
            </w:r>
          </w:p>
          <w:p>
            <w:pPr>
              <w:pStyle w:val="TableHeading"/>
              <w:bidi w:val="0"/>
              <w:spacing w:before="0" w:after="0"/>
              <w:ind w:left="337" w:right="0" w:hanging="33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By:</w:t>
            </w:r>
          </w:p>
        </w:tc>
        <w:tc>
          <w:tcPr>
            <w:tcW w:w="3270" w:type="dxa"/>
            <w:gridSpan w:val="2"/>
            <w:tcBorders>
              <w:bottom w:val="single" w:sz="8" w:space="0" w:color="000000"/>
            </w:tcBorders>
            <w:tcMar>
              <w:bottom w:w="28" w:type="dxa"/>
            </w:tcMar>
            <w:vAlign w:val="center"/>
          </w:tcPr>
          <w:p>
            <w:pPr>
              <w:pStyle w:val="TableContents"/>
              <w:bidi w:val="0"/>
              <w:spacing w:before="0" w:after="283"/>
              <w:jc w:val="left"/>
              <w:rPr/>
            </w:pPr>
            <w:r>
              <w:rPr/>
              <w:t>/s/ Marko Lukin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Name:</w:t>
            </w:r>
          </w:p>
        </w:tc>
        <w:tc>
          <w:tcPr>
            <w:tcW w:w="2169" w:type="dxa"/>
            <w:tcBorders/>
            <w:vAlign w:val="center"/>
          </w:tcPr>
          <w:p>
            <w:pPr>
              <w:pStyle w:val="TableContents"/>
              <w:bidi w:val="0"/>
              <w:spacing w:before="0" w:after="283"/>
              <w:jc w:val="left"/>
              <w:rPr/>
            </w:pPr>
            <w:r>
              <w:rPr/>
              <w:t>Marko Lukin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Title:</w:t>
            </w:r>
          </w:p>
        </w:tc>
        <w:tc>
          <w:tcPr>
            <w:tcW w:w="2169"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365"/>
        <w:gridCol w:w="650"/>
        <w:gridCol w:w="1430"/>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80" w:type="dxa"/>
            <w:gridSpan w:val="2"/>
            <w:tcBorders>
              <w:bottom w:val="single" w:sz="8" w:space="0" w:color="000000"/>
            </w:tcBorders>
            <w:tcMar>
              <w:bottom w:w="28" w:type="dxa"/>
            </w:tcMar>
            <w:vAlign w:val="center"/>
          </w:tcPr>
          <w:p>
            <w:pPr>
              <w:pStyle w:val="TableContents"/>
              <w:bidi w:val="0"/>
              <w:spacing w:before="0" w:after="283"/>
              <w:jc w:val="left"/>
              <w:rPr/>
            </w:pPr>
            <w:r>
              <w:rPr/>
              <w:t>/s/ Kelvyn Correa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430" w:type="dxa"/>
            <w:tcBorders/>
            <w:vAlign w:val="center"/>
          </w:tcPr>
          <w:p>
            <w:pPr>
              <w:pStyle w:val="TableContents"/>
              <w:bidi w:val="0"/>
              <w:spacing w:before="0" w:after="283"/>
              <w:jc w:val="left"/>
              <w:rPr/>
            </w:pPr>
            <w:r>
              <w:rPr/>
              <w:t>Kelvyn Correa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4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 </w:t>
      </w:r>
    </w:p>
    <w:p>
      <w:pPr>
        <w:pStyle w:val="TextBody"/>
        <w:bidi w:val="0"/>
        <w:spacing w:before="0" w:after="0"/>
        <w:ind w:left="0" w:right="0" w:hanging="0"/>
        <w:jc w:val="left"/>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491"/>
        <w:gridCol w:w="876"/>
        <w:gridCol w:w="2372"/>
        <w:gridCol w:w="75"/>
      </w:tblGrid>
      <w:tr>
        <w:trPr/>
        <w:tc>
          <w:tcPr>
            <w:tcW w:w="75" w:type="dxa"/>
            <w:tcBorders/>
            <w:vAlign w:val="center"/>
          </w:tcPr>
          <w:p>
            <w:pPr>
              <w:pStyle w:val="TableHeading"/>
              <w:suppressLineNumbers/>
              <w:bidi w:val="0"/>
              <w:spacing w:before="0" w:after="283"/>
              <w:jc w:val="center"/>
              <w:rPr/>
            </w:pPr>
            <w:r>
              <w:rPr/>
              <w:t> </w:t>
            </w:r>
          </w:p>
        </w:tc>
        <w:tc>
          <w:tcPr>
            <w:tcW w:w="3739" w:type="dxa"/>
            <w:gridSpan w:val="3"/>
            <w:tcBorders/>
            <w:vAlign w:val="center"/>
          </w:tcPr>
          <w:p>
            <w:pPr>
              <w:pStyle w:val="TableHeading"/>
              <w:bidi w:val="0"/>
              <w:spacing w:before="0" w:after="0"/>
              <w:ind w:left="337" w:right="0" w:hanging="33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 as a</w:t>
            </w:r>
          </w:p>
          <w:p>
            <w:pPr>
              <w:pStyle w:val="TableHeading"/>
              <w:bidi w:val="0"/>
              <w:spacing w:before="0" w:after="0"/>
              <w:ind w:left="337" w:right="0" w:hanging="33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Lender </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By:</w:t>
            </w:r>
          </w:p>
        </w:tc>
        <w:tc>
          <w:tcPr>
            <w:tcW w:w="3248" w:type="dxa"/>
            <w:gridSpan w:val="2"/>
            <w:tcBorders>
              <w:bottom w:val="single" w:sz="8" w:space="0" w:color="000000"/>
            </w:tcBorders>
            <w:tcMar>
              <w:bottom w:w="28" w:type="dxa"/>
            </w:tcMar>
            <w:vAlign w:val="center"/>
          </w:tcPr>
          <w:p>
            <w:pPr>
              <w:pStyle w:val="TableContents"/>
              <w:bidi w:val="0"/>
              <w:spacing w:before="0" w:after="283"/>
              <w:jc w:val="left"/>
              <w:rPr/>
            </w:pPr>
            <w:r>
              <w:rPr/>
              <w:t>/s/ Stephanie Gray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Name:</w:t>
            </w:r>
          </w:p>
        </w:tc>
        <w:tc>
          <w:tcPr>
            <w:tcW w:w="2372" w:type="dxa"/>
            <w:tcBorders/>
            <w:vAlign w:val="center"/>
          </w:tcPr>
          <w:p>
            <w:pPr>
              <w:pStyle w:val="TableContents"/>
              <w:bidi w:val="0"/>
              <w:spacing w:before="0" w:after="283"/>
              <w:jc w:val="left"/>
              <w:rPr/>
            </w:pPr>
            <w:r>
              <w:rPr/>
              <w:t>Stephanie Gray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Title:</w:t>
            </w:r>
          </w:p>
        </w:tc>
        <w:tc>
          <w:tcPr>
            <w:tcW w:w="23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w:t>
      </w:r>
    </w:p>
    <w:p>
      <w:pPr>
        <w:pStyle w:val="TextBody"/>
        <w:bidi w:val="0"/>
        <w:spacing w:before="0" w:after="0"/>
        <w:ind w:left="0" w:right="0" w:hanging="0"/>
        <w:jc w:val="left"/>
        <w:rPr>
          <w:caps w:val="false"/>
          <w:smallCaps w:val="false"/>
        </w:rPr>
      </w:pPr>
      <w:r>
        <w:rPr>
          <w:caps w:val="false"/>
          <w:smallCaps w:val="false"/>
        </w:rPr>
        <w:t>    </w:t>
      </w:r>
    </w:p>
    <w:tbl>
      <w:tblPr>
        <w:tblW w:w="2235" w:type="dxa"/>
        <w:jc w:val="left"/>
        <w:tblInd w:w="0" w:type="dxa"/>
        <w:tblLayout w:type="fixed"/>
        <w:tblCellMar>
          <w:top w:w="0" w:type="dxa"/>
          <w:left w:w="0" w:type="dxa"/>
          <w:bottom w:w="0" w:type="dxa"/>
          <w:right w:w="0" w:type="dxa"/>
        </w:tblCellMar>
      </w:tblPr>
      <w:tblGrid>
        <w:gridCol w:w="75"/>
        <w:gridCol w:w="365"/>
        <w:gridCol w:w="650"/>
        <w:gridCol w:w="1070"/>
        <w:gridCol w:w="75"/>
      </w:tblGrid>
      <w:tr>
        <w:trPr/>
        <w:tc>
          <w:tcPr>
            <w:tcW w:w="75" w:type="dxa"/>
            <w:tcBorders/>
            <w:vAlign w:val="center"/>
          </w:tcPr>
          <w:p>
            <w:pPr>
              <w:pStyle w:val="TableHeading"/>
              <w:suppressLineNumbers/>
              <w:bidi w:val="0"/>
              <w:spacing w:before="0" w:after="283"/>
              <w:jc w:val="center"/>
              <w:rPr/>
            </w:pPr>
            <w:r>
              <w:rPr/>
              <w:t> </w:t>
            </w:r>
          </w:p>
        </w:tc>
        <w:tc>
          <w:tcPr>
            <w:tcW w:w="2085"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720" w:type="dxa"/>
            <w:gridSpan w:val="2"/>
            <w:tcBorders>
              <w:bottom w:val="single" w:sz="8" w:space="0" w:color="000000"/>
            </w:tcBorders>
            <w:tcMar>
              <w:bottom w:w="28" w:type="dxa"/>
            </w:tcMar>
            <w:vAlign w:val="center"/>
          </w:tcPr>
          <w:p>
            <w:pPr>
              <w:pStyle w:val="TableContents"/>
              <w:bidi w:val="0"/>
              <w:spacing w:before="0" w:after="283"/>
              <w:jc w:val="left"/>
              <w:rPr/>
            </w:pPr>
            <w:r>
              <w:rPr/>
              <w:t>/s/ Anika Kirs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070" w:type="dxa"/>
            <w:tcBorders/>
            <w:vAlign w:val="center"/>
          </w:tcPr>
          <w:p>
            <w:pPr>
              <w:pStyle w:val="TableContents"/>
              <w:bidi w:val="0"/>
              <w:spacing w:before="0" w:after="283"/>
              <w:jc w:val="left"/>
              <w:rPr/>
            </w:pPr>
            <w:r>
              <w:rPr/>
              <w:t>Anika Kirs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070"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w:t>
      </w:r>
    </w:p>
    <w:p>
      <w:pPr>
        <w:pStyle w:val="TextBody"/>
        <w:bidi w:val="0"/>
        <w:spacing w:before="0" w:after="0"/>
        <w:ind w:left="0" w:right="0" w:hanging="0"/>
        <w:jc w:val="both"/>
        <w:rPr>
          <w:caps w:val="false"/>
          <w:smallCaps w:val="false"/>
        </w:rPr>
      </w:pPr>
      <w:r>
        <w:rPr>
          <w:caps w:val="false"/>
          <w:smallCaps w:val="false"/>
        </w:rPr>
        <w:t> </w:t>
      </w:r>
    </w:p>
    <w:tbl>
      <w:tblPr>
        <w:tblW w:w="3154" w:type="dxa"/>
        <w:jc w:val="left"/>
        <w:tblInd w:w="0" w:type="dxa"/>
        <w:tblLayout w:type="fixed"/>
        <w:tblCellMar>
          <w:top w:w="0" w:type="dxa"/>
          <w:left w:w="0" w:type="dxa"/>
          <w:bottom w:w="0" w:type="dxa"/>
          <w:right w:w="0" w:type="dxa"/>
        </w:tblCellMar>
      </w:tblPr>
      <w:tblGrid>
        <w:gridCol w:w="75"/>
        <w:gridCol w:w="425"/>
        <w:gridCol w:w="757"/>
        <w:gridCol w:w="1822"/>
        <w:gridCol w:w="75"/>
      </w:tblGrid>
      <w:tr>
        <w:trPr/>
        <w:tc>
          <w:tcPr>
            <w:tcW w:w="75" w:type="dxa"/>
            <w:tcBorders/>
            <w:vAlign w:val="center"/>
          </w:tcPr>
          <w:p>
            <w:pPr>
              <w:pStyle w:val="TableHeading"/>
              <w:suppressLineNumbers/>
              <w:bidi w:val="0"/>
              <w:spacing w:before="0" w:after="283"/>
              <w:jc w:val="center"/>
              <w:rPr/>
            </w:pPr>
            <w:r>
              <w:rPr/>
              <w:t> </w:t>
            </w:r>
          </w:p>
        </w:tc>
        <w:tc>
          <w:tcPr>
            <w:tcW w:w="3004"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w:t>
            </w:r>
          </w:p>
          <w:p>
            <w:pPr>
              <w:pStyle w:val="TableHeading"/>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ASSOCIATION, 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18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2579" w:type="dxa"/>
            <w:gridSpan w:val="2"/>
            <w:tcBorders>
              <w:bottom w:val="single" w:sz="8" w:space="0" w:color="000000"/>
            </w:tcBorders>
            <w:tcMar>
              <w:bottom w:w="28" w:type="dxa"/>
            </w:tcMar>
            <w:vAlign w:val="center"/>
          </w:tcPr>
          <w:p>
            <w:pPr>
              <w:pStyle w:val="TableContents"/>
              <w:bidi w:val="0"/>
              <w:spacing w:before="0" w:after="283"/>
              <w:jc w:val="left"/>
              <w:rPr/>
            </w:pPr>
            <w:r>
              <w:rPr/>
              <w:t>/s/ Andrew Payne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Name:</w:t>
            </w:r>
          </w:p>
        </w:tc>
        <w:tc>
          <w:tcPr>
            <w:tcW w:w="1822" w:type="dxa"/>
            <w:tcBorders/>
            <w:vAlign w:val="center"/>
          </w:tcPr>
          <w:p>
            <w:pPr>
              <w:pStyle w:val="TableContents"/>
              <w:bidi w:val="0"/>
              <w:spacing w:before="0" w:after="283"/>
              <w:jc w:val="left"/>
              <w:rPr/>
            </w:pPr>
            <w:r>
              <w:rPr/>
              <w:t>Andrew Payne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Title:</w:t>
            </w:r>
          </w:p>
        </w:tc>
        <w:tc>
          <w:tcPr>
            <w:tcW w:w="18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w:t>
      </w:r>
    </w:p>
    <w:p>
      <w:pPr>
        <w:pStyle w:val="TextBody"/>
        <w:bidi w:val="0"/>
        <w:spacing w:before="0" w:after="0"/>
        <w:ind w:left="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75"/>
        <w:gridCol w:w="464"/>
        <w:gridCol w:w="826"/>
        <w:gridCol w:w="2238"/>
        <w:gridCol w:w="75"/>
      </w:tblGrid>
      <w:tr>
        <w:trPr/>
        <w:tc>
          <w:tcPr>
            <w:tcW w:w="75" w:type="dxa"/>
            <w:tcBorders/>
            <w:vAlign w:val="center"/>
          </w:tcPr>
          <w:p>
            <w:pPr>
              <w:pStyle w:val="TableHeading"/>
              <w:suppressLineNumbers/>
              <w:bidi w:val="0"/>
              <w:spacing w:before="0" w:after="283"/>
              <w:jc w:val="center"/>
              <w:rPr/>
            </w:pPr>
            <w:r>
              <w:rPr/>
              <w:t> </w:t>
            </w:r>
          </w:p>
        </w:tc>
        <w:tc>
          <w:tcPr>
            <w:tcW w:w="3528" w:type="dxa"/>
            <w:gridSpan w:val="3"/>
            <w:tcBorders/>
            <w:vAlign w:val="center"/>
          </w:tcPr>
          <w:p>
            <w:pPr>
              <w:pStyle w:val="TableHeading"/>
              <w:bidi w:val="0"/>
              <w:spacing w:before="0" w:after="0"/>
              <w:ind w:left="337" w:right="0" w:hanging="33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 as a</w:t>
            </w:r>
          </w:p>
          <w:p>
            <w:pPr>
              <w:pStyle w:val="TableHeading"/>
              <w:bidi w:val="0"/>
              <w:spacing w:before="0" w:after="0"/>
              <w:ind w:left="337" w:right="0" w:hanging="337"/>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Lender </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22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3064" w:type="dxa"/>
            <w:gridSpan w:val="2"/>
            <w:tcBorders>
              <w:bottom w:val="single" w:sz="8" w:space="0" w:color="000000"/>
            </w:tcBorders>
            <w:tcMar>
              <w:bottom w:w="28" w:type="dxa"/>
            </w:tcMar>
            <w:vAlign w:val="center"/>
          </w:tcPr>
          <w:p>
            <w:pPr>
              <w:pStyle w:val="TableContents"/>
              <w:bidi w:val="0"/>
              <w:spacing w:before="0" w:after="283"/>
              <w:jc w:val="left"/>
              <w:rPr/>
            </w:pPr>
            <w:r>
              <w:rPr/>
              <w:t>/s/ Kyle Erickson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Name:</w:t>
            </w:r>
          </w:p>
        </w:tc>
        <w:tc>
          <w:tcPr>
            <w:tcW w:w="223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Erickson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Title:</w:t>
            </w:r>
          </w:p>
        </w:tc>
        <w:tc>
          <w:tcPr>
            <w:tcW w:w="223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 </w:t>
      </w:r>
    </w:p>
    <w:p>
      <w:pPr>
        <w:pStyle w:val="TextBody"/>
        <w:bidi w:val="0"/>
        <w:spacing w:before="0" w:after="0"/>
        <w:ind w:left="0" w:right="0" w:hanging="0"/>
        <w:jc w:val="left"/>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75"/>
        <w:gridCol w:w="448"/>
        <w:gridCol w:w="799"/>
        <w:gridCol w:w="2237"/>
        <w:gridCol w:w="75"/>
      </w:tblGrid>
      <w:tr>
        <w:trPr/>
        <w:tc>
          <w:tcPr>
            <w:tcW w:w="75" w:type="dxa"/>
            <w:tcBorders/>
            <w:vAlign w:val="center"/>
          </w:tcPr>
          <w:p>
            <w:pPr>
              <w:pStyle w:val="TableHeading"/>
              <w:suppressLineNumbers/>
              <w:bidi w:val="0"/>
              <w:spacing w:before="0" w:after="283"/>
              <w:jc w:val="center"/>
              <w:rPr/>
            </w:pPr>
            <w:r>
              <w:rPr/>
              <w:t> </w:t>
            </w:r>
          </w:p>
        </w:tc>
        <w:tc>
          <w:tcPr>
            <w:tcW w:w="3484"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 as a</w:t>
            </w:r>
          </w:p>
          <w:p>
            <w:pPr>
              <w:pStyle w:val="TableHeading"/>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 </w:t>
            </w:r>
          </w:p>
        </w:tc>
        <w:tc>
          <w:tcPr>
            <w:tcW w:w="22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By:</w:t>
            </w:r>
          </w:p>
        </w:tc>
        <w:tc>
          <w:tcPr>
            <w:tcW w:w="3036" w:type="dxa"/>
            <w:gridSpan w:val="2"/>
            <w:tcBorders>
              <w:bottom w:val="single" w:sz="8" w:space="0" w:color="000000"/>
            </w:tcBorders>
            <w:tcMar>
              <w:bottom w:w="28" w:type="dxa"/>
            </w:tcMar>
            <w:vAlign w:val="center"/>
          </w:tcPr>
          <w:p>
            <w:pPr>
              <w:pStyle w:val="TableContents"/>
              <w:bidi w:val="0"/>
              <w:spacing w:before="0" w:after="283"/>
              <w:jc w:val="left"/>
              <w:rPr/>
            </w:pPr>
            <w:r>
              <w:rPr/>
              <w:t>/s/ Rocky Rhodes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Name:</w:t>
            </w:r>
          </w:p>
        </w:tc>
        <w:tc>
          <w:tcPr>
            <w:tcW w:w="2237" w:type="dxa"/>
            <w:tcBorders/>
            <w:vAlign w:val="center"/>
          </w:tcPr>
          <w:p>
            <w:pPr>
              <w:pStyle w:val="TableContents"/>
              <w:bidi w:val="0"/>
              <w:spacing w:before="0" w:after="283"/>
              <w:jc w:val="left"/>
              <w:rPr/>
            </w:pPr>
            <w:r>
              <w:rPr/>
              <w:t>Rocky Rhodes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Title:</w:t>
            </w:r>
          </w:p>
        </w:tc>
        <w:tc>
          <w:tcPr>
            <w:tcW w:w="2237"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   </w:t>
      </w:r>
    </w:p>
    <w:p>
      <w:pPr>
        <w:pStyle w:val="TextBody"/>
        <w:bidi w:val="0"/>
        <w:spacing w:before="0" w:after="0"/>
        <w:ind w:left="0" w:right="0" w:hanging="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75"/>
        <w:gridCol w:w="412"/>
        <w:gridCol w:w="734"/>
        <w:gridCol w:w="1887"/>
        <w:gridCol w:w="75"/>
      </w:tblGrid>
      <w:tr>
        <w:trPr/>
        <w:tc>
          <w:tcPr>
            <w:tcW w:w="75" w:type="dxa"/>
            <w:tcBorders/>
            <w:vAlign w:val="center"/>
          </w:tcPr>
          <w:p>
            <w:pPr>
              <w:pStyle w:val="TableHeading"/>
              <w:suppressLineNumbers/>
              <w:bidi w:val="0"/>
              <w:spacing w:before="0" w:after="283"/>
              <w:jc w:val="center"/>
              <w:rPr/>
            </w:pPr>
            <w:r>
              <w:rPr/>
              <w:t> </w:t>
            </w:r>
          </w:p>
        </w:tc>
        <w:tc>
          <w:tcPr>
            <w:tcW w:w="3033"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Horizon Bank, as a Lender (with</w:t>
            </w:r>
          </w:p>
          <w:p>
            <w:pPr>
              <w:pStyle w:val="TableHeading"/>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to the Amendment)</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18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By:</w:t>
            </w:r>
          </w:p>
        </w:tc>
        <w:tc>
          <w:tcPr>
            <w:tcW w:w="2621" w:type="dxa"/>
            <w:gridSpan w:val="2"/>
            <w:tcBorders>
              <w:bottom w:val="single" w:sz="8" w:space="0" w:color="000000"/>
            </w:tcBorders>
            <w:tcMar>
              <w:bottom w:w="28" w:type="dxa"/>
            </w:tcMar>
            <w:vAlign w:val="center"/>
          </w:tcPr>
          <w:p>
            <w:pPr>
              <w:pStyle w:val="TableContents"/>
              <w:bidi w:val="0"/>
              <w:spacing w:before="0" w:after="283"/>
              <w:jc w:val="left"/>
              <w:rPr/>
            </w:pPr>
            <w:r>
              <w:rPr/>
              <w:t>/s/ Robert Mason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Name:</w:t>
            </w:r>
          </w:p>
        </w:tc>
        <w:tc>
          <w:tcPr>
            <w:tcW w:w="1887" w:type="dxa"/>
            <w:tcBorders/>
            <w:vAlign w:val="center"/>
          </w:tcPr>
          <w:p>
            <w:pPr>
              <w:pStyle w:val="TableContents"/>
              <w:bidi w:val="0"/>
              <w:spacing w:before="0" w:after="283"/>
              <w:jc w:val="left"/>
              <w:rPr/>
            </w:pPr>
            <w:r>
              <w:rPr/>
              <w:t>Robert Mason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Title:</w:t>
            </w:r>
          </w:p>
        </w:tc>
        <w:tc>
          <w:tcPr>
            <w:tcW w:w="1887" w:type="dxa"/>
            <w:tcBorders/>
            <w:vAlign w:val="center"/>
          </w:tcPr>
          <w:p>
            <w:pPr>
              <w:pStyle w:val="TableContents"/>
              <w:bidi w:val="0"/>
              <w:spacing w:before="0" w:after="283"/>
              <w:jc w:val="left"/>
              <w:rPr/>
            </w:pPr>
            <w:r>
              <w:rPr/>
              <w:t>Sr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65"/>
        <w:gridCol w:w="650"/>
        <w:gridCol w:w="1820"/>
        <w:gridCol w:w="75"/>
      </w:tblGrid>
      <w:tr>
        <w:trPr/>
        <w:tc>
          <w:tcPr>
            <w:tcW w:w="75" w:type="dxa"/>
            <w:tcBorders/>
            <w:vAlign w:val="center"/>
          </w:tcPr>
          <w:p>
            <w:pPr>
              <w:pStyle w:val="TableHeading"/>
              <w:suppressLineNumbers/>
              <w:bidi w:val="0"/>
              <w:spacing w:before="0" w:after="283"/>
              <w:jc w:val="center"/>
              <w:rPr/>
            </w:pPr>
            <w:r>
              <w:rPr/>
              <w:t> </w:t>
            </w:r>
          </w:p>
        </w:tc>
        <w:tc>
          <w:tcPr>
            <w:tcW w:w="2835"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 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bottom w:w="28" w:type="dxa"/>
            </w:tcMar>
            <w:vAlign w:val="center"/>
          </w:tcPr>
          <w:p>
            <w:pPr>
              <w:pStyle w:val="TableContents"/>
              <w:bidi w:val="0"/>
              <w:spacing w:before="0" w:after="283"/>
              <w:jc w:val="left"/>
              <w:rPr/>
            </w:pPr>
            <w:r>
              <w:rPr/>
              <w:t>/s/ Andrew Sawyers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20" w:type="dxa"/>
            <w:tcBorders/>
            <w:vAlign w:val="center"/>
          </w:tcPr>
          <w:p>
            <w:pPr>
              <w:pStyle w:val="TableContents"/>
              <w:bidi w:val="0"/>
              <w:spacing w:before="0" w:after="283"/>
              <w:jc w:val="left"/>
              <w:rPr/>
            </w:pPr>
            <w:r>
              <w:rPr/>
              <w:t>Andrew Sawyers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20"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Lender hereby irrevocably and unconditionally approves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491"/>
        <w:gridCol w:w="875"/>
        <w:gridCol w:w="2793"/>
        <w:gridCol w:w="75"/>
      </w:tblGrid>
      <w:tr>
        <w:trPr/>
        <w:tc>
          <w:tcPr>
            <w:tcW w:w="75" w:type="dxa"/>
            <w:tcBorders/>
            <w:vAlign w:val="center"/>
          </w:tcPr>
          <w:p>
            <w:pPr>
              <w:pStyle w:val="TableHeading"/>
              <w:suppressLineNumbers/>
              <w:bidi w:val="0"/>
              <w:spacing w:before="0" w:after="283"/>
              <w:jc w:val="center"/>
              <w:rPr/>
            </w:pPr>
            <w:r>
              <w:rPr/>
              <w:t> </w:t>
            </w:r>
          </w:p>
        </w:tc>
        <w:tc>
          <w:tcPr>
            <w:tcW w:w="4159" w:type="dxa"/>
            <w:gridSpan w:val="3"/>
            <w:tcBorders/>
            <w:vAlign w:val="center"/>
          </w:tcPr>
          <w:p>
            <w:pPr>
              <w:pStyle w:val="TableHeading"/>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NORTHERN TRUST COMPANY, as a Lender</w:t>
            </w:r>
          </w:p>
          <w:p>
            <w:pPr>
              <w:pStyle w:val="TableHeading"/>
              <w:bidi w:val="0"/>
              <w:jc w:val="left"/>
              <w:rPr/>
            </w:pPr>
            <w:r>
              <w:rPr/>
              <w:t> </w:t>
            </w:r>
          </w:p>
          <w:p>
            <w:pPr>
              <w:pStyle w:val="TableHeading"/>
              <w:bidi w:val="0"/>
              <w:spacing w:before="0" w:after="283"/>
              <w:jc w:val="left"/>
              <w:rPr/>
            </w:pPr>
            <w:r>
              <w:rPr/>
              <w:t> </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279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By:</w:t>
            </w:r>
          </w:p>
        </w:tc>
        <w:tc>
          <w:tcPr>
            <w:tcW w:w="3668" w:type="dxa"/>
            <w:gridSpan w:val="2"/>
            <w:tcBorders>
              <w:bottom w:val="single" w:sz="8" w:space="0" w:color="000000"/>
            </w:tcBorders>
            <w:tcMar>
              <w:bottom w:w="28" w:type="dxa"/>
            </w:tcMar>
            <w:vAlign w:val="center"/>
          </w:tcPr>
          <w:p>
            <w:pPr>
              <w:pStyle w:val="TableContents"/>
              <w:bidi w:val="0"/>
              <w:spacing w:before="0" w:after="283"/>
              <w:jc w:val="left"/>
              <w:rPr/>
            </w:pPr>
            <w:r>
              <w:rPr/>
              <w:t>/s/ Kimberly A. Crotty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Name:</w:t>
            </w:r>
          </w:p>
        </w:tc>
        <w:tc>
          <w:tcPr>
            <w:tcW w:w="2793" w:type="dxa"/>
            <w:tcBorders/>
            <w:vAlign w:val="center"/>
          </w:tcPr>
          <w:p>
            <w:pPr>
              <w:pStyle w:val="TableContents"/>
              <w:bidi w:val="0"/>
              <w:spacing w:before="0" w:after="283"/>
              <w:jc w:val="left"/>
              <w:rPr/>
            </w:pPr>
            <w:r>
              <w:rPr/>
              <w:t>Kimberly A. Crotty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Title:</w:t>
            </w:r>
          </w:p>
        </w:tc>
        <w:tc>
          <w:tcPr>
            <w:tcW w:w="2793" w:type="dxa"/>
            <w:tcBorders/>
            <w:vAlign w:val="center"/>
          </w:tcPr>
          <w:p>
            <w:pPr>
              <w:pStyle w:val="TableContents"/>
              <w:bidi w:val="0"/>
              <w:spacing w:before="0" w:after="283"/>
              <w:jc w:val="left"/>
              <w:rPr/>
            </w:pPr>
            <w:r>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Conformed through Amendment No. 4 to Credit Agreement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Issuing Lenders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COMERICA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HORIZON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NORTHERN TRUST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Documentation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PNC CAPITAL MARKETS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5765"/>
        <w:gridCol w:w="485"/>
      </w:tblGrid>
      <w:tr>
        <w:trPr/>
        <w:tc>
          <w:tcPr>
            <w:tcW w:w="5765"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ableContents"/>
              <w:bidi w:val="0"/>
              <w:spacing w:before="0" w:after="0"/>
              <w:ind w:left="0" w:right="0" w:hanging="0"/>
              <w:jc w:val="right"/>
              <w:rPr>
                <w:caps w:val="false"/>
                <w:smallCaps w:val="false"/>
              </w:rPr>
            </w:pPr>
            <w:r>
              <w:rPr>
                <w:caps w:val="false"/>
                <w:smallCaps w:val="false"/>
              </w:rPr>
              <w:t> </w:t>
            </w:r>
          </w:p>
        </w:tc>
      </w:tr>
      <w:tr>
        <w:trPr/>
        <w:tc>
          <w:tcPr>
            <w:tcW w:w="5765" w:type="dxa"/>
            <w:tcBorders/>
            <w:vAlign w:val="center"/>
          </w:tcPr>
          <w:p>
            <w:pPr>
              <w:pStyle w:val="TableContents"/>
              <w:bidi w:val="0"/>
              <w:spacing w:before="0" w:after="283"/>
              <w:jc w:val="center"/>
              <w:rPr/>
            </w:pPr>
            <w:r>
              <w:rPr>
                <w:caps/>
              </w:rPr>
              <w:t>Article 1</w:t>
            </w:r>
            <w:r>
              <w:rPr/>
              <w:br/>
            </w:r>
            <w:r>
              <w:rPr>
                <w:smallCaps/>
              </w:rPr>
              <w:t>Definitions</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r>
              <w:rPr/>
              <w:t>Section 1.01</w:t>
            </w:r>
            <w:r>
              <w:rPr>
                <w:i/>
              </w:rPr>
              <w:t>.  Definitions</w:t>
            </w:r>
          </w:p>
        </w:tc>
        <w:tc>
          <w:tcPr>
            <w:tcW w:w="485" w:type="dxa"/>
            <w:tcBorders/>
            <w:vAlign w:val="center"/>
          </w:tcPr>
          <w:p>
            <w:pPr>
              <w:pStyle w:val="TableContents"/>
              <w:bidi w:val="0"/>
              <w:spacing w:before="0" w:after="283"/>
              <w:jc w:val="right"/>
              <w:rPr/>
            </w:pPr>
            <w:r>
              <w:rPr/>
              <w:t>1</w:t>
            </w:r>
          </w:p>
        </w:tc>
      </w:tr>
      <w:tr>
        <w:trPr/>
        <w:tc>
          <w:tcPr>
            <w:tcW w:w="5765" w:type="dxa"/>
            <w:tcBorders/>
            <w:vAlign w:val="center"/>
          </w:tcPr>
          <w:p>
            <w:pPr>
              <w:pStyle w:val="TableContents"/>
              <w:bidi w:val="0"/>
              <w:spacing w:before="0" w:after="283"/>
              <w:jc w:val="left"/>
              <w:rPr/>
            </w:pPr>
            <w:r>
              <w:rPr/>
              <w:t>Section 1.02</w:t>
            </w:r>
            <w:r>
              <w:rPr>
                <w:i/>
              </w:rPr>
              <w:t>.  Accounting Terms and Determinations</w:t>
            </w:r>
          </w:p>
        </w:tc>
        <w:tc>
          <w:tcPr>
            <w:tcW w:w="485" w:type="dxa"/>
            <w:tcBorders/>
            <w:vAlign w:val="center"/>
          </w:tcPr>
          <w:p>
            <w:pPr>
              <w:pStyle w:val="TableContents"/>
              <w:bidi w:val="0"/>
              <w:spacing w:before="0" w:after="283"/>
              <w:jc w:val="right"/>
              <w:rPr/>
            </w:pPr>
            <w:r>
              <w:rPr/>
              <w:t>30</w:t>
            </w:r>
          </w:p>
        </w:tc>
      </w:tr>
      <w:tr>
        <w:trPr/>
        <w:tc>
          <w:tcPr>
            <w:tcW w:w="5765" w:type="dxa"/>
            <w:tcBorders/>
            <w:vAlign w:val="center"/>
          </w:tcPr>
          <w:p>
            <w:pPr>
              <w:pStyle w:val="TableContents"/>
              <w:bidi w:val="0"/>
              <w:spacing w:before="0" w:after="283"/>
              <w:jc w:val="left"/>
              <w:rPr/>
            </w:pPr>
            <w:r>
              <w:rPr/>
              <w:t>Section 1.03</w:t>
            </w:r>
            <w:r>
              <w:rPr>
                <w:i/>
              </w:rPr>
              <w:t>.  Types of Borrowings</w:t>
            </w:r>
          </w:p>
        </w:tc>
        <w:tc>
          <w:tcPr>
            <w:tcW w:w="485" w:type="dxa"/>
            <w:tcBorders/>
            <w:vAlign w:val="center"/>
          </w:tcPr>
          <w:p>
            <w:pPr>
              <w:pStyle w:val="TableContents"/>
              <w:bidi w:val="0"/>
              <w:spacing w:before="0" w:after="283"/>
              <w:jc w:val="right"/>
              <w:rPr/>
            </w:pPr>
            <w:r>
              <w:rPr/>
              <w:t>30</w:t>
            </w:r>
          </w:p>
        </w:tc>
      </w:tr>
      <w:tr>
        <w:trPr/>
        <w:tc>
          <w:tcPr>
            <w:tcW w:w="5765" w:type="dxa"/>
            <w:tcBorders/>
            <w:vAlign w:val="center"/>
          </w:tcPr>
          <w:p>
            <w:pPr>
              <w:pStyle w:val="TableContents"/>
              <w:bidi w:val="0"/>
              <w:spacing w:before="0" w:after="283"/>
              <w:jc w:val="left"/>
              <w:rPr/>
            </w:pPr>
            <w:r>
              <w:rPr/>
              <w:t>Section 1.04.  </w:t>
            </w:r>
            <w:r>
              <w:rPr>
                <w:i/>
              </w:rPr>
              <w:t>Interest Rates; Benchmark Notification</w:t>
            </w:r>
          </w:p>
        </w:tc>
        <w:tc>
          <w:tcPr>
            <w:tcW w:w="485" w:type="dxa"/>
            <w:tcBorders/>
            <w:vAlign w:val="center"/>
          </w:tcPr>
          <w:p>
            <w:pPr>
              <w:pStyle w:val="TableContents"/>
              <w:bidi w:val="0"/>
              <w:spacing w:before="0" w:after="283"/>
              <w:jc w:val="right"/>
              <w:rPr/>
            </w:pPr>
            <w:r>
              <w:rPr/>
              <w:t>31</w:t>
            </w:r>
          </w:p>
        </w:tc>
      </w:tr>
      <w:tr>
        <w:trPr/>
        <w:tc>
          <w:tcPr>
            <w:tcW w:w="5765" w:type="dxa"/>
            <w:tcBorders/>
            <w:vAlign w:val="center"/>
          </w:tcPr>
          <w:p>
            <w:pPr>
              <w:pStyle w:val="TableContents"/>
              <w:bidi w:val="0"/>
              <w:spacing w:before="0" w:after="283"/>
              <w:jc w:val="left"/>
              <w:rPr/>
            </w:pPr>
            <w:r>
              <w:rPr/>
              <w:t>Section 1.05</w:t>
            </w:r>
            <w:r>
              <w:rPr>
                <w:i/>
              </w:rPr>
              <w:t>.  Letter Of Credit Amounts</w:t>
            </w:r>
          </w:p>
        </w:tc>
        <w:tc>
          <w:tcPr>
            <w:tcW w:w="485" w:type="dxa"/>
            <w:tcBorders/>
            <w:vAlign w:val="center"/>
          </w:tcPr>
          <w:p>
            <w:pPr>
              <w:pStyle w:val="TableContents"/>
              <w:bidi w:val="0"/>
              <w:spacing w:before="0" w:after="283"/>
              <w:jc w:val="right"/>
              <w:rPr/>
            </w:pPr>
            <w:r>
              <w:rPr/>
              <w:t>31</w:t>
            </w:r>
          </w:p>
        </w:tc>
      </w:tr>
      <w:tr>
        <w:trPr/>
        <w:tc>
          <w:tcPr>
            <w:tcW w:w="5765" w:type="dxa"/>
            <w:tcBorders/>
            <w:vAlign w:val="center"/>
          </w:tcPr>
          <w:p>
            <w:pPr>
              <w:pStyle w:val="TableContents"/>
              <w:bidi w:val="0"/>
              <w:spacing w:before="0" w:after="283"/>
              <w:jc w:val="left"/>
              <w:rPr/>
            </w:pPr>
            <w:r>
              <w:rPr/>
              <w:t>Section 1.06.  </w:t>
            </w:r>
            <w:r>
              <w:rPr>
                <w:i/>
              </w:rPr>
              <w:t>Divisions</w:t>
            </w:r>
          </w:p>
        </w:tc>
        <w:tc>
          <w:tcPr>
            <w:tcW w:w="485" w:type="dxa"/>
            <w:tcBorders/>
            <w:vAlign w:val="center"/>
          </w:tcPr>
          <w:p>
            <w:pPr>
              <w:pStyle w:val="TableContents"/>
              <w:bidi w:val="0"/>
              <w:spacing w:before="0" w:after="283"/>
              <w:jc w:val="right"/>
              <w:rPr/>
            </w:pPr>
            <w:r>
              <w:rPr/>
              <w:t>31</w:t>
            </w:r>
          </w:p>
        </w:tc>
      </w:tr>
      <w:tr>
        <w:trPr/>
        <w:tc>
          <w:tcPr>
            <w:tcW w:w="57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color w:val="FF0000"/>
              </w:rPr>
            </w:pPr>
            <w:r>
              <w:rPr>
                <w:color w:val="FF0000"/>
              </w:rPr>
              <w:t> </w:t>
            </w:r>
          </w:p>
        </w:tc>
      </w:tr>
      <w:tr>
        <w:trPr/>
        <w:tc>
          <w:tcPr>
            <w:tcW w:w="57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r>
              <w:rPr/>
              <w:t>Section 2.01</w:t>
            </w:r>
            <w:r>
              <w:rPr>
                <w:i/>
              </w:rPr>
              <w:t>.  Commitments to Lend</w:t>
            </w:r>
          </w:p>
        </w:tc>
        <w:tc>
          <w:tcPr>
            <w:tcW w:w="485" w:type="dxa"/>
            <w:tcBorders/>
            <w:vAlign w:val="center"/>
          </w:tcPr>
          <w:p>
            <w:pPr>
              <w:pStyle w:val="TableContents"/>
              <w:bidi w:val="0"/>
              <w:spacing w:before="0" w:after="283"/>
              <w:jc w:val="right"/>
              <w:rPr/>
            </w:pPr>
            <w:r>
              <w:rPr/>
              <w:t>32</w:t>
            </w:r>
          </w:p>
        </w:tc>
      </w:tr>
      <w:tr>
        <w:trPr/>
        <w:tc>
          <w:tcPr>
            <w:tcW w:w="5765" w:type="dxa"/>
            <w:tcBorders/>
            <w:vAlign w:val="center"/>
          </w:tcPr>
          <w:p>
            <w:pPr>
              <w:pStyle w:val="TableContents"/>
              <w:bidi w:val="0"/>
              <w:spacing w:before="0" w:after="283"/>
              <w:jc w:val="left"/>
              <w:rPr/>
            </w:pPr>
            <w:r>
              <w:rPr/>
              <w:t>Section 2.02</w:t>
            </w:r>
            <w:r>
              <w:rPr>
                <w:i/>
              </w:rPr>
              <w:t>.  Notice of Borrowing</w:t>
            </w:r>
          </w:p>
        </w:tc>
        <w:tc>
          <w:tcPr>
            <w:tcW w:w="485" w:type="dxa"/>
            <w:tcBorders/>
            <w:vAlign w:val="center"/>
          </w:tcPr>
          <w:p>
            <w:pPr>
              <w:pStyle w:val="TableContents"/>
              <w:bidi w:val="0"/>
              <w:spacing w:before="0" w:after="283"/>
              <w:jc w:val="right"/>
              <w:rPr/>
            </w:pPr>
            <w:r>
              <w:rPr/>
              <w:t>32</w:t>
            </w:r>
          </w:p>
        </w:tc>
      </w:tr>
      <w:tr>
        <w:trPr/>
        <w:tc>
          <w:tcPr>
            <w:tcW w:w="5765" w:type="dxa"/>
            <w:tcBorders/>
            <w:vAlign w:val="center"/>
          </w:tcPr>
          <w:p>
            <w:pPr>
              <w:pStyle w:val="TableContents"/>
              <w:bidi w:val="0"/>
              <w:spacing w:before="0" w:after="283"/>
              <w:jc w:val="left"/>
              <w:rPr/>
            </w:pPr>
            <w:r>
              <w:rPr/>
              <w:t>Section 2.03.  </w:t>
            </w:r>
            <w:r>
              <w:rPr>
                <w:b w:val="false"/>
                <w:i w:val="false"/>
                <w:caps w:val="false"/>
                <w:smallCaps w:val="false"/>
              </w:rPr>
              <w:t>[Reserved]</w:t>
            </w:r>
          </w:p>
        </w:tc>
        <w:tc>
          <w:tcPr>
            <w:tcW w:w="485" w:type="dxa"/>
            <w:tcBorders/>
            <w:vAlign w:val="center"/>
          </w:tcPr>
          <w:p>
            <w:pPr>
              <w:pStyle w:val="TableContents"/>
              <w:bidi w:val="0"/>
              <w:spacing w:before="0" w:after="283"/>
              <w:jc w:val="right"/>
              <w:rPr/>
            </w:pPr>
            <w:r>
              <w:rPr/>
              <w:t>33</w:t>
            </w:r>
          </w:p>
        </w:tc>
      </w:tr>
      <w:tr>
        <w:trPr/>
        <w:tc>
          <w:tcPr>
            <w:tcW w:w="5765" w:type="dxa"/>
            <w:tcBorders/>
            <w:vAlign w:val="center"/>
          </w:tcPr>
          <w:p>
            <w:pPr>
              <w:pStyle w:val="TableContents"/>
              <w:bidi w:val="0"/>
              <w:spacing w:before="0" w:after="283"/>
              <w:jc w:val="left"/>
              <w:rPr/>
            </w:pPr>
            <w:r>
              <w:rPr/>
              <w:t>Section 2.04</w:t>
            </w:r>
            <w:r>
              <w:rPr>
                <w:i/>
              </w:rPr>
              <w:t>.  Notice to Lenders; Funding of Loans</w:t>
            </w:r>
          </w:p>
        </w:tc>
        <w:tc>
          <w:tcPr>
            <w:tcW w:w="485" w:type="dxa"/>
            <w:tcBorders/>
            <w:vAlign w:val="center"/>
          </w:tcPr>
          <w:p>
            <w:pPr>
              <w:pStyle w:val="TableContents"/>
              <w:bidi w:val="0"/>
              <w:spacing w:before="0" w:after="283"/>
              <w:jc w:val="right"/>
              <w:rPr/>
            </w:pPr>
            <w:r>
              <w:rPr/>
              <w:t>33</w:t>
            </w:r>
          </w:p>
        </w:tc>
      </w:tr>
      <w:tr>
        <w:trPr/>
        <w:tc>
          <w:tcPr>
            <w:tcW w:w="5765" w:type="dxa"/>
            <w:tcBorders/>
            <w:vAlign w:val="center"/>
          </w:tcPr>
          <w:p>
            <w:pPr>
              <w:pStyle w:val="TableContents"/>
              <w:bidi w:val="0"/>
              <w:spacing w:before="0" w:after="283"/>
              <w:jc w:val="left"/>
              <w:rPr/>
            </w:pPr>
            <w:r>
              <w:rPr/>
              <w:t>Section 2.05</w:t>
            </w:r>
            <w:r>
              <w:rPr>
                <w:i/>
              </w:rPr>
              <w:t>.  Registry; Notes</w:t>
            </w:r>
          </w:p>
        </w:tc>
        <w:tc>
          <w:tcPr>
            <w:tcW w:w="485" w:type="dxa"/>
            <w:tcBorders/>
            <w:vAlign w:val="center"/>
          </w:tcPr>
          <w:p>
            <w:pPr>
              <w:pStyle w:val="TableContents"/>
              <w:bidi w:val="0"/>
              <w:spacing w:before="0" w:after="283"/>
              <w:jc w:val="right"/>
              <w:rPr/>
            </w:pPr>
            <w:r>
              <w:rPr/>
              <w:t>34</w:t>
            </w:r>
          </w:p>
        </w:tc>
      </w:tr>
      <w:tr>
        <w:trPr/>
        <w:tc>
          <w:tcPr>
            <w:tcW w:w="5765" w:type="dxa"/>
            <w:tcBorders/>
            <w:vAlign w:val="center"/>
          </w:tcPr>
          <w:p>
            <w:pPr>
              <w:pStyle w:val="TableContents"/>
              <w:bidi w:val="0"/>
              <w:spacing w:before="0" w:after="283"/>
              <w:jc w:val="left"/>
              <w:rPr/>
            </w:pPr>
            <w:r>
              <w:rPr/>
              <w:t>Section 2.06</w:t>
            </w:r>
            <w:r>
              <w:rPr>
                <w:i/>
              </w:rPr>
              <w:t>.  Maturity of Loans; Amortization</w:t>
            </w:r>
          </w:p>
        </w:tc>
        <w:tc>
          <w:tcPr>
            <w:tcW w:w="485" w:type="dxa"/>
            <w:tcBorders/>
            <w:vAlign w:val="center"/>
          </w:tcPr>
          <w:p>
            <w:pPr>
              <w:pStyle w:val="TableContents"/>
              <w:bidi w:val="0"/>
              <w:spacing w:before="0" w:after="283"/>
              <w:jc w:val="right"/>
              <w:rPr/>
            </w:pPr>
            <w:r>
              <w:rPr/>
              <w:t>34</w:t>
            </w:r>
          </w:p>
        </w:tc>
      </w:tr>
      <w:tr>
        <w:trPr/>
        <w:tc>
          <w:tcPr>
            <w:tcW w:w="5765" w:type="dxa"/>
            <w:tcBorders/>
            <w:vAlign w:val="center"/>
          </w:tcPr>
          <w:p>
            <w:pPr>
              <w:pStyle w:val="TableContents"/>
              <w:bidi w:val="0"/>
              <w:spacing w:before="0" w:after="283"/>
              <w:jc w:val="left"/>
              <w:rPr/>
            </w:pPr>
            <w:r>
              <w:rPr/>
              <w:t>Section 2.07</w:t>
            </w:r>
            <w:r>
              <w:rPr>
                <w:i/>
              </w:rPr>
              <w:t>.  Interest Rates</w:t>
            </w:r>
          </w:p>
        </w:tc>
        <w:tc>
          <w:tcPr>
            <w:tcW w:w="485" w:type="dxa"/>
            <w:tcBorders/>
            <w:vAlign w:val="center"/>
          </w:tcPr>
          <w:p>
            <w:pPr>
              <w:pStyle w:val="TableContents"/>
              <w:bidi w:val="0"/>
              <w:spacing w:before="0" w:after="283"/>
              <w:jc w:val="right"/>
              <w:rPr/>
            </w:pPr>
            <w:r>
              <w:rPr/>
              <w:t>35</w:t>
            </w:r>
          </w:p>
        </w:tc>
      </w:tr>
      <w:tr>
        <w:trPr/>
        <w:tc>
          <w:tcPr>
            <w:tcW w:w="5765" w:type="dxa"/>
            <w:tcBorders/>
            <w:vAlign w:val="center"/>
          </w:tcPr>
          <w:p>
            <w:pPr>
              <w:pStyle w:val="TableContents"/>
              <w:bidi w:val="0"/>
              <w:spacing w:before="0" w:after="283"/>
              <w:jc w:val="left"/>
              <w:rPr/>
            </w:pPr>
            <w:r>
              <w:rPr/>
              <w:t>Section 2.08</w:t>
            </w:r>
            <w:r>
              <w:rPr>
                <w:i/>
              </w:rPr>
              <w:t>.  Mandatory Termination of Commitments</w:t>
            </w:r>
          </w:p>
        </w:tc>
        <w:tc>
          <w:tcPr>
            <w:tcW w:w="485" w:type="dxa"/>
            <w:tcBorders/>
            <w:vAlign w:val="center"/>
          </w:tcPr>
          <w:p>
            <w:pPr>
              <w:pStyle w:val="TableContents"/>
              <w:bidi w:val="0"/>
              <w:spacing w:before="0" w:after="283"/>
              <w:jc w:val="right"/>
              <w:rPr/>
            </w:pPr>
            <w:r>
              <w:rPr/>
              <w:t>35</w:t>
            </w:r>
          </w:p>
        </w:tc>
      </w:tr>
      <w:tr>
        <w:trPr/>
        <w:tc>
          <w:tcPr>
            <w:tcW w:w="5765" w:type="dxa"/>
            <w:tcBorders/>
            <w:vAlign w:val="center"/>
          </w:tcPr>
          <w:p>
            <w:pPr>
              <w:pStyle w:val="TableContents"/>
              <w:bidi w:val="0"/>
              <w:spacing w:before="0" w:after="283"/>
              <w:jc w:val="left"/>
              <w:rPr/>
            </w:pPr>
            <w:r>
              <w:rPr/>
              <w:t>Section 2.09</w:t>
            </w:r>
            <w:r>
              <w:rPr>
                <w:i/>
              </w:rPr>
              <w:t>.  Optional Prepayments.</w:t>
            </w:r>
          </w:p>
        </w:tc>
        <w:tc>
          <w:tcPr>
            <w:tcW w:w="485" w:type="dxa"/>
            <w:tcBorders/>
            <w:vAlign w:val="center"/>
          </w:tcPr>
          <w:p>
            <w:pPr>
              <w:pStyle w:val="TableContents"/>
              <w:bidi w:val="0"/>
              <w:spacing w:before="0" w:after="283"/>
              <w:jc w:val="right"/>
              <w:rPr/>
            </w:pPr>
            <w:r>
              <w:rPr/>
              <w:t>35</w:t>
            </w:r>
          </w:p>
        </w:tc>
      </w:tr>
      <w:tr>
        <w:trPr/>
        <w:tc>
          <w:tcPr>
            <w:tcW w:w="5765" w:type="dxa"/>
            <w:tcBorders/>
            <w:vAlign w:val="center"/>
          </w:tcPr>
          <w:p>
            <w:pPr>
              <w:pStyle w:val="TableContents"/>
              <w:bidi w:val="0"/>
              <w:spacing w:before="0" w:after="283"/>
              <w:jc w:val="left"/>
              <w:rPr/>
            </w:pPr>
            <w:r>
              <w:rPr/>
              <w:t>Section 2.10</w:t>
            </w:r>
            <w:r>
              <w:rPr>
                <w:i/>
              </w:rPr>
              <w:t>.  General Provisions as to Payments</w:t>
            </w:r>
          </w:p>
        </w:tc>
        <w:tc>
          <w:tcPr>
            <w:tcW w:w="485" w:type="dxa"/>
            <w:tcBorders/>
            <w:vAlign w:val="center"/>
          </w:tcPr>
          <w:p>
            <w:pPr>
              <w:pStyle w:val="TableContents"/>
              <w:bidi w:val="0"/>
              <w:spacing w:before="0" w:after="283"/>
              <w:jc w:val="right"/>
              <w:rPr/>
            </w:pPr>
            <w:r>
              <w:rPr/>
              <w:t>36</w:t>
            </w:r>
          </w:p>
        </w:tc>
      </w:tr>
      <w:tr>
        <w:trPr/>
        <w:tc>
          <w:tcPr>
            <w:tcW w:w="5765" w:type="dxa"/>
            <w:tcBorders/>
            <w:vAlign w:val="center"/>
          </w:tcPr>
          <w:p>
            <w:pPr>
              <w:pStyle w:val="TableContents"/>
              <w:bidi w:val="0"/>
              <w:spacing w:before="0" w:after="283"/>
              <w:jc w:val="left"/>
              <w:rPr/>
            </w:pPr>
            <w:r>
              <w:rPr/>
              <w:t>Section 2.11</w:t>
            </w:r>
            <w:r>
              <w:rPr>
                <w:i/>
              </w:rPr>
              <w:t>.  Fees</w:t>
            </w:r>
          </w:p>
        </w:tc>
        <w:tc>
          <w:tcPr>
            <w:tcW w:w="485" w:type="dxa"/>
            <w:tcBorders/>
            <w:vAlign w:val="center"/>
          </w:tcPr>
          <w:p>
            <w:pPr>
              <w:pStyle w:val="TableContents"/>
              <w:bidi w:val="0"/>
              <w:spacing w:before="0" w:after="283"/>
              <w:jc w:val="right"/>
              <w:rPr/>
            </w:pPr>
            <w:r>
              <w:rPr/>
              <w:t>37</w:t>
            </w:r>
          </w:p>
        </w:tc>
      </w:tr>
      <w:tr>
        <w:trPr/>
        <w:tc>
          <w:tcPr>
            <w:tcW w:w="5765" w:type="dxa"/>
            <w:tcBorders/>
            <w:vAlign w:val="center"/>
          </w:tcPr>
          <w:p>
            <w:pPr>
              <w:pStyle w:val="TableContents"/>
              <w:bidi w:val="0"/>
              <w:spacing w:before="0" w:after="283"/>
              <w:jc w:val="left"/>
              <w:rPr/>
            </w:pPr>
            <w:r>
              <w:rPr/>
              <w:t>Section 2.12</w:t>
            </w:r>
            <w:r>
              <w:rPr>
                <w:i/>
              </w:rPr>
              <w:t>.  Reduction or Termination of Commitments</w:t>
            </w:r>
          </w:p>
        </w:tc>
        <w:tc>
          <w:tcPr>
            <w:tcW w:w="485" w:type="dxa"/>
            <w:tcBorders/>
            <w:vAlign w:val="center"/>
          </w:tcPr>
          <w:p>
            <w:pPr>
              <w:pStyle w:val="TableContents"/>
              <w:bidi w:val="0"/>
              <w:spacing w:before="0" w:after="283"/>
              <w:jc w:val="right"/>
              <w:rPr/>
            </w:pPr>
            <w:r>
              <w:rPr/>
              <w:t>38</w:t>
            </w:r>
          </w:p>
        </w:tc>
      </w:tr>
      <w:tr>
        <w:trPr/>
        <w:tc>
          <w:tcPr>
            <w:tcW w:w="5765" w:type="dxa"/>
            <w:tcBorders/>
            <w:vAlign w:val="center"/>
          </w:tcPr>
          <w:p>
            <w:pPr>
              <w:pStyle w:val="TableContents"/>
              <w:bidi w:val="0"/>
              <w:spacing w:before="0" w:after="283"/>
              <w:jc w:val="left"/>
              <w:rPr/>
            </w:pPr>
            <w:r>
              <w:rPr/>
              <w:t>Section 2.13</w:t>
            </w:r>
            <w:r>
              <w:rPr>
                <w:i/>
              </w:rPr>
              <w:t>.  Method of Electing Interest Rates</w:t>
            </w:r>
          </w:p>
        </w:tc>
        <w:tc>
          <w:tcPr>
            <w:tcW w:w="485" w:type="dxa"/>
            <w:tcBorders/>
            <w:vAlign w:val="center"/>
          </w:tcPr>
          <w:p>
            <w:pPr>
              <w:pStyle w:val="TableContents"/>
              <w:bidi w:val="0"/>
              <w:spacing w:before="0" w:after="283"/>
              <w:jc w:val="right"/>
              <w:rPr/>
            </w:pPr>
            <w:r>
              <w:rPr/>
              <w:t>38</w:t>
            </w:r>
          </w:p>
        </w:tc>
      </w:tr>
      <w:tr>
        <w:trPr/>
        <w:tc>
          <w:tcPr>
            <w:tcW w:w="5765" w:type="dxa"/>
            <w:tcBorders/>
            <w:vAlign w:val="center"/>
          </w:tcPr>
          <w:p>
            <w:pPr>
              <w:pStyle w:val="TableContents"/>
              <w:bidi w:val="0"/>
              <w:spacing w:before="0" w:after="283"/>
              <w:jc w:val="left"/>
              <w:rPr/>
            </w:pPr>
            <w:r>
              <w:rPr/>
              <w:t>Section 2.14</w:t>
            </w:r>
            <w:r>
              <w:rPr>
                <w:i/>
              </w:rPr>
              <w:t>.  Funding Losses</w:t>
            </w:r>
          </w:p>
        </w:tc>
        <w:tc>
          <w:tcPr>
            <w:tcW w:w="485" w:type="dxa"/>
            <w:tcBorders/>
            <w:vAlign w:val="center"/>
          </w:tcPr>
          <w:p>
            <w:pPr>
              <w:pStyle w:val="TableContents"/>
              <w:bidi w:val="0"/>
              <w:spacing w:before="0" w:after="283"/>
              <w:jc w:val="right"/>
              <w:rPr/>
            </w:pPr>
            <w:r>
              <w:rPr/>
              <w:t>39</w:t>
            </w:r>
          </w:p>
        </w:tc>
      </w:tr>
      <w:tr>
        <w:trPr/>
        <w:tc>
          <w:tcPr>
            <w:tcW w:w="5765" w:type="dxa"/>
            <w:tcBorders/>
            <w:vAlign w:val="center"/>
          </w:tcPr>
          <w:p>
            <w:pPr>
              <w:pStyle w:val="TableContents"/>
              <w:bidi w:val="0"/>
              <w:spacing w:before="0" w:after="283"/>
              <w:jc w:val="left"/>
              <w:rPr/>
            </w:pPr>
            <w:r>
              <w:rPr/>
              <w:t>Section 2.15</w:t>
            </w:r>
            <w:r>
              <w:rPr>
                <w:i/>
              </w:rPr>
              <w:t>.  Computation of Interest and Fees</w:t>
            </w:r>
          </w:p>
        </w:tc>
        <w:tc>
          <w:tcPr>
            <w:tcW w:w="485" w:type="dxa"/>
            <w:tcBorders/>
            <w:vAlign w:val="center"/>
          </w:tcPr>
          <w:p>
            <w:pPr>
              <w:pStyle w:val="TableContents"/>
              <w:bidi w:val="0"/>
              <w:spacing w:before="0" w:after="283"/>
              <w:jc w:val="right"/>
              <w:rPr/>
            </w:pPr>
            <w:r>
              <w:rPr/>
              <w:t>40</w:t>
            </w:r>
          </w:p>
        </w:tc>
      </w:tr>
      <w:tr>
        <w:trPr/>
        <w:tc>
          <w:tcPr>
            <w:tcW w:w="5765" w:type="dxa"/>
            <w:tcBorders/>
            <w:vAlign w:val="center"/>
          </w:tcPr>
          <w:p>
            <w:pPr>
              <w:pStyle w:val="TableContents"/>
              <w:bidi w:val="0"/>
              <w:spacing w:before="0" w:after="283"/>
              <w:jc w:val="left"/>
              <w:rPr/>
            </w:pPr>
            <w:r>
              <w:rPr/>
              <w:t>Section 2.16</w:t>
            </w:r>
            <w:r>
              <w:rPr>
                <w:i/>
              </w:rPr>
              <w:t>.  Letters of Credit.</w:t>
            </w:r>
          </w:p>
        </w:tc>
        <w:tc>
          <w:tcPr>
            <w:tcW w:w="485" w:type="dxa"/>
            <w:tcBorders/>
            <w:vAlign w:val="center"/>
          </w:tcPr>
          <w:p>
            <w:pPr>
              <w:pStyle w:val="TableContents"/>
              <w:bidi w:val="0"/>
              <w:spacing w:before="0" w:after="283"/>
              <w:jc w:val="right"/>
              <w:rPr/>
            </w:pPr>
            <w:r>
              <w:rPr/>
              <w:t>40</w:t>
            </w:r>
          </w:p>
        </w:tc>
      </w:tr>
      <w:tr>
        <w:trPr/>
        <w:tc>
          <w:tcPr>
            <w:tcW w:w="5765" w:type="dxa"/>
            <w:tcBorders/>
            <w:vAlign w:val="center"/>
          </w:tcPr>
          <w:p>
            <w:pPr>
              <w:pStyle w:val="TableContents"/>
              <w:bidi w:val="0"/>
              <w:spacing w:before="0" w:after="283"/>
              <w:jc w:val="left"/>
              <w:rPr/>
            </w:pPr>
            <w:r>
              <w:rPr/>
              <w:t>Section 2.17</w:t>
            </w:r>
            <w:r>
              <w:rPr>
                <w:i/>
              </w:rPr>
              <w:t>.  Defaulting Lenders</w:t>
            </w:r>
          </w:p>
        </w:tc>
        <w:tc>
          <w:tcPr>
            <w:tcW w:w="485" w:type="dxa"/>
            <w:tcBorders/>
            <w:vAlign w:val="center"/>
          </w:tcPr>
          <w:p>
            <w:pPr>
              <w:pStyle w:val="TableContents"/>
              <w:bidi w:val="0"/>
              <w:spacing w:before="0" w:after="283"/>
              <w:jc w:val="right"/>
              <w:rPr/>
            </w:pPr>
            <w:r>
              <w:rPr/>
              <w:t>47</w:t>
            </w:r>
          </w:p>
        </w:tc>
      </w:tr>
      <w:tr>
        <w:trPr/>
        <w:tc>
          <w:tcPr>
            <w:tcW w:w="5765" w:type="dxa"/>
            <w:tcBorders/>
            <w:vAlign w:val="center"/>
          </w:tcPr>
          <w:p>
            <w:pPr>
              <w:pStyle w:val="TableContents"/>
              <w:bidi w:val="0"/>
              <w:spacing w:before="0" w:after="283"/>
              <w:jc w:val="left"/>
              <w:rPr/>
            </w:pPr>
            <w:r>
              <w:rPr/>
              <w:t>Section 2.18.  </w:t>
            </w:r>
            <w:r>
              <w:rPr>
                <w:i/>
              </w:rPr>
              <w:t>Optional Increase in Commitments</w:t>
            </w:r>
          </w:p>
        </w:tc>
        <w:tc>
          <w:tcPr>
            <w:tcW w:w="485" w:type="dxa"/>
            <w:tcBorders/>
            <w:vAlign w:val="center"/>
          </w:tcPr>
          <w:p>
            <w:pPr>
              <w:pStyle w:val="TableContents"/>
              <w:bidi w:val="0"/>
              <w:spacing w:before="0" w:after="283"/>
              <w:jc w:val="right"/>
              <w:rPr/>
            </w:pPr>
            <w:r>
              <w:rPr/>
              <w:t>50</w:t>
            </w:r>
          </w:p>
        </w:tc>
      </w:tr>
      <w:tr>
        <w:trPr/>
        <w:tc>
          <w:tcPr>
            <w:tcW w:w="57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color w:val="FF0000"/>
              </w:rPr>
            </w:pPr>
            <w:r>
              <w:rPr>
                <w:color w:val="FF0000"/>
              </w:rPr>
              <w:t> </w:t>
            </w:r>
          </w:p>
        </w:tc>
      </w:tr>
      <w:tr>
        <w:trPr/>
        <w:tc>
          <w:tcPr>
            <w:tcW w:w="57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r>
              <w:rPr/>
              <w:t>Section 3.01</w:t>
            </w:r>
            <w:r>
              <w:rPr>
                <w:i/>
              </w:rPr>
              <w:t>.  Effectiveness</w:t>
            </w:r>
          </w:p>
        </w:tc>
        <w:tc>
          <w:tcPr>
            <w:tcW w:w="485" w:type="dxa"/>
            <w:tcBorders/>
            <w:vAlign w:val="center"/>
          </w:tcPr>
          <w:p>
            <w:pPr>
              <w:pStyle w:val="TableContents"/>
              <w:bidi w:val="0"/>
              <w:spacing w:before="0" w:after="283"/>
              <w:jc w:val="right"/>
              <w:rPr/>
            </w:pPr>
            <w:r>
              <w:rPr/>
              <w:t>52</w:t>
            </w:r>
          </w:p>
        </w:tc>
      </w:tr>
      <w:tr>
        <w:trPr/>
        <w:tc>
          <w:tcPr>
            <w:tcW w:w="5765" w:type="dxa"/>
            <w:tcBorders/>
            <w:vAlign w:val="center"/>
          </w:tcPr>
          <w:p>
            <w:pPr>
              <w:pStyle w:val="TableContents"/>
              <w:bidi w:val="0"/>
              <w:spacing w:before="0" w:after="283"/>
              <w:jc w:val="left"/>
              <w:rPr/>
            </w:pPr>
            <w:r>
              <w:rPr/>
              <w:t>Section 3.02</w:t>
            </w:r>
            <w:r>
              <w:rPr>
                <w:i/>
              </w:rPr>
              <w:t>.  Borrowings and Issuances of Letters of Credit</w:t>
            </w:r>
          </w:p>
        </w:tc>
        <w:tc>
          <w:tcPr>
            <w:tcW w:w="485" w:type="dxa"/>
            <w:tcBorders/>
            <w:vAlign w:val="center"/>
          </w:tcPr>
          <w:p>
            <w:pPr>
              <w:pStyle w:val="TableContents"/>
              <w:bidi w:val="0"/>
              <w:spacing w:before="0" w:after="283"/>
              <w:jc w:val="right"/>
              <w:rPr/>
            </w:pPr>
            <w:r>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600"/>
        <w:gridCol w:w="275"/>
      </w:tblGrid>
      <w:tr>
        <w:trPr/>
        <w:tc>
          <w:tcPr>
            <w:tcW w:w="56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Section 4.01</w:t>
            </w:r>
            <w:r>
              <w:rPr>
                <w:i/>
              </w:rPr>
              <w:t>.  Corporate Existence and Power</w:t>
            </w:r>
          </w:p>
        </w:tc>
        <w:tc>
          <w:tcPr>
            <w:tcW w:w="275" w:type="dxa"/>
            <w:tcBorders/>
            <w:vAlign w:val="center"/>
          </w:tcPr>
          <w:p>
            <w:pPr>
              <w:pStyle w:val="TableContents"/>
              <w:bidi w:val="0"/>
              <w:spacing w:before="0" w:after="283"/>
              <w:jc w:val="right"/>
              <w:rPr/>
            </w:pPr>
            <w:r>
              <w:rPr/>
              <w:t>54</w:t>
            </w:r>
          </w:p>
        </w:tc>
      </w:tr>
      <w:tr>
        <w:trPr/>
        <w:tc>
          <w:tcPr>
            <w:tcW w:w="5600" w:type="dxa"/>
            <w:tcBorders/>
            <w:vAlign w:val="center"/>
          </w:tcPr>
          <w:p>
            <w:pPr>
              <w:pStyle w:val="TableContents"/>
              <w:bidi w:val="0"/>
              <w:spacing w:before="0" w:after="283"/>
              <w:jc w:val="left"/>
              <w:rPr/>
            </w:pPr>
            <w:r>
              <w:rPr/>
              <w:t>Section 4.02</w:t>
            </w:r>
            <w:r>
              <w:rPr>
                <w:i/>
              </w:rPr>
              <w:t>.  Corporate Authorization; No Contravention</w:t>
            </w:r>
          </w:p>
        </w:tc>
        <w:tc>
          <w:tcPr>
            <w:tcW w:w="275" w:type="dxa"/>
            <w:tcBorders/>
            <w:vAlign w:val="center"/>
          </w:tcPr>
          <w:p>
            <w:pPr>
              <w:pStyle w:val="TableContents"/>
              <w:bidi w:val="0"/>
              <w:spacing w:before="0" w:after="283"/>
              <w:jc w:val="right"/>
              <w:rPr/>
            </w:pPr>
            <w:r>
              <w:rPr/>
              <w:t>54</w:t>
            </w:r>
          </w:p>
        </w:tc>
      </w:tr>
      <w:tr>
        <w:trPr/>
        <w:tc>
          <w:tcPr>
            <w:tcW w:w="5600" w:type="dxa"/>
            <w:tcBorders/>
            <w:vAlign w:val="center"/>
          </w:tcPr>
          <w:p>
            <w:pPr>
              <w:pStyle w:val="TableContents"/>
              <w:bidi w:val="0"/>
              <w:spacing w:before="0" w:after="283"/>
              <w:jc w:val="left"/>
              <w:rPr/>
            </w:pPr>
            <w:r>
              <w:rPr/>
              <w:t>Section 4.03</w:t>
            </w:r>
            <w:r>
              <w:rPr>
                <w:i/>
              </w:rPr>
              <w:t>.  Binding Effect</w:t>
            </w:r>
          </w:p>
        </w:tc>
        <w:tc>
          <w:tcPr>
            <w:tcW w:w="275" w:type="dxa"/>
            <w:tcBorders/>
            <w:vAlign w:val="center"/>
          </w:tcPr>
          <w:p>
            <w:pPr>
              <w:pStyle w:val="TableContents"/>
              <w:bidi w:val="0"/>
              <w:spacing w:before="0" w:after="283"/>
              <w:jc w:val="right"/>
              <w:rPr/>
            </w:pPr>
            <w:r>
              <w:rPr/>
              <w:t>54</w:t>
            </w:r>
          </w:p>
        </w:tc>
      </w:tr>
      <w:tr>
        <w:trPr/>
        <w:tc>
          <w:tcPr>
            <w:tcW w:w="5600" w:type="dxa"/>
            <w:tcBorders/>
            <w:vAlign w:val="center"/>
          </w:tcPr>
          <w:p>
            <w:pPr>
              <w:pStyle w:val="TableContents"/>
              <w:bidi w:val="0"/>
              <w:spacing w:before="0" w:after="283"/>
              <w:jc w:val="left"/>
              <w:rPr/>
            </w:pPr>
            <w:r>
              <w:rPr/>
              <w:t>Section 4.04</w:t>
            </w:r>
            <w:r>
              <w:rPr>
                <w:i/>
              </w:rPr>
              <w:t>.  Financial Information</w:t>
            </w:r>
          </w:p>
        </w:tc>
        <w:tc>
          <w:tcPr>
            <w:tcW w:w="275" w:type="dxa"/>
            <w:tcBorders/>
            <w:vAlign w:val="center"/>
          </w:tcPr>
          <w:p>
            <w:pPr>
              <w:pStyle w:val="TableContents"/>
              <w:bidi w:val="0"/>
              <w:spacing w:before="0" w:after="283"/>
              <w:jc w:val="right"/>
              <w:rPr/>
            </w:pPr>
            <w:r>
              <w:rPr/>
              <w:t>55</w:t>
            </w:r>
          </w:p>
        </w:tc>
      </w:tr>
      <w:tr>
        <w:trPr/>
        <w:tc>
          <w:tcPr>
            <w:tcW w:w="5600" w:type="dxa"/>
            <w:tcBorders/>
            <w:vAlign w:val="center"/>
          </w:tcPr>
          <w:p>
            <w:pPr>
              <w:pStyle w:val="TableContents"/>
              <w:bidi w:val="0"/>
              <w:spacing w:before="0" w:after="283"/>
              <w:jc w:val="left"/>
              <w:rPr/>
            </w:pPr>
            <w:r>
              <w:rPr/>
              <w:t>Section 4.05</w:t>
            </w:r>
            <w:r>
              <w:rPr>
                <w:i/>
              </w:rPr>
              <w:t>.  Litigation</w:t>
            </w:r>
          </w:p>
        </w:tc>
        <w:tc>
          <w:tcPr>
            <w:tcW w:w="275" w:type="dxa"/>
            <w:tcBorders/>
            <w:vAlign w:val="center"/>
          </w:tcPr>
          <w:p>
            <w:pPr>
              <w:pStyle w:val="TableContents"/>
              <w:bidi w:val="0"/>
              <w:spacing w:before="0" w:after="283"/>
              <w:jc w:val="right"/>
              <w:rPr/>
            </w:pPr>
            <w:r>
              <w:rPr/>
              <w:t>55</w:t>
            </w:r>
          </w:p>
        </w:tc>
      </w:tr>
      <w:tr>
        <w:trPr/>
        <w:tc>
          <w:tcPr>
            <w:tcW w:w="5600" w:type="dxa"/>
            <w:tcBorders/>
            <w:vAlign w:val="center"/>
          </w:tcPr>
          <w:p>
            <w:pPr>
              <w:pStyle w:val="TableContents"/>
              <w:bidi w:val="0"/>
              <w:spacing w:before="0" w:after="283"/>
              <w:jc w:val="left"/>
              <w:rPr/>
            </w:pPr>
            <w:r>
              <w:rPr/>
              <w:t>Section 4.06</w:t>
            </w:r>
            <w:r>
              <w:rPr>
                <w:i/>
              </w:rPr>
              <w:t>.  Taxes</w:t>
            </w:r>
          </w:p>
        </w:tc>
        <w:tc>
          <w:tcPr>
            <w:tcW w:w="275" w:type="dxa"/>
            <w:tcBorders/>
            <w:vAlign w:val="center"/>
          </w:tcPr>
          <w:p>
            <w:pPr>
              <w:pStyle w:val="TableContents"/>
              <w:bidi w:val="0"/>
              <w:spacing w:before="0" w:after="283"/>
              <w:jc w:val="right"/>
              <w:rPr/>
            </w:pPr>
            <w:r>
              <w:rPr/>
              <w:t>55</w:t>
            </w:r>
          </w:p>
        </w:tc>
      </w:tr>
      <w:tr>
        <w:trPr/>
        <w:tc>
          <w:tcPr>
            <w:tcW w:w="5600" w:type="dxa"/>
            <w:tcBorders/>
            <w:vAlign w:val="center"/>
          </w:tcPr>
          <w:p>
            <w:pPr>
              <w:pStyle w:val="TableContents"/>
              <w:bidi w:val="0"/>
              <w:spacing w:before="0" w:after="283"/>
              <w:jc w:val="left"/>
              <w:rPr/>
            </w:pPr>
            <w:r>
              <w:rPr/>
              <w:t>Section 4.07</w:t>
            </w:r>
            <w:r>
              <w:rPr>
                <w:i/>
              </w:rPr>
              <w:t>.  Margin Regulations</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4.08</w:t>
            </w:r>
            <w:r>
              <w:rPr>
                <w:i/>
              </w:rPr>
              <w:t>.  Compliance with Laws</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4.09</w:t>
            </w:r>
            <w:r>
              <w:rPr>
                <w:i/>
              </w:rPr>
              <w:t>.  Governmental Approvals</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4.10</w:t>
            </w:r>
            <w:r>
              <w:rPr>
                <w:i/>
              </w:rPr>
              <w:t>.  Pari Passu Obligations</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4.11</w:t>
            </w:r>
            <w:r>
              <w:rPr>
                <w:i/>
              </w:rPr>
              <w:t>.  No Defaults</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4.12</w:t>
            </w:r>
            <w:r>
              <w:rPr>
                <w:i/>
              </w:rPr>
              <w:t>.  Full Disclosure</w:t>
            </w:r>
          </w:p>
        </w:tc>
        <w:tc>
          <w:tcPr>
            <w:tcW w:w="275" w:type="dxa"/>
            <w:tcBorders/>
            <w:vAlign w:val="center"/>
          </w:tcPr>
          <w:p>
            <w:pPr>
              <w:pStyle w:val="TableContents"/>
              <w:bidi w:val="0"/>
              <w:spacing w:before="0" w:after="283"/>
              <w:jc w:val="right"/>
              <w:rPr/>
            </w:pPr>
            <w:r>
              <w:rPr/>
              <w:t>56</w:t>
            </w:r>
          </w:p>
        </w:tc>
      </w:tr>
      <w:tr>
        <w:trPr/>
        <w:tc>
          <w:tcPr>
            <w:tcW w:w="5600" w:type="dxa"/>
            <w:tcBorders/>
            <w:vAlign w:val="center"/>
          </w:tcPr>
          <w:p>
            <w:pPr>
              <w:pStyle w:val="TableContents"/>
              <w:bidi w:val="0"/>
              <w:spacing w:before="0" w:after="283"/>
              <w:jc w:val="left"/>
              <w:rPr/>
            </w:pPr>
            <w:r>
              <w:rPr/>
              <w:t>Section 4.13</w:t>
            </w:r>
            <w:r>
              <w:rPr>
                <w:i/>
              </w:rPr>
              <w:t>.  ERISA</w:t>
            </w:r>
          </w:p>
        </w:tc>
        <w:tc>
          <w:tcPr>
            <w:tcW w:w="275" w:type="dxa"/>
            <w:tcBorders/>
            <w:vAlign w:val="center"/>
          </w:tcPr>
          <w:p>
            <w:pPr>
              <w:pStyle w:val="TableContents"/>
              <w:bidi w:val="0"/>
              <w:spacing w:before="0" w:after="283"/>
              <w:jc w:val="right"/>
              <w:rPr/>
            </w:pPr>
            <w:r>
              <w:rPr/>
              <w:t>57</w:t>
            </w:r>
          </w:p>
        </w:tc>
      </w:tr>
      <w:tr>
        <w:trPr/>
        <w:tc>
          <w:tcPr>
            <w:tcW w:w="5600" w:type="dxa"/>
            <w:tcBorders/>
            <w:vAlign w:val="center"/>
          </w:tcPr>
          <w:p>
            <w:pPr>
              <w:pStyle w:val="TableContents"/>
              <w:bidi w:val="0"/>
              <w:spacing w:before="0" w:after="283"/>
              <w:jc w:val="left"/>
              <w:rPr/>
            </w:pPr>
            <w:r>
              <w:rPr/>
              <w:t>Section 4.14</w:t>
            </w:r>
            <w:r>
              <w:rPr>
                <w:i/>
              </w:rPr>
              <w:t>.  Environmental Matters</w:t>
            </w:r>
          </w:p>
        </w:tc>
        <w:tc>
          <w:tcPr>
            <w:tcW w:w="275" w:type="dxa"/>
            <w:tcBorders/>
            <w:vAlign w:val="center"/>
          </w:tcPr>
          <w:p>
            <w:pPr>
              <w:pStyle w:val="TableContents"/>
              <w:bidi w:val="0"/>
              <w:spacing w:before="0" w:after="283"/>
              <w:jc w:val="right"/>
              <w:rPr/>
            </w:pPr>
            <w:r>
              <w:rPr/>
              <w:t>57</w:t>
            </w:r>
          </w:p>
        </w:tc>
      </w:tr>
      <w:tr>
        <w:trPr/>
        <w:tc>
          <w:tcPr>
            <w:tcW w:w="5600" w:type="dxa"/>
            <w:tcBorders/>
            <w:vAlign w:val="center"/>
          </w:tcPr>
          <w:p>
            <w:pPr>
              <w:pStyle w:val="TableContents"/>
              <w:bidi w:val="0"/>
              <w:spacing w:before="0" w:after="283"/>
              <w:jc w:val="left"/>
              <w:rPr/>
            </w:pPr>
            <w:r>
              <w:rPr/>
              <w:t>Section 4.15</w:t>
            </w:r>
            <w:r>
              <w:rPr>
                <w:i/>
              </w:rPr>
              <w:t>.  Regulatory Restrictions on Borrowing</w:t>
            </w:r>
          </w:p>
        </w:tc>
        <w:tc>
          <w:tcPr>
            <w:tcW w:w="275" w:type="dxa"/>
            <w:tcBorders/>
            <w:vAlign w:val="center"/>
          </w:tcPr>
          <w:p>
            <w:pPr>
              <w:pStyle w:val="TableContents"/>
              <w:bidi w:val="0"/>
              <w:spacing w:before="0" w:after="283"/>
              <w:jc w:val="right"/>
              <w:rPr/>
            </w:pPr>
            <w:r>
              <w:rPr/>
              <w:t>57</w:t>
            </w:r>
          </w:p>
        </w:tc>
      </w:tr>
      <w:tr>
        <w:trPr/>
        <w:tc>
          <w:tcPr>
            <w:tcW w:w="5600" w:type="dxa"/>
            <w:tcBorders/>
            <w:vAlign w:val="center"/>
          </w:tcPr>
          <w:p>
            <w:pPr>
              <w:pStyle w:val="TableContents"/>
              <w:bidi w:val="0"/>
              <w:spacing w:before="0" w:after="283"/>
              <w:jc w:val="left"/>
              <w:rPr/>
            </w:pPr>
            <w:r>
              <w:rPr/>
              <w:t>Section 4.16.  </w:t>
            </w:r>
            <w:r>
              <w:rPr>
                <w:i/>
              </w:rPr>
              <w:t>Legal Status</w:t>
            </w:r>
          </w:p>
        </w:tc>
        <w:tc>
          <w:tcPr>
            <w:tcW w:w="275" w:type="dxa"/>
            <w:tcBorders/>
            <w:vAlign w:val="center"/>
          </w:tcPr>
          <w:p>
            <w:pPr>
              <w:pStyle w:val="TableContents"/>
              <w:bidi w:val="0"/>
              <w:spacing w:before="0" w:after="283"/>
              <w:jc w:val="right"/>
              <w:rPr/>
            </w:pPr>
            <w:r>
              <w:rPr/>
              <w:t>57</w:t>
            </w:r>
          </w:p>
        </w:tc>
      </w:tr>
      <w:tr>
        <w:trPr/>
        <w:tc>
          <w:tcPr>
            <w:tcW w:w="56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sz w:val="4"/>
                <w:szCs w:val="4"/>
              </w:rPr>
            </w:pPr>
            <w:r>
              <w:rPr>
                <w:sz w:val="4"/>
                <w:szCs w:val="4"/>
              </w:rPr>
            </w:r>
          </w:p>
        </w:tc>
      </w:tr>
      <w:tr>
        <w:trPr/>
        <w:tc>
          <w:tcPr>
            <w:tcW w:w="5600" w:type="dxa"/>
            <w:tcBorders/>
            <w:vAlign w:val="center"/>
          </w:tcPr>
          <w:p>
            <w:pPr>
              <w:pStyle w:val="TableContents"/>
              <w:bidi w:val="0"/>
              <w:spacing w:before="0" w:after="283"/>
              <w:jc w:val="left"/>
              <w:rPr/>
            </w:pPr>
            <w:r>
              <w:rPr/>
              <w:t>Section 5.01</w:t>
            </w:r>
            <w:r>
              <w:rPr>
                <w:i/>
              </w:rPr>
              <w:t>.  Information</w:t>
            </w:r>
          </w:p>
        </w:tc>
        <w:tc>
          <w:tcPr>
            <w:tcW w:w="275" w:type="dxa"/>
            <w:tcBorders/>
            <w:vAlign w:val="center"/>
          </w:tcPr>
          <w:p>
            <w:pPr>
              <w:pStyle w:val="TableContents"/>
              <w:bidi w:val="0"/>
              <w:spacing w:before="0" w:after="283"/>
              <w:jc w:val="right"/>
              <w:rPr/>
            </w:pPr>
            <w:r>
              <w:rPr/>
              <w:t>58</w:t>
            </w:r>
          </w:p>
        </w:tc>
      </w:tr>
      <w:tr>
        <w:trPr/>
        <w:tc>
          <w:tcPr>
            <w:tcW w:w="5600" w:type="dxa"/>
            <w:tcBorders/>
            <w:vAlign w:val="center"/>
          </w:tcPr>
          <w:p>
            <w:pPr>
              <w:pStyle w:val="TableContents"/>
              <w:bidi w:val="0"/>
              <w:spacing w:before="0" w:after="283"/>
              <w:jc w:val="left"/>
              <w:rPr/>
            </w:pPr>
            <w:r>
              <w:rPr/>
              <w:t>Section 5.02</w:t>
            </w:r>
            <w:r>
              <w:rPr>
                <w:i/>
              </w:rPr>
              <w:t>.  Payment of Obligations</w:t>
            </w:r>
          </w:p>
        </w:tc>
        <w:tc>
          <w:tcPr>
            <w:tcW w:w="275" w:type="dxa"/>
            <w:tcBorders/>
            <w:vAlign w:val="center"/>
          </w:tcPr>
          <w:p>
            <w:pPr>
              <w:pStyle w:val="TableContents"/>
              <w:bidi w:val="0"/>
              <w:spacing w:before="0" w:after="283"/>
              <w:jc w:val="right"/>
              <w:rPr/>
            </w:pPr>
            <w:r>
              <w:rPr/>
              <w:t>60</w:t>
            </w:r>
          </w:p>
        </w:tc>
      </w:tr>
      <w:tr>
        <w:trPr/>
        <w:tc>
          <w:tcPr>
            <w:tcW w:w="5600" w:type="dxa"/>
            <w:tcBorders/>
            <w:vAlign w:val="center"/>
          </w:tcPr>
          <w:p>
            <w:pPr>
              <w:pStyle w:val="TableContents"/>
              <w:bidi w:val="0"/>
              <w:spacing w:before="0" w:after="283"/>
              <w:jc w:val="left"/>
              <w:rPr/>
            </w:pPr>
            <w:r>
              <w:rPr/>
              <w:t>Section 5.03</w:t>
            </w:r>
            <w:r>
              <w:rPr>
                <w:i/>
              </w:rPr>
              <w:t>.  Insurance</w:t>
            </w:r>
          </w:p>
        </w:tc>
        <w:tc>
          <w:tcPr>
            <w:tcW w:w="275" w:type="dxa"/>
            <w:tcBorders/>
            <w:vAlign w:val="center"/>
          </w:tcPr>
          <w:p>
            <w:pPr>
              <w:pStyle w:val="TableContents"/>
              <w:bidi w:val="0"/>
              <w:spacing w:before="0" w:after="283"/>
              <w:jc w:val="right"/>
              <w:rPr/>
            </w:pPr>
            <w:r>
              <w:rPr/>
              <w:t>60</w:t>
            </w:r>
          </w:p>
        </w:tc>
      </w:tr>
      <w:tr>
        <w:trPr/>
        <w:tc>
          <w:tcPr>
            <w:tcW w:w="5600" w:type="dxa"/>
            <w:tcBorders/>
            <w:vAlign w:val="center"/>
          </w:tcPr>
          <w:p>
            <w:pPr>
              <w:pStyle w:val="TableContents"/>
              <w:bidi w:val="0"/>
              <w:spacing w:before="0" w:after="283"/>
              <w:jc w:val="left"/>
              <w:rPr/>
            </w:pPr>
            <w:r>
              <w:rPr/>
              <w:t>Section 5.04</w:t>
            </w:r>
            <w:r>
              <w:rPr>
                <w:i/>
              </w:rPr>
              <w:t>.  Maintenance of Existence</w:t>
            </w:r>
          </w:p>
        </w:tc>
        <w:tc>
          <w:tcPr>
            <w:tcW w:w="275" w:type="dxa"/>
            <w:tcBorders/>
            <w:vAlign w:val="center"/>
          </w:tcPr>
          <w:p>
            <w:pPr>
              <w:pStyle w:val="TableContents"/>
              <w:bidi w:val="0"/>
              <w:spacing w:before="0" w:after="283"/>
              <w:jc w:val="right"/>
              <w:rPr/>
            </w:pPr>
            <w:r>
              <w:rPr/>
              <w:t>60</w:t>
            </w:r>
          </w:p>
        </w:tc>
      </w:tr>
      <w:tr>
        <w:trPr/>
        <w:tc>
          <w:tcPr>
            <w:tcW w:w="5600" w:type="dxa"/>
            <w:tcBorders/>
            <w:vAlign w:val="center"/>
          </w:tcPr>
          <w:p>
            <w:pPr>
              <w:pStyle w:val="TableContents"/>
              <w:bidi w:val="0"/>
              <w:spacing w:before="0" w:after="283"/>
              <w:jc w:val="left"/>
              <w:rPr/>
            </w:pPr>
            <w:r>
              <w:rPr/>
              <w:t>Section 5.05</w:t>
            </w:r>
            <w:r>
              <w:rPr>
                <w:i/>
              </w:rPr>
              <w:t>.  Maintenance of Properties</w:t>
            </w:r>
          </w:p>
        </w:tc>
        <w:tc>
          <w:tcPr>
            <w:tcW w:w="275" w:type="dxa"/>
            <w:tcBorders/>
            <w:vAlign w:val="center"/>
          </w:tcPr>
          <w:p>
            <w:pPr>
              <w:pStyle w:val="TableContents"/>
              <w:bidi w:val="0"/>
              <w:spacing w:before="0" w:after="283"/>
              <w:jc w:val="right"/>
              <w:rPr/>
            </w:pPr>
            <w:r>
              <w:rPr/>
              <w:t>61</w:t>
            </w:r>
          </w:p>
        </w:tc>
      </w:tr>
      <w:tr>
        <w:trPr/>
        <w:tc>
          <w:tcPr>
            <w:tcW w:w="5600" w:type="dxa"/>
            <w:tcBorders/>
            <w:vAlign w:val="center"/>
          </w:tcPr>
          <w:p>
            <w:pPr>
              <w:pStyle w:val="TableContents"/>
              <w:bidi w:val="0"/>
              <w:spacing w:before="0" w:after="283"/>
              <w:jc w:val="left"/>
              <w:rPr/>
            </w:pPr>
            <w:r>
              <w:rPr/>
              <w:t>Section 5.06</w:t>
            </w:r>
            <w:r>
              <w:rPr>
                <w:i/>
              </w:rPr>
              <w:t>.  Compliance with Laws</w:t>
            </w:r>
          </w:p>
        </w:tc>
        <w:tc>
          <w:tcPr>
            <w:tcW w:w="275" w:type="dxa"/>
            <w:tcBorders/>
            <w:vAlign w:val="center"/>
          </w:tcPr>
          <w:p>
            <w:pPr>
              <w:pStyle w:val="TableContents"/>
              <w:bidi w:val="0"/>
              <w:spacing w:before="0" w:after="283"/>
              <w:jc w:val="right"/>
              <w:rPr/>
            </w:pPr>
            <w:r>
              <w:rPr/>
              <w:t>61</w:t>
            </w:r>
          </w:p>
        </w:tc>
      </w:tr>
      <w:tr>
        <w:trPr/>
        <w:tc>
          <w:tcPr>
            <w:tcW w:w="5600" w:type="dxa"/>
            <w:tcBorders/>
            <w:vAlign w:val="center"/>
          </w:tcPr>
          <w:p>
            <w:pPr>
              <w:pStyle w:val="TableContents"/>
              <w:bidi w:val="0"/>
              <w:spacing w:before="0" w:after="283"/>
              <w:jc w:val="left"/>
              <w:rPr/>
            </w:pPr>
            <w:r>
              <w:rPr/>
              <w:t>Section 5.07</w:t>
            </w:r>
            <w:r>
              <w:rPr>
                <w:i/>
              </w:rPr>
              <w:t>.  Mergers, Consolidations and Sales of Assets</w:t>
            </w:r>
          </w:p>
        </w:tc>
        <w:tc>
          <w:tcPr>
            <w:tcW w:w="275" w:type="dxa"/>
            <w:tcBorders/>
            <w:vAlign w:val="center"/>
          </w:tcPr>
          <w:p>
            <w:pPr>
              <w:pStyle w:val="TableContents"/>
              <w:bidi w:val="0"/>
              <w:spacing w:before="0" w:after="283"/>
              <w:jc w:val="right"/>
              <w:rPr/>
            </w:pPr>
            <w:r>
              <w:rPr/>
              <w:t>61</w:t>
            </w:r>
          </w:p>
        </w:tc>
      </w:tr>
      <w:tr>
        <w:trPr/>
        <w:tc>
          <w:tcPr>
            <w:tcW w:w="5600" w:type="dxa"/>
            <w:tcBorders/>
            <w:vAlign w:val="center"/>
          </w:tcPr>
          <w:p>
            <w:pPr>
              <w:pStyle w:val="TableContents"/>
              <w:bidi w:val="0"/>
              <w:spacing w:before="0" w:after="283"/>
              <w:jc w:val="left"/>
              <w:rPr/>
            </w:pPr>
            <w:r>
              <w:rPr/>
              <w:t>Section 5.08</w:t>
            </w:r>
            <w:r>
              <w:rPr>
                <w:i/>
              </w:rPr>
              <w:t>.  Negative Pledge</w:t>
            </w:r>
          </w:p>
        </w:tc>
        <w:tc>
          <w:tcPr>
            <w:tcW w:w="275" w:type="dxa"/>
            <w:tcBorders/>
            <w:vAlign w:val="center"/>
          </w:tcPr>
          <w:p>
            <w:pPr>
              <w:pStyle w:val="TableContents"/>
              <w:bidi w:val="0"/>
              <w:spacing w:before="0" w:after="283"/>
              <w:jc w:val="right"/>
              <w:rPr/>
            </w:pPr>
            <w:r>
              <w:rPr/>
              <w:t>62</w:t>
            </w:r>
          </w:p>
        </w:tc>
      </w:tr>
      <w:tr>
        <w:trPr/>
        <w:tc>
          <w:tcPr>
            <w:tcW w:w="5600" w:type="dxa"/>
            <w:tcBorders/>
            <w:vAlign w:val="center"/>
          </w:tcPr>
          <w:p>
            <w:pPr>
              <w:pStyle w:val="TableContents"/>
              <w:bidi w:val="0"/>
              <w:spacing w:before="0" w:after="283"/>
              <w:jc w:val="left"/>
              <w:rPr/>
            </w:pPr>
            <w:r>
              <w:rPr/>
              <w:t>Section 5.09</w:t>
            </w:r>
            <w:r>
              <w:rPr>
                <w:i/>
              </w:rPr>
              <w:t>.  Leverage Ratio</w:t>
            </w:r>
          </w:p>
        </w:tc>
        <w:tc>
          <w:tcPr>
            <w:tcW w:w="275" w:type="dxa"/>
            <w:tcBorders/>
            <w:vAlign w:val="center"/>
          </w:tcPr>
          <w:p>
            <w:pPr>
              <w:pStyle w:val="TableContents"/>
              <w:bidi w:val="0"/>
              <w:spacing w:before="0" w:after="283"/>
              <w:jc w:val="right"/>
              <w:rPr/>
            </w:pPr>
            <w:r>
              <w:rPr/>
              <w:t>65</w:t>
            </w:r>
          </w:p>
        </w:tc>
      </w:tr>
      <w:tr>
        <w:trPr/>
        <w:tc>
          <w:tcPr>
            <w:tcW w:w="5600" w:type="dxa"/>
            <w:tcBorders/>
            <w:vAlign w:val="center"/>
          </w:tcPr>
          <w:p>
            <w:pPr>
              <w:pStyle w:val="TableContents"/>
              <w:bidi w:val="0"/>
              <w:spacing w:before="0" w:after="283"/>
              <w:jc w:val="left"/>
              <w:rPr/>
            </w:pPr>
            <w:r>
              <w:rPr/>
              <w:t>Section 5.10</w:t>
            </w:r>
            <w:r>
              <w:rPr>
                <w:i/>
              </w:rPr>
              <w:t>.  Use of Proceeds</w:t>
            </w:r>
          </w:p>
        </w:tc>
        <w:tc>
          <w:tcPr>
            <w:tcW w:w="275" w:type="dxa"/>
            <w:tcBorders/>
            <w:vAlign w:val="center"/>
          </w:tcPr>
          <w:p>
            <w:pPr>
              <w:pStyle w:val="TableContents"/>
              <w:bidi w:val="0"/>
              <w:spacing w:before="0" w:after="283"/>
              <w:jc w:val="right"/>
              <w:rPr/>
            </w:pPr>
            <w:r>
              <w:rPr/>
              <w:t>65</w:t>
            </w:r>
          </w:p>
        </w:tc>
      </w:tr>
      <w:tr>
        <w:trPr/>
        <w:tc>
          <w:tcPr>
            <w:tcW w:w="5600" w:type="dxa"/>
            <w:tcBorders/>
            <w:vAlign w:val="center"/>
          </w:tcPr>
          <w:p>
            <w:pPr>
              <w:pStyle w:val="TableContents"/>
              <w:bidi w:val="0"/>
              <w:spacing w:before="0" w:after="283"/>
              <w:jc w:val="left"/>
              <w:rPr/>
            </w:pPr>
            <w:r>
              <w:rPr/>
              <w:t>Section 5.11</w:t>
            </w:r>
            <w:r>
              <w:rPr>
                <w:i/>
              </w:rPr>
              <w:t>.  </w:t>
            </w:r>
            <w:r>
              <w:rPr/>
              <w:t>[</w:t>
            </w:r>
            <w:r>
              <w:rPr>
                <w:i/>
              </w:rPr>
              <w:t>Reserved</w:t>
            </w:r>
            <w:r>
              <w:rPr/>
              <w:t>]</w:t>
            </w:r>
          </w:p>
        </w:tc>
        <w:tc>
          <w:tcPr>
            <w:tcW w:w="275" w:type="dxa"/>
            <w:tcBorders/>
            <w:vAlign w:val="center"/>
          </w:tcPr>
          <w:p>
            <w:pPr>
              <w:pStyle w:val="TableContents"/>
              <w:bidi w:val="0"/>
              <w:spacing w:before="0" w:after="283"/>
              <w:jc w:val="right"/>
              <w:rPr/>
            </w:pPr>
            <w:r>
              <w:rPr/>
              <w:t>66</w:t>
            </w:r>
          </w:p>
        </w:tc>
      </w:tr>
      <w:tr>
        <w:trPr/>
        <w:tc>
          <w:tcPr>
            <w:tcW w:w="5600" w:type="dxa"/>
            <w:tcBorders/>
            <w:vAlign w:val="center"/>
          </w:tcPr>
          <w:p>
            <w:pPr>
              <w:pStyle w:val="TableContents"/>
              <w:bidi w:val="0"/>
              <w:spacing w:before="0" w:after="283"/>
              <w:jc w:val="left"/>
              <w:rPr/>
            </w:pPr>
            <w:r>
              <w:rPr/>
              <w:t>Section 5.12</w:t>
            </w:r>
            <w:r>
              <w:rPr>
                <w:i/>
              </w:rPr>
              <w:t>.  Transactions with Affiliates</w:t>
            </w:r>
          </w:p>
        </w:tc>
        <w:tc>
          <w:tcPr>
            <w:tcW w:w="275" w:type="dxa"/>
            <w:tcBorders/>
            <w:vAlign w:val="center"/>
          </w:tcPr>
          <w:p>
            <w:pPr>
              <w:pStyle w:val="TableContents"/>
              <w:bidi w:val="0"/>
              <w:spacing w:before="0" w:after="283"/>
              <w:jc w:val="right"/>
              <w:rPr/>
            </w:pPr>
            <w:r>
              <w:rPr/>
              <w:t>66</w:t>
            </w:r>
          </w:p>
        </w:tc>
      </w:tr>
      <w:tr>
        <w:trPr/>
        <w:tc>
          <w:tcPr>
            <w:tcW w:w="560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center"/>
              <w:rPr/>
            </w:pPr>
            <w:r>
              <w:rPr/>
              <w:t>ARTICLE 6</w:t>
              <w:br/>
            </w:r>
            <w:r>
              <w:rPr>
                <w:smallCaps/>
              </w:rPr>
              <w:t>Defaults</w:t>
            </w:r>
          </w:p>
        </w:tc>
        <w:tc>
          <w:tcPr>
            <w:tcW w:w="275"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sz w:val="4"/>
                <w:szCs w:val="4"/>
              </w:rPr>
            </w:pPr>
            <w:r>
              <w:rPr>
                <w:sz w:val="4"/>
                <w:szCs w:val="4"/>
              </w:rPr>
            </w:r>
          </w:p>
        </w:tc>
      </w:tr>
      <w:tr>
        <w:trPr/>
        <w:tc>
          <w:tcPr>
            <w:tcW w:w="5600" w:type="dxa"/>
            <w:tcBorders/>
            <w:vAlign w:val="center"/>
          </w:tcPr>
          <w:p>
            <w:pPr>
              <w:pStyle w:val="TableContents"/>
              <w:bidi w:val="0"/>
              <w:spacing w:before="0" w:after="283"/>
              <w:jc w:val="left"/>
              <w:rPr/>
            </w:pPr>
            <w:r>
              <w:rPr/>
              <w:t>Section 6.01</w:t>
            </w:r>
            <w:r>
              <w:rPr>
                <w:i/>
              </w:rPr>
              <w:t>.  Event of Default</w:t>
            </w:r>
          </w:p>
        </w:tc>
        <w:tc>
          <w:tcPr>
            <w:tcW w:w="275" w:type="dxa"/>
            <w:tcBorders/>
            <w:vAlign w:val="center"/>
          </w:tcPr>
          <w:p>
            <w:pPr>
              <w:pStyle w:val="TableContents"/>
              <w:bidi w:val="0"/>
              <w:spacing w:before="0" w:after="283"/>
              <w:jc w:val="right"/>
              <w:rPr/>
            </w:pPr>
            <w:r>
              <w:rPr/>
              <w:t>66</w:t>
            </w:r>
          </w:p>
        </w:tc>
      </w:tr>
      <w:tr>
        <w:trPr/>
        <w:tc>
          <w:tcPr>
            <w:tcW w:w="5600" w:type="dxa"/>
            <w:tcBorders/>
            <w:vAlign w:val="center"/>
          </w:tcPr>
          <w:p>
            <w:pPr>
              <w:pStyle w:val="TableContents"/>
              <w:bidi w:val="0"/>
              <w:spacing w:before="0" w:after="283"/>
              <w:jc w:val="left"/>
              <w:rPr/>
            </w:pPr>
            <w:r>
              <w:rPr/>
              <w:t>Section 6.02</w:t>
            </w:r>
            <w:r>
              <w:rPr>
                <w:i/>
              </w:rPr>
              <w:t>.  Cash Cover</w:t>
            </w:r>
          </w:p>
        </w:tc>
        <w:tc>
          <w:tcPr>
            <w:tcW w:w="275" w:type="dxa"/>
            <w:tcBorders/>
            <w:vAlign w:val="center"/>
          </w:tcPr>
          <w:p>
            <w:pPr>
              <w:pStyle w:val="TableContents"/>
              <w:bidi w:val="0"/>
              <w:spacing w:before="0" w:after="283"/>
              <w:jc w:val="right"/>
              <w:rPr/>
            </w:pPr>
            <w:r>
              <w:rPr/>
              <w:t>69</w:t>
            </w:r>
          </w:p>
        </w:tc>
      </w:tr>
      <w:tr>
        <w:trPr/>
        <w:tc>
          <w:tcPr>
            <w:tcW w:w="5600" w:type="dxa"/>
            <w:tcBorders/>
            <w:vAlign w:val="center"/>
          </w:tcPr>
          <w:p>
            <w:pPr>
              <w:pStyle w:val="TableContents"/>
              <w:bidi w:val="0"/>
              <w:spacing w:before="0" w:after="283"/>
              <w:jc w:val="left"/>
              <w:rPr/>
            </w:pPr>
            <w:r>
              <w:rPr/>
              <w:t>Section 6.03.  </w:t>
            </w:r>
            <w:r>
              <w:rPr>
                <w:i/>
              </w:rPr>
              <w:t>Application of Payments</w:t>
            </w:r>
          </w:p>
        </w:tc>
        <w:tc>
          <w:tcPr>
            <w:tcW w:w="275" w:type="dxa"/>
            <w:tcBorders/>
            <w:vAlign w:val="center"/>
          </w:tcPr>
          <w:p>
            <w:pPr>
              <w:pStyle w:val="TableContents"/>
              <w:bidi w:val="0"/>
              <w:spacing w:before="0" w:after="283"/>
              <w:jc w:val="right"/>
              <w:rPr/>
            </w:pPr>
            <w:r>
              <w:rPr/>
              <w:t>69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8480"/>
        <w:gridCol w:w="395"/>
      </w:tblGrid>
      <w:tr>
        <w:trPr/>
        <w:tc>
          <w:tcPr>
            <w:tcW w:w="84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br/>
            </w:r>
            <w:r>
              <w:rPr>
                <w:rFonts w:ascii="Times New Roman;Times;Serif" w:hAnsi="Times New Roman;Times;Serif"/>
                <w:b w:val="false"/>
                <w:i w:val="false"/>
                <w:smallCaps/>
                <w:sz w:val="20"/>
              </w:rPr>
              <w:t>The Administrative Agent</w:t>
            </w:r>
          </w:p>
          <w:p>
            <w:pPr>
              <w:pStyle w:val="TableContents"/>
              <w:bidi w:val="0"/>
              <w:spacing w:before="0" w:after="0"/>
              <w:ind w:left="0" w:right="0" w:hanging="0"/>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right"/>
              <w:rPr/>
            </w:pPr>
            <w:r>
              <w:rPr/>
              <w:t> </w:t>
            </w:r>
          </w:p>
        </w:tc>
      </w:tr>
      <w:tr>
        <w:trPr/>
        <w:tc>
          <w:tcPr>
            <w:tcW w:w="8480" w:type="dxa"/>
            <w:tcBorders/>
            <w:vAlign w:val="center"/>
          </w:tcPr>
          <w:p>
            <w:pPr>
              <w:pStyle w:val="TableContents"/>
              <w:bidi w:val="0"/>
              <w:spacing w:before="0" w:after="283"/>
              <w:jc w:val="left"/>
              <w:rPr/>
            </w:pPr>
            <w:r>
              <w:rPr/>
              <w:t>Section 7.01</w:t>
            </w:r>
            <w:r>
              <w:rPr>
                <w:i/>
              </w:rPr>
              <w:t>.  Appointment and Authorization</w:t>
            </w:r>
          </w:p>
        </w:tc>
        <w:tc>
          <w:tcPr>
            <w:tcW w:w="395" w:type="dxa"/>
            <w:tcBorders/>
            <w:vAlign w:val="center"/>
          </w:tcPr>
          <w:p>
            <w:pPr>
              <w:pStyle w:val="TableContents"/>
              <w:bidi w:val="0"/>
              <w:spacing w:before="0" w:after="283"/>
              <w:jc w:val="right"/>
              <w:rPr/>
            </w:pPr>
            <w:r>
              <w:rPr/>
              <w:t>70</w:t>
            </w:r>
          </w:p>
        </w:tc>
      </w:tr>
      <w:tr>
        <w:trPr/>
        <w:tc>
          <w:tcPr>
            <w:tcW w:w="8480" w:type="dxa"/>
            <w:tcBorders/>
            <w:vAlign w:val="center"/>
          </w:tcPr>
          <w:p>
            <w:pPr>
              <w:pStyle w:val="TableContents"/>
              <w:bidi w:val="0"/>
              <w:spacing w:before="0" w:after="283"/>
              <w:jc w:val="left"/>
              <w:rPr/>
            </w:pPr>
            <w:r>
              <w:rPr/>
              <w:t>Section 7.02</w:t>
            </w:r>
            <w:r>
              <w:rPr>
                <w:i/>
              </w:rPr>
              <w:t>.  Administrative Agent and Affiliates</w:t>
            </w:r>
          </w:p>
        </w:tc>
        <w:tc>
          <w:tcPr>
            <w:tcW w:w="395" w:type="dxa"/>
            <w:tcBorders/>
            <w:vAlign w:val="center"/>
          </w:tcPr>
          <w:p>
            <w:pPr>
              <w:pStyle w:val="TableContents"/>
              <w:bidi w:val="0"/>
              <w:spacing w:before="0" w:after="283"/>
              <w:jc w:val="right"/>
              <w:rPr/>
            </w:pPr>
            <w:r>
              <w:rPr/>
              <w:t>74</w:t>
            </w:r>
          </w:p>
        </w:tc>
      </w:tr>
      <w:tr>
        <w:trPr/>
        <w:tc>
          <w:tcPr>
            <w:tcW w:w="8480" w:type="dxa"/>
            <w:tcBorders/>
            <w:vAlign w:val="center"/>
          </w:tcPr>
          <w:p>
            <w:pPr>
              <w:pStyle w:val="TableContents"/>
              <w:bidi w:val="0"/>
              <w:spacing w:before="0" w:after="283"/>
              <w:jc w:val="left"/>
              <w:rPr/>
            </w:pPr>
            <w:r>
              <w:rPr/>
              <w:t>Section 7.03</w:t>
            </w:r>
            <w:r>
              <w:rPr>
                <w:i/>
              </w:rPr>
              <w:t>.  Action by Administrative Agent</w:t>
            </w:r>
          </w:p>
        </w:tc>
        <w:tc>
          <w:tcPr>
            <w:tcW w:w="395" w:type="dxa"/>
            <w:tcBorders/>
            <w:vAlign w:val="center"/>
          </w:tcPr>
          <w:p>
            <w:pPr>
              <w:pStyle w:val="TableContents"/>
              <w:bidi w:val="0"/>
              <w:spacing w:before="0" w:after="283"/>
              <w:jc w:val="right"/>
              <w:rPr/>
            </w:pPr>
            <w:r>
              <w:rPr/>
              <w:t>74</w:t>
            </w:r>
          </w:p>
        </w:tc>
      </w:tr>
      <w:tr>
        <w:trPr/>
        <w:tc>
          <w:tcPr>
            <w:tcW w:w="8480" w:type="dxa"/>
            <w:tcBorders/>
            <w:vAlign w:val="center"/>
          </w:tcPr>
          <w:p>
            <w:pPr>
              <w:pStyle w:val="TableContents"/>
              <w:bidi w:val="0"/>
              <w:spacing w:before="0" w:after="283"/>
              <w:jc w:val="left"/>
              <w:rPr/>
            </w:pPr>
            <w:r>
              <w:rPr/>
              <w:t>Section 7.04</w:t>
            </w:r>
            <w:r>
              <w:rPr>
                <w:i/>
              </w:rPr>
              <w:t>.  Consultation with Experts</w:t>
            </w:r>
          </w:p>
        </w:tc>
        <w:tc>
          <w:tcPr>
            <w:tcW w:w="395" w:type="dxa"/>
            <w:tcBorders/>
            <w:vAlign w:val="center"/>
          </w:tcPr>
          <w:p>
            <w:pPr>
              <w:pStyle w:val="TableContents"/>
              <w:bidi w:val="0"/>
              <w:spacing w:before="0" w:after="283"/>
              <w:jc w:val="right"/>
              <w:rPr/>
            </w:pPr>
            <w:r>
              <w:rPr/>
              <w:t>74</w:t>
            </w:r>
          </w:p>
        </w:tc>
      </w:tr>
      <w:tr>
        <w:trPr/>
        <w:tc>
          <w:tcPr>
            <w:tcW w:w="8480" w:type="dxa"/>
            <w:tcBorders/>
            <w:vAlign w:val="center"/>
          </w:tcPr>
          <w:p>
            <w:pPr>
              <w:pStyle w:val="TableContents"/>
              <w:bidi w:val="0"/>
              <w:spacing w:before="0" w:after="283"/>
              <w:jc w:val="left"/>
              <w:rPr/>
            </w:pPr>
            <w:r>
              <w:rPr/>
              <w:t>Section 7.05.  </w:t>
            </w:r>
            <w:r>
              <w:rPr>
                <w:i/>
              </w:rPr>
              <w:t>Administrative Agent’s Reliance; Limitation of Liability</w:t>
            </w:r>
          </w:p>
        </w:tc>
        <w:tc>
          <w:tcPr>
            <w:tcW w:w="395" w:type="dxa"/>
            <w:tcBorders/>
            <w:vAlign w:val="center"/>
          </w:tcPr>
          <w:p>
            <w:pPr>
              <w:pStyle w:val="TableContents"/>
              <w:bidi w:val="0"/>
              <w:spacing w:before="0" w:after="283"/>
              <w:jc w:val="right"/>
              <w:rPr/>
            </w:pPr>
            <w:r>
              <w:rPr/>
              <w:t>74</w:t>
            </w:r>
          </w:p>
        </w:tc>
      </w:tr>
      <w:tr>
        <w:trPr/>
        <w:tc>
          <w:tcPr>
            <w:tcW w:w="8480" w:type="dxa"/>
            <w:tcBorders/>
            <w:vAlign w:val="center"/>
          </w:tcPr>
          <w:p>
            <w:pPr>
              <w:pStyle w:val="TableContents"/>
              <w:bidi w:val="0"/>
              <w:spacing w:before="0" w:after="283"/>
              <w:jc w:val="left"/>
              <w:rPr/>
            </w:pPr>
            <w:r>
              <w:rPr/>
              <w:t>Section 7.06</w:t>
            </w:r>
            <w:r>
              <w:rPr>
                <w:i/>
              </w:rPr>
              <w:t>. Posting of Communications</w:t>
            </w:r>
          </w:p>
        </w:tc>
        <w:tc>
          <w:tcPr>
            <w:tcW w:w="395" w:type="dxa"/>
            <w:tcBorders/>
            <w:vAlign w:val="center"/>
          </w:tcPr>
          <w:p>
            <w:pPr>
              <w:pStyle w:val="TableContents"/>
              <w:bidi w:val="0"/>
              <w:spacing w:before="0" w:after="283"/>
              <w:jc w:val="right"/>
              <w:rPr/>
            </w:pPr>
            <w:r>
              <w:rPr/>
              <w:t>76</w:t>
            </w:r>
          </w:p>
        </w:tc>
      </w:tr>
      <w:tr>
        <w:trPr/>
        <w:tc>
          <w:tcPr>
            <w:tcW w:w="8480" w:type="dxa"/>
            <w:tcBorders/>
            <w:vAlign w:val="center"/>
          </w:tcPr>
          <w:p>
            <w:pPr>
              <w:pStyle w:val="TableContents"/>
              <w:bidi w:val="0"/>
              <w:spacing w:before="0" w:after="283"/>
              <w:jc w:val="left"/>
              <w:rPr/>
            </w:pPr>
            <w:r>
              <w:rPr/>
              <w:t>Section 7.07</w:t>
            </w:r>
            <w:r>
              <w:rPr>
                <w:i/>
              </w:rPr>
              <w:t>.  Acknowledgments of Lenders and Issuing Lenders</w:t>
            </w:r>
          </w:p>
        </w:tc>
        <w:tc>
          <w:tcPr>
            <w:tcW w:w="395" w:type="dxa"/>
            <w:tcBorders/>
            <w:vAlign w:val="center"/>
          </w:tcPr>
          <w:p>
            <w:pPr>
              <w:pStyle w:val="TableContents"/>
              <w:bidi w:val="0"/>
              <w:spacing w:before="0" w:after="283"/>
              <w:jc w:val="right"/>
              <w:rPr/>
            </w:pPr>
            <w:r>
              <w:rPr/>
              <w:t>78</w:t>
            </w:r>
          </w:p>
        </w:tc>
      </w:tr>
      <w:tr>
        <w:trPr/>
        <w:tc>
          <w:tcPr>
            <w:tcW w:w="8480" w:type="dxa"/>
            <w:tcBorders/>
            <w:vAlign w:val="center"/>
          </w:tcPr>
          <w:p>
            <w:pPr>
              <w:pStyle w:val="TableContents"/>
              <w:bidi w:val="0"/>
              <w:spacing w:before="0" w:after="283"/>
              <w:jc w:val="left"/>
              <w:rPr/>
            </w:pPr>
            <w:r>
              <w:rPr/>
              <w:t>Section 7.08</w:t>
            </w:r>
            <w:r>
              <w:rPr>
                <w:i/>
              </w:rPr>
              <w:t>.  Successor Administrative Agents</w:t>
            </w:r>
          </w:p>
        </w:tc>
        <w:tc>
          <w:tcPr>
            <w:tcW w:w="395" w:type="dxa"/>
            <w:tcBorders/>
            <w:vAlign w:val="center"/>
          </w:tcPr>
          <w:p>
            <w:pPr>
              <w:pStyle w:val="TableContents"/>
              <w:bidi w:val="0"/>
              <w:spacing w:before="0" w:after="283"/>
              <w:jc w:val="right"/>
              <w:rPr/>
            </w:pPr>
            <w:r>
              <w:rPr/>
              <w:t>80</w:t>
            </w:r>
          </w:p>
        </w:tc>
      </w:tr>
      <w:tr>
        <w:trPr/>
        <w:tc>
          <w:tcPr>
            <w:tcW w:w="8480" w:type="dxa"/>
            <w:tcBorders/>
            <w:vAlign w:val="center"/>
          </w:tcPr>
          <w:p>
            <w:pPr>
              <w:pStyle w:val="TableContents"/>
              <w:bidi w:val="0"/>
              <w:spacing w:before="0" w:after="283"/>
              <w:jc w:val="left"/>
              <w:rPr/>
            </w:pPr>
            <w:r>
              <w:rPr/>
              <w:t>Section 7.09</w:t>
            </w:r>
            <w:r>
              <w:rPr>
                <w:i/>
              </w:rPr>
              <w:t>.  Administrative Agent’s Fees</w:t>
            </w:r>
          </w:p>
        </w:tc>
        <w:tc>
          <w:tcPr>
            <w:tcW w:w="395" w:type="dxa"/>
            <w:tcBorders/>
            <w:vAlign w:val="center"/>
          </w:tcPr>
          <w:p>
            <w:pPr>
              <w:pStyle w:val="TableContents"/>
              <w:bidi w:val="0"/>
              <w:spacing w:before="0" w:after="283"/>
              <w:jc w:val="right"/>
              <w:rPr/>
            </w:pPr>
            <w:r>
              <w:rPr/>
              <w:t>81</w:t>
            </w:r>
          </w:p>
        </w:tc>
      </w:tr>
      <w:tr>
        <w:trPr/>
        <w:tc>
          <w:tcPr>
            <w:tcW w:w="8480" w:type="dxa"/>
            <w:tcBorders/>
            <w:vAlign w:val="center"/>
          </w:tcPr>
          <w:p>
            <w:pPr>
              <w:pStyle w:val="TableContents"/>
              <w:bidi w:val="0"/>
              <w:spacing w:before="0" w:after="283"/>
              <w:jc w:val="left"/>
              <w:rPr/>
            </w:pPr>
            <w:r>
              <w:rPr/>
              <w:t>Section 7.10</w:t>
            </w:r>
            <w:r>
              <w:rPr>
                <w:i/>
              </w:rPr>
              <w:t>.  Other Agents</w:t>
            </w:r>
          </w:p>
        </w:tc>
        <w:tc>
          <w:tcPr>
            <w:tcW w:w="395" w:type="dxa"/>
            <w:tcBorders/>
            <w:vAlign w:val="center"/>
          </w:tcPr>
          <w:p>
            <w:pPr>
              <w:pStyle w:val="TableContents"/>
              <w:bidi w:val="0"/>
              <w:spacing w:before="0" w:after="283"/>
              <w:jc w:val="right"/>
              <w:rPr/>
            </w:pPr>
            <w:r>
              <w:rPr/>
              <w:t>81</w:t>
            </w:r>
          </w:p>
        </w:tc>
      </w:tr>
      <w:tr>
        <w:trPr/>
        <w:tc>
          <w:tcPr>
            <w:tcW w:w="8480" w:type="dxa"/>
            <w:tcBorders/>
            <w:vAlign w:val="center"/>
          </w:tcPr>
          <w:p>
            <w:pPr>
              <w:pStyle w:val="TableContents"/>
              <w:bidi w:val="0"/>
              <w:spacing w:before="0" w:after="283"/>
              <w:jc w:val="left"/>
              <w:rPr/>
            </w:pPr>
            <w:r>
              <w:rPr/>
              <w:t>Section 7.11</w:t>
            </w:r>
            <w:r>
              <w:rPr>
                <w:i/>
              </w:rPr>
              <w:t>.  Certain ERISA Matters.</w:t>
            </w:r>
          </w:p>
        </w:tc>
        <w:tc>
          <w:tcPr>
            <w:tcW w:w="395" w:type="dxa"/>
            <w:tcBorders/>
            <w:vAlign w:val="center"/>
          </w:tcPr>
          <w:p>
            <w:pPr>
              <w:pStyle w:val="TableContents"/>
              <w:bidi w:val="0"/>
              <w:spacing w:before="0" w:after="283"/>
              <w:jc w:val="right"/>
              <w:rPr/>
            </w:pPr>
            <w:r>
              <w:rPr/>
              <w:t>81</w:t>
            </w:r>
          </w:p>
        </w:tc>
      </w:tr>
      <w:tr>
        <w:trPr/>
        <w:tc>
          <w:tcPr>
            <w:tcW w:w="848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84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Change in Circumstances</w:t>
            </w:r>
          </w:p>
        </w:tc>
        <w:tc>
          <w:tcPr>
            <w:tcW w:w="395" w:type="dxa"/>
            <w:tcBorders/>
            <w:vAlign w:val="center"/>
          </w:tcPr>
          <w:p>
            <w:pPr>
              <w:pStyle w:val="TableContents"/>
              <w:bidi w:val="0"/>
              <w:spacing w:before="0" w:after="283"/>
              <w:jc w:val="right"/>
              <w:rPr/>
            </w:pPr>
            <w:r>
              <w:rPr/>
              <w:t> </w:t>
            </w:r>
          </w:p>
        </w:tc>
      </w:tr>
      <w:tr>
        <w:trPr/>
        <w:tc>
          <w:tcPr>
            <w:tcW w:w="8480" w:type="dxa"/>
            <w:tcBorders/>
            <w:vAlign w:val="center"/>
          </w:tcPr>
          <w:p>
            <w:pPr>
              <w:pStyle w:val="TableContents"/>
              <w:bidi w:val="0"/>
              <w:spacing w:before="0" w:after="283"/>
              <w:jc w:val="center"/>
              <w:rPr/>
            </w:pPr>
            <w:r>
              <w:rPr/>
              <w:t> </w:t>
            </w:r>
          </w:p>
        </w:tc>
        <w:tc>
          <w:tcPr>
            <w:tcW w:w="395" w:type="dxa"/>
            <w:tcBorders/>
            <w:vAlign w:val="center"/>
          </w:tcPr>
          <w:p>
            <w:pPr>
              <w:pStyle w:val="TableContents"/>
              <w:bidi w:val="0"/>
              <w:spacing w:before="0" w:after="283"/>
              <w:jc w:val="left"/>
              <w:rPr>
                <w:sz w:val="4"/>
                <w:szCs w:val="4"/>
              </w:rPr>
            </w:pPr>
            <w:r>
              <w:rPr>
                <w:sz w:val="4"/>
                <w:szCs w:val="4"/>
              </w:rPr>
            </w:r>
          </w:p>
        </w:tc>
      </w:tr>
      <w:tr>
        <w:trPr/>
        <w:tc>
          <w:tcPr>
            <w:tcW w:w="8480" w:type="dxa"/>
            <w:tcBorders/>
            <w:vAlign w:val="center"/>
          </w:tcPr>
          <w:p>
            <w:pPr>
              <w:pStyle w:val="TableContents"/>
              <w:bidi w:val="0"/>
              <w:spacing w:before="0" w:after="283"/>
              <w:jc w:val="left"/>
              <w:rPr/>
            </w:pPr>
            <w:r>
              <w:rPr/>
              <w:t>Section 8.01</w:t>
            </w:r>
            <w:r>
              <w:rPr>
                <w:i/>
              </w:rPr>
              <w:t>.  Increased Cost and Reduced Return; Capital Adequacy</w:t>
            </w:r>
          </w:p>
        </w:tc>
        <w:tc>
          <w:tcPr>
            <w:tcW w:w="395" w:type="dxa"/>
            <w:tcBorders/>
            <w:vAlign w:val="center"/>
          </w:tcPr>
          <w:p>
            <w:pPr>
              <w:pStyle w:val="TableContents"/>
              <w:bidi w:val="0"/>
              <w:spacing w:before="0" w:after="283"/>
              <w:jc w:val="right"/>
              <w:rPr/>
            </w:pPr>
            <w:r>
              <w:rPr/>
              <w:t>83</w:t>
            </w:r>
          </w:p>
        </w:tc>
      </w:tr>
      <w:tr>
        <w:trPr/>
        <w:tc>
          <w:tcPr>
            <w:tcW w:w="8480" w:type="dxa"/>
            <w:tcBorders/>
            <w:vAlign w:val="center"/>
          </w:tcPr>
          <w:p>
            <w:pPr>
              <w:pStyle w:val="TableContents"/>
              <w:bidi w:val="0"/>
              <w:spacing w:before="0" w:after="283"/>
              <w:jc w:val="left"/>
              <w:rPr/>
            </w:pPr>
            <w:r>
              <w:rPr/>
              <w:t xml:space="preserve">Section 8.02. </w:t>
            </w:r>
            <w:r>
              <w:rPr>
                <w:i/>
              </w:rPr>
              <w:t>Alternate Rate of Interest</w:t>
            </w:r>
          </w:p>
        </w:tc>
        <w:tc>
          <w:tcPr>
            <w:tcW w:w="395" w:type="dxa"/>
            <w:tcBorders/>
            <w:vAlign w:val="center"/>
          </w:tcPr>
          <w:p>
            <w:pPr>
              <w:pStyle w:val="TableContents"/>
              <w:bidi w:val="0"/>
              <w:spacing w:before="0" w:after="283"/>
              <w:jc w:val="right"/>
              <w:rPr/>
            </w:pPr>
            <w:r>
              <w:rPr/>
              <w:t>84</w:t>
            </w:r>
          </w:p>
        </w:tc>
      </w:tr>
      <w:tr>
        <w:trPr/>
        <w:tc>
          <w:tcPr>
            <w:tcW w:w="8480" w:type="dxa"/>
            <w:tcBorders/>
            <w:vAlign w:val="center"/>
          </w:tcPr>
          <w:p>
            <w:pPr>
              <w:pStyle w:val="TableContents"/>
              <w:bidi w:val="0"/>
              <w:spacing w:before="0" w:after="283"/>
              <w:jc w:val="left"/>
              <w:rPr/>
            </w:pPr>
            <w:r>
              <w:rPr/>
              <w:t>Section 8.03</w:t>
            </w:r>
            <w:r>
              <w:rPr>
                <w:i/>
              </w:rPr>
              <w:t>.  Illegality</w:t>
            </w:r>
          </w:p>
        </w:tc>
        <w:tc>
          <w:tcPr>
            <w:tcW w:w="395" w:type="dxa"/>
            <w:tcBorders/>
            <w:vAlign w:val="center"/>
          </w:tcPr>
          <w:p>
            <w:pPr>
              <w:pStyle w:val="TableContents"/>
              <w:bidi w:val="0"/>
              <w:spacing w:before="0" w:after="283"/>
              <w:jc w:val="right"/>
              <w:rPr/>
            </w:pPr>
            <w:r>
              <w:rPr/>
              <w:t>88</w:t>
            </w:r>
          </w:p>
        </w:tc>
      </w:tr>
      <w:tr>
        <w:trPr/>
        <w:tc>
          <w:tcPr>
            <w:tcW w:w="8480" w:type="dxa"/>
            <w:tcBorders/>
            <w:vAlign w:val="center"/>
          </w:tcPr>
          <w:p>
            <w:pPr>
              <w:pStyle w:val="TableContents"/>
              <w:bidi w:val="0"/>
              <w:spacing w:before="0" w:after="283"/>
              <w:jc w:val="left"/>
              <w:rPr/>
            </w:pPr>
            <w:r>
              <w:rPr/>
              <w:t>Section 8.04</w:t>
            </w:r>
            <w:r>
              <w:rPr>
                <w:i/>
              </w:rPr>
              <w:t>.  Taxes on Payments</w:t>
            </w:r>
          </w:p>
        </w:tc>
        <w:tc>
          <w:tcPr>
            <w:tcW w:w="395" w:type="dxa"/>
            <w:tcBorders/>
            <w:vAlign w:val="center"/>
          </w:tcPr>
          <w:p>
            <w:pPr>
              <w:pStyle w:val="TableContents"/>
              <w:bidi w:val="0"/>
              <w:spacing w:before="0" w:after="283"/>
              <w:jc w:val="right"/>
              <w:rPr/>
            </w:pPr>
            <w:r>
              <w:rPr/>
              <w:t>88</w:t>
            </w:r>
          </w:p>
        </w:tc>
      </w:tr>
      <w:tr>
        <w:trPr/>
        <w:tc>
          <w:tcPr>
            <w:tcW w:w="8480" w:type="dxa"/>
            <w:tcBorders/>
            <w:vAlign w:val="center"/>
          </w:tcPr>
          <w:p>
            <w:pPr>
              <w:pStyle w:val="TableContents"/>
              <w:bidi w:val="0"/>
              <w:spacing w:before="0" w:after="283"/>
              <w:jc w:val="center"/>
              <w:rPr/>
            </w:pPr>
            <w:r>
              <w:rPr/>
              <w:t>Article 9</w:t>
            </w:r>
          </w:p>
        </w:tc>
        <w:tc>
          <w:tcPr>
            <w:tcW w:w="395" w:type="dxa"/>
            <w:tcBorders/>
            <w:vAlign w:val="center"/>
          </w:tcPr>
          <w:p>
            <w:pPr>
              <w:pStyle w:val="TableContents"/>
              <w:bidi w:val="0"/>
              <w:spacing w:before="0" w:after="283"/>
              <w:jc w:val="right"/>
              <w:rPr/>
            </w:pPr>
            <w:r>
              <w:rPr/>
              <w:t> </w:t>
            </w:r>
          </w:p>
        </w:tc>
      </w:tr>
      <w:tr>
        <w:trPr/>
        <w:tc>
          <w:tcPr>
            <w:tcW w:w="8480" w:type="dxa"/>
            <w:tcBorders/>
            <w:vAlign w:val="center"/>
          </w:tcPr>
          <w:p>
            <w:pPr>
              <w:pStyle w:val="TableContents"/>
              <w:bidi w:val="0"/>
              <w:jc w:val="center"/>
              <w:rPr>
                <w:smallCaps/>
              </w:rPr>
            </w:pPr>
            <w:r>
              <w:rPr>
                <w:smallCaps/>
              </w:rPr>
              <w:t>Miscellaneous</w:t>
            </w:r>
          </w:p>
          <w:p>
            <w:pPr>
              <w:pStyle w:val="TableContents"/>
              <w:bidi w:val="0"/>
              <w:spacing w:before="0" w:after="283"/>
              <w:jc w:val="center"/>
              <w:rPr>
                <w:smallCaps/>
              </w:rPr>
            </w:pPr>
            <w:r>
              <w:rPr>
                <w:smallCaps/>
              </w:rPr>
              <w:t> </w:t>
            </w:r>
          </w:p>
        </w:tc>
        <w:tc>
          <w:tcPr>
            <w:tcW w:w="395" w:type="dxa"/>
            <w:tcBorders/>
            <w:vAlign w:val="center"/>
          </w:tcPr>
          <w:p>
            <w:pPr>
              <w:pStyle w:val="TableContents"/>
              <w:bidi w:val="0"/>
              <w:spacing w:before="0" w:after="283"/>
              <w:jc w:val="right"/>
              <w:rPr/>
            </w:pPr>
            <w:r>
              <w:rPr/>
              <w:t> </w:t>
            </w:r>
          </w:p>
        </w:tc>
      </w:tr>
      <w:tr>
        <w:trPr/>
        <w:tc>
          <w:tcPr>
            <w:tcW w:w="8480" w:type="dxa"/>
            <w:tcBorders/>
            <w:vAlign w:val="center"/>
          </w:tcPr>
          <w:p>
            <w:pPr>
              <w:pStyle w:val="TableContents"/>
              <w:bidi w:val="0"/>
              <w:spacing w:before="0" w:after="283"/>
              <w:jc w:val="left"/>
              <w:rPr/>
            </w:pPr>
            <w:r>
              <w:rPr/>
              <w:t>Section 9.01</w:t>
            </w:r>
            <w:r>
              <w:rPr>
                <w:i/>
              </w:rPr>
              <w:t>.  Termination of Participation of a Lender; New Lenders</w:t>
            </w:r>
          </w:p>
        </w:tc>
        <w:tc>
          <w:tcPr>
            <w:tcW w:w="395" w:type="dxa"/>
            <w:tcBorders/>
            <w:vAlign w:val="center"/>
          </w:tcPr>
          <w:p>
            <w:pPr>
              <w:pStyle w:val="TableContents"/>
              <w:bidi w:val="0"/>
              <w:spacing w:before="0" w:after="283"/>
              <w:jc w:val="right"/>
              <w:rPr/>
            </w:pPr>
            <w:r>
              <w:rPr/>
              <w:t>93</w:t>
            </w:r>
          </w:p>
        </w:tc>
      </w:tr>
      <w:tr>
        <w:trPr/>
        <w:tc>
          <w:tcPr>
            <w:tcW w:w="8480" w:type="dxa"/>
            <w:tcBorders/>
            <w:vAlign w:val="center"/>
          </w:tcPr>
          <w:p>
            <w:pPr>
              <w:pStyle w:val="TableContents"/>
              <w:bidi w:val="0"/>
              <w:spacing w:before="0" w:after="283"/>
              <w:jc w:val="left"/>
              <w:rPr/>
            </w:pPr>
            <w:r>
              <w:rPr/>
              <w:t>Section 9.02</w:t>
            </w:r>
            <w:r>
              <w:rPr>
                <w:i/>
              </w:rPr>
              <w:t>.  Notices</w:t>
            </w:r>
          </w:p>
        </w:tc>
        <w:tc>
          <w:tcPr>
            <w:tcW w:w="395" w:type="dxa"/>
            <w:tcBorders/>
            <w:vAlign w:val="center"/>
          </w:tcPr>
          <w:p>
            <w:pPr>
              <w:pStyle w:val="TableContents"/>
              <w:bidi w:val="0"/>
              <w:spacing w:before="0" w:after="283"/>
              <w:jc w:val="right"/>
              <w:rPr/>
            </w:pPr>
            <w:r>
              <w:rPr/>
              <w:t>94</w:t>
            </w:r>
          </w:p>
        </w:tc>
      </w:tr>
      <w:tr>
        <w:trPr/>
        <w:tc>
          <w:tcPr>
            <w:tcW w:w="8480" w:type="dxa"/>
            <w:tcBorders/>
            <w:vAlign w:val="center"/>
          </w:tcPr>
          <w:p>
            <w:pPr>
              <w:pStyle w:val="TableContents"/>
              <w:bidi w:val="0"/>
              <w:spacing w:before="0" w:after="283"/>
              <w:jc w:val="left"/>
              <w:rPr/>
            </w:pPr>
            <w:r>
              <w:rPr/>
              <w:t>Section 9.03</w:t>
            </w:r>
            <w:r>
              <w:rPr>
                <w:i/>
              </w:rPr>
              <w:t>.  No Waivers</w:t>
            </w:r>
          </w:p>
        </w:tc>
        <w:tc>
          <w:tcPr>
            <w:tcW w:w="395" w:type="dxa"/>
            <w:tcBorders/>
            <w:vAlign w:val="center"/>
          </w:tcPr>
          <w:p>
            <w:pPr>
              <w:pStyle w:val="TableContents"/>
              <w:bidi w:val="0"/>
              <w:spacing w:before="0" w:after="283"/>
              <w:jc w:val="right"/>
              <w:rPr/>
            </w:pPr>
            <w:r>
              <w:rPr/>
              <w:t>95</w:t>
            </w:r>
          </w:p>
        </w:tc>
      </w:tr>
      <w:tr>
        <w:trPr/>
        <w:tc>
          <w:tcPr>
            <w:tcW w:w="8480" w:type="dxa"/>
            <w:tcBorders/>
            <w:vAlign w:val="center"/>
          </w:tcPr>
          <w:p>
            <w:pPr>
              <w:pStyle w:val="TableContents"/>
              <w:bidi w:val="0"/>
              <w:spacing w:before="0" w:after="283"/>
              <w:jc w:val="left"/>
              <w:rPr/>
            </w:pPr>
            <w:r>
              <w:rPr/>
              <w:t>Section 9.04</w:t>
            </w:r>
            <w:r>
              <w:rPr>
                <w:i/>
              </w:rPr>
              <w:t>.  Expenses; Indemnification; Limitation of Liability</w:t>
            </w:r>
          </w:p>
        </w:tc>
        <w:tc>
          <w:tcPr>
            <w:tcW w:w="395" w:type="dxa"/>
            <w:tcBorders/>
            <w:vAlign w:val="center"/>
          </w:tcPr>
          <w:p>
            <w:pPr>
              <w:pStyle w:val="TableContents"/>
              <w:bidi w:val="0"/>
              <w:spacing w:before="0" w:after="283"/>
              <w:jc w:val="right"/>
              <w:rPr/>
            </w:pPr>
            <w:r>
              <w:rPr/>
              <w:t>95</w:t>
            </w:r>
          </w:p>
        </w:tc>
      </w:tr>
      <w:tr>
        <w:trPr/>
        <w:tc>
          <w:tcPr>
            <w:tcW w:w="8480" w:type="dxa"/>
            <w:tcBorders/>
            <w:vAlign w:val="center"/>
          </w:tcPr>
          <w:p>
            <w:pPr>
              <w:pStyle w:val="TableContents"/>
              <w:bidi w:val="0"/>
              <w:spacing w:before="0" w:after="283"/>
              <w:jc w:val="left"/>
              <w:rPr/>
            </w:pPr>
            <w:r>
              <w:rPr/>
              <w:t>Section 9.05</w:t>
            </w:r>
            <w:r>
              <w:rPr>
                <w:i/>
              </w:rPr>
              <w:t>.  Pro Rata Treatment</w:t>
            </w:r>
          </w:p>
        </w:tc>
        <w:tc>
          <w:tcPr>
            <w:tcW w:w="395" w:type="dxa"/>
            <w:tcBorders/>
            <w:vAlign w:val="center"/>
          </w:tcPr>
          <w:p>
            <w:pPr>
              <w:pStyle w:val="TableContents"/>
              <w:bidi w:val="0"/>
              <w:spacing w:before="0" w:after="283"/>
              <w:jc w:val="right"/>
              <w:rPr/>
            </w:pPr>
            <w:r>
              <w:rPr/>
              <w:t>97</w:t>
            </w:r>
          </w:p>
        </w:tc>
      </w:tr>
      <w:tr>
        <w:trPr/>
        <w:tc>
          <w:tcPr>
            <w:tcW w:w="8480" w:type="dxa"/>
            <w:tcBorders/>
            <w:vAlign w:val="center"/>
          </w:tcPr>
          <w:p>
            <w:pPr>
              <w:pStyle w:val="TableContents"/>
              <w:bidi w:val="0"/>
              <w:spacing w:before="0" w:after="283"/>
              <w:jc w:val="left"/>
              <w:rPr/>
            </w:pPr>
            <w:r>
              <w:rPr/>
              <w:t>Section 9.06</w:t>
            </w:r>
            <w:r>
              <w:rPr>
                <w:i/>
              </w:rPr>
              <w:t>.  Sharing of Set-offs</w:t>
            </w:r>
          </w:p>
        </w:tc>
        <w:tc>
          <w:tcPr>
            <w:tcW w:w="395" w:type="dxa"/>
            <w:tcBorders/>
            <w:vAlign w:val="center"/>
          </w:tcPr>
          <w:p>
            <w:pPr>
              <w:pStyle w:val="TableContents"/>
              <w:bidi w:val="0"/>
              <w:spacing w:before="0" w:after="283"/>
              <w:jc w:val="right"/>
              <w:rPr/>
            </w:pPr>
            <w:r>
              <w:rPr/>
              <w:t>98</w:t>
            </w:r>
          </w:p>
        </w:tc>
      </w:tr>
      <w:tr>
        <w:trPr/>
        <w:tc>
          <w:tcPr>
            <w:tcW w:w="8480" w:type="dxa"/>
            <w:tcBorders/>
            <w:vAlign w:val="center"/>
          </w:tcPr>
          <w:p>
            <w:pPr>
              <w:pStyle w:val="TableContents"/>
              <w:bidi w:val="0"/>
              <w:spacing w:before="0" w:after="283"/>
              <w:jc w:val="left"/>
              <w:rPr/>
            </w:pPr>
            <w:r>
              <w:rPr/>
              <w:t>Section 9.07</w:t>
            </w:r>
            <w:r>
              <w:rPr>
                <w:i/>
              </w:rPr>
              <w:t>.  Amendments and Waivers</w:t>
            </w:r>
          </w:p>
        </w:tc>
        <w:tc>
          <w:tcPr>
            <w:tcW w:w="395" w:type="dxa"/>
            <w:tcBorders/>
            <w:vAlign w:val="center"/>
          </w:tcPr>
          <w:p>
            <w:pPr>
              <w:pStyle w:val="TableContents"/>
              <w:bidi w:val="0"/>
              <w:spacing w:before="0" w:after="283"/>
              <w:jc w:val="right"/>
              <w:rPr/>
            </w:pPr>
            <w:r>
              <w:rPr/>
              <w:t>98</w:t>
            </w:r>
          </w:p>
        </w:tc>
      </w:tr>
      <w:tr>
        <w:trPr/>
        <w:tc>
          <w:tcPr>
            <w:tcW w:w="8480" w:type="dxa"/>
            <w:tcBorders/>
            <w:vAlign w:val="center"/>
          </w:tcPr>
          <w:p>
            <w:pPr>
              <w:pStyle w:val="TableContents"/>
              <w:bidi w:val="0"/>
              <w:spacing w:before="0" w:after="283"/>
              <w:jc w:val="left"/>
              <w:rPr/>
            </w:pPr>
            <w:r>
              <w:rPr/>
              <w:t>Section 9.08</w:t>
            </w:r>
            <w:r>
              <w:rPr>
                <w:i/>
              </w:rPr>
              <w:t>.  Successors and Assigns; Participations; Novation</w:t>
            </w:r>
          </w:p>
        </w:tc>
        <w:tc>
          <w:tcPr>
            <w:tcW w:w="395" w:type="dxa"/>
            <w:tcBorders/>
            <w:vAlign w:val="center"/>
          </w:tcPr>
          <w:p>
            <w:pPr>
              <w:pStyle w:val="TableContents"/>
              <w:bidi w:val="0"/>
              <w:spacing w:before="0" w:after="283"/>
              <w:jc w:val="right"/>
              <w:rPr/>
            </w:pPr>
            <w:r>
              <w:rPr/>
              <w:t>100</w:t>
            </w:r>
          </w:p>
        </w:tc>
      </w:tr>
      <w:tr>
        <w:trPr/>
        <w:tc>
          <w:tcPr>
            <w:tcW w:w="8480" w:type="dxa"/>
            <w:tcBorders/>
            <w:vAlign w:val="center"/>
          </w:tcPr>
          <w:p>
            <w:pPr>
              <w:pStyle w:val="TableContents"/>
              <w:bidi w:val="0"/>
              <w:spacing w:before="0" w:after="283"/>
              <w:jc w:val="left"/>
              <w:rPr/>
            </w:pPr>
            <w:r>
              <w:rPr/>
              <w:t>Section 9.09</w:t>
            </w:r>
            <w:r>
              <w:rPr>
                <w:i/>
              </w:rPr>
              <w:t>.  Visitation</w:t>
            </w:r>
          </w:p>
        </w:tc>
        <w:tc>
          <w:tcPr>
            <w:tcW w:w="395" w:type="dxa"/>
            <w:tcBorders/>
            <w:vAlign w:val="center"/>
          </w:tcPr>
          <w:p>
            <w:pPr>
              <w:pStyle w:val="TableContents"/>
              <w:bidi w:val="0"/>
              <w:spacing w:before="0" w:after="283"/>
              <w:jc w:val="right"/>
              <w:rPr/>
            </w:pPr>
            <w:r>
              <w:rPr/>
              <w:t>103</w:t>
            </w:r>
          </w:p>
        </w:tc>
      </w:tr>
      <w:tr>
        <w:trPr/>
        <w:tc>
          <w:tcPr>
            <w:tcW w:w="8480" w:type="dxa"/>
            <w:tcBorders/>
            <w:vAlign w:val="center"/>
          </w:tcPr>
          <w:p>
            <w:pPr>
              <w:pStyle w:val="TableContents"/>
              <w:bidi w:val="0"/>
              <w:spacing w:before="0" w:after="283"/>
              <w:jc w:val="left"/>
              <w:rPr/>
            </w:pPr>
            <w:r>
              <w:rPr/>
              <w:t>Section 9.10</w:t>
            </w:r>
            <w:r>
              <w:rPr>
                <w:i/>
              </w:rPr>
              <w:t>.  Collateral</w:t>
            </w:r>
          </w:p>
        </w:tc>
        <w:tc>
          <w:tcPr>
            <w:tcW w:w="395" w:type="dxa"/>
            <w:tcBorders/>
            <w:vAlign w:val="center"/>
          </w:tcPr>
          <w:p>
            <w:pPr>
              <w:pStyle w:val="TableContents"/>
              <w:bidi w:val="0"/>
              <w:spacing w:before="0" w:after="283"/>
              <w:jc w:val="right"/>
              <w:rPr/>
            </w:pPr>
            <w:r>
              <w:rPr/>
              <w:t>103</w:t>
            </w:r>
          </w:p>
        </w:tc>
      </w:tr>
      <w:tr>
        <w:trPr/>
        <w:tc>
          <w:tcPr>
            <w:tcW w:w="8480" w:type="dxa"/>
            <w:tcBorders/>
            <w:vAlign w:val="center"/>
          </w:tcPr>
          <w:p>
            <w:pPr>
              <w:pStyle w:val="TableContents"/>
              <w:bidi w:val="0"/>
              <w:spacing w:before="0" w:after="283"/>
              <w:jc w:val="left"/>
              <w:rPr/>
            </w:pPr>
            <w:r>
              <w:rPr/>
              <w:t>Section 9.11</w:t>
            </w:r>
            <w:r>
              <w:rPr>
                <w:i/>
              </w:rPr>
              <w:t>.  </w:t>
            </w:r>
            <w:r>
              <w:rPr/>
              <w:t>[</w:t>
            </w:r>
            <w:r>
              <w:rPr>
                <w:i/>
              </w:rPr>
              <w:t>Reserved</w:t>
            </w:r>
            <w:r>
              <w:rPr/>
              <w:t>]</w:t>
            </w:r>
          </w:p>
        </w:tc>
        <w:tc>
          <w:tcPr>
            <w:tcW w:w="395" w:type="dxa"/>
            <w:tcBorders/>
            <w:vAlign w:val="center"/>
          </w:tcPr>
          <w:p>
            <w:pPr>
              <w:pStyle w:val="TableContents"/>
              <w:bidi w:val="0"/>
              <w:spacing w:before="0" w:after="283"/>
              <w:jc w:val="right"/>
              <w:rPr/>
            </w:pPr>
            <w:r>
              <w:rPr/>
              <w:t>104</w:t>
            </w:r>
          </w:p>
        </w:tc>
      </w:tr>
      <w:tr>
        <w:trPr/>
        <w:tc>
          <w:tcPr>
            <w:tcW w:w="8480" w:type="dxa"/>
            <w:tcBorders/>
            <w:vAlign w:val="center"/>
          </w:tcPr>
          <w:p>
            <w:pPr>
              <w:pStyle w:val="TableContents"/>
              <w:bidi w:val="0"/>
              <w:spacing w:before="0" w:after="283"/>
              <w:jc w:val="left"/>
              <w:rPr/>
            </w:pPr>
            <w:r>
              <w:rPr/>
              <w:t>Section 9.12</w:t>
            </w:r>
            <w:r>
              <w:rPr>
                <w:i/>
              </w:rPr>
              <w:t>.  Governing Law; Submission to Jurisdiction</w:t>
            </w:r>
          </w:p>
        </w:tc>
        <w:tc>
          <w:tcPr>
            <w:tcW w:w="395" w:type="dxa"/>
            <w:tcBorders/>
            <w:vAlign w:val="center"/>
          </w:tcPr>
          <w:p>
            <w:pPr>
              <w:pStyle w:val="TableContents"/>
              <w:bidi w:val="0"/>
              <w:spacing w:before="0" w:after="283"/>
              <w:jc w:val="right"/>
              <w:rPr/>
            </w:pPr>
            <w:r>
              <w:rPr/>
              <w:t>104</w:t>
            </w:r>
          </w:p>
        </w:tc>
      </w:tr>
      <w:tr>
        <w:trPr/>
        <w:tc>
          <w:tcPr>
            <w:tcW w:w="8480" w:type="dxa"/>
            <w:tcBorders/>
            <w:vAlign w:val="center"/>
          </w:tcPr>
          <w:p>
            <w:pPr>
              <w:pStyle w:val="TableContents"/>
              <w:bidi w:val="0"/>
              <w:spacing w:before="0" w:after="283"/>
              <w:jc w:val="left"/>
              <w:rPr/>
            </w:pPr>
            <w:r>
              <w:rPr/>
              <w:t>Section 9.13</w:t>
            </w:r>
            <w:r>
              <w:rPr>
                <w:i/>
              </w:rPr>
              <w:t>.  Counterparts; Integration, Effectiveness, Electronic Execution.</w:t>
            </w:r>
          </w:p>
        </w:tc>
        <w:tc>
          <w:tcPr>
            <w:tcW w:w="395" w:type="dxa"/>
            <w:tcBorders/>
            <w:vAlign w:val="center"/>
          </w:tcPr>
          <w:p>
            <w:pPr>
              <w:pStyle w:val="TableContents"/>
              <w:bidi w:val="0"/>
              <w:spacing w:before="0" w:after="283"/>
              <w:jc w:val="right"/>
              <w:rPr/>
            </w:pPr>
            <w:r>
              <w:rPr/>
              <w:t>104</w:t>
            </w:r>
          </w:p>
        </w:tc>
      </w:tr>
      <w:tr>
        <w:trPr/>
        <w:tc>
          <w:tcPr>
            <w:tcW w:w="8480" w:type="dxa"/>
            <w:tcBorders/>
            <w:vAlign w:val="center"/>
          </w:tcPr>
          <w:p>
            <w:pPr>
              <w:pStyle w:val="TableContents"/>
              <w:bidi w:val="0"/>
              <w:spacing w:before="0" w:after="283"/>
              <w:jc w:val="left"/>
              <w:rPr/>
            </w:pPr>
            <w:r>
              <w:rPr/>
              <w:t>Section 9.14</w:t>
            </w:r>
            <w:r>
              <w:rPr>
                <w:b/>
                <w:i/>
              </w:rPr>
              <w:t>.  WAIVER OF JURY TRIAL</w:t>
            </w:r>
          </w:p>
        </w:tc>
        <w:tc>
          <w:tcPr>
            <w:tcW w:w="395" w:type="dxa"/>
            <w:tcBorders/>
            <w:vAlign w:val="center"/>
          </w:tcPr>
          <w:p>
            <w:pPr>
              <w:pStyle w:val="TableContents"/>
              <w:bidi w:val="0"/>
              <w:spacing w:before="0" w:after="283"/>
              <w:jc w:val="right"/>
              <w:rPr/>
            </w:pPr>
            <w:r>
              <w:rPr/>
              <w:t>105</w:t>
            </w:r>
          </w:p>
        </w:tc>
      </w:tr>
      <w:tr>
        <w:trPr/>
        <w:tc>
          <w:tcPr>
            <w:tcW w:w="8480" w:type="dxa"/>
            <w:tcBorders/>
            <w:vAlign w:val="center"/>
          </w:tcPr>
          <w:p>
            <w:pPr>
              <w:pStyle w:val="TableContents"/>
              <w:bidi w:val="0"/>
              <w:spacing w:before="0" w:after="283"/>
              <w:jc w:val="left"/>
              <w:rPr/>
            </w:pPr>
            <w:r>
              <w:rPr/>
              <w:t>Section 9.15</w:t>
            </w:r>
            <w:r>
              <w:rPr>
                <w:i/>
              </w:rPr>
              <w:t>.  Confidentiality</w:t>
            </w:r>
          </w:p>
        </w:tc>
        <w:tc>
          <w:tcPr>
            <w:tcW w:w="395" w:type="dxa"/>
            <w:tcBorders/>
            <w:vAlign w:val="center"/>
          </w:tcPr>
          <w:p>
            <w:pPr>
              <w:pStyle w:val="TableContents"/>
              <w:bidi w:val="0"/>
              <w:spacing w:before="0" w:after="283"/>
              <w:jc w:val="right"/>
              <w:rPr/>
            </w:pPr>
            <w:r>
              <w:rPr/>
              <w:t>106</w:t>
            </w:r>
          </w:p>
        </w:tc>
      </w:tr>
      <w:tr>
        <w:trPr/>
        <w:tc>
          <w:tcPr>
            <w:tcW w:w="8480" w:type="dxa"/>
            <w:tcBorders/>
            <w:vAlign w:val="center"/>
          </w:tcPr>
          <w:p>
            <w:pPr>
              <w:pStyle w:val="TableContents"/>
              <w:bidi w:val="0"/>
              <w:spacing w:before="0" w:after="283"/>
              <w:jc w:val="left"/>
              <w:rPr/>
            </w:pPr>
            <w:r>
              <w:rPr/>
              <w:t>Section 9.16</w:t>
            </w:r>
            <w:r>
              <w:rPr>
                <w:i/>
              </w:rPr>
              <w:t>.  USA Patriot Act</w:t>
            </w:r>
          </w:p>
        </w:tc>
        <w:tc>
          <w:tcPr>
            <w:tcW w:w="395" w:type="dxa"/>
            <w:tcBorders/>
            <w:vAlign w:val="center"/>
          </w:tcPr>
          <w:p>
            <w:pPr>
              <w:pStyle w:val="TableContents"/>
              <w:bidi w:val="0"/>
              <w:spacing w:before="0" w:after="283"/>
              <w:jc w:val="right"/>
              <w:rPr/>
            </w:pPr>
            <w:r>
              <w:rPr/>
              <w:t>107</w:t>
            </w:r>
          </w:p>
        </w:tc>
      </w:tr>
      <w:tr>
        <w:trPr/>
        <w:tc>
          <w:tcPr>
            <w:tcW w:w="8480" w:type="dxa"/>
            <w:tcBorders/>
            <w:vAlign w:val="center"/>
          </w:tcPr>
          <w:p>
            <w:pPr>
              <w:pStyle w:val="TableContents"/>
              <w:bidi w:val="0"/>
              <w:spacing w:before="0" w:after="283"/>
              <w:jc w:val="left"/>
              <w:rPr/>
            </w:pPr>
            <w:r>
              <w:rPr/>
              <w:t>Section 9.17.  </w:t>
            </w:r>
            <w:r>
              <w:rPr>
                <w:i/>
              </w:rPr>
              <w:t>Acknowledgement and Consent to Bail-in of Affected Financial Institutions</w:t>
            </w:r>
          </w:p>
        </w:tc>
        <w:tc>
          <w:tcPr>
            <w:tcW w:w="395" w:type="dxa"/>
            <w:tcBorders/>
            <w:vAlign w:val="center"/>
          </w:tcPr>
          <w:p>
            <w:pPr>
              <w:pStyle w:val="TableContents"/>
              <w:bidi w:val="0"/>
              <w:spacing w:before="0" w:after="283"/>
              <w:jc w:val="right"/>
              <w:rPr/>
            </w:pPr>
            <w:r>
              <w:rPr/>
              <w:t>107</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260"/>
        <w:gridCol w:w="395"/>
      </w:tblGrid>
      <w:tr>
        <w:trPr/>
        <w:tc>
          <w:tcPr>
            <w:tcW w:w="6260" w:type="dxa"/>
            <w:tcBorders/>
            <w:vAlign w:val="center"/>
          </w:tcPr>
          <w:p>
            <w:pPr>
              <w:pStyle w:val="TableContents"/>
              <w:bidi w:val="0"/>
              <w:spacing w:before="0" w:after="283"/>
              <w:jc w:val="left"/>
              <w:rPr/>
            </w:pPr>
            <w:r>
              <w:rPr/>
              <w:t>Section 9.18.  </w:t>
            </w:r>
            <w:r>
              <w:rPr>
                <w:i/>
              </w:rPr>
              <w:t>Right of Setoff</w:t>
            </w:r>
          </w:p>
        </w:tc>
        <w:tc>
          <w:tcPr>
            <w:tcW w:w="395" w:type="dxa"/>
            <w:tcBorders/>
            <w:vAlign w:val="center"/>
          </w:tcPr>
          <w:p>
            <w:pPr>
              <w:pStyle w:val="TableContents"/>
              <w:bidi w:val="0"/>
              <w:spacing w:before="0" w:after="283"/>
              <w:jc w:val="right"/>
              <w:rPr/>
            </w:pPr>
            <w:r>
              <w:rPr/>
              <w:t>108</w:t>
            </w:r>
          </w:p>
        </w:tc>
      </w:tr>
      <w:tr>
        <w:trPr/>
        <w:tc>
          <w:tcPr>
            <w:tcW w:w="6260" w:type="dxa"/>
            <w:tcBorders/>
            <w:vAlign w:val="center"/>
          </w:tcPr>
          <w:p>
            <w:pPr>
              <w:pStyle w:val="TableContents"/>
              <w:bidi w:val="0"/>
              <w:spacing w:before="0" w:after="283"/>
              <w:jc w:val="left"/>
              <w:rPr/>
            </w:pPr>
            <w:r>
              <w:rPr/>
              <w:t>Section 9.19.  </w:t>
            </w:r>
            <w:r>
              <w:rPr>
                <w:i/>
              </w:rPr>
              <w:t>No Fiduciary Duty</w:t>
            </w:r>
            <w:r>
              <w:rPr/>
              <w:t>.</w:t>
            </w:r>
          </w:p>
        </w:tc>
        <w:tc>
          <w:tcPr>
            <w:tcW w:w="395" w:type="dxa"/>
            <w:tcBorders/>
            <w:vAlign w:val="center"/>
          </w:tcPr>
          <w:p>
            <w:pPr>
              <w:pStyle w:val="TableContents"/>
              <w:bidi w:val="0"/>
              <w:spacing w:before="0" w:after="283"/>
              <w:jc w:val="right"/>
              <w:rPr/>
            </w:pPr>
            <w:r>
              <w:rPr/>
              <w:t>108</w:t>
            </w:r>
          </w:p>
        </w:tc>
      </w:tr>
      <w:tr>
        <w:trPr/>
        <w:tc>
          <w:tcPr>
            <w:tcW w:w="6260" w:type="dxa"/>
            <w:tcBorders/>
            <w:vAlign w:val="center"/>
          </w:tcPr>
          <w:p>
            <w:pPr>
              <w:pStyle w:val="TableContents"/>
              <w:bidi w:val="0"/>
              <w:spacing w:before="0" w:after="283"/>
              <w:jc w:val="left"/>
              <w:rPr/>
            </w:pPr>
            <w:r>
              <w:rPr/>
              <w:t xml:space="preserve">Section 9.20. </w:t>
            </w:r>
            <w:r>
              <w:rPr>
                <w:i/>
              </w:rPr>
              <w:t>Acknowledgement Regarding Any Supported QFCs</w:t>
            </w:r>
          </w:p>
        </w:tc>
        <w:tc>
          <w:tcPr>
            <w:tcW w:w="395" w:type="dxa"/>
            <w:tcBorders/>
            <w:vAlign w:val="center"/>
          </w:tcPr>
          <w:p>
            <w:pPr>
              <w:pStyle w:val="TableContents"/>
              <w:bidi w:val="0"/>
              <w:spacing w:before="0" w:after="283"/>
              <w:jc w:val="right"/>
              <w:rPr/>
            </w:pPr>
            <w:r>
              <w:rPr/>
              <w:t>109</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805"/>
        <w:gridCol w:w="140"/>
        <w:gridCol w:w="3875"/>
      </w:tblGrid>
      <w:tr>
        <w:trPr/>
        <w:tc>
          <w:tcPr>
            <w:tcW w:w="1805" w:type="dxa"/>
            <w:tcBorders/>
            <w:vAlign w:val="center"/>
          </w:tcPr>
          <w:p>
            <w:pPr>
              <w:pStyle w:val="TableContents"/>
              <w:bidi w:val="0"/>
              <w:spacing w:before="0" w:after="283"/>
              <w:jc w:val="left"/>
              <w:rPr/>
            </w:pPr>
            <w:r>
              <w:rPr/>
              <w:t>SCHEDULE I</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Pricing Schedule</w:t>
            </w:r>
          </w:p>
        </w:tc>
      </w:tr>
      <w:tr>
        <w:trPr/>
        <w:tc>
          <w:tcPr>
            <w:tcW w:w="1805" w:type="dxa"/>
            <w:tcBorders/>
            <w:vAlign w:val="center"/>
          </w:tcPr>
          <w:p>
            <w:pPr>
              <w:pStyle w:val="TableContents"/>
              <w:bidi w:val="0"/>
              <w:spacing w:before="0" w:after="283"/>
              <w:jc w:val="left"/>
              <w:rPr/>
            </w:pPr>
            <w:r>
              <w:rPr/>
              <w:t>SCHEDULE II</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Commitment Schedule</w:t>
            </w:r>
          </w:p>
        </w:tc>
      </w:tr>
      <w:tr>
        <w:trPr/>
        <w:tc>
          <w:tcPr>
            <w:tcW w:w="1805" w:type="dxa"/>
            <w:tcBorders/>
            <w:vAlign w:val="center"/>
          </w:tcPr>
          <w:p>
            <w:pPr>
              <w:pStyle w:val="TableContents"/>
              <w:bidi w:val="0"/>
              <w:spacing w:before="0" w:after="283"/>
              <w:jc w:val="left"/>
              <w:rPr/>
            </w:pPr>
            <w:r>
              <w:rPr/>
              <w:t>SCHEDULE III</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[Reserved]</w:t>
            </w:r>
          </w:p>
        </w:tc>
      </w:tr>
      <w:tr>
        <w:trPr/>
        <w:tc>
          <w:tcPr>
            <w:tcW w:w="1805" w:type="dxa"/>
            <w:tcBorders/>
            <w:vAlign w:val="center"/>
          </w:tcPr>
          <w:p>
            <w:pPr>
              <w:pStyle w:val="TableContents"/>
              <w:bidi w:val="0"/>
              <w:spacing w:before="0" w:after="283"/>
              <w:jc w:val="left"/>
              <w:rPr/>
            </w:pPr>
            <w:r>
              <w:rPr/>
              <w:t>SCHEDULE 2.16</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Issuing Lenders</w:t>
            </w:r>
          </w:p>
        </w:tc>
      </w:tr>
      <w:tr>
        <w:trPr/>
        <w:tc>
          <w:tcPr>
            <w:tcW w:w="18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EXHIBIT A</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Note</w:t>
            </w:r>
          </w:p>
        </w:tc>
      </w:tr>
      <w:tr>
        <w:trPr/>
        <w:tc>
          <w:tcPr>
            <w:tcW w:w="1805" w:type="dxa"/>
            <w:tcBorders/>
            <w:vAlign w:val="center"/>
          </w:tcPr>
          <w:p>
            <w:pPr>
              <w:pStyle w:val="TableContents"/>
              <w:bidi w:val="0"/>
              <w:spacing w:before="0" w:after="283"/>
              <w:jc w:val="left"/>
              <w:rPr/>
            </w:pPr>
            <w:r>
              <w:rPr/>
              <w:t>EXHIBIT B</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[Reserved]</w:t>
            </w:r>
          </w:p>
        </w:tc>
      </w:tr>
      <w:tr>
        <w:trPr/>
        <w:tc>
          <w:tcPr>
            <w:tcW w:w="1805" w:type="dxa"/>
            <w:tcBorders/>
            <w:vAlign w:val="center"/>
          </w:tcPr>
          <w:p>
            <w:pPr>
              <w:pStyle w:val="TableContents"/>
              <w:bidi w:val="0"/>
              <w:spacing w:before="0" w:after="283"/>
              <w:jc w:val="left"/>
              <w:rPr/>
            </w:pPr>
            <w:r>
              <w:rPr/>
              <w:t>EXHIBIT C</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[Reserved]</w:t>
            </w:r>
          </w:p>
        </w:tc>
      </w:tr>
      <w:tr>
        <w:trPr/>
        <w:tc>
          <w:tcPr>
            <w:tcW w:w="1805" w:type="dxa"/>
            <w:tcBorders/>
            <w:vAlign w:val="center"/>
          </w:tcPr>
          <w:p>
            <w:pPr>
              <w:pStyle w:val="TableContents"/>
              <w:bidi w:val="0"/>
              <w:spacing w:before="0" w:after="283"/>
              <w:jc w:val="left"/>
              <w:rPr/>
            </w:pPr>
            <w:r>
              <w:rPr/>
              <w:t>EXHIBIT D</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[Reserved]</w:t>
            </w:r>
          </w:p>
        </w:tc>
      </w:tr>
      <w:tr>
        <w:trPr/>
        <w:tc>
          <w:tcPr>
            <w:tcW w:w="1805" w:type="dxa"/>
            <w:tcBorders/>
            <w:vAlign w:val="center"/>
          </w:tcPr>
          <w:p>
            <w:pPr>
              <w:pStyle w:val="TableContents"/>
              <w:bidi w:val="0"/>
              <w:spacing w:before="0" w:after="283"/>
              <w:jc w:val="left"/>
              <w:rPr/>
            </w:pPr>
            <w:r>
              <w:rPr/>
              <w:t>EXHIBIT E</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Assignment and Assumption Agreement</w:t>
            </w:r>
          </w:p>
        </w:tc>
      </w:tr>
      <w:tr>
        <w:trPr/>
        <w:tc>
          <w:tcPr>
            <w:tcW w:w="1805" w:type="dxa"/>
            <w:tcBorders/>
            <w:vAlign w:val="center"/>
          </w:tcPr>
          <w:p>
            <w:pPr>
              <w:pStyle w:val="TableContents"/>
              <w:bidi w:val="0"/>
              <w:spacing w:before="0" w:after="283"/>
              <w:jc w:val="left"/>
              <w:rPr/>
            </w:pPr>
            <w:r>
              <w:rPr/>
              <w:t>EXHIBIT F</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Compliance Certificate</w:t>
            </w:r>
          </w:p>
        </w:tc>
      </w:tr>
      <w:tr>
        <w:trPr/>
        <w:tc>
          <w:tcPr>
            <w:tcW w:w="1805" w:type="dxa"/>
            <w:tcBorders/>
            <w:vAlign w:val="center"/>
          </w:tcPr>
          <w:p>
            <w:pPr>
              <w:pStyle w:val="TableContents"/>
              <w:bidi w:val="0"/>
              <w:spacing w:before="0" w:after="283"/>
              <w:jc w:val="left"/>
              <w:rPr/>
            </w:pPr>
            <w:r>
              <w:rPr/>
              <w:t>EXHIBIT G</w:t>
            </w:r>
          </w:p>
        </w:tc>
        <w:tc>
          <w:tcPr>
            <w:tcW w:w="14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Exemption Certificate</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December 21, 2021 among MARTIN MARIETTA MATERIALS, INC., the LENDERS and ISSUING LENDERS from time to time party hereto and JPMORGAN CHASE BANK, N.A., as Administrative Agent and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 xml:space="preserve">. Definitions. </w:t>
      </w:r>
      <w:r>
        <w:rPr>
          <w:rFonts w:ascii="Times New Roman;Times;Serif" w:hAnsi="Times New Roman;Times;Serif"/>
          <w:b w:val="false"/>
          <w:i w:val="false"/>
          <w:caps w:val="false"/>
          <w:smallCaps w:val="false"/>
          <w:sz w:val="20"/>
        </w:rPr>
        <w:t>The following terms, as used herein and in any Exhibit or Schedule hereto,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Accepting Lender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Lender</w:t>
      </w:r>
      <w:r>
        <w:rPr>
          <w:rFonts w:ascii="Times New Roman;Times;Serif" w:hAnsi="Times New Roman;Times;Serif"/>
          <w:b w:val="false"/>
          <w:i w:val="false"/>
          <w:caps w:val="false"/>
          <w:smallCaps w:val="false"/>
          <w:sz w:val="20"/>
        </w:rPr>
        <w:t>” means any Person not theretofore a Lender that becomes a party to this Agreement pursuant to an amendment as contemplated by Section 9.07(b).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Adjusted Daily Simple SOFR</w:t>
      </w:r>
      <w:r>
        <w:rPr>
          <w:rFonts w:ascii="Times New Roman;Times;Serif" w:hAnsi="Times New Roman;Times;Serif"/>
          <w:b w:val="false"/>
          <w:i w:val="false"/>
          <w:caps w:val="false"/>
          <w:smallCaps w:val="false"/>
          <w:sz w:val="20"/>
        </w:rPr>
        <w:t>” means an interest rate per annum equal to (a) the Daily Simple SOFR, plus (b) 0.10%; provided that if the Adjusted Daily Simple SOFR Rate as so determined would be less than 0%, such rate shall be deemed to be equal to 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Adjusted Term SOFR Rate</w:t>
      </w:r>
      <w:r>
        <w:rPr>
          <w:rFonts w:ascii="Times New Roman;Times;Serif" w:hAnsi="Times New Roman;Times;Serif"/>
          <w:b w:val="false"/>
          <w:i w:val="false"/>
          <w:caps w:val="false"/>
          <w:smallCaps w:val="false"/>
          <w:sz w:val="20"/>
        </w:rPr>
        <w:t>” means, for any Interest Period, an interest rate per annum equal to (a) the Term SOFR Rate for such Interest Period, plus (b) 0.10%; provided that if the Adjusted Term SOFR Rate as so determined would be less than 0%, such rate shall be deemed to be equal to 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means JPMorgan Chase Bank, N.A. (or any of its designated branch offices or affiliates), in its capacity as administrative agent for the Lenders hereunder, and its successors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means, with respect to each Lender, an administrative questionnaire in the form prepared by the Administrative Agent and submitted to the Administrative Agent with a copy to the Borrower duly completed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 any Person that directly, or indirectly through one or more intermediaries, controls the Borrower (a “</w:t>
      </w:r>
      <w:r>
        <w:rPr>
          <w:rFonts w:ascii="Times New Roman;Times;Serif" w:hAnsi="Times New Roman;Times;Serif"/>
          <w:b/>
          <w:i w:val="false"/>
          <w:caps w:val="false"/>
          <w:smallCaps w:val="false"/>
          <w:sz w:val="20"/>
        </w:rPr>
        <w:t>Controlling Person</w:t>
      </w:r>
      <w:r>
        <w:rPr>
          <w:rFonts w:ascii="Times New Roman;Times;Serif" w:hAnsi="Times New Roman;Times;Serif"/>
          <w:b w:val="false"/>
          <w:i w:val="false"/>
          <w:caps w:val="false"/>
          <w:smallCaps w:val="false"/>
          <w:sz w:val="20"/>
        </w:rPr>
        <w:t>”) or (ii) any Person (other than the Borrower or a Subsidiary) which is controlled by or is under common control with a Controlling Person. As used herein, the term “control” means possession, directly or indirectly, of the power to vote 10% or more of any class of voting securities of a Person or to direct or cause the direction of the management or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has the meaning set forth in Section 9.04(d).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the Administrative Agent, the Syndication Agents and the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Credit Agreement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has the meaning set forth in Section 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applicable laws or regulations in any jurisdiction in which the Borrower or any Subsidiary is located or doing business that relate to money laundering, or any financial record keeping and reporting requirements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Base Rate Margin</w:t>
      </w:r>
      <w:r>
        <w:rPr>
          <w:rFonts w:ascii="Times New Roman;Times;Serif" w:hAnsi="Times New Roman;Times;Serif"/>
          <w:b w:val="false"/>
          <w:i w:val="false"/>
          <w:caps w:val="false"/>
          <w:smallCaps w:val="false"/>
          <w:sz w:val="20"/>
        </w:rPr>
        <w:t>” means the Base Rate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Lending Office</w:t>
      </w:r>
      <w:r>
        <w:rPr>
          <w:rFonts w:ascii="Times New Roman;Times;Serif" w:hAnsi="Times New Roman;Times;Serif"/>
          <w:b w:val="false"/>
          <w:i w:val="false"/>
          <w:caps w:val="false"/>
          <w:smallCaps w:val="false"/>
          <w:sz w:val="20"/>
        </w:rPr>
        <w:t>” means, with respect to any Lender, its Domestic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xml:space="preserve">” means, for any Lender and at any time, the percentage of the Total Commitments represented by such Lender’s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for purposes of ‎Section 2.17, if at any time a Defaulting Lender shall exist, “</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shall mean, for any Non-Defaulting Lender at such time, the percentage of the Total Commitments (disregarding any Defaulting Lender’s Commitment) represented by such Lender’s Commitment and (ii) for purposes of ‎Section 2.16, the “</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of any Lender with respect to any Letter of Credit Liabilities shall be adjusted to give effect to any reallocations thereof pursuant to ‎Section 2.17. If the Commitments have been terminated in full or have expired, the Applicable Percentages shall be determined based upon the Commitments in effect immediately prior to such termination or expiration, giving effect to any assignments and to any Lender’s status as a Defaulting Lender at the time of determination.</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RFR Margin</w:t>
      </w:r>
      <w:r>
        <w:rPr>
          <w:rFonts w:ascii="Times New Roman;Times;Serif" w:hAnsi="Times New Roman;Times;Serif"/>
          <w:b w:val="false"/>
          <w:i w:val="false"/>
          <w:caps w:val="false"/>
          <w:smallCaps w:val="false"/>
          <w:sz w:val="20"/>
        </w:rPr>
        <w:t>” means the RFR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Term Benchmark Margin</w:t>
      </w:r>
      <w:r>
        <w:rPr>
          <w:rFonts w:ascii="Times New Roman;Times;Serif" w:hAnsi="Times New Roman;Times;Serif"/>
          <w:b w:val="false"/>
          <w:i w:val="false"/>
          <w:caps w:val="false"/>
          <w:smallCaps w:val="false"/>
          <w:sz w:val="20"/>
        </w:rPr>
        <w:t>” means the Term Benchmark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 has the meaning assigned to it in Section 7.06(a).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Arrangers</w:t>
      </w:r>
      <w:r>
        <w:rPr>
          <w:rFonts w:ascii="Times New Roman;Times;Serif" w:hAnsi="Times New Roman;Times;Serif"/>
          <w:b w:val="false"/>
          <w:i w:val="false"/>
          <w:caps w:val="false"/>
          <w:smallCaps w:val="false"/>
          <w:sz w:val="20"/>
        </w:rPr>
        <w:t>” means JPMorgan Chase Bank, N.A., Deutsche Bank Securities Inc., PNC Capital Markets LLC, Truist Securities, Inc. and Wells Fargo Securities, LLC, each in its capacity as joint lead arranger and joint bookrunner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has the meaning set forth in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Assignment and Assumption Agreement</w:t>
      </w:r>
      <w:r>
        <w:rPr>
          <w:rFonts w:ascii="Times New Roman;Times;Serif" w:hAnsi="Times New Roman;Times;Serif"/>
          <w:b w:val="false"/>
          <w:i w:val="false"/>
          <w:caps w:val="false"/>
          <w:smallCaps w:val="false"/>
          <w:sz w:val="20"/>
        </w:rPr>
        <w:t xml:space="preserve">” means an agreement,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under which an interest of a Lender hereunder is transferred to an Assignee pursuant to ‎Section 9.08(c)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has had any order for relief in such proceeding entered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w:t>
      </w:r>
      <w:r>
        <w:rPr>
          <w:rFonts w:ascii="Times New Roman;Times;Serif" w:hAnsi="Times New Roman;Times;Serif"/>
          <w:b w:val="false"/>
          <w:i w:val="false"/>
          <w:caps w:val="false"/>
          <w:smallCaps w:val="false"/>
          <w:sz w:val="20"/>
        </w:rPr>
        <w:t>” means, for any day, a rate per annum equal to the greatest of (i) the Prime Rate on such day, (ii) the NYFRB Rate in effect on such day plus ½ of 1% and (iii)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8.02 (for the avoidance of doubt, only until the Benchmark Replacement has been determined pursuant to Section 8.02(b)), then the Base Rate shall be the greater of clauses (i) and (ii) above and shall be determined without reference to clause (iii) above. For the avoidance of doubt, if the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 Loan</w:t>
      </w:r>
      <w:r>
        <w:rPr>
          <w:rFonts w:ascii="Times New Roman;Times;Serif" w:hAnsi="Times New Roman;Times;Serif"/>
          <w:b w:val="false"/>
          <w:i w:val="false"/>
          <w:caps w:val="false"/>
          <w:smallCaps w:val="false"/>
          <w:sz w:val="20"/>
        </w:rPr>
        <w:t>” means a Loan which bears interest at the Base Rate pursuant to the applicable Notice of Borrowing or Notice of Interest Rate Election or the provisions of ‎Section 2.16(c)(ii) or ‎Article 8.</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initially, with respect to any (i) RFR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Loan, any technical, administrative or operational changes (including changes to the definition of “Base Rate,” the definition of “Domestic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8.02 and (y) ending at the time that a Benchmark Replacement has replaced such then-current Benchmark for all purposes hereunder and under any Loan Document in accordance with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of (a) an “ employee benefit plan” (as defined in ERISA) that is subject to Title I of ERISA, (b) a “ plan” as defined in and subject to Section 4975 of the Code or (c) any Person whose assets include (for purposes of ERISA Section 3(42) or otherwise for purposes of Title I of ERISA or Section 4975 of the Code) the assets of any such “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means Martin Marietta Materials, Inc., a North Carolina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Borrower’s Securitization Facility</w:t>
      </w:r>
      <w:r>
        <w:rPr>
          <w:rFonts w:ascii="Times New Roman;Times;Serif" w:hAnsi="Times New Roman;Times;Serif"/>
          <w:b w:val="false"/>
          <w:i w:val="false"/>
          <w:caps w:val="false"/>
          <w:smallCaps w:val="false"/>
          <w:sz w:val="20"/>
        </w:rPr>
        <w:t>” means, collectively, (i) the Credit and Security Agreement, dated as of April 19, 2013 (as amended, supplemented or amended and restated from time to time), by and among Martin Marietta Funding LLC, as borrower, the Borrower, as servicer, Truist Bank, as successor by merger to SunTrust Bank, as administrative agent, and Truist Bank, as successor by merger to SunTrust Bank, and each financial institution from time to time a party thereto, as lenders, and (ii) any other accounts receivable based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facility under which financing is provided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the Lenders, as collateral for the Letter of Credit Liabilities, cash or deposit account balances pursuant to documentation in form and substance reasonably satisfactory to the Administrative Agent and the Issuing Lenders. Such cash and deposit account balances are referred to herein, collectively, as the “</w:t>
      </w:r>
      <w:r>
        <w:rPr>
          <w:rFonts w:ascii="Times New Roman;Times;Serif" w:hAnsi="Times New Roman;Times;Serif"/>
          <w:b/>
          <w:i w:val="false"/>
          <w:caps w:val="false"/>
          <w:smallCaps w:val="false"/>
          <w:sz w:val="20"/>
        </w:rPr>
        <w:t>Cash Collateral</w:t>
      </w:r>
      <w:r>
        <w:rPr>
          <w:rFonts w:ascii="Times New Roman;Times;Serif" w:hAnsi="Times New Roman;Times;Serif"/>
          <w:b w:val="false"/>
          <w:i w:val="false"/>
          <w:caps w:val="false"/>
          <w:smallCaps w:val="false"/>
          <w:sz w:val="20"/>
        </w:rPr>
        <w:t>”. The Borrower hereby grants to the Administrative Agent, for the benefit of the Lenders, a security interest in all such cash, deposit accounts and all balances therein and all proceeds of the foregoing. Cash Collateral shall be maintained in blocked, interest bearing deposit accounts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xml:space="preserve">” means, for purposes of ‎Section 8.01 and ‎Section 8.03, the adoption of any applicable law, rule or regulation (including any new or additional regulations issued under, or implementing, any existing law to the extent of any new or additional requirements thereunder), or any change therein, or any change in the interpretation or administration thereof by any Governmental Authority charged with the interpretation or administration thereof, or compliance by any Lender with any request or directive (whether or not having the force of law) of any such authority, central bank or comparable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concerning capital adequacy promulgated by the Bank for International Settlements, the Basel Committee on Banking Supervision (or any successor or similar authority) or United States regulatory authorities, in each case pursuant to Basel III, shall be deemed to be a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Combins Acquisition” means the acquisition by the Borrower of all the issued and outstanding stock of Lhoist North America, Inc., a Delaware corporation, pursuant to the Combins Acquisition Agreement.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 xml:space="preserve">Combins Acquisition Agreement” means that certain Securities Sale Agreement (together with the exhibits and schedules thereto and the disclosure schedules referred to therein), dated as of June 27, 2026, by and among LNA Holding SRL, a </w:t>
      </w:r>
      <w:r>
        <w:rPr>
          <w:rFonts w:ascii="Times New Roman;Times;Serif" w:hAnsi="Times New Roman;Times;Serif"/>
          <w:b/>
          <w:i/>
          <w:caps w:val="false"/>
          <w:smallCaps w:val="false"/>
          <w:color w:val="0000FF"/>
          <w:sz w:val="20"/>
          <w:u w:val="single"/>
        </w:rPr>
        <w:t>société à responsabilité limitée</w:t>
      </w:r>
      <w:r>
        <w:rPr>
          <w:rFonts w:ascii="Times New Roman;Times;Serif" w:hAnsi="Times New Roman;Times;Serif"/>
          <w:b/>
          <w:i w:val="false"/>
          <w:caps w:val="false"/>
          <w:smallCaps w:val="false"/>
          <w:color w:val="0000FF"/>
          <w:sz w:val="20"/>
          <w:u w:val="single"/>
        </w:rPr>
        <w:t xml:space="preserve"> organized under the laws of Belgium and the Borrower,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 xml:space="preserve">Combins Acquisition Closing Date” means the date on which the Combins Acquisition is consummated in accordance with the terms of the Combins Acquisition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means, for any Lender and at any time, its commitment hereunder to make Revolving Loans and purchase participations in Letters of Credit in an aggregate principal amount at any one time outstanding not to exceed the amount set forth opposite such Lender’s name on the Commitment Schedule, as the same may be (i) changed from time to time pursuant to ‎Section 2.12, Section 9.07(b) or Section 9.08(c) and (ii) as established or increased from time to time pursuant to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Schedule</w:t>
      </w:r>
      <w:r>
        <w:rPr>
          <w:rFonts w:ascii="Times New Roman;Times;Serif" w:hAnsi="Times New Roman;Times;Serif"/>
          <w:b w:val="false"/>
          <w:i w:val="false"/>
          <w:caps w:val="false"/>
          <w:smallCaps w:val="false"/>
          <w:sz w:val="20"/>
        </w:rPr>
        <w:t>” means the Commitment Schedule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has the meaning set forth in Section 7.06(c).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Debt</w:t>
      </w:r>
      <w:r>
        <w:rPr>
          <w:rFonts w:ascii="Times New Roman;Times;Serif" w:hAnsi="Times New Roman;Times;Serif"/>
          <w:b w:val="false"/>
          <w:i w:val="false"/>
          <w:caps w:val="false"/>
          <w:smallCaps w:val="false"/>
          <w:sz w:val="20"/>
        </w:rPr>
        <w:t>” means at any date the Debt of the Borrower and its Consolidated Subsidiaries (including, whether or not included as indebtedness of the Borrower or its Consolidated Subsidiaries under GAAP, the principal amounts outstanding under the Borrower’s Securitization Facility other than, to the extent non-recourse to the Borrower and its Subsidiaries, an amount not to exceed $500,000,000), determined on a consolidated basis as of such date; provided, that (w) at any date on which there are no Revolving Loans outstanding and no principal amounts are outstanding under the Borrower’s Securitization Facility, Consolidated Debt shall be reduced in an amount equal to the lesser of (a) $500,000,000 and (b) the sum of the unrestricted cash and Temporary Cash Investments of the Borrower and its Consolidated Subsidiaries, (x) Consolidated Debt shall exclude any Specified Acquisition Debt during the applicable Specified Acquisition Period, (y) Consolidated Debt shall exclude any Debt outstanding on any date of determination which is to be refinanced, repurchased or purchased, redeemed or otherwise repaid (any such Debt,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with the net proceeds of Debt that has been issued or incurred and is included in the determination of Consolidated Debt (any such Debt, “</w:t>
      </w:r>
      <w:r>
        <w:rPr>
          <w:rFonts w:ascii="Times New Roman;Times;Serif" w:hAnsi="Times New Roman;Times;Serif"/>
          <w:b/>
          <w:i w:val="false"/>
          <w:caps w:val="false"/>
          <w:smallCaps w:val="false"/>
          <w:sz w:val="20"/>
        </w:rPr>
        <w:t>Refinancing Debt</w:t>
      </w:r>
      <w:r>
        <w:rPr>
          <w:rFonts w:ascii="Times New Roman;Times;Serif" w:hAnsi="Times New Roman;Times;Serif"/>
          <w:b w:val="false"/>
          <w:i w:val="false"/>
          <w:caps w:val="false"/>
          <w:smallCaps w:val="false"/>
          <w:sz w:val="20"/>
        </w:rPr>
        <w:t>”); provided, that the amount of Refinanced Debt that is excluded from the determination of Consolidated Debt shall not exceed the amount of Refinancing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that is included in the determination of Consolidated Debt and (z) Consolidated Debt shall exclude any Debt in the form of debt securities outstanding on any date of determination which has been satisfied, discharged and/or legally defeased pursuant to the terms of the definitive documentation for such debt securities but remains outstanding pending the final maturity date or redemption date thereof, as the case may be; provided that (i) the cash and Temporary Cash Investments of the Borrower and its Consolidated Subsidiaries utilized to effectuate any such satisfaction, discharge or defeasance shall not be included in clause (w)(b) above, (ii) Debt shall only be excluded from Consolidated Debt pursuant to this clause (z) to the extent the cash or Temporary Cash Investments utilized to effectuate any such satisfaction, discharge or defeasance has been irrevocably deposited with the applicable trustee in accordance with the terms of any definitive documentation governing such Debt and (iii) the Borrower shall have delivered to the Administrative Agent for posting to the Lenders an officer’s certificate signed by an authorized officer of the Borrower certifying in reasonable detail the amount and relevant details of any Debt that is excluded from Consolidated Debt pursuant to this clause (z).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xml:space="preserve">” means, for any period, net income (or net loss) (before discontinued operations) plus the sum of (a) consolidated interest expense, (b) income tax expense, (c) depreciation expense, (d) amortization expense, (e) depletion expense, (f) stock based compensation expense and (g) any losses or expenses from any unusual or otherwise non-recurring items as reasonably determined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losses and expenses arising from any such unusual or otherwise non-recurring items included pursuant to this clause (g) (other than transaction fees, costs and expenses incurred in connection with any acquisition or disposition) shall not exceed $200,000,000 for any period of four consecutive fiscal quarters, and minus (x) consolidated interest income and (y) the sum of the amounts for such period of any income tax benefits and any income or gains from any unusual or otherwise non-recurring items as reasonably determined by the Borrower, in each case determined on a consolidated basis for the Borrower and its Subsidiaries in accordance with GAAP and in the case of items (a) through (g) and items (x) and (y), to the extent such amounts were included in the calculation of net income. For the purpose of calculating Consolidated EBITDA for any period, if during such period the Borrower or any Subsidiary shall have made an acquisition or a disposition, Consolidated EBITDA for such period shall be calculated after giving pro forma effect thereto as if such acquisition or disposition, as the case may be,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Worth</w:t>
      </w:r>
      <w:r>
        <w:rPr>
          <w:rFonts w:ascii="Times New Roman;Times;Serif" w:hAnsi="Times New Roman;Times;Serif"/>
          <w:b w:val="false"/>
          <w:i w:val="false"/>
          <w:caps w:val="false"/>
          <w:smallCaps w:val="false"/>
          <w:sz w:val="20"/>
        </w:rPr>
        <w:t>” means at any date the consolidated shareholders’ equity of the Borrower and its Consolidated Subsidiaries which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be reported on the consolidated balance sheet of the Borrower as total shareholders’ equity, determined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Subsidiary</w:t>
      </w:r>
      <w:r>
        <w:rPr>
          <w:rFonts w:ascii="Times New Roman;Times;Serif" w:hAnsi="Times New Roman;Times;Serif"/>
          <w:b w:val="false"/>
          <w:i w:val="false"/>
          <w:caps w:val="false"/>
          <w:smallCaps w:val="false"/>
          <w:sz w:val="20"/>
        </w:rPr>
        <w:t>” means at any date any Subsidiary or other entity the accounts of which would be consolidated with the Borrower in its consolidated financial statements if such statements were prepared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left"/>
              <w:rPr/>
            </w:pPr>
            <w:r>
              <w:rPr/>
              <w:t>a “covered entity” as that term is defined in, and interpreted in accordance with, 12 C.F.R. § 252.82(b);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283"/>
              <w:jc w:val="left"/>
              <w:rPr/>
            </w:pPr>
            <w:r>
              <w:rPr/>
              <w:t>a “covered bank” as that term is defined in, and interpreted in accordance with, 12 C.F.R. § 47.3(b);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2"/>
        <w:gridCol w:w="9804"/>
      </w:tblGrid>
      <w:tr>
        <w:trPr/>
        <w:tc>
          <w:tcPr>
            <w:tcW w:w="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left"/>
              <w:rPr/>
            </w:pPr>
            <w:r>
              <w:rPr/>
              <w:t>a “covered FSI” as that term is defined in, and interpreted in accordance with, 12 C.F.R. § 382.2(b).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Exposure</w:t>
      </w:r>
      <w:r>
        <w:rPr>
          <w:rFonts w:ascii="Times New Roman;Times;Serif" w:hAnsi="Times New Roman;Times;Serif"/>
          <w:b w:val="false"/>
          <w:i w:val="false"/>
          <w:caps w:val="false"/>
          <w:smallCaps w:val="false"/>
          <w:sz w:val="20"/>
        </w:rPr>
        <w:t>” means, with respect to any Lender at any time, (i) the amount of its Commitment (whether used or unused) at such time or (ii) if the Commitments have terminated in their entirety, the sum of the aggregate principal amount of its Loans at such time plus its Letter of Credit Liabilities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means the Administrative Agent, any Lender or any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a rate per annum equal SOFR for the day (such day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xml:space="preserve">”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except trade accounts payable arising in the ordinary course of business, (iv) all obligations of such Person as lessee which are capitalized in accordance with generally accepted accounting principles (subject to Section 1.02), (v) all non-contingent obligations of such Person to reimburse any bank or other Person in respect of amounts paid under a letter of credit, banker’s acceptance, bank guarantee, surety bond or similar instrument which remain unpaid for two Domestic Business Days, (vi) all Debt secured by a Lien on any asset of such Person, whether or not such Debt is otherwise an obligation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any such Debt which is not otherwise an obligation of such Person shall be deemed not to exceed the fair market value of such asset and (vii) all Debt of others guaranteed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condition or event which constitutes an Event of Default or which with the giving of notice or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means any Lender that (a) has failed, within two Domestic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such Loan has not been satisfied, (b) has notified the Borrower or any Credit Party in writing, or has made a public statement to the effect, that it does not intend or expect to comply with any of its funding obligations under this Agreement (unless, in the case of any Loan, such writing or public statement indicates that such position is based on such Lender’s good faith determination that a condition precedent (specifically identified and including the particular default, if any) to funding such Loan under this Agreement cannot be satisfied) or generally under other agreements in which it commits to extend credit, (c) has failed, within three Domestic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Letters of Credit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such Credit Party’s receipt of such certification in form and substance satisfactory to it and the Administrative Agent, or (d) has become (or has a Parent that has become) the subject of (A) a Bankruptcy Event or (B)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Obligations</w:t>
      </w:r>
      <w:r>
        <w:rPr>
          <w:rFonts w:ascii="Times New Roman;Times;Serif" w:hAnsi="Times New Roman;Times;Serif"/>
          <w:b w:val="false"/>
          <w:i w:val="false"/>
          <w:caps w:val="false"/>
          <w:smallCaps w:val="false"/>
          <w:sz w:val="20"/>
        </w:rPr>
        <w:t>” of any Person means all obligations of such Person in respect of any Derivatives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Transaction</w:t>
      </w:r>
      <w:r>
        <w:rPr>
          <w:rFonts w:ascii="Times New Roman;Times;Serif" w:hAnsi="Times New Roman;Times;Serif"/>
          <w:b w:val="false"/>
          <w:i w:val="false"/>
          <w:caps w:val="false"/>
          <w:smallCaps w:val="false"/>
          <w:sz w:val="20"/>
        </w:rPr>
        <w:t>” means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Documentation Agents</w:t>
      </w:r>
      <w:r>
        <w:rPr>
          <w:rFonts w:ascii="Times New Roman;Times;Serif" w:hAnsi="Times New Roman;Times;Serif"/>
          <w:b w:val="false"/>
          <w:i w:val="false"/>
          <w:caps w:val="false"/>
          <w:smallCaps w:val="false"/>
          <w:sz w:val="20"/>
        </w:rPr>
        <w:t>” means Comerica Bank, First Horizon Bank, First-Citizens Bank &amp; Trust Company, The Northern Trust Company and Regions Bank. “</w:t>
      </w:r>
      <w:r>
        <w:rPr>
          <w:rFonts w:ascii="Times New Roman;Times;Serif" w:hAnsi="Times New Roman;Times;Serif"/>
          <w:b/>
          <w:i w:val="false"/>
          <w:caps w:val="false"/>
          <w:smallCaps w:val="false"/>
          <w:sz w:val="20"/>
        </w:rPr>
        <w:t>Documentation Agent</w:t>
      </w:r>
      <w:r>
        <w:rPr>
          <w:rFonts w:ascii="Times New Roman;Times;Serif" w:hAnsi="Times New Roman;Times;Serif"/>
          <w:b w:val="false"/>
          <w:i w:val="false"/>
          <w:caps w:val="false"/>
          <w:smallCaps w:val="false"/>
          <w:sz w:val="20"/>
        </w:rPr>
        <w:t>” means any of them, in their capacity as documentation agents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 provided that, in addition to the foregoing, a Domestic Business Day shall not include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not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Lending Office</w:t>
      </w:r>
      <w:r>
        <w:rPr>
          <w:rFonts w:ascii="Times New Roman;Times;Serif" w:hAnsi="Times New Roman;Times;Serif"/>
          <w:b w:val="false"/>
          <w:i w:val="false"/>
          <w:caps w:val="false"/>
          <w:smallCaps w:val="false"/>
          <w:sz w:val="20"/>
        </w:rPr>
        <w:t>” means, as to each Lender, its office located at its address set forth in its Administrative Questionnaire (or identified in its Administrative Questionnaire as its Domestic Lending Office) or such other office as such Lender may hereafter designate as its Domestic Lending Office by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conditions precedent set forth in ‎Section 3.01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Eligible Institution</w:t>
      </w:r>
      <w:r>
        <w:rPr>
          <w:rFonts w:ascii="Times New Roman;Times;Serif" w:hAnsi="Times New Roman;Times;Serif"/>
          <w:b w:val="false"/>
          <w:i w:val="false"/>
          <w:caps w:val="false"/>
          <w:smallCaps w:val="false"/>
          <w:sz w:val="20"/>
        </w:rPr>
        <w:t xml:space="preserve">” means any bank or other Person other than (i) a natural Person or (ii)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of its Subsidiaries or Affiliates may be an Eligible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and all applicable federal, state and local statutes, regulations, ordinances, rules, administrative orders, consent decrees, permits, concessions, grants, franchises, licenses, agreements or other governmental restrictions relating to the environment or to emissions, discharges or releases of pollutants, contaminants, hazardous substances, or hazardous wastes into the environment including, without limitation, ambient air, surface water, ground water, or land, or otherwise relating to the manufacture, processing, distribution, use, treatment, storage, disposal, transport or handling of pollutants, contaminants, hazardous substances, or hazardous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or any successor statute.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 Group</w:t>
      </w:r>
      <w:r>
        <w:rPr>
          <w:rFonts w:ascii="Times New Roman;Times;Serif" w:hAnsi="Times New Roman;Times;Serif"/>
          <w:b w:val="false"/>
          <w:i w:val="false"/>
          <w:caps w:val="false"/>
          <w:smallCaps w:val="false"/>
          <w:sz w:val="20"/>
        </w:rPr>
        <w:t>” means the Borrower and all members of a controlled group of corporations and all trades or businesses (whether or not incorporated) under common control that, together with the Borrower, are treated as a single employer under Section 4001(a)(14) of ERISA. For the avoidance of doubt, when any provision of this Agreement relates to a past event or period of time, the term “ERISA Group” includes any Person who was, as to the time of such past event or period of time, a member of the “ERISA Group” within the meaning of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set forth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Credit Facility</w:t>
      </w:r>
      <w:r>
        <w:rPr>
          <w:rFonts w:ascii="Times New Roman;Times;Serif" w:hAnsi="Times New Roman;Times;Serif"/>
          <w:b w:val="false"/>
          <w:i w:val="false"/>
          <w:caps w:val="false"/>
          <w:smallCaps w:val="false"/>
          <w:sz w:val="20"/>
        </w:rPr>
        <w:t>” means the Credit Agreement dated as of December 5, 2016 (as amended by that certain Loan Modification No. 1 and Extension Agreement dated as of December 5, 2017, that certain Extension Agreement dated as of December 20, 2018, that certain Extension Agreement dated as of December 5, 2019 and as further amended, restated, supplemented or otherwise modified prior to the Effective Date) among the Borrower, the banks and issuing lenders from time to time party thereto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Internal Revenue Code, as of the date of this Agreement (or any amended version or successor provision that is substantively comparable and not materially more onerous to comply with), and any regulations promulgated thereunder or official administrative interpretations thereof, any agreements entered into pursuant to Section 1471(b)(1) of the Internal Revenue Code, any intergovernmental agreement between a non-U.S. jurisdiction and the United States with respect to the foregoing and any law or regulation or official interpretation thereof adopted pursuant to any such intergovernmental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the NYFRB shall set forth on the NYFRB’s Website from time to time) and published on the next succeeding Domestic Business Day by the NYFRB as the effective federal funds rate; provided that if the Federal Funds Rate determined in accordance with the foregoing would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central bank (or similar monetary or regulatory authority) thereof, any entity exercising executive, legislative, judicial, regulatory or administrative functions of or pertaining to government (including any supra-national bodies such as the European Union or the European Central Bank) and any corporation or other entity owned or controlled, through stock or capital ownership or otherwise, by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 of Loans</w:t>
      </w:r>
      <w:r>
        <w:rPr>
          <w:rFonts w:ascii="Times New Roman;Times;Serif" w:hAnsi="Times New Roman;Times;Serif"/>
          <w:b w:val="false"/>
          <w:i w:val="false"/>
          <w:caps w:val="false"/>
          <w:smallCaps w:val="false"/>
          <w:sz w:val="20"/>
        </w:rPr>
        <w:t xml:space="preserve">” means at any time a group of Loans consisting of (i) all Loans which are Base Rate Loans at such time, (ii) all Term Benchmark Loans having the same Interest Period at such time or (iii) all Loans which are RFR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Loan of any particular Lender is converted to or made as a Base Rate Loan pursuant to ‎Article 8, such Loan shall be included in the same Group or Groups of Loans from time to time as it would have been in if it had not been so converted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Increasing Lender</w:t>
      </w:r>
      <w:r>
        <w:rPr>
          <w:rFonts w:ascii="Times New Roman;Times;Serif" w:hAnsi="Times New Roman;Times;Serif"/>
          <w:b w:val="false"/>
          <w:i w:val="false"/>
          <w:caps w:val="false"/>
          <w:smallCaps w:val="false"/>
          <w:sz w:val="20"/>
        </w:rPr>
        <w:t>” has the meaning specified in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provided, that (i) if any Interest Period would end on a day other than a Domestic Business Day, such Interest Period shall be extended to the next succeeding Domestic Business Day unless such next succeeding Domestic Business Day would fall in the next calendar month, in which case such Interest Period shall end on the next preceding Domestic Business Day, (ii) any Interest Period that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commences on the last Domestic Business Day of a calendar month (or on a day for which there is no numerically corresponding day in the last calendar month of such Interest Period) shall end on the last Domestic Business Day of the last calendar month of such Interest Period and (iii) no tenor that has been removed from this definition pursuant to Section 8.02(e) shall be available for specification in such Notice of Borrowing or Notice of Interest Rate Election; provided, further, that any Interest Period which would otherwise end after the Termination Date shall end on the Termination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means the Internal Revenue Code of 1986, as amended,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investment in any Person, whether by means of (a) the purchase or other acquisition of capital stock or other securities of such Person, or (b) a loan, advance or capital contribution to, guarantee or assumption of debt of, or purchase or other acquisition of any other debt or equity participation or interest in,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Issuing Lender</w:t>
      </w:r>
      <w:r>
        <w:rPr>
          <w:rFonts w:ascii="Times New Roman;Times;Serif" w:hAnsi="Times New Roman;Times;Serif"/>
          <w:b w:val="false"/>
          <w:i w:val="false"/>
          <w:caps w:val="false"/>
          <w:smallCaps w:val="false"/>
          <w:sz w:val="20"/>
        </w:rPr>
        <w:t>” means the Persons listed on Schedule 2.16 and any other Lender that may agree to issue Letters of Credit hereunder as provided in Section 2.16(g), in each case in its capacity as an issuer of a Letter of Credit hereunder. An Issuing Lender may, in its discretion, arrange for one or more Letters of Credit to be issued by Affiliates of such Issuing Lender, in which case the term “Issuing Lender” shall include any such Affiliate with respect to Letters of Credit issued by such Affiliate. When used with respect to a particular Letter of Credit, “Issuing Lender” means the Issuing Lender that issued or is issuing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Johnson County Letter of Credit</w:t>
      </w:r>
      <w:r>
        <w:rPr>
          <w:rFonts w:ascii="Times New Roman;Times;Serif" w:hAnsi="Times New Roman;Times;Serif"/>
          <w:b w:val="false"/>
          <w:i w:val="false"/>
          <w:caps w:val="false"/>
          <w:smallCaps w:val="false"/>
          <w:sz w:val="20"/>
        </w:rPr>
        <w:t>” means the Borrower’s existing letter of credit issued for the benefit of Johnson County, Kansas and any replacements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means (i) each Person listed as a Lender on the signature pages hereof, (ii) each Additional Lender or Assignee that becomes a Lender pursuant to Section 9.07(b) or Section 9.08(c) and (iii) their respective successors. Unless the context otherwise requires, each reference to a Lender (including without limitation in Article 7) shall include each Issuing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means any of the Administrative Agent, any Arranger, any Syndication Agent, any Documentation Agent, any Issuing Lender and any Lender, and any Related Party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means a letter of credit to be issued hereunder by an Issuing Lender in accordance with ‎Section 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Commitment</w:t>
      </w:r>
      <w:r>
        <w:rPr>
          <w:rFonts w:ascii="Times New Roman;Times;Serif" w:hAnsi="Times New Roman;Times;Serif"/>
          <w:b w:val="false"/>
          <w:i w:val="false"/>
          <w:caps w:val="false"/>
          <w:smallCaps w:val="false"/>
          <w:sz w:val="20"/>
        </w:rPr>
        <w:t>” means, with respect to each Issuing Lender, the commitment of such Issuing Lender to issue Letters of Credit pursuant to Section 2.16. The amount of each initial Issuing Lender’s Letter of Credit Commitment is set forth on Schedule 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Disbursement</w:t>
      </w:r>
      <w:r>
        <w:rPr>
          <w:rFonts w:ascii="Times New Roman;Times;Serif" w:hAnsi="Times New Roman;Times;Serif"/>
          <w:b w:val="false"/>
          <w:i w:val="false"/>
          <w:caps w:val="false"/>
          <w:smallCaps w:val="false"/>
          <w:sz w:val="20"/>
        </w:rPr>
        <w:t>” means a payment made by an Issuing Lender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Liabilities</w:t>
      </w:r>
      <w:r>
        <w:rPr>
          <w:rFonts w:ascii="Times New Roman;Times;Serif" w:hAnsi="Times New Roman;Times;Serif"/>
          <w:b w:val="false"/>
          <w:i w:val="false"/>
          <w:caps w:val="false"/>
          <w:smallCaps w:val="false"/>
          <w:sz w:val="20"/>
        </w:rPr>
        <w:t>” means, for any Lender and at any time, such Lender’s Applicable Percentage of the sum of (x) the amounts then owing by the Borrower in respect of amounts drawn under Letters of Credit and (y) the aggregate amount then available for drawing under all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Sublimit</w:t>
      </w:r>
      <w:r>
        <w:rPr>
          <w:rFonts w:ascii="Times New Roman;Times;Serif" w:hAnsi="Times New Roman;Times;Serif"/>
          <w:b w:val="false"/>
          <w:i w:val="false"/>
          <w:caps w:val="false"/>
          <w:smallCaps w:val="false"/>
          <w:sz w:val="20"/>
        </w:rPr>
        <w:t>” means, at any time, an amount equal to the lesser of (a) $50,000,000 and (b) the Total Commitments. The Letter of Credit Sublimit is part of, and not in addition to, the revolving credit facility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Termination Date</w:t>
      </w:r>
      <w:r>
        <w:rPr>
          <w:rFonts w:ascii="Times New Roman;Times;Serif" w:hAnsi="Times New Roman;Times;Serif"/>
          <w:b w:val="false"/>
          <w:i w:val="false"/>
          <w:caps w:val="false"/>
          <w:smallCaps w:val="false"/>
          <w:sz w:val="20"/>
        </w:rPr>
        <w:t>” means the tenth day preceding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Leverage Ratio</w:t>
      </w:r>
      <w:r>
        <w:rPr>
          <w:rFonts w:ascii="Times New Roman;Times;Serif" w:hAnsi="Times New Roman;Times;Serif"/>
          <w:b w:val="false"/>
          <w:i w:val="false"/>
          <w:caps w:val="false"/>
          <w:smallCaps w:val="false"/>
          <w:sz w:val="20"/>
        </w:rPr>
        <w:t>” means, as of the last day of any fiscal quarter, the ratio of (a) Consolidated Debt on such date to (b) Consolidated EBITDA for the period of four consecutive fiscal quarters ended on such date, taken as one accounting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For the purposes of this Agreement, the Borrower or any Subsidiary shall be deemed to own subject to a Lien any asset which it has acquired or holds subject to the interest of a vendor or lessor under any conditional sale agreement, capital or finance lease or other title retention agreement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mean and include each and every loan made by a Lender under this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Document</w:t>
      </w:r>
      <w:r>
        <w:rPr>
          <w:rFonts w:ascii="Times New Roman;Times;Serif" w:hAnsi="Times New Roman;Times;Serif"/>
          <w:b w:val="false"/>
          <w:i w:val="false"/>
          <w:caps w:val="false"/>
          <w:smallCaps w:val="false"/>
          <w:sz w:val="20"/>
        </w:rPr>
        <w:t>” means this Agreement, including without limitation, the schedules and exhibits hereto and any agreements entered into in connection with the commercial lending facility made available hereunder, including amendments, modifications or supplements thereto or waivers thereof, any Notes and any other documents prepared in connection with the other Loan Documents,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 material adverse effect on (a) the ability of the Borrower to perform its obligations, taken as a whole, under this Agreement or any of the Notes, (b) the validity or enforceability of this Agreement or any of the Notes or (c) the rights and remedies of any Lender or the Administrative Agent, taken as a whole, under this Agreement or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Debt</w:t>
      </w:r>
      <w:r>
        <w:rPr>
          <w:rFonts w:ascii="Times New Roman;Times;Serif" w:hAnsi="Times New Roman;Times;Serif"/>
          <w:b w:val="false"/>
          <w:i w:val="false"/>
          <w:caps w:val="false"/>
          <w:smallCaps w:val="false"/>
          <w:sz w:val="20"/>
        </w:rPr>
        <w:t>” means, without duplication, Debt (other than the Loans) of the Borrower and/or one or more of its Restricted Subsidiaries, arising in one or more related or unrelated transactions, in an aggregate principal or face amount exceeding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Financial Obligations</w:t>
      </w:r>
      <w:r>
        <w:rPr>
          <w:rFonts w:ascii="Times New Roman;Times;Serif" w:hAnsi="Times New Roman;Times;Serif"/>
          <w:b w:val="false"/>
          <w:i w:val="false"/>
          <w:caps w:val="false"/>
          <w:smallCaps w:val="false"/>
          <w:sz w:val="20"/>
        </w:rPr>
        <w:t>” means, without duplication, a principal or face amount of Debt and/or payment or collateralization obligations in respect of Derivatives Obligations of the Borrower and/or one or more of its Restricted Subsidiaries, arising in one or more related or unrelated transactions, exceeding in the aggregate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New Lender</w:t>
      </w:r>
      <w:r>
        <w:rPr>
          <w:rFonts w:ascii="Times New Roman;Times;Serif" w:hAnsi="Times New Roman;Times;Serif"/>
          <w:b w:val="false"/>
          <w:i w:val="false"/>
          <w:caps w:val="false"/>
          <w:smallCaps w:val="false"/>
          <w:sz w:val="20"/>
        </w:rPr>
        <w:t>” has the meaning set forth in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means, at any given time, any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means promissory notes of the Borrower,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evidencing the obligation of the Borrower to repay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Loans, and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means any one of such promissory notes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has the meaning set forth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has the meaning set forth in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Issuance</w:t>
      </w:r>
      <w:r>
        <w:rPr>
          <w:rFonts w:ascii="Times New Roman;Times;Serif" w:hAnsi="Times New Roman;Times;Serif"/>
          <w:b w:val="false"/>
          <w:i w:val="false"/>
          <w:caps w:val="false"/>
          <w:smallCaps w:val="false"/>
          <w:sz w:val="20"/>
        </w:rPr>
        <w:t>” has the meaning set forth in ‎Section 2.16(b).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 Rate</w:t>
      </w:r>
      <w:r>
        <w:rPr>
          <w:rFonts w:ascii="Times New Roman;Times;Serif" w:hAnsi="Times New Roman;Times;Serif"/>
          <w:b w:val="false"/>
          <w:i w:val="false"/>
          <w:caps w:val="false"/>
          <w:smallCaps w:val="false"/>
          <w:sz w:val="20"/>
        </w:rPr>
        <w:t xml:space="preserve">” means, for any day, the greater of (a) the Federal Funds Rate in effect on such day and (b) the Overnight Bank Funding Rate in effect on such day (or for any day that is not a Domestic Business Day, for the immediately preceding Domestic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of the aforesaid rates as so determined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all advances to, and debts, liabilities, obligations, covenants and duties of, the Borrower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an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has the meaning set forth in Section 8.04(c).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 Committed Amount</w:t>
      </w:r>
      <w:r>
        <w:rPr>
          <w:rFonts w:ascii="Times New Roman;Times;Serif" w:hAnsi="Times New Roman;Times;Serif"/>
          <w:b w:val="false"/>
          <w:i w:val="false"/>
          <w:caps w:val="false"/>
          <w:smallCaps w:val="false"/>
          <w:sz w:val="20"/>
        </w:rPr>
        <w:t>” means, as to any Lender at any time, the sum of (i) the aggregate principal amount of Revolving Loans made by it that are outstanding at such time and (ii) the aggregate amount of its Letter of Credit Liabilities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Domestic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with respect to any Lender, any Person directly or indirectly controlling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has the meaning set forth in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has the meaning set forth in ‎Section 2.16(c).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or any entity succeeding to any or all of its functions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company, corporation, joint venture, joint-stock company, limited liability company or partnership, trust, unincorporated organization, government or state entity, or any association or partnership (whether or not having separate legal personality) of two or more of the foregoing.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or (ii) has at any time within the preceding six years been maintained, or contributed to, by any Person which was at such time a member of the ERISA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Property</w:t>
      </w:r>
      <w:r>
        <w:rPr>
          <w:rFonts w:ascii="Times New Roman;Times;Serif" w:hAnsi="Times New Roman;Times;Serif"/>
          <w:b w:val="false"/>
          <w:i w:val="false"/>
          <w:caps w:val="false"/>
          <w:smallCaps w:val="false"/>
          <w:sz w:val="20"/>
        </w:rPr>
        <w:t>” means, at any time, any manufacturing facility that is located in the United States, is owned by the Borrower or any of its Subsidiaries, and has a book value, net of any depreciation or amortization, pursuant to the then most recently delivered financial statements, in excess of 2.5%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Quarterly Date</w:t>
      </w:r>
      <w:r>
        <w:rPr>
          <w:rFonts w:ascii="Times New Roman;Times;Serif" w:hAnsi="Times New Roman;Times;Serif"/>
          <w:b w:val="false"/>
          <w:i w:val="false"/>
          <w:caps w:val="false"/>
          <w:smallCaps w:val="false"/>
          <w:sz w:val="20"/>
        </w:rPr>
        <w:t>” means the last day of March, June, September and December in each year, commencing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Domestic Business Days prior to such setting or (3) if such Benchmark is none of the Term SOFR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has the meaning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means Regulation U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w:t>
      </w:r>
      <w:r>
        <w:rPr>
          <w:rFonts w:ascii="Times New Roman;Times;Serif" w:hAnsi="Times New Roman;Times;Serif"/>
          <w:b w:val="false"/>
          <w:i w:val="false"/>
          <w:caps w:val="false"/>
          <w:smallCaps w:val="false"/>
          <w:sz w:val="20"/>
        </w:rPr>
        <w:t>” means the obligation of the Borrower to reimburse each Issuing Lender for any amount drawn under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 Default</w:t>
      </w:r>
      <w:r>
        <w:rPr>
          <w:rFonts w:ascii="Times New Roman;Times;Serif" w:hAnsi="Times New Roman;Times;Serif"/>
          <w:b w:val="false"/>
          <w:i w:val="false"/>
          <w:caps w:val="false"/>
          <w:smallCaps w:val="false"/>
          <w:sz w:val="20"/>
        </w:rPr>
        <w:t>” means, with respect to any Reimbursement Obligation, the failure by the Borrower to pay any Reimbursement Obligation on the date that it is due, provided that no Reimbursement Obligation Default shall arise with respect to such Reimbursement Obligation if such Reimbursement Obligation shall have been converted into Base Rate Loans pursuant to Section 2.16(c)(ii).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and/or the NYFRB,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Rate</w:t>
      </w:r>
      <w:r>
        <w:rPr>
          <w:rFonts w:ascii="Times New Roman;Times;Serif" w:hAnsi="Times New Roman;Times;Serif"/>
          <w:b w:val="false"/>
          <w:i w:val="false"/>
          <w:caps w:val="false"/>
          <w:smallCaps w:val="false"/>
          <w:sz w:val="20"/>
        </w:rPr>
        <w:t>” means (i) with respect to any Term Benchmark Borrowing, the Adjusted Term SOFR Rate or (ii) with respect to any RFR Borrowing, the Adjusted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Replacement Revolving Credit Facility</w:t>
      </w:r>
      <w:r>
        <w:rPr>
          <w:rFonts w:ascii="Times New Roman;Times;Serif" w:hAnsi="Times New Roman;Times;Serif"/>
          <w:b w:val="false"/>
          <w:i w:val="false"/>
          <w:caps w:val="false"/>
          <w:smallCaps w:val="false"/>
          <w:sz w:val="20"/>
        </w:rPr>
        <w:t>” has the meaning set forth in Section 9.07(b).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means at any time Lenders with more than 50% of the aggregate amount of the Credit Exposures at such time, subject to Section 2.17(c).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each president, executive vice president, chief executive officer, chief financial officer, treasurer, secretary, general counsel or assistant general counsel, or any Person having comparable responsibilities with respect to such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means (x) any Significant Subsidiary, (y) any Subsidiary that has substantially all of its property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 owns a Principal Property and (z) other Subsidiaries from time to time designated, by the Borrower by notice to the Administrative Agent, as Restricted Subsidiaries as necessary such that at all times, based on the most recent financial statements delivered pursuant hereto, at the end of any fiscal quarter the book value of the aggregate total assets, net of depreciation and amortization and after intercompany eliminations, of the Borrower and all of its Restricted Subsidiaries is not less than 85% of the consolidated total assets, net of depreciation and amortization and after intercompany eliminations,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has the meaning set forth in ‎Section 9.01(a).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Credit Period</w:t>
      </w:r>
      <w:r>
        <w:rPr>
          <w:rFonts w:ascii="Times New Roman;Times;Serif" w:hAnsi="Times New Roman;Times;Serif"/>
          <w:b w:val="false"/>
          <w:i w:val="false"/>
          <w:caps w:val="false"/>
          <w:smallCaps w:val="false"/>
          <w:sz w:val="20"/>
        </w:rPr>
        <w:t>” means the period from and including the Effective Date to but not including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means a Loan made pursuant to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Loan</w:t>
      </w:r>
      <w:r>
        <w:rPr>
          <w:rFonts w:ascii="Times New Roman;Times;Serif" w:hAnsi="Times New Roman;Times;Serif"/>
          <w:b w:val="false"/>
          <w:i w:val="false"/>
          <w:caps w:val="false"/>
          <w:smallCaps w:val="false"/>
          <w:sz w:val="20"/>
        </w:rPr>
        <w:t>” means a Loan that bears interest at a rate based on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which is itself the subject or target of any Sanctions (including, without limitation, at the time of this Agreement, the so-called Donetsk People’s Republic, the so-called Luhansk People’s Republic, the Crimea, Kherson and Zaporizhzhia Regions of Ukraine,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(a)(i) an agency or instrumentality of the government of a Sanctioned Country, (ii) an entity owned or controlled by a Sanctioned Country or (iii) a Person located, organized or resident in a Sanctioned Country, (b) a Person that is named on the SDN List or on any other Sanctions-related list of designated Persons maintained by the U.S. government, the European Union or any European Union member state, His Majesty’s Treasury of the United Kingdom or the United Nations Security Council, or (c) a Person directly or indirectly owned 50% or more or controlled by any Person or Persons described in the foregoing clauses (a) or (b), or (d) a Person that is otherwise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OFAC and the U.S. Department of State,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Union or any European Union member state, His Majesty’s Treasury of the United Kingdom, or the United Nations Security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means OFAC’s list of Specially Designated Nationals and Blocked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 Subsidiary with a book value of total assets, net of depreciation and amortization and after intercompany eliminations, equal to or greater than 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has the meaning set forth in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Debt</w:t>
      </w:r>
      <w:r>
        <w:rPr>
          <w:rFonts w:ascii="Times New Roman;Times;Serif" w:hAnsi="Times New Roman;Times;Serif"/>
          <w:b w:val="false"/>
          <w:i w:val="false"/>
          <w:caps w:val="false"/>
          <w:smallCaps w:val="false"/>
          <w:sz w:val="20"/>
        </w:rPr>
        <w:t xml:space="preserve">” means any Debt incurred by the Borrower or any of its Consolidated Subsidiaries for the purpose of financing, in whole or in part, a Specified Acquisition and any related transactions or series of related transactions (including for the purpose of refinancing or replacing all or a portion of any pre-existing Debt of the Borrower, any of its Consolidated Subsidiaries or the person(s) or assets to be acquired);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the release of the proceeds of such Debt to the Borrower and/or its Consolidated Subsidiaries is contingent upon the consummation of such Specified Acquisition and, pending such release, such proceeds are held in escrow (and, if the definitive agreement (or, in the case of a tender offer or similar transaction, the definitive offer document) for such acquisition is terminated prior to the consummation of such Specified Acquisition or if such Specified Acquisition is otherwise not consummated by the date specified in the definitive documentation relating to such Debt, such proceeds shall be promptly applied to satisfy and discharge all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the Borrower and/or its Consolidated Subsidiaries in respect of such Debt) or (b) such Debt contains a “special mandatory redemption” provision (or other similar provision) or otherwise permits such Debt to be redeemed or prepaid if such Specified Acquisition is not consummated by the date specified in the definitive documentation relating to such Debt (and if the definitive agreement (or, in the case of a tender offer or similar transaction, the definitive offer document) for such Specified Acquisition is terminated in accordance with its terms prior to the consummation of such Specified Acquisition or such Specified Acquisition is otherwise not consummated by the date specified in the definitive documentation relating to such Debt, such Debt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Period</w:t>
      </w:r>
      <w:r>
        <w:rPr>
          <w:rFonts w:ascii="Times New Roman;Times;Serif" w:hAnsi="Times New Roman;Times;Serif"/>
          <w:b w:val="false"/>
          <w:i w:val="false"/>
          <w:caps w:val="false"/>
          <w:smallCaps w:val="false"/>
          <w:sz w:val="20"/>
        </w:rPr>
        <w:t>” means any period commencing with the date of the delivery of a written notice from the Borrower to the Administrative Agent specifying the incurrence or issuance by the Borrower or any Consolidated Subsidiary of Specified Acquisition Debt in connection with a Specified Acquisition and the date upon which any such Specified Acquisition Debt has been incurred or issued (a “</w:t>
      </w:r>
      <w:r>
        <w:rPr>
          <w:rFonts w:ascii="Times New Roman;Times;Serif" w:hAnsi="Times New Roman;Times;Serif"/>
          <w:b/>
          <w:i w:val="false"/>
          <w:caps w:val="false"/>
          <w:smallCaps w:val="false"/>
          <w:sz w:val="20"/>
        </w:rPr>
        <w:t>Specified Acquisition Debt Notice</w:t>
      </w:r>
      <w:r>
        <w:rPr>
          <w:rFonts w:ascii="Times New Roman;Times;Serif" w:hAnsi="Times New Roman;Times;Serif"/>
          <w:b w:val="false"/>
          <w:i w:val="false"/>
          <w:caps w:val="false"/>
          <w:smallCaps w:val="false"/>
          <w:sz w:val="20"/>
        </w:rPr>
        <w:t>”) to the earliest of (a) twelve months from the date such Specified Acquisition Debt Notice was delivered to the Administrative Agent, (b) the closing date of such Specified Acquisition or (c) the termination of the definitive documentation in respect of such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Stop Issuance Notice</w:t>
      </w:r>
      <w:r>
        <w:rPr>
          <w:rFonts w:ascii="Times New Roman;Times;Serif" w:hAnsi="Times New Roman;Times;Serif"/>
          <w:b w:val="false"/>
          <w:i w:val="false"/>
          <w:caps w:val="false"/>
          <w:smallCaps w:val="false"/>
          <w:sz w:val="20"/>
        </w:rPr>
        <w:t>” has the meaning set forth in ‎Section 2.16(f).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 unless otherwise specified, “Subsidiary” means a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Syndication Agents</w:t>
      </w:r>
      <w:r>
        <w:rPr>
          <w:rFonts w:ascii="Times New Roman;Times;Serif" w:hAnsi="Times New Roman;Times;Serif"/>
          <w:b w:val="false"/>
          <w:i w:val="false"/>
          <w:caps w:val="false"/>
          <w:smallCaps w:val="false"/>
          <w:sz w:val="20"/>
        </w:rPr>
        <w:t>” means Deutsche Bank Securities Inc., PNC Bank, National Association, Truist Bank and Wells Fargo Bank, National Association. “</w:t>
      </w:r>
      <w:r>
        <w:rPr>
          <w:rFonts w:ascii="Times New Roman;Times;Serif" w:hAnsi="Times New Roman;Times;Serif"/>
          <w:b/>
          <w:i w:val="false"/>
          <w:caps w:val="false"/>
          <w:smallCaps w:val="false"/>
          <w:sz w:val="20"/>
        </w:rPr>
        <w:t>Syndication Agent</w:t>
      </w:r>
      <w:r>
        <w:rPr>
          <w:rFonts w:ascii="Times New Roman;Times;Serif" w:hAnsi="Times New Roman;Times;Serif"/>
          <w:b w:val="false"/>
          <w:i w:val="false"/>
          <w:caps w:val="false"/>
          <w:smallCaps w:val="false"/>
          <w:sz w:val="20"/>
        </w:rPr>
        <w:t>” means any of them, in their capacity as syndication agents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Temporary Cash Investment</w:t>
      </w:r>
      <w:r>
        <w:rPr>
          <w:rFonts w:ascii="Times New Roman;Times;Serif" w:hAnsi="Times New Roman;Times;Serif"/>
          <w:b w:val="false"/>
          <w:i w:val="false"/>
          <w:caps w:val="false"/>
          <w:smallCaps w:val="false"/>
          <w:sz w:val="20"/>
        </w:rPr>
        <w:t>” means any Investment in (i) direct obligations of the United States or any agency thereof, or obligations guaranteed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the United States or any agency thereof, (ii) commercial paper rated at least A-1 by Standard &amp; Poor’s Financial Services LLC and P-1 by Moody’s Investors Service, Inc., (iii) bank deposits, checking accounts, money market deposits and time deposits with, including certificates of deposit issued by, any office of any bank or trust company which is organized under the laws of the United States or any state thereof and has capital, surplus and undivided profits aggregating at least $1,000,000,000, (iv) obligations of a municipality or its agency that are supported by a letter of credit from an office of a bank or trust company meeting the criteria set forth in clause (iii) above provided the holder of such obligations may compel the repurchase or resale of such obligations within a one month period, (v) repurchase agreements with respect to securities described in clause (i) above entered into with an office of a bank or trust company meeting the criteria specified in clause (iii) above, and (vi) investment funds, substantially all of whose assets are invested in Investments of the character and quality described in clauses (i) – (v) of this definition;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such Investment matures within one year from the date of acquisition thereof by the Borrower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 Margi</w:t>
      </w:r>
      <w:r>
        <w:rPr>
          <w:rFonts w:ascii="Times New Roman;Times;Serif" w:hAnsi="Times New Roman;Times;Serif"/>
          <w:b w:val="false"/>
          <w:i w:val="false"/>
          <w:caps w:val="false"/>
          <w:smallCaps w:val="false"/>
          <w:sz w:val="20"/>
        </w:rPr>
        <w:t>n” means, on any date, the rate per annum set forth under the caption “Term Benchmark Margin” for such date determined in accordance with the Pricing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 Loan</w:t>
      </w:r>
      <w:r>
        <w:rPr>
          <w:rFonts w:ascii="Times New Roman;Times;Serif" w:hAnsi="Times New Roman;Times;Serif"/>
          <w:b w:val="false"/>
          <w:i w:val="false"/>
          <w:caps w:val="false"/>
          <w:smallCaps w:val="false"/>
          <w:sz w:val="20"/>
        </w:rPr>
        <w:t>” means any Loan in respect of which interest is computed on the basis of a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with respect to any Term Benchmark Borrowing denominated in Dollars and for any tenor comparable to the applicable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December 21,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Commitments</w:t>
      </w:r>
      <w:r>
        <w:rPr>
          <w:rFonts w:ascii="Times New Roman;Times;Serif" w:hAnsi="Times New Roman;Times;Serif"/>
          <w:b w:val="false"/>
          <w:i w:val="false"/>
          <w:caps w:val="false"/>
          <w:smallCaps w:val="false"/>
          <w:sz w:val="20"/>
        </w:rPr>
        <w:t>” means, at the time for any determination thereof, the aggregate amount of the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Outstanding Amount</w:t>
      </w:r>
      <w:r>
        <w:rPr>
          <w:rFonts w:ascii="Times New Roman;Times;Serif" w:hAnsi="Times New Roman;Times;Serif"/>
          <w:b w:val="false"/>
          <w:i w:val="false"/>
          <w:caps w:val="false"/>
          <w:smallCaps w:val="false"/>
          <w:sz w:val="20"/>
        </w:rPr>
        <w:t>” means, at any time, the sum of (i) the aggregate principal amount of all Revolving Loans outstanding at such time and (ii) the aggregate amount of the Letter of Credit Liabilities of all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has the meaning set forth in ‎Section 9.08(e).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when used in reference to a Loan or Borrowing, refers to whether the rate of interest on such Loan, or on the Loans comprising the Borrowing, is determined by reference to the Adjusted Term SOFR Rate, the Base Rate or, if applicable pursuant to Section 8.02, the Adjusted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Unfunded Liabilities</w:t>
      </w:r>
      <w:r>
        <w:rPr>
          <w:rFonts w:ascii="Times New Roman;Times;Serif" w:hAnsi="Times New Roman;Times;Serif"/>
          <w:b w:val="false"/>
          <w:i w:val="false"/>
          <w:caps w:val="false"/>
          <w:smallCaps w:val="false"/>
          <w:sz w:val="20"/>
        </w:rPr>
        <w:t>” means, with respect to any Plan at any time, the amount (if any) by which (i) the present value of all benefits under such Plan exceeds (ii) the fair market value of all Plan assets allocable to such benefits (excluding any accrued but unpaid contributions), all determined on an ongoing basis as of the then most recent valuation date for such Plan in accordance with the assumptions used for funding such Plan pursuant to Section 430 of the Code, but only to the extent that such excess represents a potential liability of a member of the ERISA Group to the PBGC or an appointed trustee under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and the District of Columbia, but excluding the Commonwealths, territories and possessions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b w:val="false"/>
          <w:i/>
          <w:caps w:val="false"/>
          <w:smallCaps w:val="false"/>
          <w:sz w:val="20"/>
        </w:rPr>
        <w:t>. Accounting Terms and Determinations.</w:t>
      </w:r>
      <w:r>
        <w:rPr>
          <w:rFonts w:ascii="Times New Roman;Times;Serif" w:hAnsi="Times New Roman;Times;Serif"/>
          <w:b w:val="false"/>
          <w:i w:val="false"/>
          <w:caps w:val="false"/>
          <w:smallCaps w:val="false"/>
          <w:sz w:val="20"/>
        </w:rPr>
        <w:t xml:space="preserve"> Unless otherwise specified herein, all accounting terms used herein shall be 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Borrower’s independent public accountants) with the most recent audited consolidated financial statements of the Borrower and its Consolidated Subsidiaries delivered to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Borrower notifies the Administrative Agent that the Borrower wishes to amend any covenant contained in ‎Article 5 to eliminate the effect of any change after the date hereof in generally accepted accounting principles (which, for purposes of this proviso, shall include the generally accepted application or interpretation thereof) on the operation of such covenant (or if the Administrative Agent notifies the Borrower that the Required Lenders wish to amend any such covenant for such purpose), then the Borrower’s compliance with such covenant shall be determined on the basis of generally accepted accounting principles in effect immediately before the relevant change in generally accepted accounting principles is adopted by the Borrower, until either such notice is withdrawn or such covenant is amended in a manner satisfactory to the Borrower and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adoption of </w:t>
      </w:r>
      <w:r>
        <w:rPr>
          <w:rFonts w:ascii="Times New Roman;Times;Serif" w:hAnsi="Times New Roman;Times;Serif"/>
          <w:b w:val="false"/>
          <w:i/>
          <w:caps w:val="false"/>
          <w:smallCaps w:val="false"/>
          <w:sz w:val="20"/>
        </w:rPr>
        <w:t>Financial Accounting Standards Board Accounting Standards Update No. 2016-02, Leases (Topic 842)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FAS 842</w:t>
      </w:r>
      <w:r>
        <w:rPr>
          <w:rFonts w:ascii="Times New Roman;Times;Serif" w:hAnsi="Times New Roman;Times;Serif"/>
          <w:b w:val="false"/>
          <w:i w:val="false"/>
          <w:caps w:val="false"/>
          <w:smallCaps w:val="false"/>
          <w:sz w:val="20"/>
        </w:rPr>
        <w:t>”), to the extent such adoption would require (x) treating any lease (or similar arrangement conveying the right to use) as a capital lease where such lease (or similar arrangement) would not have been required to be so treated under GAAP as in effect on December 31, 2018 or (y) recognizing liabilities on the balance sheet with respect to operating leases under FAS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b w:val="false"/>
          <w:i/>
          <w:caps w:val="false"/>
          <w:smallCaps w:val="false"/>
          <w:sz w:val="20"/>
        </w:rPr>
        <w:t xml:space="preserve">. Types of Borrowings. </w:t>
      </w: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denotes the aggregation of Loans of one or more Lenders to be made to the Borrower pursuant to ‎Article 2 on the same date, all of which Loans are of the same type (subject to ‎Article 8) and, except in the case of Base Rate Loans, have the same initial Interest Period. Borrowings are classified for purposes of this Agreement by reference to the pricing of Loans comprising such Borrowing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Term Benchmark Borrowing</w:t>
      </w:r>
      <w:r>
        <w:rPr>
          <w:rFonts w:ascii="Times New Roman;Times;Serif" w:hAnsi="Times New Roman;Times;Serif"/>
          <w:b w:val="false"/>
          <w:i w:val="false"/>
          <w:caps w:val="false"/>
          <w:smallCaps w:val="false"/>
          <w:sz w:val="20"/>
        </w:rPr>
        <w:t>” is a Borrowing comprised of Term Benchmark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caps w:val="false"/>
          <w:smallCaps w:val="false"/>
          <w:sz w:val="20"/>
        </w:rPr>
        <w:t>Interest Rates; Benchmark Notification.</w:t>
      </w:r>
      <w:r>
        <w:rPr>
          <w:rFonts w:ascii="Times New Roman;Times;Serif" w:hAnsi="Times New Roman;Times;Serif"/>
          <w:b w:val="false"/>
          <w:i w:val="false"/>
          <w:caps w:val="false"/>
          <w:smallCaps w:val="false"/>
          <w:sz w:val="20"/>
        </w:rPr>
        <w:t xml:space="preserve"> The interest rate on a Loan denominated in dollars may be derived from an interest rate benchmark that may be discontinued or is, or may in the future become, the subject of regulatory reform. Upon the occurrence of a Benchmark Transition Event,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r>
        <w:rPr>
          <w:rFonts w:ascii="Times New Roman;Times;Serif" w:hAnsi="Times New Roman;Times;Serif"/>
          <w:b/>
          <w:i/>
          <w:caps w:val="false"/>
          <w:smallCaps w:val="false"/>
          <w:color w:val="0000FF"/>
          <w:sz w:val="20"/>
          <w:u w:val="single"/>
        </w:rPr>
        <w:t xml:space="preserve">. </w:t>
      </w:r>
      <w:r>
        <w:rPr>
          <w:rFonts w:ascii="Times New Roman;Times;Serif" w:hAnsi="Times New Roman;Times;Serif"/>
          <w:b w:val="false"/>
          <w:i/>
          <w:caps w:val="false"/>
          <w:smallCaps w:val="false"/>
          <w:sz w:val="20"/>
        </w:rPr>
        <w:t xml:space="preserve">Letter </w:t>
      </w:r>
      <w:r>
        <w:rPr>
          <w:rFonts w:ascii="Times New Roman;Times;Serif" w:hAnsi="Times New Roman;Times;Serif"/>
          <w:b w:val="false"/>
          <w:i/>
          <w:caps w:val="false"/>
          <w:smallCaps w:val="false"/>
          <w:strike/>
          <w:color w:val="FF0000"/>
          <w:sz w:val="20"/>
        </w:rPr>
        <w:t>of</w:t>
      </w:r>
      <w:r>
        <w:rPr>
          <w:rFonts w:ascii="Times New Roman;Times;Serif" w:hAnsi="Times New Roman;Times;Serif"/>
          <w:b/>
          <w:i/>
          <w:caps w:val="false"/>
          <w:smallCaps w:val="false"/>
          <w:color w:val="0000FF"/>
          <w:sz w:val="20"/>
          <w:u w:val="single"/>
        </w:rPr>
        <w:t>Of</w:t>
      </w:r>
      <w:r>
        <w:rPr>
          <w:rFonts w:ascii="Times New Roman;Times;Serif" w:hAnsi="Times New Roman;Times;Serif"/>
          <w:b w:val="false"/>
          <w:i/>
          <w:caps w:val="false"/>
          <w:smallCaps w:val="false"/>
          <w:sz w:val="20"/>
        </w:rPr>
        <w:t xml:space="preserve"> Credit Amounts. </w:t>
      </w:r>
      <w:r>
        <w:rPr>
          <w:rFonts w:ascii="Times New Roman;Times;Serif" w:hAnsi="Times New Roman;Times;Serif"/>
          <w:b w:val="false"/>
          <w:i w:val="false"/>
          <w:caps w:val="false"/>
          <w:smallCaps w:val="false"/>
          <w:sz w:val="20"/>
        </w:rPr>
        <w:t>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caps w:val="false"/>
          <w:smallCaps w:val="false"/>
          <w:sz w:val="20"/>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b w:val="false"/>
          <w:i/>
          <w:caps w:val="false"/>
          <w:smallCaps w:val="false"/>
          <w:sz w:val="20"/>
        </w:rPr>
        <w:t xml:space="preserve">. Commitments to Lend. </w:t>
      </w:r>
      <w:r>
        <w:rPr>
          <w:rFonts w:ascii="Times New Roman;Times;Serif" w:hAnsi="Times New Roman;Times;Serif"/>
          <w:b w:val="false"/>
          <w:i w:val="false"/>
          <w:caps w:val="false"/>
          <w:smallCaps w:val="false"/>
          <w:sz w:val="20"/>
        </w:rPr>
        <w:t>During the Revolving Credit Period, each Lender severally agrees, on the terms and conditions set forth in this Agreement, to make loans to the Borrower pursuant to this Section from time to time in Dollars in amounts such that (i) such Lender’s Outstanding Committed Amount shall not exceed its Commitment and (ii) the Total Outstanding Amount shall not exceed the Total Commitments. Within the foregoing limits, the Borrower may borrow under this Section, prepay Revolving Loans to the extent permitted by ‎Section 2.09 and reborrow at any time during the Revolving Credit Period under this Section. Each Borrowing under this Section shall be in an aggregate principal amount of $5,000,000 or any larger multiple of $1,000,000 (except that any such Borrowing may be in the aggregate amount available in accordance with ‎Section 3.02) and shall be made from the several Lenders in respective amounts equal to their respective Applicable Percentages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8.02, each Revolving Borrowing shall be comprised entirely of Base Rate Loans or Term Benchmark Loans, as the Borrower may request in accordance herewith.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b w:val="false"/>
          <w:i/>
          <w:caps w:val="false"/>
          <w:smallCaps w:val="false"/>
          <w:sz w:val="20"/>
        </w:rPr>
        <w:t xml:space="preserve">. Notice of Borrowing. </w:t>
      </w:r>
      <w:r>
        <w:rPr>
          <w:rFonts w:ascii="Times New Roman;Times;Serif" w:hAnsi="Times New Roman;Times;Serif"/>
          <w:b w:val="false"/>
          <w:i w:val="false"/>
          <w:caps w:val="false"/>
          <w:smallCaps w:val="false"/>
          <w:sz w:val="20"/>
        </w:rPr>
        <w:t>The Borrower shall give the Administrative Agent notice in writing (a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not later than 12:00 noon (New York City time) on (x) the date of each Base Rate Borrowing, (y) three U.S. Government Securities Business Days before the date of each proposed Term Benchmark Borrowing, and (z) five U.S. Government Securities Business Days before the date of each proposed RFR Borrowing (solely to the extent applicable pursuant to Section 8.02)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of such Borrowing, which shall be a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Loans comprising such Borrowing are to bear interest initially at the Base Rate or Term Benchmark (or, solely to the extent applicable pursuant to Section 8.02, Daily Simple SOFR);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Benchmark Borrowing, the duration of the initial Interest Period applicable thereto, subject to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b w:val="false"/>
          <w:i/>
          <w:caps w:val="false"/>
          <w:smallCaps w:val="false"/>
          <w:sz w:val="20"/>
        </w:rPr>
        <w:t xml:space="preserve">. Notice to Lenders; Funding of Loans. </w:t>
      </w:r>
      <w:r>
        <w:rPr>
          <w:rFonts w:ascii="Times New Roman;Times;Serif" w:hAnsi="Times New Roman;Times;Serif"/>
          <w:b w:val="false"/>
          <w:i w:val="false"/>
          <w:caps w:val="false"/>
          <w:smallCaps w:val="false"/>
          <w:sz w:val="20"/>
        </w:rPr>
        <w:t>(a) Upon receipt of a Notice of Borrowing, the Administrative Agent shall give each Lender participating therein prompt notice of the contents thereof and of such Lender’s share of such Borrowing and such Notice of Borrowing shall not thereafter be revocable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later than 2:00 p.m. (New York City time) on the date of each Borrowing, each Lender participating therein shall make available its share of such Borrowing in Federal or other funds immediately available in New York City, to the Administrative Agent at its address referred to in ‎Section 9.02. Unless the Administrative Agent determines that any applicable condition specified in ‎Article 3 has not been satisfied, the Administrative Agent will make the funds so received from the Lenders available to the Borrower at the Administrative Agent’s aforesaid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Administrative Agent shall have received notice from a Lender prior to the date of any Borrowing that such Lender will not make available to the Administrative Agent such Lender’s share of such Borrowing, the Administrative Agent may assume that such Lender has made such share available to the Administrative Agent on the date of such Borrowing in accordance with subsection (b) of this Section and the Administrative Agent may, in reliance upon such assumption, make available to the Borrower on such date a corresponding amount. If and to the extent that such Lender shall not have so made such share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(i) in the case of a payment made by a Lender, at the greater of the NYFRB Rate and a rate determined by the Administrative Agent in accordance with banking industry rules on interbank compensation and (ii) in the case of a payment made by the Borrower, at the interest rate applicable to Base Rate Loans. If such Lender shall repay to the Administrative Agent such corresponding amount, such amount so repaid shall constitute such Lender’s Loan included in such Borrowing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failure of any Lender to make a Loan required to be made by it as part of any Borrowing hereunder shall not relieve any other Lender of its obligation, if any, hereunder to make its Loan on the date of such Borrowing, but no Lender shall be responsible for the failure of any other Lender to make the Loan to be made by such other Lender on the date of the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b w:val="false"/>
          <w:i/>
          <w:caps w:val="false"/>
          <w:smallCaps w:val="false"/>
          <w:sz w:val="20"/>
        </w:rPr>
        <w:t xml:space="preserve">. Registry; Notes. </w:t>
      </w:r>
      <w:r>
        <w:rPr>
          <w:rFonts w:ascii="Times New Roman;Times;Serif" w:hAnsi="Times New Roman;Times;Serif"/>
          <w:b w:val="false"/>
          <w:i w:val="false"/>
          <w:caps w:val="false"/>
          <w:smallCaps w:val="false"/>
          <w:sz w:val="20"/>
        </w:rPr>
        <w:t>(a) The Administrative Agent, acting solely for this purpose as an agent of the Borrower, shall maintain at one of its offices a copy of each Assignment and Assumption Agreement delivered to it and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on which it will record the name and address of each Lender, each Commitment of and principal amounts (and stated interest) of each Lender, each Loan made by each Lender and each repayment of any Loan made by each Lender. Any such recordation by the Administrative Agent on the Register shall be presumptively correct, absent manifest error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agrees that, promptly upon the request of any Lender at any time, the Borrower shall deliver to such Lender a Note, duly executed by the Borrower and payable to such Lender and its registered assigns and representing the obligation of the Borrower to pay the aggregate unpaid principal amount of all Revolving Loans made to the Borrower by such Lender, with interest as provided herein on the unpaid principal amount from time to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shall record the date, amount and maturity of each Loan made by it and the date and amount of each payment of principal made by the Borrower with respect thereto, and each Lender receiving a Note pursuant to this Section, if such Lender so elects in connection with any transfer or enforcement of any Note, may record on the schedule forming a part thereof appropriate notations to evidence the foregoing information with respect to each such Loan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failure of such Lender to make any such recordation nor any error therein shall affect the obligations of the Borrower hereunder or under any Note. In the event of a conflict between any such recording and the Register, the Register should control absent manifest error</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b w:val="false"/>
          <w:i/>
          <w:caps w:val="false"/>
          <w:smallCaps w:val="false"/>
          <w:sz w:val="20"/>
        </w:rPr>
        <w:t>. Maturity of Loans; Amortization.</w:t>
      </w:r>
      <w:r>
        <w:rPr>
          <w:rFonts w:ascii="Times New Roman;Times;Serif" w:hAnsi="Times New Roman;Times;Serif"/>
          <w:b w:val="false"/>
          <w:i w:val="false"/>
          <w:caps w:val="false"/>
          <w:smallCaps w:val="false"/>
          <w:sz w:val="20"/>
        </w:rPr>
        <w:t xml:space="preserve"> Each Revolving Loan shall mature, and the outstanding principal amount thereof shall be due and payable, on the Termination Date.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b w:val="false"/>
          <w:i/>
          <w:caps w:val="false"/>
          <w:smallCaps w:val="false"/>
          <w:sz w:val="20"/>
        </w:rPr>
        <w:t xml:space="preserve">. Interest Rates. </w:t>
      </w:r>
      <w:r>
        <w:rPr>
          <w:rFonts w:ascii="Times New Roman;Times;Serif" w:hAnsi="Times New Roman;Times;Serif"/>
          <w:b w:val="false"/>
          <w:i w:val="false"/>
          <w:caps w:val="false"/>
          <w:smallCaps w:val="false"/>
          <w:sz w:val="20"/>
        </w:rPr>
        <w:t>(a) Each Base Rate Loan shall bear interest on the outstanding principal amount thereof, for each day from the date such Loan is made until it becomes due, at a rate per annum equal to the sum of the Base Rate plus the Applicable Base Rate Margin for such day. Such interest shall be payable at maturity, quarterly in arrears on each Quarterly Date prior to maturity and, with respect to the principal amount of any Base Rate Loan converted to a Term Benchmark Loan, on the date of such conversion. Any overdue principal of or interest on any Base Rate Loan shall bear interest, payable on demand, for each day until paid at a rate per annum equal to the sum of 2% plus the rate otherwise applicable to Base Rate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Term Benchmark Loan shall bear interest on the outstanding principal amount thereof, for each day during each Interest Period applicable thereto, at a rate per annum equal to the sum of the Applicable Term Benchmark Margin for such day plus the Adjusted Term SOFR Rate applicable to such Interest Period. Such interest shall be payable for each Interest Period on the last day thereof and, if such Interest Period is longer than three months, at intervals of three months after the first day thereof, and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applicable pursuant to Section 8.02, each RFR Loan shall bear interest on the outstanding principal amount thereof at a rate per annum equal to the sum of the Applicable RFR Margin for such day plus the Adjusted Daily Simple SOFR Rate applicable to such Interest Period. Such interest shall be payable on each date that is on the numerically corresponding day in each calendar month after the Borrowing of such Loan (or, if there is no such numerically corresponding day in such month, then the last day of such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overdue principal of or interest on any Term Benchmark Loan or RFR Loan shall bear interest, payable on demand, for each day until paid at a rate per annum equal to 2% plus the Applicable Term Benchmark Margin or Applicable RFR Margin, as applicable, to such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determine each interest rate applicable to the Loans hereunder. The Administrative Agent shall give prompt notice to the Borrower and the participating Lenders of each rate of interest so determined, and its determination thereof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b w:val="false"/>
          <w:i/>
          <w:caps w:val="false"/>
          <w:smallCaps w:val="false"/>
          <w:sz w:val="20"/>
        </w:rPr>
        <w:t xml:space="preserve">. Mandatory Termination of Commitments. </w:t>
      </w:r>
      <w:r>
        <w:rPr>
          <w:rFonts w:ascii="Times New Roman;Times;Serif" w:hAnsi="Times New Roman;Times;Serif"/>
          <w:b w:val="false"/>
          <w:i w:val="false"/>
          <w:caps w:val="false"/>
          <w:smallCaps w:val="false"/>
          <w:sz w:val="20"/>
        </w:rPr>
        <w:t>The Commitments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b w:val="false"/>
          <w:i/>
          <w:caps w:val="false"/>
          <w:smallCaps w:val="false"/>
          <w:sz w:val="20"/>
        </w:rPr>
        <w:t>. Optional Prepayments.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in the case of any Term Benchmark Borrowing to ‎Section 2.14 the Borrower may, upon notice to the Administrative Agent not later than 11:30 a.m. (New York City time) on the date of such prepayment, prepay any Group of Base Rate Loans or upon at least three U.S. Government Securities Business Days’ notice to the Administrative Agent, prepay any Group of Term Benchmark Loans, in each case in whole at any time, or from time to time in part in amounts aggregating $5,000,000 or any larger multiple of $1,000,000 by paying the principal amount to be prepaid together with accrued interest thereon to the date of prepayment. Each such optional prepayment shall be applied to prepay ratably the Loans of the several Lenders included in such Group of Loans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receipt of a notice of prepayment pursuant to this Section, the Administrative Agent shall promptly notify each affected Lender of the contents thereof and of such Lender’s ratable share of such prepayment and such notice shall not thereafter be revocable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of prepayment may state that such notice is conditioned upon the effectiveness of other credit facilities or the receipt of the proceeds from the issuance of other Debt, in which case such notice of prepayment may be revoked by the Borrower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b w:val="false"/>
          <w:i/>
          <w:caps w:val="false"/>
          <w:smallCaps w:val="false"/>
          <w:sz w:val="20"/>
        </w:rPr>
        <w:t>. General Provisions as to Payments.</w:t>
      </w:r>
      <w:r>
        <w:rPr>
          <w:rFonts w:ascii="Times New Roman;Times;Serif" w:hAnsi="Times New Roman;Times;Serif"/>
          <w:b w:val="false"/>
          <w:i w:val="false"/>
          <w:caps w:val="false"/>
          <w:smallCaps w:val="false"/>
          <w:sz w:val="20"/>
        </w:rPr>
        <w:t xml:space="preserve"> (a) The Borrower shall make each payment of principal of, and interest on, the Loans, of Letter of Credit Liabilities and of fees hereunder, not later than 2:00 p.m. (New York City time) on the date when due, in funds immediately available in New York City without set-off or counterclaim, to the Administrative Agent at its address referred to in ‎Section 9.02. If a Fed-Wire reference or tracer number has been received, from the Borrower or otherwise, by the Administrative Agent by that time the Borrower will not be penalized for a payment received after 2:00 p.m. (New York City time). The Administrative Agent will promptly distribute to each Lender its ratable share of each such payment received by the Administrative Agent for the account of the Lenders. Whenever any payment of principal of, or interest on, the Base Rate Loans, RFR Loans or Letter of Credit Liabilities or of fees shall be due on a day which is not a Domestic Business Day, the date for payment thereof shall be extended to the next succeeding Domestic Business Day. Whenever any payment of principal of, or interest on, the Term Benchmark Loans shall be due on a day which is not a Domestic Business Day, the date for payment thereof shall be extended to the next succeeding Domestic Business Day unless such Domestic Business Day falls in another calendar month, in which case the date for payment thereof shall be the next preceding Domestic Business Day. If the date for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is extended by operation of law or otherwise, interest thereon shall be payable for such extended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that the Borrower shall not have so made such payment, each Lender shall repay to the Administrative Agent forthwith on demand such amount distributed to such Lender together with interest thereon, for each day from and including the date such amount is distributed to such Lender until but excluding the date such Lender repays such amount to the Administrative Agent, at the NYFRB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shall fail to make any payment required to be made by it pursuant to ‎Section 2.04(c), ‎Section 2.10(b) or ‎Section 2.16(c), then the Administrative Agent may, in its discretion and notwithstanding any contrary provision hereof, (i) apply any amounts thereafter received by the Administrative Agent for the account of such Lender for the benefit of the Administrative Agent or the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b w:val="false"/>
          <w:i/>
          <w:caps w:val="false"/>
          <w:smallCaps w:val="false"/>
          <w:sz w:val="20"/>
        </w:rPr>
        <w:t>. Fees.</w:t>
      </w:r>
      <w:r>
        <w:rPr>
          <w:rFonts w:ascii="Times New Roman;Times;Serif" w:hAnsi="Times New Roman;Times;Serif"/>
          <w:b w:val="false"/>
          <w:i w:val="false"/>
          <w:caps w:val="false"/>
          <w:smallCaps w:val="false"/>
          <w:sz w:val="20"/>
        </w:rPr>
        <w:t xml:space="preserve"> (a) The Borrower shall pay to the Administrative Agent for the account of the Lenders ratably a facility fee at the Facility Fee Rate (determined daily in accordance with the Pricing Schedule) on the daily aggregate amount of the Credit Exposures. Such facility fee shall accrue from and including the Effective Date to but excluding the date that the Credit Exposures are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the Administrative Agent (i) for the account of the Lenders ratably a letter of credit fee accruing daily on the aggregate amount available for drawing under all outstanding Letters of Credit at the Letter of Credit Fee Rate (determined daily in accordance with the Pricing Schedule) and (ii) for the account of each Issuing Lender a letter of credit fronting fee accruing daily on the aggregate amount available for drawing under all outstanding Letters of Credit issued by such Issuing Lender at a rate per annum</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mutually agreed (and without need of consent or agreement from any other party) from time to time by the Borrower and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Accrued fees under this Section shall be payable quarterly in arrears on the fifteenth day following each Quarterly Date (in the case of the first such Quarterly Date, for the period from and including the Effective Date through such Quarterly Date) and on the date of termination of the Commitments in their entirety (and, if later, the date the Credit Exposures are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r>
        <w:rPr>
          <w:rFonts w:ascii="Times New Roman;Times;Serif" w:hAnsi="Times New Roman;Times;Serif"/>
          <w:b w:val="false"/>
          <w:i/>
          <w:caps w:val="false"/>
          <w:smallCaps w:val="false"/>
          <w:sz w:val="20"/>
        </w:rPr>
        <w:t>. Reduction or Termination of Commitments.</w:t>
      </w:r>
      <w:r>
        <w:rPr>
          <w:rFonts w:ascii="Times New Roman;Times;Serif" w:hAnsi="Times New Roman;Times;Serif"/>
          <w:b w:val="false"/>
          <w:i w:val="false"/>
          <w:caps w:val="false"/>
          <w:smallCaps w:val="false"/>
          <w:sz w:val="20"/>
        </w:rPr>
        <w:t xml:space="preserve"> During the Revolving Credit Period, the Borrower may, upon at least three Domestic Business Days’ notice to the Administrative Agent, (i) terminate the Commitments at any time, if the Total Outstanding Amount is equal to zero at such time or (ii) ratably reduce from time to time by an aggregate amount of $5,000,000 or a larger multiple of $1,000,000, the aggregate amount of the Commitments in excess of the Total Outstanding Amount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r>
        <w:rPr>
          <w:rFonts w:ascii="Times New Roman;Times;Serif" w:hAnsi="Times New Roman;Times;Serif"/>
          <w:b w:val="false"/>
          <w:i/>
          <w:caps w:val="false"/>
          <w:smallCaps w:val="false"/>
          <w:sz w:val="20"/>
        </w:rPr>
        <w:t>. Method of Electing Interest Rates.</w:t>
      </w:r>
      <w:r>
        <w:rPr>
          <w:rFonts w:ascii="Times New Roman;Times;Serif" w:hAnsi="Times New Roman;Times;Serif"/>
          <w:b w:val="false"/>
          <w:i w:val="false"/>
          <w:caps w:val="false"/>
          <w:smallCaps w:val="false"/>
          <w:sz w:val="20"/>
        </w:rPr>
        <w:t xml:space="preserve"> (a) The Loans included in each Borrowing shall bear interest initially at the type of rate specified by the Borrower in the applicable Notice of Borrowing. Thereafter, the Borrower may from time to time elect to change or continue the type of interest rate borne by each Group of Loans (subject in each case to the provisions of ‎Article 8 and the last sentence of this subsection(a)),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Loans are Base Rate Loans, the Borrower may elect to convert such Loans to Term Benchmark Loans or, to the extent available pursuant to Section 8.02, RFR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Loans are Term Benchmark Loans, the Borrower may elect to convert such Loans to Base Rate Loans or elect to continue such Loans as Term Benchmark Loans for an additional Interest Period, subject to ‎Section 2.14 in the case of any such conversion or continuation effective on any day other than the last day of the then current Interest Period applicable to such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pursuant to Section 8.02, such Loans are RFR Loans, the Borrower may elect to convert such Loans to Base Rate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election shall be made by delivering a notice (a “</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to the Administrative Agent not later than 12:00 noon. (New York City time) on the third Domestic Business Day before the conversion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continuation selected in such notice is to be effective. A Notice of Interest Rate Election may, if it so specifies, apply to only a portion of the aggregate principal amount of the relevant Group of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portion is allocated ratably among the Loans comprising such Group of Loans and (ii) the portion to which such notice applies, and the remaining portion to which it does not apply, are each $5,000,000 or any larger multiple of $1,000,000. If no such notice is timely received prior to the end of an Interest Period, the Borrower shall be deemed to have elected that all Loans having such Interest Period be converted to Base Rate Loans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Notice of Interest Rate Election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Group of Loans (or portion thereof) to which such notice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conversion or continuation selected in such notice is to be effective, which shall comply with the applicable clause of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Loans comprising such Group are to be converted, the new type of Loans and, if the Loans being converted are to be Term Benchmark Loans, the duration of the next succeeding Interest Period applicable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Loans are to be continued as Term Benchmark Loans for an additional Interest Period, the duration of such additional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Interest Period specified in a Notice of Interest Rate Election shall comply with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 Notice of Interest Rate Election from the Borrower pursuant to subsection (a) above, the Administrative Agent shall promptly notify each affected Lender of the contents thereof and such notice shall not thereafter be revocable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election by the Borrower to change or continue the rate of interest applicable to any Group of Loans pursuant to this Section shall not constitute a “Borrowing” subject to the provisions of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r>
        <w:rPr>
          <w:rFonts w:ascii="Times New Roman;Times;Serif" w:hAnsi="Times New Roman;Times;Serif"/>
          <w:b w:val="false"/>
          <w:i/>
          <w:caps w:val="false"/>
          <w:smallCaps w:val="false"/>
          <w:sz w:val="20"/>
        </w:rPr>
        <w:t>. Funding Losses.</w:t>
      </w:r>
      <w:r>
        <w:rPr>
          <w:rFonts w:ascii="Times New Roman;Times;Serif" w:hAnsi="Times New Roman;Times;Serif"/>
          <w:b w:val="false"/>
          <w:i w:val="false"/>
          <w:caps w:val="false"/>
          <w:smallCaps w:val="false"/>
          <w:sz w:val="20"/>
        </w:rPr>
        <w:t xml:space="preserve"> If the Borrower makes any payment of principal with respect to any Term Benchmark Loan or any Term Benchmark Loan is converted (pursuant to ‎Article 2, ‎6 or ‎8 or otherwise) on any day other than the last day of an Interest Period applicable thereto, or if the Borrower fails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borrow, prepay, convert or continue any Term Benchmark Loans after notice has been given to any Lender in accordance with ‎Section 2.04(a), ‎2.09 or ‎2.13 the Borrower shall reimburse each affected Lender within 30 days after demand for any resulting loss or expense incurred by it, including (without limitation) any loss incurred in obtaining, liquidating or employing deposits from third parties, but excluding loss of margin for the period after any such payment or conversion or failure to borrow, prepay, convert or continue,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have delivered to the Borrower a certificate as to the amount of such loss or expense, which certificate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r>
        <w:rPr>
          <w:rFonts w:ascii="Times New Roman;Times;Serif" w:hAnsi="Times New Roman;Times;Serif"/>
          <w:b w:val="false"/>
          <w:i/>
          <w:caps w:val="false"/>
          <w:smallCaps w:val="false"/>
          <w:sz w:val="20"/>
        </w:rPr>
        <w:t>. Computation of Interest and Fees.</w:t>
      </w:r>
      <w:r>
        <w:rPr>
          <w:rFonts w:ascii="Times New Roman;Times;Serif" w:hAnsi="Times New Roman;Times;Serif"/>
          <w:b w:val="false"/>
          <w:i w:val="false"/>
          <w:caps w:val="false"/>
          <w:smallCaps w:val="false"/>
          <w:sz w:val="20"/>
        </w:rPr>
        <w:t xml:space="preserve"> The facility fee paid pursuant to ‎Section 2.11 and interest based on the Prime Rate hereunder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r>
        <w:rPr>
          <w:rFonts w:ascii="Times New Roman;Times;Serif" w:hAnsi="Times New Roman;Times;Serif"/>
          <w:b w:val="false"/>
          <w:i/>
          <w:caps w:val="false"/>
          <w:smallCaps w:val="false"/>
          <w:sz w:val="20"/>
        </w:rPr>
        <w:t>.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Commitment to Issue Letters of Credit</w:t>
      </w:r>
      <w:r>
        <w:rPr>
          <w:rFonts w:ascii="Times New Roman;Times;Serif" w:hAnsi="Times New Roman;Times;Serif"/>
          <w:b w:val="false"/>
          <w:i w:val="false"/>
          <w:caps w:val="false"/>
          <w:smallCaps w:val="false"/>
          <w:sz w:val="20"/>
        </w:rPr>
        <w:t xml:space="preserve">. Subject to the terms and conditions hereof, each Issuing Lender agrees to issue Letters of Credit from time to time before the Letter of Credit Termination Date upon the request of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Deutsche Bank AG New York Branch shall not be obligated to issue Letters of Credit other than standby letters of credit in Dollars;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immediately after each Letter of Credit is issued (i) the Total Outstanding Amount shall not exceed the Total Commitments, (ii) unless otherwise agreed by the applicable Issuing Lender, the aggregate amount of Letter of Credit Liabilities attributable to Letters of Credit issued by the applicable Issuing Lender at such time shall not exceed such Issuing Lender’s Letter of Credit Commitment and (iii) the aggregate amount of the Letter of Credit Liabilities shall not exceed the Letter of Credit Sublimit. Upon the date of issuance by an Issuing Lender of a Letter of Credit, the applicable Issuing Lender shall be deemed, without further action by any party hereto, to have sold to each Lender, and each Lender shall be deemed, without further action by any party hereto, to have purchased from such Issuing Lender, a participation in such Letter of Credit and the related Letter of Credit Liabilities in the proportion of its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Method for Issuance; Terms; Extensions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give the applicable Issuing Lender notice at least three Domestic Business Days (or such shorter notice as</w:t>
      </w:r>
    </w:p>
    <w:p>
      <w:pPr>
        <w:pStyle w:val="TextBody"/>
        <w:bidi w:val="0"/>
        <w:spacing w:before="0" w:after="0"/>
        <w:ind w:left="720" w:right="0" w:firstLine="108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acceptable to the Issuing Lender in its discretion) prior to the requested issuance of a Letter of Credit (or, in the case of extension, prior to the applicable Issuing Lender’s deadline for notice of nonextension) specifying the date such Letter of Credit is to be issued, and describing the terms of such Letter of Credit and the nature of the transactions to be supported thereby (such notice, including any such notice given in connection with the extension of a Letter of Credit, a “</w:t>
      </w:r>
      <w:r>
        <w:rPr>
          <w:rFonts w:ascii="Times New Roman;Times;Serif" w:hAnsi="Times New Roman;Times;Serif"/>
          <w:b/>
          <w:i w:val="false"/>
          <w:caps w:val="false"/>
          <w:smallCaps w:val="false"/>
          <w:sz w:val="20"/>
        </w:rPr>
        <w:t>Notice of Issuance</w:t>
      </w:r>
      <w:r>
        <w:rPr>
          <w:rFonts w:ascii="Times New Roman;Times;Serif" w:hAnsi="Times New Roman;Times;Serif"/>
          <w:b w:val="false"/>
          <w:i w:val="false"/>
          <w:caps w:val="false"/>
          <w:smallCaps w:val="false"/>
          <w:sz w:val="20"/>
        </w:rPr>
        <w:t>”). Upon receipt of a Notice of Issuance, the applicable Issuing Lender shall promptly notify the Administrative Agent, and the Administrative Agent shall promptly notify each Lender of the contents thereof and of the amount of such Lender’s participation in such Letter of Credit. Unless the applicable Issuing Lender has received written notice from any Lender, the Administrative Agent or the Borrower, at least one Domestic Business Day prior to the requested date of issuance or amendment of the applicable Letter of Credit, that one or more applicable conditions contained in Section 3.02 shall not then be satisfied, then, subject to the terms and conditions hereof, the applicable Issuing Lender shall, on the requested date, issue a Letter of Credit for the account of the Borrower or enter into the applicable amendment, as the case may be, in each case in accordance with the applicable Issuing Lender’s usual and customary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obligation of the applicable Issuing Lender to issue each Letter of Credit shall, in addition to the conditions precedent set forth in ‎Article 3, be subject to the conditions precedent that such Letter of Credit shall be in such form and contain such terms as shall be reasonably satisfactory to the applicable Issuing Lender and that the Borrower shall have executed and delivered such other customary instruments and agreements relating to such Letter of Credit as the applicable Issuing Lender shall have reasonably requested;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each Issuing Lender agrees that in the event of any inconsistency between such instruments and agreements and this Agreement the provisions of this Agreement shall prevail. The Borrower shall also pay to the applicable Issuing Lender for its own account issuance, drawing, amendment, settlement and extension charges, if any, in the amounts and at the times as agreed between the Borrower and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extension of any Letter of Credit shall be deemed to be an issuance of such Letter of Credit, and if any Letter of Credit contains a provision pursuant to which it is deemed to be extended unless notice of termination is given by the applicable Issuing Lender, such Issuing Lender shall timely give such notice of termination unless it has theretofore timely received a Notice of Issuance and the other conditions to issuance of 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Letter of Credit have also theretofore been met with respect to such extension. Notwithstanding anything to the contrary in this Agreement, no Issuing Lender shall be under any obligation to issue, amend or extend any Letter of Credit if: (i) any order, judgment or decree of any Governmental Authority shall by its terms purport to enjoin or restrain such Issuing Lender from issuing, amending or extending the Letter of Credit, or any law, rule, regulation or treaty applicable to such Issuing Lender or any request or directive (whether or not having the force of law) from any Governmental Authority with jurisdiction over such Issuing Lender shall prohibit, or request that such Issuing Lender refrain from, the issuance, amendment or extension of letters of credit generally or the Letter of Credit in particular, (ii) any Change in Law shall impose upon such Issuing Lender with respect to the Letter of Credit any restriction, reserve or capital requirement (for which such Issuing Lender is not otherwise compensated hereunder) not in effect on the Effective Date or (iii) the issuance of such Letter of Credit would violate one or more policies of such Issuing Lender applicable to letters of credit generally. Each Letter of Credit shall expire at or before the close of business on the date that is one year after such Letter of Credit is issued (or, in the case of any extension thereof, one year after such extension);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 Letter of Credit may contain a provision pursuant to which it is deemed to be extended on an annual basis unless notice of termination is given by the applicable Issuing Lender and (ii) in no event will a Letter of Credit other than the Johnson County Letter of Credit expire (including pursuant to an extension thereof) on a date later than the Letter of Credit Termination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Cash Collateralize its obligations with respect to the Johnson County Letter of Credit not later than the Termination Date. Upon and subject to the posting of such Cash Collateral, the obligations of the Lenders in respect of the Johnson County Letter of Credit shall terminate, and fees in respect thereof shall be payable solely for the account of the Issuing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Payments; Reimbursement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receipt from the beneficiary of any Letter of Credit of any notice of a drawing under such Letter of Credit, the applicable Issuing Lender shall promptly notify the Administrative Agent and the Administrative Agent shall promptly notify the Borrower and each Lender as to the amount to be paid as a result of such demand or drawing and the date such payment is to be made by the applicable Issuing Lender (the “</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The Borrower shall be irrevocably and unconditionally obligated to reimburse the applicable Issuing Lender for any amounts paid by such Issuing Lender upon any drawing under any Letter of Credit,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presentment, demand, protest or other formalities of any kind. Such Reimbursement Obligation shall be due on the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payment shall be due from the Borrower any earlier than the date of receipt by it of notice of its obligation to make such payment (or, if such notice is received by the Borrower after 11:00 a.m. (New York City time) on any date, on the next succeeding Domestic Business Day);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any such Reimbursement Obligation is not paid by the Borrower in accordance with this clause ‎(i) or clause ‎(ii) below on the Payment Date, then (irrespective of when notice thereof is received by the Borrower), such Reimbursement Obligation shall bear interest, payable on demand, for each day from and including the Payment Date to but not including the date such Reimbursement Obligation is paid in full or converted to Base Rate Loans pursuant to clause (ii) below, at a rate per annum equal to the rate applicable to Base Rate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Commitments remain in effect on the Payment Date, such Reimbursement Obligation shall, if and to the extent that the amount of such Reimbursement Obligation would be permitted as a Borrowing of Revolving Loans pursuant to ‎Section 3.02, and unless the Borrower otherwise instructs the Administrative Agent by not later than 11:30 a.m. (New York City time) on the Payment Date, convert automatically to Base Rate Loans on the Payment Date. The Administrative Agent shall, on behalf of the Borrower (which hereby irrevocably directs the Administrative Agent so to act on its behalf), give notice no later than 12:00 noon (New York City time) on such date requesting each Lender to make, and each Lender hereby agrees to make, a Base Rate Loan, in an amount equal to such Lender’s Applicable Percentage of the Reimbursement Obligation with respect to which such notice relates. Each Lender shall make such Loan available to the Administrative Agent at its address referred to in ‎Section 9.02 in immediately available funds, not later than 2:00 p.m. (New York City time), on the date specified in such notice. The Administrative Agent shall pay the proceeds of such Loans to the applicable Issuing Lender, which shall immediately apply such proceeds to repay the Reimbursement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a Reimbursement Obligation is not refunded by a Lender pursuant to clause ‎(ii) above, such Lender will pay to the Administrative Agent, for the account of the applicable Issuing Lender, immediately upon such Issuing Lender’s demand at any time during the period commencing after such Reimbursement Obligation arises until reimbursement therefor in full by the Borrower, an amount equal to such Lender’s Applicable Percentage of such Reimbursement Obligation,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together with interest on such amounts for each day from the date of the Issuing Lender’s demand for such payment (or, if such demand is made after 1:00 p.m. (New York City time) on such date, from the next succeeding Domestic Business Day) to the date of payment by such Lender of such amount at a rate of interest per annum equal to the greater of the NYFRB Rate and a rate determined by the Administrative Agent in accordance with banking industry rules on interbank compensation. The applicable Issuing Lender will pay to each Lender ratably all amounts received from the Borrower for application in payment of its Reimbursement Obligations in respect of any Letter of Credit, but only to the extent such Lender has made payment to such Issuing Lender in respect of such Letter of Credit pursuant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such payment received by such Issuing Lender is required to be returned, such Lender will return to such Issuing Lender any portion thereof previously distributed to it by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Obligations Absolute</w:t>
      </w:r>
      <w:r>
        <w:rPr>
          <w:rFonts w:ascii="Times New Roman;Times;Serif" w:hAnsi="Times New Roman;Times;Serif"/>
          <w:b w:val="false"/>
          <w:i w:val="false"/>
          <w:caps w:val="false"/>
          <w:smallCaps w:val="false"/>
          <w:sz w:val="20"/>
        </w:rPr>
        <w:t>. The obligations of the Borrower and each Lender under subsection (c) above shall be absolute, unconditional and irrevocable, and shall be performed strictly in accordance with the terms of this Agreement, under all circumstances whatsoever, including without limitation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this Agreement or any Letter of Credit or any document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use which may be made of the Letter of Credit by, or any acts or omission of, a beneficiary of a Letter of Credit (or any Person for whom the beneficiary may be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existence of any claim, set-off, defense or other rights that the Borrower may have at any time against a beneficiary of a Letter of Credit (or any Person for whom the beneficiary may be acting), any Lender (including the Issuing Lender) or any other Person, whether in connection with this Agreement or the Letter of Credit or any document related hereto or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statement or any other document presented under a Letter of Credit proving to be forged, fraudulent or invalid in any respect or any statement therein being untrue or inaccurate in any respect whatsoever;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 under a Letter of Credit against presentation to the Issuing Lender of documents that do not comply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termination of the Commitments prior to, on or after the Payment Date for any Letter of Credit, whether at the scheduled termination thereof, by operation of ‎Section 6.01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other act or omission to act or delay of any kind by any Lender (including the Issuing Lender), the Administrative Agent or any other Person or any other event or circumstance whatsoever that might, but for the provisions of this subsection (d), constitute a legal or equitable discharge of or defense to the Borrower’s or the Lender’s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‎Section 2.16(d) shall not limit the rights of the Borrower under ‎Section 2.16(e)(ii). Each Issuing Lender shall have all of the benefits and immunities (A) provided to the Administrative Agent in Article 7 with respect to any acts taken or omissions suffered by such Issuing Lender in connection with Letters of Credit issued by it or proposed to be issued by it as fully as if the term “Administrative Agent” as used in Article 7 included such Issuing Lender with respect to such acts or omissions, and (B) as additionally provided herein with respect to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Indemnification;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hereby indemnifies and holds harmless each Lender (including each Issuing Lender) and the Administrative Agent from and against any and all claims, damages, losses, liabilities, costs or expenses which it may reasonably incur in connection with a Letter of Credit issued pursuant to this ‎Section 2.16;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indemnify any Lender (including the Issuing Lender) or the Administrative Agent, for any claims, damages, losses, liabilities, costs or expenses (i) to the extent such indemnification relates to relationships between or among each of, or any of, the Lenders (including each Issuing Lender), the Administrative Agent or any Assignee or Participant and does not involve any act or omission by the Borrower or (ii) to the extent found by a court of competent jurisdiction by final and nonappealable judgment to have been caused by the gross negligence or willful misconduct of such Person or the bad faith breach by such Person of any of its material obligations hereunder.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None of the Lenders (including, subject to the proviso below, an Issuing Lender) nor the Administrative Agent nor any of their officers or directors or employees or agents shall be liable or responsible, by reason of or in connection with the execution and delivery or transfer of or payment or failure to pay under any Letter of Credit, including without limitation any of the circumstances enumerated in subsection (d)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‎Section 2.16(d), the Borrower shall have a claim for direct (but not consequential) damage suffered by it, to the extent finally determined by a court of competent jurisdiction by final and nonappealable judgment to have been caused by (x) the applicable Issuing Lender’s gross negligence or willful misconduct in determining whether documents presented under any Letter of Credit complied with the terms of such Letter of Credit or (y) the applicable Issuing Lender’s failure to pay under any Letter of Credit after the presentation to it of documents strictly complying with the terms and conditions of the Letter of Credit. The parties agree that, with respect to documents presented which appear on their face to be in substantial compliance with the terms of a Letter of Credit, the applicable Issuing Lender may, in its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Nothing in this subsection (e) is intended to limit the obligations of the Borrower under any other provision of this Agreement. To the extent the Borrower does not indemnify an Issuing Lender as required by this subsection, the Lenders agree to do so ratably in accordance with their Applicable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Stop Issuance Notice</w:t>
      </w:r>
      <w:r>
        <w:rPr>
          <w:rFonts w:ascii="Times New Roman;Times;Serif" w:hAnsi="Times New Roman;Times;Serif"/>
          <w:b w:val="false"/>
          <w:i w:val="false"/>
          <w:caps w:val="false"/>
          <w:smallCaps w:val="false"/>
          <w:sz w:val="20"/>
        </w:rPr>
        <w:t>. If the Required Lenders reasonably determine at any time that the conditions set forth in ‎Section 3.02 would not be satisfied in respect of a Borrowing at such time, then the Required Lenders may request that the Administrative Agent issue a “</w:t>
      </w:r>
      <w:r>
        <w:rPr>
          <w:rFonts w:ascii="Times New Roman;Times;Serif" w:hAnsi="Times New Roman;Times;Serif"/>
          <w:b/>
          <w:i w:val="false"/>
          <w:caps w:val="false"/>
          <w:smallCaps w:val="false"/>
          <w:sz w:val="20"/>
        </w:rPr>
        <w:t>Stop Issuance Notice</w:t>
      </w:r>
      <w:r>
        <w:rPr>
          <w:rFonts w:ascii="Times New Roman;Times;Serif" w:hAnsi="Times New Roman;Times;Serif"/>
          <w:b w:val="false"/>
          <w:i w:val="false"/>
          <w:caps w:val="false"/>
          <w:smallCaps w:val="false"/>
          <w:sz w:val="20"/>
        </w:rPr>
        <w:t xml:space="preserve">”, and the Administrative Agent shall issue such notice to each Issuing Lender. Such Stop Issuance Notice shall be promptly withdrawn upon a determination by the Required Lenders that the circumstances giving rise thereto no longer exist. No Letter of Credit shall be issued while a Stop Issuance Notice is in effect. The Required Lenders may request issuance of a Stop Issuance Notice only if there is a reasonable basis therefor, and shall consider reasonably and in good faith a request from the Borrower for withdrawal of the same on the basis that the conditions in ‎Section 3.02 are satisfied,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Administrative Agent and the Issuing Lenders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and shall conclusively rely upon any Stop Issuance Notice while it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 xml:space="preserve">Additional Issuing Lenders. </w:t>
      </w:r>
      <w:r>
        <w:rPr>
          <w:rFonts w:ascii="Times New Roman;Times;Serif" w:hAnsi="Times New Roman;Times;Serif"/>
          <w:b w:val="false"/>
          <w:i w:val="false"/>
          <w:caps w:val="false"/>
          <w:smallCaps w:val="false"/>
          <w:sz w:val="20"/>
        </w:rPr>
        <w:t>From time to time, the Borrower may, with the consent of the Administrative Agent (which consent shall not be unreasonably withheld or delayed) and by notice to the Lenders, designate as additional Issuing Lenders one or more Lenders that agree to serve in such capacity as provided below. The acceptance by a Lender of any appointment as an Issuing Lender hereunder shall be evidenced by an instrument, which shall be in a form reasonably satisfactory to the Borrower, such Lender and the Administrative Agent, shall set forth the Letter of Credit Commitment of such Lender and shall be executed by such Lender, the Borrower and the Administrative Agent and, from and after the effective date of such agreement (i) such Lender shall have all the rights and obligations of an Issuing Lender under this Agreement and (ii) references herein to the term “Issuing Lender” shall be deemed to include such Lender in its capacity as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Resignation</w:t>
      </w:r>
      <w:r>
        <w:rPr>
          <w:rFonts w:ascii="Times New Roman;Times;Serif" w:hAnsi="Times New Roman;Times;Serif"/>
          <w:b w:val="false"/>
          <w:i w:val="false"/>
          <w:caps w:val="false"/>
          <w:smallCaps w:val="false"/>
          <w:sz w:val="20"/>
        </w:rPr>
        <w:t>. Each Issuing Lender may, if such Issuing Lender assigns all of its Commitments and Loans or otherwise ceases to be a Lender, resign by giving 30 days’ prior notice to the Administrative Agent and the Borrower.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or increase any existing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r>
        <w:rPr>
          <w:rFonts w:ascii="Times New Roman;Times;Serif" w:hAnsi="Times New Roman;Times;Serif"/>
          <w:b w:val="false"/>
          <w:i/>
          <w:caps w:val="false"/>
          <w:smallCaps w:val="false"/>
          <w:sz w:val="20"/>
        </w:rPr>
        <w:t>. Defaulting Lenders.</w:t>
      </w:r>
      <w:r>
        <w:rPr>
          <w:rFonts w:ascii="Times New Roman;Times;Serif" w:hAnsi="Times New Roman;Times;Serif"/>
          <w:b w:val="false"/>
          <w:i w:val="false"/>
          <w:caps w:val="false"/>
          <w:smallCaps w:val="false"/>
          <w:sz w:val="20"/>
        </w:rPr>
        <w:t xml:space="preserve">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unused portion of the Commitment (if any) of such Defaulting Lender pursuant to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the payment on a pro rata basis of any amounts owing by such Defaulting Lender to any Issuing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Letter of Credit Liabilities with respect to such Defaulting Lender in accordance with this Section;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Letter of Credit Liabilities with respect to such Defaulting Lender with respect to future Letters of Credit issued under this Agreement, in accordance with this Section;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to the payment of any amounts owing to the Lenders or the Issuing Lenders as a result of any judgment of a court of competent jurisdiction obtained by any Lender or the Issuing Lenders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disbursements in respect of Letters of Credit in respect of which such Defaulting Lender has not fully funded its appropriate share, and (y) such Loans were made or the related Letters of Credit were issued at a time when the conditions set forth in Section 3.02 were satisfied or waived, such payment shall be applied solely to pay the Loans of, and disbursements in respect of Letters of Credit owed to, all non-Defaulting Lenders on a pro rata basis prior to being applied to the payment of any Loans of, or disbursements in respect of Letters of Credit owed to, such Defaulting Lender until such time as all Loans and funded and unfunded participations in the Borrower’s obligations corresponding to such Defaulting Lender’s Letter of Credit Liabilities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Exposure of such Defaulting Lender shall not be included in determining whether the Required Lenders have taken or may take any action hereunder (including any consent to any amendment, waiver or other modification pursuant to ‎Section 9.07); it being understood that this clause ‎(b) shall not affect the rights of a Defaulting Lender in the case of an amendment,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or other modification under ‎Section 9.07(a)(i), ‎Section 9.07(a)(ii) or ‎Section 9.07(a)(iii).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Letter of Credit Liabilities exist at the time such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 portion of the Letter of Credit Liabilities of such Defaulting Lender shall be reallocated among the Non-Defaulting Lenders in accordance with their respective Applicable Percentages, but only to the extent that the sum of all Non-Defaulting Lenders’ Outstanding Committed Amounts plus such Defaulting Lender’s Letter of Credit Liabilities does not exceed the total of all Non-Defaulting Lenders’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one Domestic Business Day following notice by the Administrative Agent, Cash Collateralize for the benefit of the Issuing Lender only the Borrower’s obligations corresponding to such Defaulting Lender’s Letter of Credit Liabilities (after giving effect to any partial reallocation pursuant to clause ‎(i) above) until the earlier of the first date upon which (A) such Letter of Credit Liabilities shall no longer be outstanding, (B) such Lender shall no longer be a Defaulting Lender hereunder (whether pursuant to this Section 2.17 or Section 9.01 hereof), and (C) such Defaulting Lender shall provide Cash Collateral in respect of such Letter of Credit Liabilities. Upon the occurrence of any of the events described in subclauses (A) – (C) above, or upon any partial reduction of such Letter of Credit Liabilities, the Administrative Agent shall promptly return to the Borrower any Cash Collateral provided by the Borrower in respect of such Letter of Credit Liabilities (or, following any partial reduction of such Letter of Credit Liabilities, such ratable portion thereof), together with any interest accrued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not be required to pay any fees to any Defaulting Lender pursuant to Section 2.11(a) or ‎Section 2.11(b) with respect to such Defaulting Lender’s Letter of Credit Liabilities unless, and solely to the extent, that such Defaulting Lender has provided Cash Collateral in respect of such Letter of Credit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the Letter of Credit Liabilities of any Defaulting Lender is reallocated pursuant to clause ‎(i) above, then the letter of credit fees payable to each Non-Defaulting Lender pursuant to ‎Section 2.11(b) shall be adjusted to include amounts owing in respect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Credit Liabilities so reallocated to such Non-Defaulting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Letter of Credit Liabilities is neither reallocated nor Cash Collateralized by the Borrower and/or such Defaulting Lender pursuant to clause ‎(i) or (ii) above, then, without prejudice to any rights or remedies of any Issuing Lender or any other party hereunder, all facility fees that otherwise would have been payable to such Defaulting Lender (solely with respect to the portion of such Defaulting Lender’s Commitment that was utilized by such Letter of Credit Liabilities) and letter of credit fees payable under ‎Section 2.11(b) with respect to such Defaulting Lender’s Letter of Credit Liabilities that have not been so reallocated or Cash Collateralized shall be payable to the Issuing Lenders until and to the extent that such Letter of Credit Liabilities are so reallocated and/or Cash Collateralized.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any Lender is a Defaulting Lender, no Issuing Lender shall be required to issue, amend or increase any Letter of Credit, unless it is satisfied that the related exposure and such Defaulting Lender’s then outstanding Letter of Credit Liabilities will be 100% covered by the Commitments of the Non-Defaulting Lenders and/or Cash Collateralized by the Borrower in accordance with ‎Section 2.17(d), and participating interests in any newly issued or increased Letter of Credit shall be allocated among Non-Defaulting Lenders in a manner consistent with ‎Section 2.17(d)(i)(and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(i) a Bankruptcy Event or a Bail-In Action with respect to a Parent shall occur following the date hereof and for so long as such event shall continue or (ii) any Issuing Lender has a good faith belief that any Lender has defaulted in fulfilling its obligations under one or more other agreements in which such Lender commits to extend credit, no Issuing Lender shall be required to issue, amend or increase any Letter of Credit, unless the Issuing Lenders shall have entered into arrangements with the Borrower or such Lender, satisfactory to each Issuing Lender,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that the Administrative Agent, the Borrower and each Issuing Lender agree that such Defaulting Lender has adequately remedied all matters that caused such Lender to be a Defaulting Lender, then (i) such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cease to be Defaulting Lender and (ii) the Letter of Credit Liabilities of the Lenders shall be readjusted to reflect the inclusion of such Lender’s Commitment, and on such date such Lender shall purchase at par such of the Revolving Loans of the other Lenders as the Administrative Agent shall determine may be necessary in order for such Lender to hold such Revolving Loans in accordance with its Applicable Percentage;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such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cessation of such Lender’s Defaulting Lender status hereunder will constitute a waiver or release of any claim of any party hereunder arising from such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caps w:val="false"/>
          <w:smallCaps w:val="false"/>
          <w:sz w:val="20"/>
        </w:rPr>
        <w:t>Optional Increase in Commitments</w:t>
      </w:r>
      <w:r>
        <w:rPr>
          <w:rFonts w:ascii="Times New Roman;Times;Serif" w:hAnsi="Times New Roman;Times;Serif"/>
          <w:b w:val="false"/>
          <w:i w:val="false"/>
          <w:caps w:val="false"/>
          <w:smallCaps w:val="false"/>
          <w:sz w:val="20"/>
        </w:rPr>
        <w:t>. Following the Effective Date, the Borrower may, if it so elects, increase the aggregate amount of the Commitments, either by designating a financial institution not theretofore a Lender (a “</w:t>
      </w:r>
      <w:r>
        <w:rPr>
          <w:rFonts w:ascii="Times New Roman;Times;Serif" w:hAnsi="Times New Roman;Times;Serif"/>
          <w:b/>
          <w:i w:val="false"/>
          <w:caps w:val="false"/>
          <w:smallCaps w:val="false"/>
          <w:sz w:val="20"/>
        </w:rPr>
        <w:t>New Lender</w:t>
      </w:r>
      <w:r>
        <w:rPr>
          <w:rFonts w:ascii="Times New Roman;Times;Serif" w:hAnsi="Times New Roman;Times;Serif"/>
          <w:b w:val="false"/>
          <w:i w:val="false"/>
          <w:caps w:val="false"/>
          <w:smallCaps w:val="false"/>
          <w:sz w:val="20"/>
        </w:rPr>
        <w:t xml:space="preserve">”) to become a Lender (such designation to be effective only with the prior written consent of the Administrative Agent and each Issuing Lender, which consents will not be unreasonably withheld or delayed), or by agreeing with an existing Lender that such Lender’s Commitment shall be increased. Upon execution and delivery by the Borrower and such Lender or New Lender of an instrument in form reasonably satisfactory to the Administrative Agent, together with such evidence of appropriate corporate authorization on the part of the Borrower with respect to the increased Commitments and such opinions of counsel for the Borrower with respect to the increased Commitments as the Administrative Agent may reasonably request, such existing Lender shall have a Commitment as therein set forth or such other financial institution shall become a Lender with a Commitment as therein set forth and all the rights and obligations of a Lender with such a Commitment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Borrower shall provide prompt notice of such increase to the Administrative Agent, who shall promptly notify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conditions set forth in Sections 3.02(c) and (d) shall be satisfied on and as of the effective date of any increase in Commitments pursuant to this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such increase shall be in an amount which is a multiple of $10,000,000;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immediately after such increase is made, the aggregate amount of increases in the Commitments pursuant to this Section 2.18 shall not exceed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any increase in the aggregate amount of the Commitments pursuant to this Section 2.18, (i) each New Lender shall pay to the Administrative Agent an amount equal to its pro rata share of the aggregate outstanding Loans (and funded participations, if any, in Letters of Credit) and (ii) any Lender whose Commitment has been increased (an “</w:t>
      </w:r>
      <w:r>
        <w:rPr>
          <w:rFonts w:ascii="Times New Roman;Times;Serif" w:hAnsi="Times New Roman;Times;Serif"/>
          <w:b/>
          <w:i w:val="false"/>
          <w:caps w:val="false"/>
          <w:smallCaps w:val="false"/>
          <w:sz w:val="20"/>
        </w:rPr>
        <w:t>Increasing Lender</w:t>
      </w:r>
      <w:r>
        <w:rPr>
          <w:rFonts w:ascii="Times New Roman;Times;Serif" w:hAnsi="Times New Roman;Times;Serif"/>
          <w:b w:val="false"/>
          <w:i w:val="false"/>
          <w:caps w:val="false"/>
          <w:smallCaps w:val="false"/>
          <w:sz w:val="20"/>
        </w:rPr>
        <w:t>”) shall pay to the Administrative Agent an amount equal to the increase in its pro rata share of the aggregate outstanding Loans (and funded participations as above); in each case such payments shall be for the account of each other Lender.  Upon receipt of such amount by the Administrative Agent, (A) each other Lender shall be deemed to have ratably assigned that portion of its outstanding Loans that is being reduced to the New Lenders and the Increasing Lenders in accordance with such Lender’s new Commitment or the increased portion thereof as applicable, (B) the Administrative Agent shall promptly distribute to each other Lender its ratable share of the amounts received by the Administrative Agent pursuant to this paragraph and (C) the participations of the Lenders in outstanding Letters of Credit shall be determined in accordance with their Commitments after giving effect to such increase. For the avoidance of doubt, no existing Lender shall have any obligation to participate in such increase except in its absolute and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b w:val="false"/>
          <w:i/>
          <w:caps w:val="false"/>
          <w:smallCaps w:val="false"/>
          <w:sz w:val="20"/>
        </w:rPr>
        <w:t>. Effectiveness.</w:t>
      </w:r>
      <w:r>
        <w:rPr>
          <w:rFonts w:ascii="Times New Roman;Times;Serif" w:hAnsi="Times New Roman;Times;Serif"/>
          <w:b w:val="false"/>
          <w:i w:val="false"/>
          <w:caps w:val="false"/>
          <w:smallCaps w:val="false"/>
          <w:sz w:val="20"/>
        </w:rPr>
        <w:t xml:space="preserve"> The Commitments shall become effective upon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counterparts hereof signed by each of the parties hereto (or, in the case of any party as to which an executed counterpart shall not have been received, receipt by the Administrative Agent in form satisfactory to it of facsimile or other electronic transmission or other written confirmation from such party of execution of a counterpart hereof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an opinion of Cravath, Swaine &amp; Moore LLP, counsel for the Borrower, and an opinion of Robinson, Bradshaw &amp; Hinson, P.A., North Carolina counsel for the Borrower, in each case dated as of the Effective Date and addressed to the Administrative Agent and each Lender and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all documents the Administrative Agent may reasonably request relating to the existence of the Borrower, the corporate authority for and the validity of this Agreement and any Notes, all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evidence reasonably satisfactory to the Administrative Agent that all fees and invoiced expenses due and payable by the Borrower on or prior to the Effective Date, including (x) principal of and interest on any loans outstanding under, and all accrued fees under, the Existing Credit Facility, (y) all fees then due in accordance with each fee letter dated November 29, 2021 and (z) reimbursement or payment of all out of pocket expenses required to be reimbursed or paid by the Borrower hereunder and under such fee letters,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to the extent such documentation and information has been requested by the Lenders at least five Domestic Business Days prior to the Effective Date, the Lenders shall have received (i) all documentation and other information required by bank regulatory authorities under applicable “know your customer” and anti-money laundering rules and regulations, including the Patriot Act and (ii) to the extent the Borrower qualifies as a “legal entity customer” under the Beneficial Ownership Regulation, a Beneficial Ownership Certification in relation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conditions set forth in paragraphs (c) and (d) of Section 3.02 shall be satisfied on and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promptly notify the Borrower and the Lenders of the Effective Date, and such notice shall be conclusive and binding on all parties hereto. The Lenders that are parties to the Existing Credit Facility, constituting the “</w:t>
      </w:r>
      <w:r>
        <w:rPr>
          <w:rFonts w:ascii="Times New Roman;Times;Serif" w:hAnsi="Times New Roman;Times;Serif"/>
          <w:b w:val="false"/>
          <w:i/>
          <w:caps w:val="false"/>
          <w:smallCaps w:val="false"/>
          <w:sz w:val="20"/>
        </w:rPr>
        <w:t>Required Lenders</w:t>
      </w:r>
      <w:r>
        <w:rPr>
          <w:rFonts w:ascii="Times New Roman;Times;Serif" w:hAnsi="Times New Roman;Times;Serif"/>
          <w:b w:val="false"/>
          <w:i w:val="false"/>
          <w:caps w:val="false"/>
          <w:smallCaps w:val="false"/>
          <w:sz w:val="20"/>
        </w:rPr>
        <w:t>” under the Existing Credit Facility, and the Borrower agree that (i) the commitments under the Existing Credit Facility shall terminate automatically on the Effective Date without need for further action by any party to the Existing Credit Facility and (ii) all requirements of notice for any prepayment under the Existing Credit Agreement necessary to satisfy the conditions stated in ‎Section 3.01(d) or the termination of commitments pursuant to clause ‎(i) above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b w:val="false"/>
          <w:i/>
          <w:caps w:val="false"/>
          <w:smallCaps w:val="false"/>
          <w:sz w:val="20"/>
        </w:rPr>
        <w:t>. Borrowings and Issuances of Letters of Credit.</w:t>
      </w:r>
      <w:r>
        <w:rPr>
          <w:rFonts w:ascii="Times New Roman;Times;Serif" w:hAnsi="Times New Roman;Times;Serif"/>
          <w:b w:val="false"/>
          <w:i w:val="false"/>
          <w:caps w:val="false"/>
          <w:smallCaps w:val="false"/>
          <w:sz w:val="20"/>
        </w:rPr>
        <w:t xml:space="preserve"> The obligation of any Lender to make a Loan and the obligation of any Issuing Lender to issue (or renew or extend the term of) any Letter of Credit are each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receipt (or deemed receipt pursuant to Section 2.16(b)(iii)) by the Administrative Agent of a Notice of Borrowing as required by Section 2.02 or receipt by the applicable Issuing Lender of a Notice of Issuance as required by ‎Section 2.16,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Borrowing or the issuance of a Letter of Credit, the fact that, immediately after such Borrowing or issuance of such Letter of Credit (i) the Total Outstanding Amount will not exceed the Total Commitments and (ii) the aggregate amount of Letter of Credit Liabilities will not exceed the Letter of Credit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fact that, immediately before and after such Borrowing or issuance of such Letter of Credit,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fact that, except as otherwise described by the Borrower in a writing to the Administrative Agent and waived by the Required Lenders, the representations and warranties of the Borrower contained in this Agreement (except, in the case of any Borrowing or issuance subsequent to the Effective Date, the representations and warranties set forth in Sections 4.04(c), ‎4.05, ‎4.06, ‎4.08, ‎4.13 and ‎4.14) shall be true in all material respects on and as of the date of such Borrowing or issuance, except to the extent (i) they expressly relate to an earlier date, in which case they shall be true in all material respects as of such earlier date or (ii) any representation or warranty is qualified by or subject to a “material adverse effect”, “material adverse change” or similar term or qualification, in which case the same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issuance (including a deemed issuance through renewal or extension) of a Letter of Credit hereunder shall be deemed to be a representation and warranty by the Borrower on the date of such Borrowing or issuance as to the facts specified in clauses ‎3.02(c) and ‎3.02(d).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b w:val="false"/>
          <w:i/>
          <w:caps w:val="false"/>
          <w:smallCaps w:val="false"/>
          <w:sz w:val="20"/>
        </w:rPr>
        <w:t>. Corporate Existence and Power.</w:t>
      </w:r>
      <w:r>
        <w:rPr>
          <w:rFonts w:ascii="Times New Roman;Times;Serif" w:hAnsi="Times New Roman;Times;Serif"/>
          <w:b w:val="false"/>
          <w:i w:val="false"/>
          <w:caps w:val="false"/>
          <w:smallCaps w:val="false"/>
          <w:sz w:val="20"/>
        </w:rPr>
        <w:t xml:space="preserve"> Each of the Borrower and its Restricted Subsidiaries is a corporation duly organized and validly existing under the laws of the state of its incorporation, is in good standing therein, and is duly qualified to transact business in all jurisdictions where such qualification is necessary, except for such jurisdictions where the failure to be so qualified or licensed will not be reasonably likely to have a Material Adverse Effect;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has corporate power to enter into and perform this Agreement; and the Borrower has the corporate power to borrow and issue Notes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b w:val="false"/>
          <w:i/>
          <w:caps w:val="false"/>
          <w:smallCaps w:val="false"/>
          <w:sz w:val="20"/>
        </w:rPr>
        <w:t>. Corporate Authorization; No Contravention.</w:t>
      </w:r>
      <w:r>
        <w:rPr>
          <w:rFonts w:ascii="Times New Roman;Times;Serif" w:hAnsi="Times New Roman;Times;Serif"/>
          <w:b w:val="false"/>
          <w:i w:val="false"/>
          <w:caps w:val="false"/>
          <w:smallCaps w:val="false"/>
          <w:sz w:val="20"/>
        </w:rPr>
        <w:t xml:space="preserve"> The execution, delivery and performance by the Borrower of this Agreement and the Notes (i) are within the corporate powers of the Borrower, (ii) have been duly authorized by all necessary corporate action and (iii) do not contravene, or constitute a default under, (x) any provision of applicable law or regulation or of the certificate of incorporation or by-laws of the Borrower or (y) of any agreement, judgment, injunction, order, decree or other instrument binding upon the Borrower or any of its Subsidiaries, if such contravention or default would be reasonably likely to have a Material Adverse Effect, or (iv) result in the creation or imposition of any Lien on any asset of the Borrower or any of its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b w:val="false"/>
          <w:i/>
          <w:caps w:val="false"/>
          <w:smallCaps w:val="false"/>
          <w:sz w:val="20"/>
        </w:rPr>
        <w:t>. Binding Effect.</w:t>
      </w:r>
      <w:r>
        <w:rPr>
          <w:rFonts w:ascii="Times New Roman;Times;Serif" w:hAnsi="Times New Roman;Times;Serif"/>
          <w:b w:val="false"/>
          <w:i w:val="false"/>
          <w:caps w:val="false"/>
          <w:smallCaps w:val="false"/>
          <w:sz w:val="20"/>
        </w:rPr>
        <w:t xml:space="preserve"> This Agreement and any Notes constitute valid and binding agreements of the Borrower enforceable against the Borrower in accordance with their respective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b w:val="false"/>
          <w:i/>
          <w:caps w:val="false"/>
          <w:smallCaps w:val="false"/>
          <w:sz w:val="20"/>
        </w:rPr>
        <w:t>. Financial Information.</w:t>
      </w:r>
      <w:r>
        <w:rPr>
          <w:rFonts w:ascii="Times New Roman;Times;Serif" w:hAnsi="Times New Roman;Times;Serif"/>
          <w:b w:val="false"/>
          <w:i w:val="false"/>
          <w:caps w:val="false"/>
          <w:smallCaps w:val="false"/>
          <w:sz w:val="20"/>
        </w:rPr>
        <w:t xml:space="preserve"> (a) The consolidated balance sheet of the Borrower and its Consolidated Subsidiaries as of December 31, 2020 and the related consolidated statements of earnings and cash flows for the fiscal year then ended, reported on by PricewaterhouseCoopers LLP and set forth in the Borrower’s 2020 Form 10-K, fairly present in all material respects, in conformity with generally accepted accounting principles, the consolidated financial position of the Borrower and its Consolidated Subsidiaries as of such date and their consolidated results of operations and cash flows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unaudited consolidated balance sheet of the Borrower and its Consolidated Subsidiaries as of September 30, 2021 and the related unaudited consolidated statements of earnings and cash flows for the nine months then ended, set forth in the Borrower’s Form 10-Q for September 30, 2021 and for the period of nine months then ended filed with the Securities and Exchange Commission, a copy of which has been delivered to each of the Lenders, fairly present in all material respects, in conformity with generally accepted accounting principles applied on a basis consistent with the financial statements referred to in subsection (a) of this Section, the consolidated financial position of the Borrower and its Consolidated Subsidiaries as of such date and their consolidated results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cash flows for such nine-month period (subject to normal year-end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December 31, 2020, there has been no change in the consolidated financial condition of the Borrower and its Consolidated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b w:val="false"/>
          <w:i/>
          <w:caps w:val="false"/>
          <w:smallCaps w:val="false"/>
          <w:sz w:val="20"/>
        </w:rPr>
        <w:t>. Litigation.</w:t>
      </w:r>
      <w:r>
        <w:rPr>
          <w:rFonts w:ascii="Times New Roman;Times;Serif" w:hAnsi="Times New Roman;Times;Serif"/>
          <w:b w:val="false"/>
          <w:i w:val="false"/>
          <w:caps w:val="false"/>
          <w:smallCaps w:val="false"/>
          <w:sz w:val="20"/>
        </w:rPr>
        <w:t xml:space="preserve"> There are no suits, actions or proceedings pending, or to the knowledge of any member of the Borrower’s legal department threatened against the Borrower or any Subsidiary, the adverse determination of which is reasonably likely to occur, and if so adversely determined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b w:val="false"/>
          <w:i/>
          <w:caps w:val="false"/>
          <w:smallCaps w:val="false"/>
          <w:sz w:val="20"/>
        </w:rPr>
        <w:t>. Taxes.</w:t>
      </w:r>
      <w:r>
        <w:rPr>
          <w:rFonts w:ascii="Times New Roman;Times;Serif" w:hAnsi="Times New Roman;Times;Serif"/>
          <w:b w:val="false"/>
          <w:i w:val="false"/>
          <w:caps w:val="false"/>
          <w:smallCaps w:val="false"/>
          <w:sz w:val="20"/>
        </w:rPr>
        <w:t xml:space="preserve"> The Borrower and each Subsidiary (a) has timely filed or caused to be filed all Tax returns and reports required to have been filed by it, except to the extent that failure to do so could not reasonably be expected to result in a Material Adverse Effect, and (b) has paid or caused to be paid all Taxes required to have been paid by it, except for (i) those not yet delinquent, (ii) those the nonpayment of which, individually and in the aggregate, would not be reasonably likely to have a Material Adverse Effect or (iii) those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b w:val="false"/>
          <w:i/>
          <w:caps w:val="false"/>
          <w:smallCaps w:val="false"/>
          <w:sz w:val="20"/>
        </w:rPr>
        <w:t>. Margin Regulations.</w:t>
      </w:r>
      <w:r>
        <w:rPr>
          <w:rFonts w:ascii="Times New Roman;Times;Serif" w:hAnsi="Times New Roman;Times;Serif"/>
          <w:b w:val="false"/>
          <w:i w:val="false"/>
          <w:caps w:val="false"/>
          <w:smallCaps w:val="false"/>
          <w:sz w:val="20"/>
        </w:rPr>
        <w:t xml:space="preserve"> No part of the proceeds of any Loan or Letter of Credit will be used in a manner which would violate, or result in a violation of,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The Borrower and its Restricted Subsidiaries are in compliance in all material respects with all applicable laws, rules and regulations, other than such laws, rules and regulations (i) the validity or applicability or which the Borrower or such Subsidiary is contesting in good faith or (ii) the failure to comply with which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b w:val="false"/>
          <w:i/>
          <w:caps w:val="false"/>
          <w:smallCaps w:val="false"/>
          <w:sz w:val="20"/>
        </w:rPr>
        <w:t>. Governmental Approvals.</w:t>
      </w:r>
      <w:r>
        <w:rPr>
          <w:rFonts w:ascii="Times New Roman;Times;Serif" w:hAnsi="Times New Roman;Times;Serif"/>
          <w:b w:val="false"/>
          <w:i w:val="false"/>
          <w:caps w:val="false"/>
          <w:smallCaps w:val="false"/>
          <w:sz w:val="20"/>
        </w:rPr>
        <w:t xml:space="preserve"> No consent, approval, authorization, permit or license from, or registration or filing with, any Governmental Authority is required in connection with the making of this Agreement, with the exception of routine periodic filings made under the Exchange Act and such consents, approvals, authorizations, permits, licenses, registrations or filings which have already been completed or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b w:val="false"/>
          <w:i/>
          <w:caps w:val="false"/>
          <w:smallCaps w:val="false"/>
          <w:sz w:val="20"/>
        </w:rPr>
        <w:t>. Pari Passu Obligations.</w:t>
      </w:r>
      <w:r>
        <w:rPr>
          <w:rFonts w:ascii="Times New Roman;Times;Serif" w:hAnsi="Times New Roman;Times;Serif"/>
          <w:b w:val="false"/>
          <w:i w:val="false"/>
          <w:caps w:val="false"/>
          <w:smallCaps w:val="false"/>
          <w:sz w:val="20"/>
        </w:rPr>
        <w:t xml:space="preserve"> Under applicable United States laws (including state and local laws) in force at the date hereof, the claims 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rights of the Lenders and the Administrative Agent against the Borrower under this Agreement and the Notes will not be subordinate to, and will rank at least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claims and rights of any other unsecured creditors of the Borrower (except to the extent provided by bankruptcy, reorganization, insolvency, moratorium or other similar laws of general application relating to or affecting the enforcement of creditors’ rights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r>
        <w:rPr>
          <w:rFonts w:ascii="Times New Roman;Times;Serif" w:hAnsi="Times New Roman;Times;Serif"/>
          <w:b w:val="false"/>
          <w:i/>
          <w:caps w:val="false"/>
          <w:smallCaps w:val="false"/>
          <w:sz w:val="20"/>
        </w:rPr>
        <w:t>. No Defaults.</w:t>
      </w:r>
      <w:r>
        <w:rPr>
          <w:rFonts w:ascii="Times New Roman;Times;Serif" w:hAnsi="Times New Roman;Times;Serif"/>
          <w:b w:val="false"/>
          <w:i w:val="false"/>
          <w:caps w:val="false"/>
          <w:smallCaps w:val="false"/>
          <w:sz w:val="20"/>
        </w:rPr>
        <w:t xml:space="preserve"> The payment obligations of the Borrower and its Restricted Subsidiaries in respect of any Material Debt are not overdue (after giving effect to any cure period or period of grace applicable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r>
        <w:rPr>
          <w:rFonts w:ascii="Times New Roman;Times;Serif" w:hAnsi="Times New Roman;Times;Serif"/>
          <w:b w:val="false"/>
          <w:i/>
          <w:caps w:val="false"/>
          <w:smallCaps w:val="false"/>
          <w:sz w:val="20"/>
        </w:rPr>
        <w:t>. Full Disclosure.</w:t>
      </w:r>
      <w:r>
        <w:rPr>
          <w:rFonts w:ascii="Times New Roman;Times;Serif" w:hAnsi="Times New Roman;Times;Serif"/>
          <w:b w:val="false"/>
          <w:i w:val="false"/>
          <w:caps w:val="false"/>
          <w:smallCaps w:val="false"/>
          <w:sz w:val="20"/>
        </w:rPr>
        <w:t xml:space="preserve"> All information (it being understood that such information shall be deemed to include all recent filings on Form 10-K and Form 10-Q and any filing on Form 8-K, or posted on the Borrower’s website, filed or posted since the Borrower’s most recent filing on Form 10-Q) furnished to the Lenders in writing prior to the date hereof in connection with the transactions contemplated hereby does not, collectively, contain any material misstatement of a material fact or omit to state a material fact necessary to make the statements contained therein (when furnished and taken as a whole), in the light of the circumstances under which they were made, not misleading in any material respect on and as of the date hereof (as modified or supplemented by other information that has been or is simultaneously so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Borrower represents only that such information was prepared in good faith based upon assumptions believed to be reasonable at the time (it being understood that such forecasts and projections may vary from actual results and that such variances may be material);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this ‎Section 4.12, such information shall not include information of a general economic or general industry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r>
        <w:rPr>
          <w:rFonts w:ascii="Times New Roman;Times;Serif" w:hAnsi="Times New Roman;Times;Serif"/>
          <w:b w:val="false"/>
          <w:i/>
          <w:caps w:val="false"/>
          <w:smallCaps w:val="false"/>
          <w:sz w:val="20"/>
        </w:rPr>
        <w:t>. ERISA.</w:t>
      </w:r>
      <w:r>
        <w:rPr>
          <w:rFonts w:ascii="Times New Roman;Times;Serif" w:hAnsi="Times New Roman;Times;Serif"/>
          <w:b w:val="false"/>
          <w:i w:val="false"/>
          <w:caps w:val="false"/>
          <w:smallCaps w:val="false"/>
          <w:sz w:val="20"/>
        </w:rPr>
        <w:t xml:space="preserve"> Each member of the ERISA Group has fulfilled its obligations under the minimum funding standards of ERISA and the Internal Revenue Code with respect to each Plan and is in substantial compliance in all material respects with the presently applicable material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made any amendment to any Plan which, in either case, has resulted or could result in the imposition of a material Lien or the posting of a material bond or other material security under ERISA or the Internal Revenue Code or (iii) incurred any material liability under Title IV of ERISA other than a liability to the PBGC for premiums under Section 4007 of ERISA.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r>
        <w:rPr>
          <w:rFonts w:ascii="Times New Roman;Times;Serif" w:hAnsi="Times New Roman;Times;Serif"/>
          <w:b w:val="false"/>
          <w:i/>
          <w:caps w:val="false"/>
          <w:smallCaps w:val="false"/>
          <w:sz w:val="20"/>
        </w:rPr>
        <w:t>. Environmental Matters.</w:t>
      </w:r>
      <w:r>
        <w:rPr>
          <w:rFonts w:ascii="Times New Roman;Times;Serif" w:hAnsi="Times New Roman;Times;Serif"/>
          <w:b w:val="false"/>
          <w:i w:val="false"/>
          <w:caps w:val="false"/>
          <w:smallCaps w:val="false"/>
          <w:sz w:val="20"/>
        </w:rPr>
        <w:t xml:space="preserve"> The Financial Statements described in ‎Section 4.04(a) provide certain information regarding environmental matters related to properties currently owned by the Borrower or its Restricted Subsidiaries, previously owned properties, and other properties. Since December 31, 2020, environmental matters have not caused any material adverse change in the consolidated financial condition of the Borrower and the Consolidated Subsidiaries from that shown by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Borrower, ongoing operations at the Principal Properties are currently being conducted in substantial compliance with applicable Environmental Laws except to the extent that noncompliance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r>
        <w:rPr>
          <w:rFonts w:ascii="Times New Roman;Times;Serif" w:hAnsi="Times New Roman;Times;Serif"/>
          <w:b w:val="false"/>
          <w:i/>
          <w:caps w:val="false"/>
          <w:smallCaps w:val="false"/>
          <w:sz w:val="20"/>
        </w:rPr>
        <w:t>. Regulatory Restrictions on Borrowing.</w:t>
      </w:r>
      <w:r>
        <w:rPr>
          <w:rFonts w:ascii="Times New Roman;Times;Serif" w:hAnsi="Times New Roman;Times;Serif"/>
          <w:b w:val="false"/>
          <w:i w:val="false"/>
          <w:caps w:val="false"/>
          <w:smallCaps w:val="false"/>
          <w:sz w:val="20"/>
        </w:rPr>
        <w:t xml:space="preserve"> The Borrower is not an “investment company” within the meaning of the Investment Company Act of 1940, as amended, or otherwise subject to any regulatory scheme which restricts its ability to incur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Legal Status</w:t>
      </w:r>
      <w:r>
        <w:rPr>
          <w:rFonts w:ascii="Times New Roman;Times;Serif" w:hAnsi="Times New Roman;Times;Serif"/>
          <w:b w:val="false"/>
          <w:i w:val="false"/>
          <w:caps w:val="false"/>
          <w:smallCaps w:val="false"/>
          <w:sz w:val="20"/>
        </w:rPr>
        <w:t>. The Borrower, its Subsidiaries and their respective directors and officers and, to the knowledge of the Borrower, employees and agents are in compliance with applicable Sanctions in all material respects. None of the Borrower, its Subsidiaries, or their respective directors or officers or, to the knowledge of the Borrower, employees or agents is a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and their respective officers and directors and, to the knowledge of the Borrower, their respective employees and agents, are in compliance with the Foreign Corrupt Practices Act, 15 U.S.C. §§ 78dd-1, et seq., as amended from time to time, and other anti-corruption laws in effect in jurisdictions in which the Borrower and its Subsidiaries do business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The Borrower has not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or (iii) with the intent to induce the recipient to misuse his or her official position to direct business wrongfully to the Borrower in violation of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have implemented and maintain in effect policies and procedures reasonably designed to ensure compliance by the 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Effective Date and so long as any Lender has any Credit Exposure hereunder, the Borrower agrees that,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b w:val="false"/>
          <w:i/>
          <w:caps w:val="false"/>
          <w:smallCaps w:val="false"/>
          <w:sz w:val="20"/>
        </w:rPr>
        <w:t>. Information.</w:t>
      </w:r>
      <w:r>
        <w:rPr>
          <w:rFonts w:ascii="Times New Roman;Times;Serif" w:hAnsi="Times New Roman;Times;Serif"/>
          <w:b w:val="false"/>
          <w:i w:val="false"/>
          <w:caps w:val="false"/>
          <w:smallCaps w:val="false"/>
          <w:sz w:val="20"/>
        </w:rPr>
        <w:t xml:space="preserve"> The Borrower will deliver to the Administrative Agent which will deliver to each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60 days after the end of each of its first three quarterly accounting periods in each fiscal year, consolidated statements of earnings and cash flows of the Borrower and the Consolidated Subsidiaries for the period from the beginning of such fiscal year to the end of such fiscal period and the related consolidated balance sheet of the Borrower and the Consolidated Subsidiaries as at the end of such fiscal period, all in reasonable detail (it being understood that delivery of such statements as filed with the Securities and Exchange Commission shall be deemed to satisfy the requirements of this subsection) and accompanied by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period and for the period involved, subject, however, to year-end audit adjustments,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soon as available and in any event within 120 days after the end of each fiscal year, consolidated statements of earnings and cash flows of the Borrower and the Consolidated Subsidiaries for such year and the related consolidated balance sheets of the Borrower and the Consolidated Subsidiaries as at the end of such year, all in reasonable detail and accompanied by (i) an opinion of an independent, certified public accountant of recognized standing selected by the Borrower as to such consolidated financial statements (it being understood that delivery of such statements as filed with the Securities and Exchange Commission shall be deemed to satisfy the requirements of this subsection), and (ii)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year and for the year involved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their becoming available: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all financial statements, stockholder reports and proxy statements that the Borrower shall have sent to its stockholders generally;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copies of all registration statements filed by the Borrower under the Securities Act of 1933, as amended (other than registration statements on Form S-8 or any registration statement filed in connection with a dividend reinvestment plan), and regular and periodic reports, if any, which the Borrower shall have filed with the Securities and Exchange Commission (or any governmental agency or agencies substituted therefor) under Section 13 or Section 15(d) of the Exchange Act, or with any national or international securities exchange (other than those on Form 11-K or any successor form) (it being understood that delivery of such statements and reports, or those referenced in the immediately preceding sub-clause (i), as filed with the Securities and Exchange Commission shall be deemed to satisfy the requirements of this subsection);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time to time, with reasonable promptness, such further information regarding the business and financial condition of the Borrower and its Subsidiaries as any Lender may reasonably request through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 notice of the occurrence of any Default;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 notice of all litigation and of all proceedings before any governmental or regulatory agency pending (or, to the knowledge of the General Counsel of the Borrower, threatened) and affecting the Borrower or any Restricted Subsidiary, except litigation or proceedings which, if adversely determined,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set of financial statements delivered pursuant to ‎Section 5.01(a) or ‎5.01(b) shall be accompanied by or include the computations showing,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whether the Borrower was, at the end of the relevant fiscal period, in compliance with the provisions of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 Payment of Obligations.</w:t>
      </w:r>
      <w:r>
        <w:rPr>
          <w:rFonts w:ascii="Times New Roman;Times;Serif" w:hAnsi="Times New Roman;Times;Serif"/>
          <w:b w:val="false"/>
          <w:i w:val="false"/>
          <w:caps w:val="false"/>
          <w:smallCaps w:val="false"/>
          <w:sz w:val="20"/>
        </w:rPr>
        <w:t xml:space="preserve"> The Borrower will pay and discharge, and will cause each Restricted Subsidiary to pay and discharge, all material Taxes imposed upon it or upon its income or profits, or upon any property belonging to it, prior to the date on which penalties attach thereto, and all lawful material claims which, if unpaid, might become a Lien upon the property of the Borrower or such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such Restricted Subsidiary shall be required to pay any such Tax or claim (i) the payment of which is being contested in good faith and by appropriate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and for which adequate reserves have been provided in accordance with GAAP, (ii) not yet delinquent or (iii) the non-payment of which, individually or in the aggregate,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b w:val="false"/>
          <w:i/>
          <w:caps w:val="false"/>
          <w:smallCaps w:val="false"/>
          <w:sz w:val="20"/>
        </w:rPr>
        <w:t xml:space="preserve">. Insurance. </w:t>
      </w:r>
      <w:r>
        <w:rPr>
          <w:rFonts w:ascii="Times New Roman;Times;Serif" w:hAnsi="Times New Roman;Times;Serif"/>
          <w:b w:val="false"/>
          <w:i w:val="false"/>
          <w:caps w:val="false"/>
          <w:smallCaps w:val="false"/>
          <w:sz w:val="20"/>
        </w:rPr>
        <w:t>The Borrower will maintain, and will cause each Restricted Subsidiary to maintain, insurance from responsible companies in such amounts and against such risks as is reasonable, taking into consideration the practices of businesses in the same line of business or of similar size as the Borrower or such Restricted Subsidiary, or, to a reasonable extent, self-insurance.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b w:val="false"/>
          <w:i/>
          <w:caps w:val="false"/>
          <w:smallCaps w:val="false"/>
          <w:sz w:val="20"/>
        </w:rPr>
        <w:t>. Maintenance of Existence.</w:t>
      </w:r>
      <w:r>
        <w:rPr>
          <w:rFonts w:ascii="Times New Roman;Times;Serif" w:hAnsi="Times New Roman;Times;Serif"/>
          <w:b w:val="false"/>
          <w:i w:val="false"/>
          <w:caps w:val="false"/>
          <w:smallCaps w:val="false"/>
          <w:sz w:val="20"/>
        </w:rPr>
        <w:t xml:space="preserve"> The Borrower (i) will preserve and maintain, and will cause each Restricted Subsidiary to preserve and maintain, its corporate existence and (ii) will take all reasonable action to preserve and maintain all of its rights, privileges and franchises necessary or desirable in the normal conduct of its business, except to the extent that failure to do so would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contained shall prevent the termination of the business or corporate existence of any Restricted Subsidiary which in the judgment of the Borrower is no longer necessary or desirable, a merger or consolidation of a Restricted Subsidiary into or with the Borrower (if the Borrower is the surviving corporation) or another Subsidiary or any other merger, consolidation or transfer of assets that is not prohibited by Section 5.07, as long as immediately after giving effect to any such transaction,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b w:val="false"/>
          <w:i/>
          <w:caps w:val="false"/>
          <w:smallCaps w:val="false"/>
          <w:sz w:val="20"/>
        </w:rPr>
        <w:t>. Maintenance of Properties.</w:t>
      </w:r>
      <w:r>
        <w:rPr>
          <w:rFonts w:ascii="Times New Roman;Times;Serif" w:hAnsi="Times New Roman;Times;Serif"/>
          <w:b w:val="false"/>
          <w:i w:val="false"/>
          <w:caps w:val="false"/>
          <w:smallCaps w:val="false"/>
          <w:sz w:val="20"/>
        </w:rPr>
        <w:t xml:space="preserve"> The Borrower will keep, and will cause each Restricted Subsidiary to keep, all of its tangible properties necessary, in the judgment of the Borrower, in its business in good working order and condition (ordinary wear and tear, and damage caused by casualty, excepted), except to the extent that failure to do so would not reasonably be expected to have a Material Adverse Effect. Nothing in this ‎Section 5.05 shall prevent the Borrower or any Restricted Subsidiary from discontinuing the operation or maintenance, or both the operation and maintenance, of any properties of the Borrower or any such Restricted Subsidiary if such discontinuance is, in the judgment of the Borrower (or such Restricted Subsidiary), desirable in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The Borrower will comply, and will cause each Restricted Subsidiary to comply, with the requirements of all applicable laws, rules, regulations, and orders of any Governmental Authority (including Environmental Laws, ERISA and the Internal Revenue Code and the rules and regulations thereunder), a breach of which would be reasonably likely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Material Adverse Effect, except where contested in good faith and by proper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will maintain in effect policies and procedures reasonably designed to ensure compliance by the 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b w:val="false"/>
          <w:i/>
          <w:caps w:val="false"/>
          <w:smallCaps w:val="false"/>
          <w:sz w:val="20"/>
        </w:rPr>
        <w:t>. Mergers, Consolidations and Sales of Assets.</w:t>
      </w:r>
      <w:r>
        <w:rPr>
          <w:rFonts w:ascii="Times New Roman;Times;Serif" w:hAnsi="Times New Roman;Times;Serif"/>
          <w:b w:val="false"/>
          <w:i w:val="false"/>
          <w:caps w:val="false"/>
          <w:smallCaps w:val="false"/>
          <w:sz w:val="20"/>
        </w:rPr>
        <w:t xml:space="preserve"> (a) The Borrower will not consolidate with or merge into any other Person or convey or transfer its properties and assets substantially as an entirety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 Consolidated Subsidiary that is incorporated under the laws of the United States, any state thereof or the District of Columbia is the surviving corporation of any such consolidation or merger or is the Person that acquires by conveyance or transfer the properties and assets of the Borrower substantially as an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Consolidated Subsidiary is the surviving corporation or is the Person that acquires the property and assets of the Borrower substantially as an entirety, it shall expressly assume the performance of every covenant of this Agreement and of the Notes on the part of the Borrower to be performed or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Borrower is not the surviving entity, the Borrower has delivered to the Administrative Agent an Officer’s Certificate and a legal opinion of its General Counsel, Associate General Counsel or Assistant General Counsel, upon the express instruction of the Borrower for the benefit of the Administrative Agent and the Lenders, each stating that such transaction complies with this Section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any consolidation by the Borrower with, or merger by the Borrower into, a Consolidated Subsidiary, the result of which is that such Consolidated Subsidiary is the surviving entity, or any conveyance or transfer of the properties and assets of the Borrower substantially as an entirety to a Consolidated Subsidiary, the Consolidated Subsidiary into which the Borrower is merged or consolidated or to which such conveyance or transfer is made shall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succeed to, and be substituted for, and may exercise every right and power of, the Borrower, as the case may be, under this Agreement with the same effect as if such Consolidated Subsidiary had been named as the Borrower, as the case may be, herein, and thereafter, in the case of a transfer or conveyance permitted by ‎Section 5.07(a), the Borrower shall be relieved of all obligations and covenants under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b w:val="false"/>
          <w:i/>
          <w:caps w:val="false"/>
          <w:smallCaps w:val="false"/>
          <w:sz w:val="20"/>
        </w:rPr>
        <w:t xml:space="preserve">. Negative Pledge. </w:t>
      </w:r>
      <w:r>
        <w:rPr>
          <w:rFonts w:ascii="Times New Roman;Times;Serif" w:hAnsi="Times New Roman;Times;Serif"/>
          <w:b w:val="false"/>
          <w:i w:val="false"/>
          <w:caps w:val="false"/>
          <w:smallCaps w:val="false"/>
          <w:sz w:val="20"/>
        </w:rPr>
        <w:t>Neither the Borrower nor any Restricted Subsidiary will create, assume or suffer to exist any Lien on any asset now owned or hereafter acquired by 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Debt of a Restricted Subsidiary owing to the Borrower or to another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Lien existing on any asset of any person at the time such person becomes a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on any asset securing Debt incurred or assumed for the purpose of financing all or any part of the cost of acquiring such asset (and/or, in the case of the acquisition of a business, any Lien on the equity and/or assets of the acquired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 attaches to such asset concurrently with or within 180 days after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Lien on any asset of any person existing at the time such person is merged or consolidated with or into the Borrower or a Restricted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Lien existing on any asset prior to the acquisition thereof by the Borrower or a Subsidiary and not created in contemplation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Lien arising out of the refinancing, extension, renewal or refunding of any Debt secured by any Lien permitted by any of the foregoing clauses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Debt is not increased and is not secured by any additional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in favor of any customer (including any Governmental Authority) to secure partial, progress, advance or other payments or performance pursuant to any contract or statute or to secure any related indebtedness or to secure Debt guaranteed by a Governmental Authority;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incurred in the ordinary course of business not securing Debt that do not impair in any material respect the usefulness in the business of the Borrower and its Restricted Subsidiaries of the assets to which such Liens attach;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carriers’, warehousemen’s, mechanics’, materialmen’s, suppliers’ or other similar Liens, in each case arising in the ordinary course of business securing obligations which are not overdue for a period of more than 30 days or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for taxes, assessments or governmental charges or levies, in each case arising in the ordinary course of business securing obligations which are (i) not overdue or (ii)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arising by operation of law in favor of any lender to the Borrower or any Restricted Subsidiary in the ordinary course of business constituting a banker’s lien or right of offset in moneys of the Borrower or a Restricted Subsidiary deposited with such lender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licenses or sublicenses of intellectual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interests of lessees, lessors, licensees and licensors under leases, subleases, licenses or sublicenses, as applicable, in, and the interest of managers or operators with respect to, real or personal property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deposits to secure the performance of bids, trade contracts and leases (other than Debt), statutory obligations, surety bonds (other than bonds related to judgments or litigation), performance bonds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solely on any cash earnest money deposits made by the Borrower or any of its Restricted Subsidiaries in connection with any letter of intent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securing judgments for the payment of money not constituting an Event of Default under ‎Section 6.01(j) or securing appeal bonds in respect of appeals being prosecuted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pledges and deposits in the ordinary course of business in connection with workers’ compensation, unemployment insurance and other social security or retirement benefits legislation or similar law or regulations;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arising out of a conditional sale, title retention, consignment or similar arrangement for the sale of goods entered into by the Borrower or any of its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that are contractual rights of set-off (i) relating to the establishment of depositary relations with banks or other financial institutions not given in connection with the issuance of Debt, (ii) relating to pooled deposit or sweep accounts of the Borrower or any of its Restricted Subsidiaries to permit satisfaction of overdraft or similar obligations incurred in the ordinary course of business of the Borrower or any of its Restricted Subsidiaries or (iii) relating to agreements other than in connection with Debt or Derivatives Obligations entered into by the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Liens on cash and cash equivalents securing Derivatives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and cash equivalents subject to such Liens may at no time exceed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Liens securing Debt equally and ratably securing the Loans and such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Required Lenders may, in their sole discretion, refuse to take any Lien on any asset (which refusal will not limit the Borrower’s or any Restricted Subsidiary’s ability to incur a Lien otherwise permitted by this ‎Section 5.08(w)); such Lien may equally and ratably secure the Loans and any other obligation of the Borrower or any of its Subsidiaries, other than an obligation that is subordinated to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securing contingent obligations in an aggregate principal amount not to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not otherwise permitted by the foregoing clauses of this Section securing obligations in an aggregate principal or face amount at any date not to exceed at the time of incurrence the greater of 12.5% of Consolidated Net Worth and $800,000,000;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(z) Liens on accounts receivable and related assets securing obligations under the Borrower’s Securitization Facility in an aggregate amount not to exceed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 security interest arising solely as a result of, or the filing of UCC financing statements in connection with,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by the Borrower or any of its Subsidiaries of accounts receivable not prohibited by Section 5.07 shall not constitute a Lien prohibited by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b w:val="false"/>
          <w:i/>
          <w:caps w:val="false"/>
          <w:smallCaps w:val="false"/>
          <w:sz w:val="20"/>
        </w:rPr>
        <w:t xml:space="preserve">. Leverage Ratio. </w:t>
      </w:r>
      <w:r>
        <w:rPr>
          <w:rFonts w:ascii="Times New Roman;Times;Serif" w:hAnsi="Times New Roman;Times;Serif"/>
          <w:b w:val="false"/>
          <w:i w:val="false"/>
          <w:caps w:val="false"/>
          <w:smallCaps w:val="false"/>
          <w:sz w:val="20"/>
        </w:rPr>
        <w:t xml:space="preserve">The Leverage Ratio shall not exceed 3.75 to 1.00 as of the last day of any fiscal quarter;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r>
        <w:rPr>
          <w:rFonts w:ascii="Times New Roman;Times;Serif" w:hAnsi="Times New Roman;Times;Serif"/>
          <w:b/>
          <w:i w:val="false"/>
          <w:caps w:val="false"/>
          <w:smallCaps w:val="false"/>
          <w:color w:val="0000FF"/>
          <w:sz w:val="20"/>
          <w:u w:val="single"/>
        </w:rPr>
        <w:t xml:space="preserve">, if the Combins Acquisition is consummated in accordance with the terms of the Combins Acquisition Agreement, then the Leverage Ratio shall not exceed (a) for the first three fiscal quarters ending after the Combins Acquisition Closing Date, 4.75:1.00, (b) for the next succeeding three fiscal quarters, 4.25:1.00 and (c) thereafter, 3.75:1.00; </w:t>
      </w:r>
      <w:r>
        <w:rPr>
          <w:rFonts w:ascii="Times New Roman;Times;Serif" w:hAnsi="Times New Roman;Times;Serif"/>
          <w:b/>
          <w:i/>
          <w:caps w:val="false"/>
          <w:smallCaps w:val="false"/>
          <w:color w:val="0000FF"/>
          <w:sz w:val="20"/>
          <w:u w:val="single"/>
        </w:rPr>
        <w:t>provided, further</w:t>
      </w:r>
      <w:r>
        <w:rPr>
          <w:rFonts w:ascii="Times New Roman;Times;Serif" w:hAnsi="Times New Roman;Times;Serif"/>
          <w:b/>
          <w:i w:val="false"/>
          <w:caps w:val="false"/>
          <w:smallCaps w:val="false"/>
          <w:color w:val="0000FF"/>
          <w:sz w:val="20"/>
          <w:u w:val="single"/>
        </w:rPr>
        <w:t xml:space="preserve"> that</w:t>
      </w:r>
      <w:r>
        <w:rPr>
          <w:rFonts w:ascii="Times New Roman;Times;Serif" w:hAnsi="Times New Roman;Times;Serif"/>
          <w:b w:val="false"/>
          <w:i w:val="false"/>
          <w:caps w:val="false"/>
          <w:smallCaps w:val="false"/>
          <w:sz w:val="20"/>
        </w:rPr>
        <w:t xml:space="preserve"> if (i) Consolidated Debt has increased in connection with a Specified Acquisition that has been consummated within such fiscal quarter or the three fiscal quarters immediately prior to such fiscal quarter and (ii) the Borrower has stated in the compliance certificate delivered pursuant to ‎Section 5.01(a) for such fiscal quarter that the condition set forth in clause (i) above has been satisfied (and specifying the date of such Specified Acquisition), then the Borrower shall be permitted to elect that any additional Consolidated Debt incurred in connection with such Specified Acquisition shall be excluded from Consolidated Debt for purposes of calculating the Leverage Ratio, but only if the Leverage Ratio determined at such time but calculated without giving effect to such exclusion does not exceed 4.25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5.09, a “</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means any single acquisition by the Borrower or a Subsidiary of the Borrower (x) of any Person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xml:space="preserve">”) that is in the same line or lines of business as the Borrower or in the judgment of the Borrower related line or lines of business, (y) as to which such Target’s board of directors has not objected and (z) that involves cash payments, as of the date of the closing thereof, to the seller or sellers of the Target in excess of $225,000,000. </w:t>
      </w:r>
      <w:r>
        <w:rPr>
          <w:rFonts w:ascii="Times New Roman;Times;Serif" w:hAnsi="Times New Roman;Times;Serif"/>
          <w:b/>
          <w:i w:val="false"/>
          <w:caps w:val="false"/>
          <w:smallCaps w:val="false"/>
          <w:color w:val="0000FF"/>
          <w:sz w:val="20"/>
          <w:u w:val="single"/>
        </w:rPr>
        <w:t>The Combins Acquisition shall not constitute a Specified Acquisition for the purposes of this Section 5.09 (but for the avoidance of doubt shall constitute a Specified Acquisition for the purposes of the definitions of “Specified Acquisition Debt” and “Specified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b w:val="false"/>
          <w:i/>
          <w:caps w:val="false"/>
          <w:smallCaps w:val="false"/>
          <w:sz w:val="20"/>
        </w:rPr>
        <w:t xml:space="preserve">. Use of Proceeds. </w:t>
      </w:r>
      <w:r>
        <w:rPr>
          <w:rFonts w:ascii="Times New Roman;Times;Serif" w:hAnsi="Times New Roman;Times;Serif"/>
          <w:b w:val="false"/>
          <w:i w:val="false"/>
          <w:caps w:val="false"/>
          <w:smallCaps w:val="false"/>
          <w:sz w:val="20"/>
        </w:rPr>
        <w:t>(a) The Borrower will use the proceeds of the Loans or Letters of Credit for any lawful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 of the proceeds of any Loan or Letter of Credit will be used directly or, to the knowledge of the Borrower, indirectly (a) to fund any operations, activities, business or transactions of, in, or with, a Sanctioned Person or a Sanctioned Country, (b) in any manner that would result in the violation of any Sanctions applicable to any party hereto, (c) in furtherance of an offer, payment, promise to pay, or authorization of the payment or giving of money,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else of value, to any Person in violation of any Anti-Corruption Laws or (d) in violation of any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b w:val="false"/>
          <w:i/>
          <w:caps w:val="false"/>
          <w:smallCaps w:val="false"/>
          <w:sz w:val="20"/>
        </w:rPr>
        <w:t xml:space="preserve">. Transactions with Affiliates. </w:t>
      </w:r>
      <w:r>
        <w:rPr>
          <w:rFonts w:ascii="Times New Roman;Times;Serif" w:hAnsi="Times New Roman;Times;Serif"/>
          <w:b w:val="false"/>
          <w:i w:val="false"/>
          <w:caps w:val="false"/>
          <w:smallCaps w:val="false"/>
          <w:sz w:val="20"/>
        </w:rPr>
        <w:t>The Borrower will not, and will not permit any Restricted Subsidiary to, directly or indirectly, pay any funds to or for the account of, make any investment (whether by acquisition of stock or indebtedness, by loan, advance, transfer of property, guarantee or other agreement to pay, purchase or service, directly or indirectly, any Debt, or otherwise) in, lease, sell, transfer or otherwise dispose of any assets, tangible or intangible, to, or participate in, or effect, any transaction with, any Affiliate except (i) transactions on an arms-length basis on terms at least as favorable to the Borrower or such Restricted Subsidiary than could have been obtained from a third party who was not an Affiliate, and (ii) transactions described in this ‎Section 5.12 that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b w:val="false"/>
          <w:i/>
          <w:caps w:val="false"/>
          <w:smallCaps w:val="false"/>
          <w:sz w:val="20"/>
        </w:rPr>
        <w:t xml:space="preserve">. Event of Default. </w:t>
      </w:r>
      <w:r>
        <w:rPr>
          <w:rFonts w:ascii="Times New Roman;Times;Serif" w:hAnsi="Times New Roman;Times;Serif"/>
          <w:b w:val="false"/>
          <w:i w:val="false"/>
          <w:caps w:val="false"/>
          <w:smallCaps w:val="false"/>
          <w:sz w:val="20"/>
        </w:rPr>
        <w:t>If one or more of the following events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or any Reimbursement Obligation when due or any Reimbursement Obligation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pay within 5 days of the due date thereof (i) any facility fee, (ii) interest on any Loan or (iii) any letter of credit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fail to pay within 30 days after a request for payment by any Lender or Issuing Lender acting through the Administrative Agent any other amount that becomes due and payable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fail to observe or perform any agreement contained in Section 5.01(e), Section 5.01(f) or Section 5.07 through 5.10 (and, with respect to Section 5.01(e), such failure shall have continued for 5 days after a Responsible Officer of the Borrower obtains knowledge of the underlying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fail to observe or perform any covenant or agreement contained in this Agreement (other than those covered by clauses ‎(a)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 above) for 30 days after notice thereof has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representation, warranty or certification made by the Borrower in this Agreement or in any certificate or notice delivered pursuant to the terms of this Agreement shall prove to have been incorrect in any material respect when made and such deficiency shall remain unremedied for five days after 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Material Financial Obligations shall become due before stated maturity by the acceleration of the maturity thereof by reason of default, or any Material Financial Obligations shall become due by its terms and shall not be paid (after giving effect to any grace period with respect thereto) and, in any case aforesaid in this clause ‎(g), corrective action satisfactory to the Required Lenders shall not have been taken within 5 days after written notice of the situation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or any Restricted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Borrower or any Restricted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Borrower or any Restricted Subsidiary under the federal bankruptcy laws as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final judgment for the payment of money in excess of $250,000,000 shall have been entered against the Borrower or any Restricted Subsidiary, and the Borrower or such Subsidiary shall not have satisfied the same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or caused execution thereon to be stayed within 60 days, and such failure to satisfy or stay such judgment shall remain unremedied for 5 days after 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final judgment either (1) requiring termination or imposing liability (other than for premiums under Section 4007 of ERISA) under Title IV of ERISA in respect of, or requiring a trustee to be appointed under Title IV of ERISA to administer, any Plan or Plans having aggregate Unfunded Liabilities in excess of $250,000,000 or (2) in an action relating to a Multiemployer Plan involving a current payment obligation in excess of $250,000,000, which judgment, in either case, has not been satisfied or stayed within 60 days and such failure to satisfy or stay is unremedied for 5 days after notice thereof shall have been given to the Borrower by the Administrative Agent at the request of the Required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person or group of persons (within the meaning of Section 13 or 14 of the Securities Exchange Act of 1934, as amended) shall have acquired beneficial ownership (within the meaning of Rule 13d-3 promulgated by the Securities and Exchange Commission under said Act) of 35% or more of the outstanding shares of common stock of the Borrower; or during any two-year period, individuals who at the beginning of such period constituted the Borrower’s Board of Directors (together with any new director whose election by the Board of Directors or whose nomination for election by the shareholders of the Borrower was approved by a vote of at least two-thirds of the directors then in office who either were directors as the beginning of such period or whose election or nomination for election was previously so approved) cease for any reason to constitute a majority of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the Administrative Agent shall, if requested by the Required Lenders, (i) by notice to the Borrower terminate the Commitments and they shall thereupon terminate, and (ii) by notice to the Borrower declare the Loans, interest accrued thereon and all other amounts payable hereunder to be, and the same shall thereupon become, immediately due and payable without presentment, demand, protest or other notice of any kind, all of which are hereby waived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the filing by the Borrower of a petition, or (B) an actual or deemed entry of an order for relief with respect to the Borrower, in each case under the federal bankruptcy laws as now or hereafter in effect, without any notice to the Borrower or any other act by the Administrative Agent or the Lenders, the Commitments shall thereupon terminate and the Loans, interest accrued thereon and all other amounts payable hereunder shall become immediately due and payable without presentment, demand, protest or other notice of any kind, all of which are hereby waived by the Borrower.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b w:val="false"/>
          <w:i/>
          <w:caps w:val="false"/>
          <w:smallCaps w:val="false"/>
          <w:sz w:val="20"/>
        </w:rPr>
        <w:t xml:space="preserve">. Cash Cover. </w:t>
      </w:r>
      <w:r>
        <w:rPr>
          <w:rFonts w:ascii="Times New Roman;Times;Serif" w:hAnsi="Times New Roman;Times;Serif"/>
          <w:b w:val="false"/>
          <w:i w:val="false"/>
          <w:caps w:val="false"/>
          <w:smallCaps w:val="false"/>
          <w:sz w:val="20"/>
        </w:rPr>
        <w:t xml:space="preserve">The Borrower agrees, in addition to the provisions of ‎Section 6.01 hereof, that upon the occurrence and during the continuance of any Event of Default, it shall, if requested by the Administrative Agent upon the instruction of the Required Lenders or the Issuing Lenders, Cash Collateralize all Letters of Credit then outstanding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the filing by the Borrower of a petition, or (B) an actual or deemed entry of an order for relief with respect to the Borrower, in each case under the federal bankruptcy laws as now or hereafter in effect, the Borrower shall do so forthwith without any notice or demand or any other act by the Administrative Agent or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(i) the occurrence and during the continuance of an Event of Default, the termination of the Commitments and notice thereof to the Administrative Agent by the Borrower or the Required Lenders or (ii) the occurrence and during the continuance of an Event of Default under Section 6.01(a), (b), (c), (h) or (i) and notice thereof to the Administrative Agent by the Borrower or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received on account of the Obligations shall, subject to Section 2.17, be applied by the Administrative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Obligations constituting fees, indemnities, expenses and other amounts payable to the Administrative Agent (including fees and disbursements and other charges of counsel to the Administrative Agent payable under Section 9.04 and amounts pursuant to Section 2.11(b)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that portion of the Obligations constituting fees, expenses, indemnities and other amounts (other than principal, reimbursement obligations in respect of Letter of Credit Disbursements, interest and Letter of Credit fees) payable to the Lenders and the Issuing Lenders (including fees and disbursements and other charges of counsel to the Lenders and the Issuing Lenders payable under Section 9.04) arising under the Loan Documents, ratably among them in proportion to the respective amounts described in this clause (ii)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that portion of the Obligations constituting accrued and unpaid Letter of Credit fees and charges and interest on the Loans and unreimbursed Letter of Credit Disbursements,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ratably among the Lenders and the Issuing Lenders in proportion to the respective amounts described in this clause (iii)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(A) to payment of that portion of the Obligations constituting unpaid principal of the Loans and unreimbursed Letter of Credit Disbursements and (B) to cash collateralize that portion of Letter of Credit Liabilities comprising the undrawn amount of Letters of Credit to the extent not otherwise cash collateralized by the Borrower pursuant to Section 6.02 or 2.17, ratably among the Lenders and the Issuing Lenders in proportion to the respective amounts described in this clause (iv) payable to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any such amounts applied pursuant to subclause (B) above shall be paid to the Administrative Agent for the ratable account of the applicable Issuing Lenders to cash collateralize Obligations in respect of Letters of Credit, (y) subject to Section 6.02 or 2.17,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payment in full of all other Obligations, in each case ratably among the Administrative Agent, the Lenders and the Issuing Lenders based upon the respective aggregate amounts of all such Obligations owing to them in accordance with the respective amounts thereof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finally</w:t>
      </w:r>
      <w:r>
        <w:rPr>
          <w:rFonts w:ascii="Times New Roman;Times;Serif" w:hAnsi="Times New Roman;Times;Serif"/>
          <w:b w:val="false"/>
          <w:i w:val="false"/>
          <w:caps w:val="false"/>
          <w:smallCaps w:val="false"/>
          <w:sz w:val="20"/>
        </w:rPr>
        <w:t>, the balance, if any, after all Obligations have been indefeasibly paid in full, to the Borrower or as otherwise required by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amount remains on deposit as cash collateral after all Letters of Credit have either been fully drawn or expired (without any pending drawings), such remaining amount shall be applied to the other Obligations, if any, in the order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b w:val="false"/>
          <w:i/>
          <w:caps w:val="false"/>
          <w:smallCaps w:val="false"/>
          <w:sz w:val="20"/>
        </w:rPr>
        <w:t xml:space="preserve">. Appointment and Authorization. </w:t>
      </w:r>
      <w:r>
        <w:rPr>
          <w:rFonts w:ascii="Times New Roman;Times;Serif" w:hAnsi="Times New Roman;Times;Serif"/>
          <w:b w:val="false"/>
          <w:i w:val="false"/>
          <w:caps w:val="false"/>
          <w:smallCaps w:val="false"/>
          <w:sz w:val="20"/>
        </w:rPr>
        <w:t>(a) Each Lender and each Issuing Lender irrevocably appoints and authorizes the Administrative Agent to take such action as agent on its behalf and to exercise such powers under this Agreement and the Notes as are delegated to the Administrative Agent by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terms hereof or thereof, together with all such powers as are reasonably incidental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not commence any legal action or proceeding before a court of law on behalf of any Lender or any Issuing Lender without such Lender’s or Issuing Lenders’, as applicable, prior written consent. Without limiting the foregoing, each Lender and each Issuing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or Issuing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the Issuing Lenders and the Administrative Agent (including any claim under Sections 2.07, 2.11, 8.01, 8.04 and 9.04)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proceeding is hereby authorized by each Lender and each Issuing Lender to make such payments to the Administrative Agent and, in the event that the Administrative Agent shall consent to the making of such payments directly to the Lenders or the Issuing Lenders, to pay to the Administrative Agent any amount due to it, in its capacity as the Administrative Agent, under the Loan Documents (including under Section 9.04). 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or to authorize the Administrative Agent to vote in respect of the claim of any Lender or Issuing Lender in any such proceeding.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the Issuing Lender,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xml:space="preserve">. Administrative Agent and Affiliates. </w:t>
      </w:r>
      <w:r>
        <w:rPr>
          <w:rFonts w:ascii="Times New Roman;Times;Serif" w:hAnsi="Times New Roman;Times;Serif"/>
          <w:b w:val="false"/>
          <w:i w:val="false"/>
          <w:caps w:val="false"/>
          <w:smallCaps w:val="false"/>
          <w:sz w:val="20"/>
        </w:rPr>
        <w:t>JPMorgan Chase Bank, N.A. shall have the same rights and powers under this Agreement as any other Lender and may exercise or refrain from exercising the same as though it were not the Administrative Agent, and JPMorgan Chase Bank, N.A. and its affiliates may accept deposits from, lend money to, and generally engage in any kind of business with the Borrower or any Subsidiary or affiliate of the Borrower as if it were not the Administrative Agent. The term “Lender” or “Lenders” shall, unless expressly indicated, include JPMorgan Chase Bank, N.A. (and any successor acting as Administrative Agent) in its capacity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xml:space="preserve">. Action by Administrative Agent. </w:t>
      </w:r>
      <w:r>
        <w:rPr>
          <w:rFonts w:ascii="Times New Roman;Times;Serif" w:hAnsi="Times New Roman;Times;Serif"/>
          <w:b w:val="false"/>
          <w:i w:val="false"/>
          <w:caps w:val="false"/>
          <w:smallCaps w:val="false"/>
          <w:sz w:val="20"/>
        </w:rPr>
        <w:t>The obligations of the Administrative Agent hereunder are only those expressly set forth herein. Without limiting the generality of the foregoing, the Administrative Agent shall not be required to take any action with respect to any Default, except as expressly provided in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b w:val="false"/>
          <w:i/>
          <w:caps w:val="false"/>
          <w:smallCaps w:val="false"/>
          <w:sz w:val="20"/>
        </w:rPr>
        <w:t xml:space="preserve">. Consultation with Experts. </w:t>
      </w:r>
      <w:r>
        <w:rPr>
          <w:rFonts w:ascii="Times New Roman;Times;Serif" w:hAnsi="Times New Roman;Times;Serif"/>
          <w:b w:val="false"/>
          <w:i w:val="false"/>
          <w:caps w:val="false"/>
          <w:smallCaps w:val="false"/>
          <w:sz w:val="20"/>
        </w:rPr>
        <w:t>The Administrative Agent may consult with legal counsel (who may be counsel for the Borrower), independent public accountants and other experts selected by it and shall not be liable to any Lender for any action taken or omitted to be taken by it in good faith in accordance with the advice of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 xml:space="preserve">Administrative Agent’s Reliance; Limitation of Liability. </w:t>
      </w: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be deemed not to have knowledge of any (i) notice of any of the events or circumstances set forth or described in Section 5.01(e) unless and until written notice thereof stating that it is a “notice under Section 5.01(e)”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3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any Lender or any Issuing Lender as a result of, any determination of the Credit Exposure or any of the component amounts thereof or any portion thereof attributable to each Lender or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Administrative Agent (i) may treat the payee of any promissory note as its holder until such promissory note has been assigned in accordance with Section 9.08, (ii) may rely on the Register to the extent set forth in Section 2.05, (iii) may consult with legal counsel (including counsel to the Borrower), independent public accountants and other experts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caps w:val="false"/>
          <w:smallCaps w:val="false"/>
          <w:sz w:val="20"/>
        </w:rPr>
        <w:t>. Posting of Communications</w:t>
      </w:r>
      <w:r>
        <w:rPr>
          <w:rFonts w:ascii="Times New Roman;Times;Serif" w:hAnsi="Times New Roman;Times;Serif"/>
          <w:b w:val="false"/>
          <w:i w:val="false"/>
          <w:caps w:val="false"/>
          <w:smallCaps w:val="false"/>
          <w:sz w:val="20"/>
        </w:rPr>
        <w:t>. (a) 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SYNDICATION AGENT OR ANY OF THEIR RESPECTIVE RELATED PARTIES (COLLECTIVELY, “</w:t>
      </w:r>
      <w:r>
        <w:rPr>
          <w:rFonts w:ascii="Times New Roman;Times;Serif" w:hAnsi="Times New Roman;Times;Serif"/>
          <w:b/>
          <w:i w:val="false"/>
          <w:caps w:val="false"/>
          <w:smallCaps w:val="false"/>
          <w:sz w:val="20"/>
        </w:rPr>
        <w:t>APPLICABLE PARTIES</w:t>
      </w:r>
      <w:r>
        <w:rPr>
          <w:rFonts w:ascii="Times New Roman;Times;Serif" w:hAnsi="Times New Roman;Times;Serif"/>
          <w:b w:val="false"/>
          <w:i w:val="false"/>
          <w:caps w:val="false"/>
          <w:smallCaps w:val="false"/>
          <w:sz w:val="20"/>
        </w:rPr>
        <w:t>”) HAVE ANY LIABILITY TO THE BORROWER, ANY LENDER, ANY ISSUING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Lender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any Issuing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caps w:val="false"/>
          <w:smallCaps w:val="false"/>
          <w:sz w:val="20"/>
        </w:rPr>
        <w:t xml:space="preserve">. Acknowledgments of Lenders and Issuing Lenders. </w:t>
      </w:r>
      <w:r>
        <w:rPr>
          <w:rFonts w:ascii="Times New Roman;Times;Serif" w:hAnsi="Times New Roman;Times;Serif"/>
          <w:b w:val="false"/>
          <w:i w:val="false"/>
          <w:caps w:val="false"/>
          <w:smallCaps w:val="false"/>
          <w:sz w:val="20"/>
        </w:rPr>
        <w:t>(a) Each Lender and each Issuing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Lender,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Lender agrees not to assert a claim in contravention of the foregoing, such as a claim under the federal or state securities laws), (iii) it has, independently and without reliance upon the Administrative Agent, any Arranger, any Syndication Agent, any 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any Documentation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Agreement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Domestic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7.07(c)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Domestic Business Day thereafter,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party’s obligations under this Section 7.07(c)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b w:val="false"/>
          <w:i/>
          <w:caps w:val="false"/>
          <w:smallCaps w:val="false"/>
          <w:sz w:val="20"/>
        </w:rPr>
        <w:t xml:space="preserve">. Successor Administrative Agents. </w:t>
      </w:r>
      <w:r>
        <w:rPr>
          <w:rFonts w:ascii="Times New Roman;Times;Serif" w:hAnsi="Times New Roman;Times;Serif"/>
          <w:b w:val="false"/>
          <w:i w:val="false"/>
          <w:caps w:val="false"/>
          <w:smallCaps w:val="false"/>
          <w:sz w:val="20"/>
        </w:rPr>
        <w:t>(a) The Administrative Agent may resign at any time by giving notice thereof to the Lenders, the Issuing Lenders and the Borrower. Upon any such resignation, the Borrower shall, so long as no Event of Default shall have occurred and be continuing, have the right, with the consent of the Required Lenders, to appoint any of the Lenders as a successor Administrative Agent. In the event that a Default has occurred and is continuing, the Required Lenders shall have the right to appoint the successor Administrative Agent. If no successor Administrative Agent shall have been so appointed, and shall have accepted such appointment, within 30 days after the retiring Administrative Agent gives notice of resignation, the retiring Administrative Agent may, on behalf of the Lenders and the Issuing Lenders, appoint a successor Administrative Agent, which shall be a commercial bank organized or licensed under the laws of the United States of America or of any State thereof and having a combined capital and surplus of at least $50,000,000. Upon the acceptance of its appointment as an Administrative Agent hereunder by a successor Administrative Agent, such successor Administrative Agent shall thereupon succeed to and become vested with all the rights and duties of the retiring Administrative Agent, and the retiring Administrative Agent shall be discharged from its duties and obligations hereunder as Administrative Agent. After any retiring Administrative Agent’s resignation hereunder as Administrative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the provisions of this Article shall inure to its benefit as to any actions taken or omitted to be taken by it while it was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Lender. Following the effectiveness of the Administrative Agent’s resignation from its capacity as such, the provisions of this Article and Section 9.04,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b w:val="false"/>
          <w:i/>
          <w:caps w:val="false"/>
          <w:smallCaps w:val="false"/>
          <w:sz w:val="20"/>
        </w:rPr>
        <w:t xml:space="preserve">. Administrative Agent’s Fees. </w:t>
      </w:r>
      <w:r>
        <w:rPr>
          <w:rFonts w:ascii="Times New Roman;Times;Serif" w:hAnsi="Times New Roman;Times;Serif"/>
          <w:b w:val="false"/>
          <w:i w:val="false"/>
          <w:caps w:val="false"/>
          <w:smallCaps w:val="false"/>
          <w:sz w:val="20"/>
        </w:rPr>
        <w:t>The Borrower shall pay to the Administrative Agent for its own account fees in the amounts and at the times previously agreed upon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b w:val="false"/>
          <w:i/>
          <w:caps w:val="false"/>
          <w:smallCaps w:val="false"/>
          <w:sz w:val="20"/>
        </w:rPr>
        <w:t xml:space="preserve">. Other Agents. </w:t>
      </w:r>
      <w:r>
        <w:rPr>
          <w:rFonts w:ascii="Times New Roman;Times;Serif" w:hAnsi="Times New Roman;Times;Serif"/>
          <w:b w:val="false"/>
          <w:i w:val="false"/>
          <w:caps w:val="false"/>
          <w:smallCaps w:val="false"/>
          <w:sz w:val="20"/>
        </w:rPr>
        <w:t>Nothing in this Agreement shall impose upon any Agent other than the Administrative Agent, in its capacity as such an Agent, any obligation or liability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b w:val="false"/>
          <w:i/>
          <w:caps w:val="false"/>
          <w:smallCaps w:val="false"/>
          <w:sz w:val="20"/>
        </w:rPr>
        <w:t>. Certain ERISA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Change 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b w:val="false"/>
          <w:i/>
          <w:caps w:val="false"/>
          <w:smallCaps w:val="false"/>
          <w:sz w:val="20"/>
        </w:rPr>
        <w:t>. Increased Cost and Reduced Return; Capital Adequacy.</w:t>
      </w:r>
      <w:r>
        <w:rPr>
          <w:rFonts w:ascii="Times New Roman;Times;Serif" w:hAnsi="Times New Roman;Times;Serif"/>
          <w:b w:val="false"/>
          <w:i w:val="false"/>
          <w:caps w:val="false"/>
          <w:smallCaps w:val="false"/>
          <w:sz w:val="20"/>
        </w:rPr>
        <w:t xml:space="preserve"> (a) If after the date hereof, in the case of any Loan or Letter of Credit or any obligation to make Loans or issue or participate in any Letter of Credit, a Change in Law shall (i) impose, modify or deem applicable any reserve, special deposit, assessment (excluding Taxes) or similar requirement (including, without limitation, any such requirement imposed by the Board of Governors of the Federal Reserve System pursuant to Regulation D or otherwise, as herein provided) against assets of, deposits with or for the account of, or credit extended by, any Lender, (ii) subject any Administrative Agent or Lender to any Taxes (other than (A) Indemnified Taxes imposed on or with respect to any payment made by or on account of any obligation of the Borrower hereunder or (B) Taxes described in Sections 8.04(b)(v)-(z)) on its loans, loan principal, letters of credit, commitments, or other obligations, or its deposits, reserves, other liabilities or capital attributable thereto, or (iii) impose on any Lender or the applicable interbank market any other condition affecting its Term Benchmark Loans, its Note or its obligations to make Term Benchmark Loans or its obligations hereunder in respect of Letters of Credit and the result of any of the foregoing is to increase the cost to such Lender (or its Applicable Lending Office) of making or maintaining any Term Benchmark Loan or of issuing or participating in any Letter of Credit, or to reduce the amount of any sum received or receivable by such Lender under this Agreement or under its Note, by an amount deemed by such Lender to be material, then, within 15 days after written demand therefor made through the Administrative Agent, in the form of the certificate referred to in ‎Section 8.01(c), the Borrower shall pay to such Lender such additional amount or amounts as will compensate such Lender for such increased cost or reduction;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effect of ‎Section 8.01(a) (but without duplication), if any Lender determines at any time after the date on which this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Agreement becomes effective that a Change in Law will have the effect of increasing the amount of capital or liquidity required to be maintained by such Lender (or its Parent) based on the existence of such Lender’s Loans, Commitment and/or other obligations hereunder, then the Borrower shall pay to such Lender, within 15 days after its written demand therefor made through the Administrative Agent in the form of the certificate referred to in ‎Section 8.01(c), such additional amounts as shall be required to compensate such Lender for any reduction in the rate of return on capital of such Lender (or its Parent) as a result of such increased capital or liquidity requirement;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(i) a Lender shall increase its level of capital above the level maintained by such Lender on the date of this Agreement and there has not been a Change in Law or (ii) there has been a Change in Law and a Lender shall increase its level of capital by an amount greater than the increase attributable (taking into consideration the same variables taken into consideration in determining the level of capital maintained by such Lender on the date of this Agreement) to such Change in Law, the Borrower shall not be required to pay any amount or amounts under this Agreement with respect to any such increase in capital. Thus, for example, a Lender which is “adequately capitalized” (as such term or any similar term is used by any applicable bank regulatory agency having authority with respect to such Lender) may not require the Borrower to make payments in respect of increases in such Lender’s level of capital made under the circumstances described in clause ‎(i) or ‎(ii) above which improve its capital position from “adequately capitalized” to “well capitalized” (as such term or any similar term is used by any applicable bank regulatory agency having authority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will promptly notify the Borrower, through the Administrative Agent, of any event of which it has knowledge, occurring after the date on which this Agreement becomes effective, which will entitle such Lender to compensation pursuant to this ‎Section 8.01 and will use commercially reasonable efforts to designate a different Applicable Lending Office if such designation will avoid the need for, or reduce the amount of, such compensation and will not, in the sole judgment of such Lender, subject such Lender to any unreimbursed cost or expense or be otherwise disadvantageous to such Lender. A certificate of any Lender claiming compensation under this ‎Section 8.01 and setting forth the additional amount or amounts to be paid to it hereunder and setting forth the basis for the determination thereof shall be conclusive in the absence of manifest error. In determining such amount, such Lender shall act reasonably and in good faith, and may use any reasonable averaging and attribution methods.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Alternate Rate of Interest</w:t>
      </w:r>
      <w:r>
        <w:rPr>
          <w:rFonts w:ascii="Times New Roman;Times;Serif" w:hAnsi="Times New Roman;Times;Serif"/>
          <w:b w:val="false"/>
          <w:i w:val="false"/>
          <w:caps w:val="false"/>
          <w:smallCaps w:val="false"/>
          <w:sz w:val="20"/>
        </w:rPr>
        <w:t>. (a) Subject to clauses (b), (c), (d), (e) and (f) of this Section 8.02,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of Interest Rate Election in accordance with the terms of Section 2.03 or a Notice of Borrowing in accordance with the terms of Section 2.02, (1) any Interest Election Request that requests the conversion of any Revolving Borrowing to, or continuation of any Revolving Borrowing as, a Term Benchmark Borrowing and any Notice of Borrowing that requests a Term Benchmark Borrowing shall instead be deemed to be an Interest Election Request or a Notice of Borrowing, as applicable, for (x) an RFR Borrowing so long as the Adjusted Daily Simple SOFR is not also the subject of Section 8.02(a)(i) or (ii) above or (y) an Base Rate Borrowing if the Adjusted Daily Simple SOFR also is the subject of Section 8.02(a)(i) or (ii) above and (2) any Notice of Borrowing that requests an RFR Borrowing shall instead be deemed to be a Notice of Borrowing, as applicable, for a Base Rate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8.02(a) with respect to a Relevant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2.03 or a new Notice of Borrowing in accordance with the terms of Section 2.02, (1) any Term Benchmark Loan shall on the last day of the Interest Period applicable to such Loan, be converted by the Administrative Agent to, and shall constitute, (x) an RFR Borrowing so long as the Adjusted Daily Simple SOFR is not also the subject of Section 8.02(a)(i) or (ii) above or (y) a Base Rate Loan if the Adjusted Daily Simple SOFR also is the subject of Section 8.02(a)(i) or (ii) above, on such day, and (2) any RFR Loan shall on and from such day be converted by the Administrative Agent to, and shall constitute a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Domestic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8.02,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(1)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(2)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 SOFR is not the subject of a Benchmark Transition Event or (B) an Base Rate Borrowing if the Adjusted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8.02, (1) any Term Benchmark Loan shall on the last day of the Interest Period applicable to such Loan, be converted by the Administrative Agent to, and shall constitute, (x) an RFR Borrowing so long as the Adjusted Daily Simple SOFR is not the subject of a Benchmark Transition Event or (y) a Base Rate Loan if the Adjusted Daily Simple SOFR is the subject of a Benchmark Transition Event, on such day and (2) any RFR Loan shall on and from such day be converted by the Administrative Agent to, and shall constitute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b w:val="false"/>
          <w:i/>
          <w:caps w:val="false"/>
          <w:smallCaps w:val="false"/>
          <w:sz w:val="20"/>
        </w:rPr>
        <w:t>. Illegality.</w:t>
      </w:r>
      <w:r>
        <w:rPr>
          <w:rFonts w:ascii="Times New Roman;Times;Serif" w:hAnsi="Times New Roman;Times;Serif"/>
          <w:b w:val="false"/>
          <w:i w:val="false"/>
          <w:caps w:val="false"/>
          <w:smallCaps w:val="false"/>
          <w:sz w:val="20"/>
        </w:rPr>
        <w:t xml:space="preserve"> (a) Notwithstanding any other provision herein, if, after the date on which this Agreement becomes effective, a Change in Law shall make it unlawful or impossible for any Lender to (i) honor any Commitment it may have hereunder to make any Term Benchmark Loan or RFR Loans then such Commitment shall be suspended, or (ii) maintain any Term Benchmark Loan or RFR Loans, then all Term Benchmark Loans or RFR Loans of such Lender then outstanding shall be converted into Base Rate Loans as provided in ‎Section 8.03(b), and any remaining Commitment of such Lender hereunder to make Term Benchmark Loans or RFR Loans (but not other Loans) shall be immediately suspended, in either case until such Lender may again make and/or maintain Term Benchmark Loans or RFR Loans (as the case may be), and borrowings from such Lender, at a time when borrowings from the other Lenders are to be of Term Benchmark Loans or RFR Loans, shall be made, simultaneously with such borrowings from the other Lenders, by way of Base Rate Loans. Upon the occurrence of any such change, such Lender shall promptly notify the Borrower thereof (with a copy to the Administrative Agent), and shall furnish to the Borrower in writing evidence thereof certified by such Lender. Before giving any notice pursuant to this ‎Section 8.03, such Lender shall designate a different Applicable Lending Office if such designation will avoid the need for giving such notice and will not, in the sole reasonable judgment of such Lender, be otherwise disadvantageous to such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conversion of any outstanding Term Benchmark Loan which is required under this ‎Section 8.03 shall be effected immediately (or, if permitted by applicable law, on the last day of the Interest Period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b w:val="false"/>
          <w:i/>
          <w:caps w:val="false"/>
          <w:smallCaps w:val="false"/>
          <w:sz w:val="20"/>
        </w:rPr>
        <w:t>. Taxes on Payments.</w:t>
      </w:r>
      <w:r>
        <w:rPr>
          <w:rFonts w:ascii="Times New Roman;Times;Serif" w:hAnsi="Times New Roman;Times;Serif"/>
          <w:b w:val="false"/>
          <w:i w:val="false"/>
          <w:caps w:val="false"/>
          <w:smallCaps w:val="false"/>
          <w:sz w:val="20"/>
        </w:rPr>
        <w:t xml:space="preserve"> (a) For purposes of this Section 8.04, the term “Lender” includes any Issuing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payments pursuant to this Agreement shall be made free and clear of and without any deduction or withholding for or on account of any present and future Taxes imposed on the Administrative Agent or any Lender, excluding, in the case of the Administrative Agent and each Lender, (v) Taxes imposed on its net income, branch profit Taxes and franchise or similar Taxes imposed in lieu of net income Taxes by the jurisdiction (or any political subdivision thereof) under the laws of which it is organized or doing business (other than solely pursuant to or in connection with this Agreement or any Loan Document) or in which its principal office is located or, in the case of any Lender, in which its Applicable Lending Office is located, (w) backup withholding tax that is required by Section 3406 of the Internal Revenue Code (or any successor provision thereto) to be withheld from amounts payable to the Administrative Agent or such Lender, (x)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9.01(b)) or (ii) such Lender changes its lending office, except in each case to the extent that, pursuant to Section 8.04, amounts with respect to such Taxes were payable either to such Lender’s assignor immediately before such Lender became a party hereto or to such Lender immediately before it changed its lending office, (y) any withholding tax that is attributable to such Lender’s failure to comply with Section 8.04(e) and (z) Taxes imposed pursuant to FATCA (all such non-excluded Taxes being hereinafter called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except as expressly provided in this ‎‎Section 8.04. If any Taxes are imposed and required by law to be deducted or withheld from any amount payable by the Borrower or the Administrative Agent (the “</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to the Administrative Agent or to any Lender, then (1) if such Taxes are Indemnified Taxes, the Borrower shall increase the amount of such payment so that the Administrative Agent or such Lender, as the case may be, will receive a net amount (after deduction and withholding of all Indemnified Taxes including such deductions and withholdings applicable to additional amounts payable under this Section 8.04) equal to the amount it would otherwise have received hereunder, (2) the Withholding Agent shall pay such Taxes to the appropriate Governmental Authority for the account of the Administrative Agent or such Lender, as the case may be, and (3) as soon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practicable thereafter, the Withholding Agent shall send the Administrative Agent or such Lender, as the case may be, evidence of original or certified copy of a receipt showing payment thereof, a copy of the return reporting such payment or other evidence of such payment reasonably satisfactory to the Administrative Agent or such Lender. If the Borrower fails to perform its obligations under (2) or (3) above, the Borrower shall indemnify the Administrative Agent or such Lender for any incremental Taxes, interest or penalties that may become payable as a result of any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timely pay to the relevant Governmental Authority in accordance with applicable law, or at the option of the Administrative Agent indemnify the Administrative Agent and each Lender against any present or future transfer taxes, intangible, stamp, recording, filing or documentary taxes, excise or property taxes, assessments or charges made by any Governmental Authority by reason of the execution, delivery, registration or enforcement of this Agreement or any Notes (hereinafter referred to as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indemnify the Administrative Agent and each Lender, within 10 days after demand therefor, for the full amount of any Indemnified Taxes (including Indemnified Taxes imposed or asserted on or attributable to amounts payable under this ‎Section 8.04) payable or paid by such Administrative Agent or Lender or required to be withheld or deducted from a payment to the Administrative Agent or such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that is a foreign person (i.e., a person who is not a “United States person” within the meaning of Section 7701(a)(30) of the Internal Revenue Code) agrees to deliver to the Borrower and the Administrative Agent (in such number of copies as shall be requested by the recipient) on or prior to the date on which such Lender becomes a Lender under this Agreement (and from time to time thereafter upon the request of the Borrower or the Administrative Agent), unless the Lender is not legally entitled to do so, whichever of the following is applicable: (i) duly executed copies of Internal Revenue Service Form W-8BEN or W-8BEN-E, as applicable, claiming eligibility for benefits of an income tax treaty to which the United States is a party, (ii) duly executed copies of Internal Revenue Service Form W-8ECI, (iii) in the case of a Lender claiming the benefits of the exemption for portfolio interest under Section 881(c)</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Internal Revenue Code, (x) a certificate, in substantially the form of the applicable certificate that is included in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or any other form approved by the Borrower and the Administrative Agent, to the effect that such Lender is not (A) a “bank” within the meaning of Section 881(c)(3)(A) of the Internal Revenue Code, (B) a “10 percent shareholder” of Borrower within the meaning of Section 881(c)(3)(B) of the Internal Revenue Code, or (C) a “controlled foreign corporation” described in Section 881(c)(3)(C) of the Internal Revenue Code and (y) duly executed copies of Internal Revenue Service Form W-8BEN or W-8BEN-E, as applicable, (iv) in the case of a Lender that is not the beneficial owner of payments made under this Agreement (including a partnership) (A) executed copies of IRS Form W-8IMY on behalf of itself and (B) the relevant forms prescribed in clauses (i), (ii), (iii), and (v) of this paragraph (e) that would be required of each beneficial owner (or partner) if the beneficial owner (or partner)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Lender is a partnership and one or more of its direct or indirect partners are claiming the exemption for portfolio interest under Section 881(c) of the Internal Revenue Code, the Lender may provide the certificate required under paragraph (iii) above on behalf of such partners; and (v) any other form prescribed by applicable law as a basis for claiming exemption from or a reduction in United States federal withholding tax duly completed together with such supplementary documentation as may be prescribed by applicable law to permit Borrower or the Administrative Agent to determine the withholding or deduction required to be made; provided that no form shall be required under this Section 8.04(e)(v) if, in the Lender’s reasonable judgment, the completion, execution or submission of such form would subject such Lender to any material unreimbursed cost or expense or would materially prejudice the legal or commercial position of such Lender. The Borrower and the Administrative Agent shall each be entitled to rely on such forms in its possession until receipt of any revised or successor form pursuant to the preceding sentence.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Borrower is required to pay additional amounts to or for the account of any Lender (including the Administrative Agent in its capacity as a Lender) pursuant to this ‎Section 8.04, then such Lender will (at the request of the borrower) use reasonable efforts to change the jurisdiction of one or more Applicable Lending Offices if such change, in the judgment of such Lender, would eliminate or reduce any such additional payment which may thereafter accrue and does not result in an unreimbursed cost and is not otherwise disadvantageous to such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party determines, in its sole discretion exercised in good faith, that it has received a refund of any Taxes as to which it has been indemnified pursuant to this ‎Section 8.04 (including by the payment of additional amounts pursuant to this ‎Section 8.04),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with respect to such refund) in the event such indemnified party is required to repay such refund to such Governmental Authority. Notwithstanding anything to the contrary in this ‎Section 8.04(h), in no event will any indemnified party be required to pay any amount to any indemnifying party pursuant to this ‎Section 8.04(h) if such payment would place such indemnified party in a less favorable position (on a net after-Tax basis) than such indemnified party would have been in if the indemnification payments or additional amounts giving rise to such refund had never been paid. This ‎Section 8.04(h) shall not be construed to require any indemnified party to make available its Tax returns (or any other information relating to its Taxes which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a “United States person” within the meaning of Section 7701(a)(30) of the Internal Revenue Code shall deliver to the Borrower and the Administrative Agent on or prior to the date on which such Lender becomes a Lender under this Agreement (and from time to time thereafter upon the request of the Borrower or the Administrative Agent), executed copies of Internal Revenue Service form W-9 certifying, to the extent such Lender is legally entitled to do so,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a payment made to a Lender under this Agreement or any Assignment and Assumption Agreement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‎Section 8.04(j),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Lender shall severally indemnify the Administrative Agent for (i) any Indemnified Taxes (but only to the extent that the Borrower has not already indemnified the Administrative Agent for such Indemnified Taxes and without limiting the obligation of the Borrower to do so), (ii) any Taxes attributable to such Lender’s failure to comply with the provisions of Section 9.08(b) relating to the maintenance of a Participant Register and (iii) any Taxes (other than Indemnified Taxes and Other Taxes) imposed on or with respect to such Lender or required to be withheld or deducted from a payment to such Lender, in each case attributable to such Lender that are paid or payable by the Administrative Agent in connection with this Agreement or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This indemnification shall be made within 15 days from the date the Administrative Agent makes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party’s obligation under this Section 8.04 shall survive the resignation or replacement of the Administrative Agent or any assignment of rights by, or the replacement of, a Lender, the termination of the Commitments and the repayment, satisfaction or discharge of all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b w:val="false"/>
          <w:i/>
          <w:caps w:val="false"/>
          <w:smallCaps w:val="false"/>
          <w:sz w:val="20"/>
        </w:rPr>
        <w:t>. Termination of Participation of a Lender; New Lenders.</w:t>
      </w:r>
      <w:r>
        <w:rPr>
          <w:rFonts w:ascii="Times New Roman;Times;Serif" w:hAnsi="Times New Roman;Times;Serif"/>
          <w:b w:val="false"/>
          <w:i w:val="false"/>
          <w:caps w:val="false"/>
          <w:smallCaps w:val="false"/>
          <w:sz w:val="20"/>
        </w:rPr>
        <w:t xml:space="preserve"> (a) Notwithstanding any provision of this Agreement to the contrary (including ‎Section 9.05 and ‎Section 9.06), (1) upon receipt of notice from any Lender for compensation or indemnification pursuant to ‎Section 8.01(c) or ‎Section 8.04 if such Lender has declined or is unable to designate a different lending office in accordance with Sections 8.01(c), 8.03(a), or 8.04(g), (2) upon receipt of notice that the obligations of a Lender to make or maintain Term Benchmark Loans or RFR Loans has been suspended or (3) if a Lender shall become a Defaulting Lender, the Borrower shall have the right to terminate the Commitment in full of such Lender (a “</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(if still in existence) and to prepay all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of such Lender. Such termination and/or prepayment pursuant to this ‎Section 9.01(a) shall be effective on the tenth Domestic Business Day following the date of a notice thereof to the Retiring Lender through the Administrative Agent,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on such effective date there shall be any Loan(s) of the Retiring Lender outstanding hereunder, the Borrower shall have prepaid on such date (x) the aggregate principal amount of such Loan(s) and (y) if and to the extent necessary, an additional aggregate principal amount of the Revolving Loans of the other Lenders such that, after giving effect to clause ‎(iii) below, no Lender’s Outstanding Committed Amount shall exceed its Commitment and the Total Outstanding Amount shall not exceed 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payment of the principal of the Loans held by the Retiring Lender pursuant to clause ‎(i) above, the Borrower shall have paid such Retiring Lender all accrued interest thereon, and facility fee and any other amounts then payable to it hereunder, including, without limitation, all amounts payable by the Borrower to such Lender under ‎Section 2.14 by reason of the prepayment of Loans pursuant to clause ‎(i) with respect to the period ending on such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‎Section 8.01, ‎Section 8.04 and ‎Section 9.04 shall survive for the benefit of any Retiring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termination of a Commitment, the respective Letter of Credit Liabilities of the Lenders shall be redetermined as of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set forth in clauses ‎(i), ‎(ii) and ‎(iii) above, such Lender shall cease to be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lieu of the termination of a Lender’s Commitment and/or prepayments of its Loans pursuant to ‎Section 9.01(a), the Borrower may notify the Administrative Agent that the Borrower desires to replace such Retiring Lender with a new bank or banks (which may be one or more of the Lenders), which will purchase the Loans and assume the Commitment and Letter of Credit Liabilities of the Retiring Lender; provided that, in the case of any such assignment resulting from a claim for compensation or indemnification under Sections 8.01(a) or 8.04, such assignment will result in a reduction in such compensation or indemnification thereafter. Upon the Borrower’s selection of a bank to replace a Retiring Lender, such bank’s agreement thereto and the fulfillment of the conditions to assignment and assumption set forth in Section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9.08(c) such bank shall become a Lender hereunder for all purposes in accordance with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b w:val="false"/>
          <w:i/>
          <w:caps w:val="false"/>
          <w:smallCaps w:val="false"/>
          <w:sz w:val="20"/>
        </w:rPr>
        <w:t>. Notices.</w:t>
      </w:r>
      <w:r>
        <w:rPr>
          <w:rFonts w:ascii="Times New Roman;Times;Serif" w:hAnsi="Times New Roman;Times;Serif"/>
          <w:b w:val="false"/>
          <w:i w:val="false"/>
          <w:caps w:val="false"/>
          <w:smallCaps w:val="false"/>
          <w:sz w:val="20"/>
        </w:rPr>
        <w:t xml:space="preserve"> (a) All notices, requests and other communications to any party hereunder shall be in writing (including bank wire, facsimile or other electronic transmission or similar writing) and shall be given to such party: (i) in the case of the Borrower or the Administrative Agent, at its address, facsimile number or electronic mail address set forth on the signature pages hereof, (ii) in the case of any Lender, at its address, facsimile number or electronic mail address set forth in its Administrative Questionnaire or (iii) in the case of any party, such other address, facsimile number or electronic mail address as such party may hereafter specify for the purpose by notice to the Administrative Agent and the Borrower. Each such notice, request or other communication shall be effective (x) if given by facsimile transmission, when transmitted to the facsimile number specified in this Section and confirmation of receipt is received or (y) if given by any other means, when delivered at the address specified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hereunder may be delivered or furnished by using Approved Electronic Platforms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2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notice or other communication is not sent during the normal business hours of the recipient, such notice or communication shall be deemed to have been sent at the opening of business on the next Domestic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b w:val="false"/>
          <w:i/>
          <w:caps w:val="false"/>
          <w:smallCaps w:val="false"/>
          <w:sz w:val="20"/>
        </w:rPr>
        <w:t>. No Waivers.</w:t>
      </w:r>
      <w:r>
        <w:rPr>
          <w:rFonts w:ascii="Times New Roman;Times;Serif" w:hAnsi="Times New Roman;Times;Serif"/>
          <w:b w:val="false"/>
          <w:i w:val="false"/>
          <w:caps w:val="false"/>
          <w:smallCaps w:val="false"/>
          <w:sz w:val="20"/>
        </w:rPr>
        <w:t xml:space="preserve"> No failure or delay by either Administrative Agent or any Lender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b w:val="false"/>
          <w:i/>
          <w:caps w:val="false"/>
          <w:smallCaps w:val="false"/>
          <w:sz w:val="20"/>
        </w:rPr>
        <w:t>. Expenses; Indemnification; Limitation of Liability.</w:t>
      </w:r>
      <w:r>
        <w:rPr>
          <w:rFonts w:ascii="Times New Roman;Times;Serif" w:hAnsi="Times New Roman;Times;Serif"/>
          <w:b w:val="false"/>
          <w:i w:val="false"/>
          <w:caps w:val="false"/>
          <w:smallCaps w:val="false"/>
          <w:sz w:val="20"/>
        </w:rPr>
        <w:t xml:space="preserve"> (a) The Borrower shall pay (i) reasonable, documented out-of-pocket expenses, including the reasonable fees and expenses of one special counsel for the Administrative Agent in connection with the preparation of this Agreement, (ii) all reasonable, documented out-of-pocket expenses incurred by any Issuing Lender in connection with the issuance, amendment, renewal or extension of any Letter of Credit or any demand for payment thereunder and (iii) if an Event of Default occurs, all reasonable, documented out-of-pocket expenses incurred by the Administrative Agent, any Issuing Lender and the Lenders, including reasonable fees and expenses of one outside counsel for the Administrative Agent, any Issuing Lender and the Lenders (in addition to one local counsel in each applicable local jurisdiction if reasonably necessary as determined by the Administrative Agent and, if the Administrative Agent or one or more Issuing Lenders or Lenders shall determine in good faith that there is an actual or perceived conflict between its interests and the interests of the Issuing Lenders or Lenders or other Issuing Lenders or other Lenders, as the case may be, one additional counsel for each such Issuing Lender or Lender), in connection with such Event of Default and collection and other enforcement proceedings resulting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indemnify the Administrative Agent, each Issuing Lender, each Syndication Agent, each Documentation Agent and each Lender, their respective affiliates and the respective directors, officers, agents and employees of the foregoing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and hold each Indemnitee harmless from and against any and all liabilities, losses, damages, costs and reasonable expenses of any kind, including, without limitation, the reasonable, documented fees and disbursements of one outside counsel selected by the Administrative Agent for the Indemnitees (in addition to one local counsel in each applicable local jurisdiction if reasonably necessary as determined by the Administrative Agent and, to the extent one or more Indemnitees shall determine in good faith that there is an actual or perceived conflict between its interests and the interests of other Indemnitees, one additional counsel for each such Indemnitee), incurred by such Indemnitee in response to or in defense of any investigative, administrative or judicial proceeding brought or threatened against the Administrative Agent, any Issuing Lender or any Lender relating to or arising out of this Agreement or any actual or proposed use of proceeds of Loans,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or not such proceeding is brought by the Borrower or its Affiliates, creditors or any other third Person and whether based on contract, tort or any other theory and regardless of whether any Indemnitee is a party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Indemnitee shall have the right to be indemnified hereunder (i) to the extent such indemnification relates to relationships between or among each of, or any of, the Administrative Agent, the Issuing Lenders, the Syndication Agents, the Documentation Agents, the Lenders or any Assignee or Participant and does not involve any act or omission by the Borrower or (ii) for such Indemnitee’s own gross negligence or willful misconduct or any bad faith breach by such Indemnitee of any of its material obligations hereunder as determined by a court of competent jurisdiction by final and nonappealable judgment. This Section 9.04(b)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permitted by applicable law, (i) the Borrower shall not assert, and the Borrower hereby waives, any claim against any Lender-Related Person for any Liabilities arising from the use by others of information or other materials (including, without limitation, any personal data) obtained through telecommunications, electronic or other information transmission systems (including the Internet and any Approved Electronic Platform), except to the extent resulting from the gross negligence or willful misconduct or any bad faith breach by such Lender-Related Person of any of its material obligations hereunder as determined by a court of competent jurisdiction by final and nonappealable judgment, and (ii) no party hereto shall assert, and each such party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thereby,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clause (c) shall relieve the Borrower of any obligation it may have to indemnify an Indemnitee against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severally agrees to pay any amount required to be paid by the Borrower under paragraphs (a), (b) or (c) of this Section 9.04 to the Administrative Agent, each Issuing Lender and each Related Party of any of the foregoing Persons (each, an “</w:t>
      </w:r>
      <w:r>
        <w:rPr>
          <w:rFonts w:ascii="Times New Roman;Times;Serif" w:hAnsi="Times New Roman;Times;Serif"/>
          <w:b/>
          <w:i/>
          <w:caps w:val="false"/>
          <w:smallCaps w:val="false"/>
          <w:sz w:val="20"/>
        </w:rPr>
        <w:t>Agent-Related Person</w:t>
      </w:r>
      <w:r>
        <w:rPr>
          <w:rFonts w:ascii="Times New Roman;Times;Serif" w:hAnsi="Times New Roman;Times;Serif"/>
          <w:b w:val="false"/>
          <w:i w:val="false"/>
          <w:caps w:val="false"/>
          <w:smallCaps w:val="false"/>
          <w:sz w:val="20"/>
        </w:rPr>
        <w:t>”)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Liability or related expense, as the case may be, was incurred by or asserted against such Agent-Related Person in its capacity as such;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All amounts due under this Section 9.04 shall be payable promptly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b w:val="false"/>
          <w:i/>
          <w:caps w:val="false"/>
          <w:smallCaps w:val="false"/>
          <w:sz w:val="20"/>
        </w:rPr>
        <w:t>. Pro Rata Treatment.</w:t>
      </w:r>
      <w:r>
        <w:rPr>
          <w:rFonts w:ascii="Times New Roman;Times;Serif" w:hAnsi="Times New Roman;Times;Serif"/>
          <w:b w:val="false"/>
          <w:i w:val="false"/>
          <w:caps w:val="false"/>
          <w:smallCaps w:val="false"/>
          <w:sz w:val="20"/>
        </w:rPr>
        <w:t xml:space="preserve"> Except as expressly provided in this Agreement, (a) each borrowing from, and change in the Commitments of, the Lenders shall be made pro rata according to their respective Commitments, and (b) each payment and prepayment on any Group of Loans shall be made to all applicable Lenders, pro rata in accordance with the unpaid principal amount of such Loans held by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b w:val="false"/>
          <w:i/>
          <w:caps w:val="false"/>
          <w:smallCaps w:val="false"/>
          <w:sz w:val="20"/>
        </w:rPr>
        <w:t xml:space="preserve">. Sharing of Set-offs. </w:t>
      </w:r>
      <w:r>
        <w:rPr>
          <w:rFonts w:ascii="Times New Roman;Times;Serif" w:hAnsi="Times New Roman;Times;Serif"/>
          <w:b w:val="false"/>
          <w:i w:val="false"/>
          <w:caps w:val="false"/>
          <w:smallCaps w:val="false"/>
          <w:sz w:val="20"/>
        </w:rPr>
        <w:t xml:space="preserve">Each Lender agrees that if it shall, by exercising any right of set-off or counterclaim or otherwise, receive payment of a proportion of the aggregate amount then due with respect to the Loans and Letter of Credit Liabilities held by it which is greater than the proportion received by any other Lender in respect of the aggregate amount then due with respect to the Loans and Letter of Credit Liabilities held by such other Lender, the Lender receiving such proportionately greater payment shall purchase such participations in the Loans and Letter of Credit Liabilities held by the other Lenders, and such other adjustments shall be made, as may be required so that all such payments shall be shared by the Lenders pro rata;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nothing in this Section shall impair the right of any Lender to exercise any right of set-off or counterclaim it may have and to apply the amount subject to such exercise to the payment of indebtedness of the Borrower other than its indebtedness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b w:val="false"/>
          <w:i/>
          <w:caps w:val="false"/>
          <w:smallCaps w:val="false"/>
          <w:sz w:val="20"/>
        </w:rPr>
        <w:t xml:space="preserve">. Amendments and Waivers. </w:t>
      </w:r>
      <w:r>
        <w:rPr>
          <w:rFonts w:ascii="Times New Roman;Times;Serif" w:hAnsi="Times New Roman;Times;Serif"/>
          <w:b w:val="false"/>
          <w:i w:val="false"/>
          <w:caps w:val="false"/>
          <w:smallCaps w:val="false"/>
          <w:sz w:val="20"/>
        </w:rPr>
        <w:t>Any provision of this Agreement or the Notes may be amended or waived if, but only if, such</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or waiver is in writing and is signed by the Borrower and the Required Lenders (and, if the rights or duties of any Agent or any Issuing Lender are affected thereby, by it). Notwithstanding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such amendment or waiver shall, unless signed by all affected Lenders (other than any Defaulting Lender if and as provided in ‎Section 2.17 or as otherwise set forth in this ‎Section 9.07, including pursuant to a Loan Modification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or extend any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of or rate of interest on any Loan or the amount to be reimbursed in respect of any Letter of Credit or any interest thereon or any fees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postpone the date fixed for any payment of principal of or interest on any loan or for reimbursement in respect of any Letter of Credit or interest thereon or any fees hereunder or for termination of any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‎Section 9.08(c) to impose any additional requirements for Lender assignments;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subordinate the obligations of the Borrower hereunder in right of payment to any other Debt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Section 9.05 in a manner that would alter the ratable reduction of Commitments or the pro rata sharing of payments required thereby,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change the payment waterfall provisions of Section 2.17(b) or 6.03 without the written consent of each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this ‎Section 9.07, or any defined term used herein, or any other provision specifying the number or percentage of Lenders required to amend or waive a particular provision of this Agreement, so as to change the percentage of the aggregate amount of Credit Exposures which shall be required for the Lenders or any of them to take any action under this Section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may be amended with the written consent of the Administrative Agent, the Borrower and the Lenders providing the relevant Replacement Revolving Credit Facility (as defined below) to permit the</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refinancing or replacement of all Commitments with a replacement facility under this Agreement (a “</w:t>
      </w:r>
      <w:r>
        <w:rPr>
          <w:rFonts w:ascii="Times New Roman;Times;Serif" w:hAnsi="Times New Roman;Times;Serif"/>
          <w:b/>
          <w:i w:val="false"/>
          <w:caps w:val="false"/>
          <w:smallCaps w:val="false"/>
          <w:sz w:val="20"/>
        </w:rPr>
        <w:t>Replacement Revolving Credit Facility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aggregate amount of commitments under such Replacement Revolving Credit Facility shall not exceed the aggregate amount of the replaced Commitments and (b) the maturity date of such Replacement Revolving Credit Facility shall not be earlier than the Termination Date. The Administrative Agent shall not unreasonably withhold its consent to a Replacement Revolving Credit Facility. For the avoidance of doubt, a Replacement Revolving Credit Facility shall not require the consent of any Person other than the Administrative Agent, the Borrower and the Lenders providing such Replacement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by written notice to the Administrative Agent from time to time, make one or more offers (each, a “</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to all Lenders to make one or more amendments or modifications to (A) allow the maturity of the Loans and/or Commitments of Accepting Lenders (as defined below) to be extended and/or (B) change the pricing and/or fees (or add additional fees) with respect to the Loans and Commitments of the Accepting Lenders (“</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Permitted Amendments shall become effective only with respect to the Loans and/or Commitments of the Lenders that accept the applicable Loan Modification Offer (such Lenders, the “</w:t>
      </w:r>
      <w:r>
        <w:rPr>
          <w:rFonts w:ascii="Times New Roman;Times;Serif" w:hAnsi="Times New Roman;Times;Serif"/>
          <w:b/>
          <w:i w:val="false"/>
          <w:caps w:val="false"/>
          <w:smallCaps w:val="false"/>
          <w:sz w:val="20"/>
        </w:rPr>
        <w:t>Accepting Lenders</w:t>
      </w:r>
      <w:r>
        <w:rPr>
          <w:rFonts w:ascii="Times New Roman;Times;Serif" w:hAnsi="Times New Roman;Times;Serif"/>
          <w:b w:val="false"/>
          <w:i w:val="false"/>
          <w:caps w:val="false"/>
          <w:smallCaps w:val="false"/>
          <w:sz w:val="20"/>
        </w:rPr>
        <w:t>”) and, in the case of any Accepting Lender, only with respect to such Lender’s Loans and/or Commitments as to which such Lender’s acceptance has been made. The Borrower and each Accepting Lender shall execute and deliver to the Administrative Agent an agreement containing the terms of the Permitted Amendments (a “</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and such other documentation as the Administrative Agent shall reasonably specify to evidence the acceptance of the Permitted Amendments and the terms and conditions thereof. The Administrative Agent shall promptly notify each Lender as to the effectiveness of each Loan Modification Agreement. Each of the parties hereto hereby agrees that, upon the effectiveness of any Loan Modification Agreement, this Agreement shall be deemed amended to the extent (but only to the extent) necessary to reflect the existence and terms of the Permitted Amendment evidenced thereby and only with respect to the Loans and Commitments of the Accepting Lenders as to which such Lenders’ acceptance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if the Administrative Agent and the Borrower have jointly identified any ambiguity, mistake, defect, inconsistency, obvious error, omission or any other error or omission of a technical nature or any necessary or desirable technical change on</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Lender, in each case, in any provision of any Loan Document, the Borrower and the Administrative Agent shall be permitted to effect amendments to this Agreement or any other Loan Document, as applicable, solely to address such matter and such amendment shall become effective without the consent of any other party to this Agreement so long as, in each case, the Lenders shall have received at least five (5) Domestic Business Days’ prior written notice thereof and the Administrative Agent shall not have received, within five (5) Domestic Business Days of the date of such notice to the Lenders, a written notice from the Required Lenders stating that the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r>
        <w:rPr>
          <w:rFonts w:ascii="Times New Roman;Times;Serif" w:hAnsi="Times New Roman;Times;Serif"/>
          <w:b w:val="false"/>
          <w:i/>
          <w:caps w:val="false"/>
          <w:smallCaps w:val="false"/>
          <w:sz w:val="20"/>
        </w:rPr>
        <w:t>. Successors and Assigns; Participations; Novation.</w:t>
      </w:r>
      <w:r>
        <w:rPr>
          <w:rFonts w:ascii="Times New Roman;Times;Serif" w:hAnsi="Times New Roman;Times;Serif"/>
          <w:b w:val="false"/>
          <w:i w:val="false"/>
          <w:caps w:val="false"/>
          <w:smallCaps w:val="false"/>
          <w:sz w:val="20"/>
        </w:rPr>
        <w:t xml:space="preserve"> (a) This Agreement shall be binding upon and inure to the benefit of the parties hereto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in accordance with ‎Section 5.04 and 5.07, the Borrower may not assign or transfer any of its rights or obligations under this Agreement without the consent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Lender may, without the consent of, or notice to, the Borrower, at any time sell to one or more Eligible Institutions (each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participating interests in any Loan owing to such Lender, any Note held by such Lender, the Commitment of such Lender hereunder, the Letter of Credit Liabilities of such Lender and any other interest of such Lender hereunder. In the event of any such sale by a Lender of a participating interest to a Participant, such Lender’s obligations under this Agreement shall remain unchanged, such Lender shall remain solely responsible for the performance thereof, such Lender shall remain the holder of its Note or Notes, if any, for all purposes under this Agreement and the Borrower and the Administrative Agent shall continue to deal solely and directly with such Lender in connection with such Lender’s rights and obligations under this Agreement. Any agreement pursuant to which a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participation agreement may provide that such Lender will not agree to any modification, amendment or waiver of this Agreement described in clause ‎(i), ‎(ii) or ‎(iii) of ‎Section 9.07(a) affecting such Participant without the consent of the Participant;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Participant shall be bound by any waiver, amendment or other decision that all Lenders shall be required to abide by pursuant to a vote by Required Lenders. Subject to the provisions of ‎Section 9.08(d), the Borrower agrees that each Participant shall, to the extent provided in its participation agreement, be entitled (through the applicable Lender) to the benefits of ‎Article 8 with respect to its participating interest (subject to the requirements and limitations therein, including the requirements under Sections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8.04(e), (h), and (i) (it being understood that the documentation required under Sections 8.04(e), (h), and (i) shall be delivered to the participating lender)) to the same extent as if it were a Lender and had acquired its interest by assignment pursuant to Section 9.08(c);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shall be subject to ‎Section 9.10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An assignment or other transfer which is not permitted by subsection ‎(c) or ‎(f) below shall be given effect for purposes of this Agreement only to the extent of a participating interest granted in accordance with this subsection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may at any time sell to one or more Eligible Institutions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all or a portion of its rights and obligations under this Agreement and the Notes. Each Assignee shall assume all such rights and obligations pursuant to an Assignment and Assumption Agreement. In no event shall (A) the Credit Exposure of a transferor Lender or a transferee Lender (together with the Credit Exposure of any affiliate of such Lender), after giving effect to any sale pursuant to this subsection (c), be less than $5,000,000, except as may result upon the transfer by a Lender of its Credit Exposure in its entirety, or (B) any sale pursuant to this subsection ‎(c) result in the transferee Lender (together with its affiliates) holding more than 35% of the aggregate Credit Exposures, except to the extent that the Borrower and the Administrative Agent’s consent to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interest may be sold by a Lender pursuant to this subsection (c) without the prior written consent of the Administrative Agent, the Issuing Lenders and, so long as no Event of Default shall exist at the time, the Borrower, which consents, in each case, shall not be unreasonably withheld,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sales to an affiliate of such Lender, or to another Lender, will not require the consent of the Borrower.</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subsection (c)(ii), the withholding of consent by the Borrower shall not be deemed unreasonable if based solely upon the Borrower’s desire to (A) balance relative loan exposures to such Eligible Institution among all credit facilities of the Borrower or (B) avoid payment of any additional amounts payable to such Eligible Institution under ‎Article 8 which would arise from such assignment. The Borrower shall be deemed to have consented to any such assignment unless it shall object thereto by notice to the Administrative Agent within ten Domestic Business Days after having received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 execution of an Assignment and Assumption Agreement, (B) delivery by the transferor Lender of an executed copy thereof, together with notice that the payment referred to in clause (C) below shall have been made, to the Borrower and the Administrative Agent and (C) payment by such Assignee to such transferor Lender of an amount equal to the purchase price agreed between such transferor Lender and such Assignee, such Assignee shall for all purposes be a Lender party to this Agreement and shall have all the rights and obligations of a Lender under this Agreement to the same extent as if it were an original party hereto with a Credit Exposure as set forth in such Assignment and Assumption Agreement, and the transferor Lender shall be released from its obligations hereunder to a correspondent extent, and no further consent or action by the Borrower, the Lenders or the Administrative Agents shall be required to effectuate such transfer. Each Assignee shall be bound by any waiver, amendment or other decision that all Lenders shall be required to abide by pursuant to a vote by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consummation of any transfer to an Assignee pursuant to this subsection ‎(c), the transferor Lender, the Administrative Agent and the Borrower shall make appropriate arrangements so that, if requested by the transferor Lender or the Assignee, a new Note or Notes shall be delivered from the Borrower to the transferor Lender and/or such Assignee. In connection with any such assignment, the Assignee or the transferor Lender shall pay to the Administrative Agent an administrative fee for processing such assignment in the amount of $3,500.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Assignee, Participant or other transferee (including any successor Applicable Lending Office) of any Lender’s rights shall be entitled to receive any greater payment under ‎Section 8.01 than such Lender would have been entitled to receive with respect to the rights transferred, unless such transfer is made with the Borrower’s prior written consent or by reason of the provisions of ‎Section 8.01 or ‎Section 8.03 requiring such Lender to designate a different</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Lending Office under certain circumstances or at a time when the circumstances giving rise to such greater payment did not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may, upon the written consent of the Borrower, which consent shall not be unreasonably withheld, disclose to any Participant or Assignee (each a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and any prospective Transferee any and all financial information in such Lender’s possession concerning the Borrower that has been delivered to such Lender by the Borrower pursuant to this Agreement or that has been delivered to such Lender by the Borrower in connection with such Lender’s credit evaluation prior to entering into this Agreement, subject in all cases to agreement by such Transferee or prospective Transferee to comply with the provisions of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provision of this ‎Section 9.08 to the contrary, any Lender may assign or pledge any of its rights and interests in the Loans to a Federal Reserve Bank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r>
        <w:rPr>
          <w:rFonts w:ascii="Times New Roman;Times;Serif" w:hAnsi="Times New Roman;Times;Serif"/>
          <w:b w:val="false"/>
          <w:i/>
          <w:caps w:val="false"/>
          <w:smallCaps w:val="false"/>
          <w:sz w:val="20"/>
        </w:rPr>
        <w:t xml:space="preserve">. Visitation. </w:t>
      </w:r>
      <w:r>
        <w:rPr>
          <w:rFonts w:ascii="Times New Roman;Times;Serif" w:hAnsi="Times New Roman;Times;Serif"/>
          <w:b w:val="false"/>
          <w:i w:val="false"/>
          <w:caps w:val="false"/>
          <w:smallCaps w:val="false"/>
          <w:sz w:val="20"/>
        </w:rPr>
        <w:t xml:space="preserve">Subject to restrictions imposed by applicable security clearance regulations, the Borrower will upon reasonable prior notice and at times mutually agreed during normal business hours permit representatives of any Lender at such Lender’s expense to visit any of its major properties;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an Event of Default shall have occurred and be continuing, only one such visit shall be permitted in any fiscal year by all Lenders at all major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r>
        <w:rPr>
          <w:rFonts w:ascii="Times New Roman;Times;Serif" w:hAnsi="Times New Roman;Times;Serif"/>
          <w:b w:val="false"/>
          <w:i/>
          <w:caps w:val="false"/>
          <w:smallCaps w:val="false"/>
          <w:sz w:val="20"/>
        </w:rPr>
        <w:t>. Collateral.</w:t>
      </w:r>
      <w:r>
        <w:rPr>
          <w:rFonts w:ascii="Times New Roman;Times;Serif" w:hAnsi="Times New Roman;Times;Serif"/>
          <w:b w:val="false"/>
          <w:i w:val="false"/>
          <w:caps w:val="false"/>
          <w:smallCaps w:val="false"/>
          <w:sz w:val="20"/>
        </w:rPr>
        <w:t xml:space="preserve"> Each of the Lenders represents to the Administrative Agent and each of the other Lenders that it in good faith is not relying upon any “margin stock” (as defined in Regulation U) as collateral in the extension or maintenance of the credit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r>
        <w:rPr>
          <w:rFonts w:ascii="Times New Roman;Times;Serif" w:hAnsi="Times New Roman;Times;Serif"/>
          <w:b w:val="false"/>
          <w:i/>
          <w:caps w:val="false"/>
          <w:smallCaps w:val="false"/>
          <w:sz w:val="20"/>
        </w:rPr>
        <w:t>. Governing Law; Submission to Jurisdiction.</w:t>
      </w:r>
      <w:r>
        <w:rPr>
          <w:rFonts w:ascii="Times New Roman;Times;Serif" w:hAnsi="Times New Roman;Times;Serif"/>
          <w:b w:val="false"/>
          <w:i w:val="false"/>
          <w:caps w:val="false"/>
          <w:smallCaps w:val="false"/>
          <w:sz w:val="20"/>
        </w:rPr>
        <w:t xml:space="preserve"> This Agreement, each Note, and any claim, controversy, dispute, proceeding or cause of action (whether in contract, tort or otherwise and whether at law or in equity) based upon, arising out of or relating to this Agreement and the transactions contemplated hereby shall be governed by and construed in accordance with the internal laws of the State of New York. Each of the Borrower, the Administrative Agent and the Lenders hereby submits to the exclusive jurisdiction of the United States District Court for the Southern District of New York and of any New York State Court sitting in New York for purposes of all legal proceedings arising out of or relating to this Agreement or the transactions contemplated hereby. Each of the Borrower, the Administrative Agent and the Lenders irrevocably waives, to</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r>
        <w:rPr>
          <w:rFonts w:ascii="Times New Roman;Times;Serif" w:hAnsi="Times New Roman;Times;Serif"/>
          <w:b w:val="false"/>
          <w:i/>
          <w:caps w:val="false"/>
          <w:smallCaps w:val="false"/>
          <w:sz w:val="20"/>
        </w:rPr>
        <w:t>. Counterparts; Integration, Effectiveness, Electronic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9.02), certificate, request, statement, disclosure or authorization related to this Agreement, any other Loan Document and/or the transactions contemplated hereby and/or thereby (each an “</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r>
        <w:rPr>
          <w:rFonts w:ascii="Times New Roman;Times;Serif" w:hAnsi="Times New Roman;Times;Serif"/>
          <w:b/>
          <w:i/>
          <w:caps w:val="false"/>
          <w:smallCaps w:val="false"/>
          <w:sz w:val="20"/>
        </w:rPr>
        <w:t>. WAIVER OF JURY TRIAL.</w:t>
      </w:r>
      <w:r>
        <w:rPr>
          <w:rFonts w:ascii="Times New Roman;Times;Serif" w:hAnsi="Times New Roman;Times;Serif"/>
          <w:b/>
          <w:i w:val="false"/>
          <w:caps w:val="false"/>
          <w:smallCaps w:val="false"/>
          <w:sz w:val="20"/>
        </w:rPr>
        <w:t xml:space="preserve"> EACH OF THE BORROWER, THE AGENTS AND THE LENDERS HEREBY IRREVOCABLY WAIVES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r>
        <w:rPr>
          <w:rFonts w:ascii="Times New Roman;Times;Serif" w:hAnsi="Times New Roman;Times;Serif"/>
          <w:b w:val="false"/>
          <w:i/>
          <w:caps w:val="false"/>
          <w:smallCaps w:val="false"/>
          <w:sz w:val="20"/>
        </w:rPr>
        <w:t xml:space="preserve">. Confidentiality. </w:t>
      </w:r>
      <w:r>
        <w:rPr>
          <w:rFonts w:ascii="Times New Roman;Times;Serif" w:hAnsi="Times New Roman;Times;Serif"/>
          <w:b w:val="false"/>
          <w:i w:val="false"/>
          <w:caps w:val="false"/>
          <w:smallCaps w:val="false"/>
          <w:sz w:val="20"/>
        </w:rPr>
        <w:t>Each Lender agrees, with respect to any information delivered or made available by the Borrower to it that is clearly indicated to be confidential information or private data, to use all reasonable efforts to protect such confidential information from unauthorized use or disclosure and to restrict disclosure to only those Persons employed or retained by such Lender who are or are expected to become engaged in evaluating, approving, structuring or administering this Agreement and the transactions contemplated hereby. Nothing herein shall prevent any Lender from disclosing such</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(i) to any other Lender, (ii) to its affiliates, officers, directors, employees, agents, attorneys and accountants who have a need to know such information in accordance with customary banking practices and who receive such information having been made aware of and having agreed to the restrictions set forth in this Section, (iii) upon the order of any court or administrative agency, (iv) upon the request or demand of any regulatory agency or authority having jurisdiction over such Lender, (v) which has been publicly disclosed, (vi) to the extent reasonably required in connection with any litigation to which any Agent or Lender, the Borrower or their respective affiliates may be a party, (vii) to the extent reasonably required in connection with the exercise of any remedy hereunder or under any other Loan Document, (viii) to any direct, indirect, actual or prospective counterparty (and its advisor) to any swap, derivative or securitization transaction related to the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person agree to be bound by the terms provided in this paragraph, (ix) with the prior written consent of the Borrower and (x) on a confidential basis to any rating agency in connection with rating the Borrower or its Subsidiaries or the credit facility provided for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before any disclosure is permitted under (iii) or (vi) of this ‎Section 9.15, each Lender shall, if not legally prohibited, notify and consult with the Borrower, promptly and in a timely manner, concerning the information it proposes to disclose, to enable the Borrower to take such action as may be appropriate under the circumstances to protect the confidentiality of the information in question,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disclosure under the foregoing proviso be limited to only that information discussed with the Borrower. The use of the term “confidential” in this ‎Section 9.15 is not intended to refer to data classified by the government of the United States under laws and regulations relating to the handling of data, but is intended to refer to information and other data regarded by the Borrower as private.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9.15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to the extent that any such prohibition on disclosure set forth in this ‎Section 9.15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r>
        <w:rPr>
          <w:rFonts w:ascii="Times New Roman;Times;Serif" w:hAnsi="Times New Roman;Times;Serif"/>
          <w:b w:val="false"/>
          <w:i/>
          <w:caps w:val="false"/>
          <w:smallCaps w:val="false"/>
          <w:sz w:val="20"/>
        </w:rPr>
        <w:t xml:space="preserve">. USA Patriot Act. </w:t>
      </w:r>
      <w:r>
        <w:rPr>
          <w:rFonts w:ascii="Times New Roman;Times;Serif" w:hAnsi="Times New Roman;Times;Serif"/>
          <w:b w:val="false"/>
          <w:i w:val="false"/>
          <w:caps w:val="false"/>
          <w:smallCaps w:val="false"/>
          <w:sz w:val="20"/>
        </w:rPr>
        <w:t>Each Lender hereby notifies the Borrower that pursuant to the requirements of the USA Patriot Act (Title III of Pub. L. 107-56 (signed into law October 26, 2001)) (the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9.17. </w:t>
      </w:r>
      <w:r>
        <w:rPr>
          <w:rFonts w:ascii="Times New Roman;Times;Serif" w:hAnsi="Times New Roman;Times;Serif"/>
          <w:b w:val="false"/>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9.18. </w:t>
      </w:r>
      <w:r>
        <w:rPr>
          <w:rFonts w:ascii="Times New Roman;Times;Serif" w:hAnsi="Times New Roman;Times;Serif"/>
          <w:b w:val="false"/>
          <w:i/>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9.19. </w:t>
      </w:r>
      <w:r>
        <w:rPr>
          <w:rFonts w:ascii="Times New Roman;Times;Serif" w:hAnsi="Times New Roman;Times;Serif"/>
          <w:b w:val="false"/>
          <w:i/>
          <w:caps w:val="false"/>
          <w:smallCaps w:val="false"/>
          <w:sz w:val="20"/>
        </w:rPr>
        <w:t>No Fiduciary Duty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in connection with all aspects of the Loans and Letters of Credit contemplated by this Agreement and any communications in connection therewith, the Borrower and its Subsidiaries, on the one hand, and the Credit Parties and their Affiliates, on the other hand, will have a business relationship that does not create, by implication or otherwise, any fiduciary duty on the part of the Administrative Agent, the Issuing Lenders, the Lenders or their Affiliates, and no such duty will be deemed to have arisen in connection with any such transactions or communications. The Borrower acknowledges and agrees that the Administrative Agent, each Issuing Lender, each Lender and their Affiliates may have economic interests that conflict with those of the Borrower and its Subsidiaries, their stockholders and/or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3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  </w:t>
      </w:r>
      <w:r>
        <w:rPr>
          <w:rFonts w:ascii="Times New Roman;Times;Serif" w:hAnsi="Times New Roman;Times;Serif"/>
          <w:b w:val="false"/>
          <w:i/>
          <w:caps w:val="false"/>
          <w:smallCaps w:val="false"/>
          <w:sz w:val="20"/>
        </w:rPr>
        <w:t>Acknowledgement Regarding Any Supported QFCs.</w:t>
      </w:r>
      <w:r>
        <w:rPr>
          <w:rFonts w:ascii="Times New Roman;Times;Serif" w:hAnsi="Times New Roman;Times;Serif"/>
          <w:b w:val="false"/>
          <w:i w:val="false"/>
          <w:caps w:val="false"/>
          <w:smallCaps w:val="false"/>
          <w:sz w:val="20"/>
        </w:rPr>
        <w:t xml:space="preserve"> To the extent that the Loan Documents provide support, through a guarantee or otherwise, for swap agreements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r>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112 </w:t>
            </w:r>
          </w:p>
        </w:tc>
      </w:tr>
    </w:tbl>
    <w:p>
      <w:pPr>
        <w:pStyle w:val="TextBody"/>
        <w:bidi w:val="0"/>
        <w:spacing w:before="0" w:after="0"/>
        <w:ind w:left="0" w:right="0" w:hanging="0"/>
        <w:jc w:val="right"/>
        <w:rPr>
          <w:caps w:val="false"/>
          <w:smallCaps w:val="false"/>
        </w:rPr>
      </w:pPr>
      <w:bookmarkStart w:id="24" w:name="ex10-2.htm"/>
      <w:bookmarkStart w:id="25" w:name="ksex102"/>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from Time to Time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r>
        <w:rPr>
          <w:rFonts w:ascii="Times New Roman;Times;Serif" w:hAnsi="Times New Roman;Times;Serif"/>
          <w:b w:val="false"/>
          <w:i w:val="false"/>
          <w:caps/>
          <w:sz w:val="20"/>
        </w:rPr>
        <w: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Syndication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Documentation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r>
        <w:rPr>
          <w:rFonts w:ascii="Times New Roman;Times;Serif" w:hAnsi="Times New Roman;Times;Serif"/>
          <w:b w:val="false"/>
          <w:i w:val="false"/>
          <w:caps/>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CAPITAL MARKETS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Joint Lead Arrangers and Joint Bookrunners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600"/>
        <w:gridCol w:w="560"/>
      </w:tblGrid>
      <w:tr>
        <w:trPr/>
        <w:tc>
          <w:tcPr>
            <w:tcW w:w="560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jc w:val="right"/>
              <w:rPr>
                <w:smallCaps/>
                <w:u w:val="single"/>
              </w:rPr>
            </w:pPr>
            <w:r>
              <w:rPr>
                <w:smallCaps/>
                <w:u w:val="single"/>
              </w:rPr>
              <w:t>Page</w:t>
            </w:r>
          </w:p>
          <w:p>
            <w:pPr>
              <w:pStyle w:val="TableContents"/>
              <w:bidi w:val="0"/>
              <w:spacing w:before="0" w:after="283"/>
              <w:jc w:val="right"/>
              <w:rPr/>
            </w:pPr>
            <w:r>
              <w:rPr/>
              <w:t> </w:t>
            </w:r>
          </w:p>
        </w:tc>
      </w:tr>
      <w:tr>
        <w:trPr/>
        <w:tc>
          <w:tcPr>
            <w:tcW w:w="560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Section 1.01</w:t>
            </w:r>
            <w:r>
              <w:rPr>
                <w:i/>
              </w:rPr>
              <w:t>.  Definitions.</w:t>
            </w:r>
          </w:p>
        </w:tc>
        <w:tc>
          <w:tcPr>
            <w:tcW w:w="560" w:type="dxa"/>
            <w:tcBorders/>
            <w:vAlign w:val="center"/>
          </w:tcPr>
          <w:p>
            <w:pPr>
              <w:pStyle w:val="TableContents"/>
              <w:bidi w:val="0"/>
              <w:spacing w:before="0" w:after="283"/>
              <w:jc w:val="right"/>
              <w:rPr/>
            </w:pPr>
            <w:r>
              <w:rPr/>
              <w:t>1</w:t>
            </w:r>
          </w:p>
        </w:tc>
      </w:tr>
      <w:tr>
        <w:trPr/>
        <w:tc>
          <w:tcPr>
            <w:tcW w:w="5600" w:type="dxa"/>
            <w:tcBorders/>
            <w:vAlign w:val="center"/>
          </w:tcPr>
          <w:p>
            <w:pPr>
              <w:pStyle w:val="TableContents"/>
              <w:bidi w:val="0"/>
              <w:spacing w:before="0" w:after="283"/>
              <w:jc w:val="left"/>
              <w:rPr/>
            </w:pPr>
            <w:r>
              <w:rPr/>
              <w:t>Section 1.02</w:t>
            </w:r>
            <w:r>
              <w:rPr>
                <w:i/>
              </w:rPr>
              <w:t>.  Accounting Terms and Determinations.</w:t>
            </w:r>
          </w:p>
        </w:tc>
        <w:tc>
          <w:tcPr>
            <w:tcW w:w="560" w:type="dxa"/>
            <w:tcBorders/>
            <w:vAlign w:val="center"/>
          </w:tcPr>
          <w:p>
            <w:pPr>
              <w:pStyle w:val="TableContents"/>
              <w:bidi w:val="0"/>
              <w:spacing w:before="0" w:after="283"/>
              <w:jc w:val="right"/>
              <w:rPr/>
            </w:pPr>
            <w:r>
              <w:rPr/>
              <w:t>29</w:t>
            </w:r>
          </w:p>
        </w:tc>
      </w:tr>
      <w:tr>
        <w:trPr/>
        <w:tc>
          <w:tcPr>
            <w:tcW w:w="5600" w:type="dxa"/>
            <w:tcBorders/>
            <w:vAlign w:val="center"/>
          </w:tcPr>
          <w:p>
            <w:pPr>
              <w:pStyle w:val="TableContents"/>
              <w:bidi w:val="0"/>
              <w:spacing w:before="0" w:after="283"/>
              <w:jc w:val="left"/>
              <w:rPr/>
            </w:pPr>
            <w:r>
              <w:rPr/>
              <w:t>Section 1.03</w:t>
            </w:r>
            <w:r>
              <w:rPr>
                <w:i/>
              </w:rPr>
              <w:t>.  Types of Borrowings.</w:t>
            </w:r>
          </w:p>
        </w:tc>
        <w:tc>
          <w:tcPr>
            <w:tcW w:w="560" w:type="dxa"/>
            <w:tcBorders/>
            <w:vAlign w:val="center"/>
          </w:tcPr>
          <w:p>
            <w:pPr>
              <w:pStyle w:val="TableContents"/>
              <w:bidi w:val="0"/>
              <w:spacing w:before="0" w:after="283"/>
              <w:jc w:val="right"/>
              <w:rPr/>
            </w:pPr>
            <w:r>
              <w:rPr/>
              <w:t>30</w:t>
            </w:r>
          </w:p>
        </w:tc>
      </w:tr>
      <w:tr>
        <w:trPr/>
        <w:tc>
          <w:tcPr>
            <w:tcW w:w="5600" w:type="dxa"/>
            <w:tcBorders/>
            <w:vAlign w:val="center"/>
          </w:tcPr>
          <w:p>
            <w:pPr>
              <w:pStyle w:val="TableContents"/>
              <w:bidi w:val="0"/>
              <w:spacing w:before="0" w:after="283"/>
              <w:jc w:val="left"/>
              <w:rPr/>
            </w:pPr>
            <w:r>
              <w:rPr/>
              <w:t>Section 1.04.  </w:t>
            </w:r>
            <w:r>
              <w:rPr>
                <w:i/>
              </w:rPr>
              <w:t>Interest Rates; Benchmark Notification.</w:t>
            </w:r>
          </w:p>
        </w:tc>
        <w:tc>
          <w:tcPr>
            <w:tcW w:w="560" w:type="dxa"/>
            <w:tcBorders/>
            <w:vAlign w:val="center"/>
          </w:tcPr>
          <w:p>
            <w:pPr>
              <w:pStyle w:val="TableContents"/>
              <w:bidi w:val="0"/>
              <w:spacing w:before="0" w:after="283"/>
              <w:jc w:val="right"/>
              <w:rPr/>
            </w:pPr>
            <w:r>
              <w:rPr/>
              <w:t>30</w:t>
            </w:r>
          </w:p>
        </w:tc>
      </w:tr>
      <w:tr>
        <w:trPr/>
        <w:tc>
          <w:tcPr>
            <w:tcW w:w="5600" w:type="dxa"/>
            <w:tcBorders/>
            <w:vAlign w:val="center"/>
          </w:tcPr>
          <w:p>
            <w:pPr>
              <w:pStyle w:val="TableContents"/>
              <w:bidi w:val="0"/>
              <w:spacing w:before="0" w:after="283"/>
              <w:jc w:val="left"/>
              <w:rPr/>
            </w:pPr>
            <w:r>
              <w:rPr/>
              <w:t>Section 1.05</w:t>
            </w:r>
            <w:r>
              <w:rPr>
                <w:i/>
              </w:rPr>
              <w:t>.  [Reserved].</w:t>
            </w:r>
          </w:p>
        </w:tc>
        <w:tc>
          <w:tcPr>
            <w:tcW w:w="560" w:type="dxa"/>
            <w:tcBorders/>
            <w:vAlign w:val="center"/>
          </w:tcPr>
          <w:p>
            <w:pPr>
              <w:pStyle w:val="TableContents"/>
              <w:bidi w:val="0"/>
              <w:spacing w:before="0" w:after="283"/>
              <w:jc w:val="right"/>
              <w:rPr/>
            </w:pPr>
            <w:r>
              <w:rPr/>
              <w:t>31</w:t>
            </w:r>
          </w:p>
        </w:tc>
      </w:tr>
      <w:tr>
        <w:trPr/>
        <w:tc>
          <w:tcPr>
            <w:tcW w:w="5600" w:type="dxa"/>
            <w:tcBorders/>
            <w:vAlign w:val="center"/>
          </w:tcPr>
          <w:p>
            <w:pPr>
              <w:pStyle w:val="TableContents"/>
              <w:bidi w:val="0"/>
              <w:spacing w:before="0" w:after="283"/>
              <w:jc w:val="left"/>
              <w:rPr/>
            </w:pPr>
            <w:r>
              <w:rPr/>
              <w:t>Section 1.06.  </w:t>
            </w:r>
            <w:r>
              <w:rPr>
                <w:i/>
              </w:rPr>
              <w:t>Divisions</w:t>
            </w:r>
            <w:r>
              <w:rPr/>
              <w:t>.</w:t>
            </w:r>
          </w:p>
        </w:tc>
        <w:tc>
          <w:tcPr>
            <w:tcW w:w="560" w:type="dxa"/>
            <w:tcBorders/>
            <w:vAlign w:val="center"/>
          </w:tcPr>
          <w:p>
            <w:pPr>
              <w:pStyle w:val="TableContents"/>
              <w:bidi w:val="0"/>
              <w:spacing w:before="0" w:after="283"/>
              <w:jc w:val="right"/>
              <w:rPr/>
            </w:pPr>
            <w:r>
              <w:rPr/>
              <w:t>31</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Section 2.01</w:t>
            </w:r>
            <w:r>
              <w:rPr>
                <w:i/>
              </w:rPr>
              <w:t>.  Loans.</w:t>
            </w:r>
          </w:p>
        </w:tc>
        <w:tc>
          <w:tcPr>
            <w:tcW w:w="560" w:type="dxa"/>
            <w:tcBorders/>
            <w:vAlign w:val="center"/>
          </w:tcPr>
          <w:p>
            <w:pPr>
              <w:pStyle w:val="TableContents"/>
              <w:bidi w:val="0"/>
              <w:spacing w:before="0" w:after="283"/>
              <w:jc w:val="right"/>
              <w:rPr/>
            </w:pPr>
            <w:r>
              <w:rPr/>
              <w:t>31</w:t>
            </w:r>
          </w:p>
        </w:tc>
      </w:tr>
      <w:tr>
        <w:trPr/>
        <w:tc>
          <w:tcPr>
            <w:tcW w:w="5600" w:type="dxa"/>
            <w:tcBorders/>
            <w:vAlign w:val="center"/>
          </w:tcPr>
          <w:p>
            <w:pPr>
              <w:pStyle w:val="TableContents"/>
              <w:bidi w:val="0"/>
              <w:spacing w:before="0" w:after="283"/>
              <w:jc w:val="left"/>
              <w:rPr/>
            </w:pPr>
            <w:r>
              <w:rPr/>
              <w:t>Section 2.02</w:t>
            </w:r>
            <w:r>
              <w:rPr>
                <w:i/>
              </w:rPr>
              <w:t>.  Notice of Borrowing.</w:t>
            </w:r>
          </w:p>
        </w:tc>
        <w:tc>
          <w:tcPr>
            <w:tcW w:w="560" w:type="dxa"/>
            <w:tcBorders/>
            <w:vAlign w:val="center"/>
          </w:tcPr>
          <w:p>
            <w:pPr>
              <w:pStyle w:val="TableContents"/>
              <w:bidi w:val="0"/>
              <w:spacing w:before="0" w:after="283"/>
              <w:jc w:val="right"/>
              <w:rPr/>
            </w:pPr>
            <w:r>
              <w:rPr/>
              <w:t>31</w:t>
            </w:r>
          </w:p>
        </w:tc>
      </w:tr>
      <w:tr>
        <w:trPr/>
        <w:tc>
          <w:tcPr>
            <w:tcW w:w="5600" w:type="dxa"/>
            <w:tcBorders/>
            <w:vAlign w:val="center"/>
          </w:tcPr>
          <w:p>
            <w:pPr>
              <w:pStyle w:val="TableContents"/>
              <w:bidi w:val="0"/>
              <w:spacing w:before="0" w:after="283"/>
              <w:jc w:val="left"/>
              <w:rPr/>
            </w:pPr>
            <w:r>
              <w:rPr/>
              <w:t>Section 2.03.  [Reserved].</w:t>
            </w:r>
          </w:p>
        </w:tc>
        <w:tc>
          <w:tcPr>
            <w:tcW w:w="560" w:type="dxa"/>
            <w:tcBorders/>
            <w:vAlign w:val="center"/>
          </w:tcPr>
          <w:p>
            <w:pPr>
              <w:pStyle w:val="TableContents"/>
              <w:bidi w:val="0"/>
              <w:spacing w:before="0" w:after="283"/>
              <w:jc w:val="right"/>
              <w:rPr/>
            </w:pPr>
            <w:r>
              <w:rPr/>
              <w:t>32</w:t>
            </w:r>
          </w:p>
        </w:tc>
      </w:tr>
      <w:tr>
        <w:trPr/>
        <w:tc>
          <w:tcPr>
            <w:tcW w:w="5600" w:type="dxa"/>
            <w:tcBorders/>
            <w:vAlign w:val="center"/>
          </w:tcPr>
          <w:p>
            <w:pPr>
              <w:pStyle w:val="TableContents"/>
              <w:bidi w:val="0"/>
              <w:spacing w:before="0" w:after="283"/>
              <w:jc w:val="left"/>
              <w:rPr/>
            </w:pPr>
            <w:r>
              <w:rPr/>
              <w:t>Section 2.04</w:t>
            </w:r>
            <w:r>
              <w:rPr>
                <w:i/>
              </w:rPr>
              <w:t>.  Notice to Lenders; Funding of Loans.</w:t>
            </w:r>
          </w:p>
        </w:tc>
        <w:tc>
          <w:tcPr>
            <w:tcW w:w="560" w:type="dxa"/>
            <w:tcBorders/>
            <w:vAlign w:val="center"/>
          </w:tcPr>
          <w:p>
            <w:pPr>
              <w:pStyle w:val="TableContents"/>
              <w:bidi w:val="0"/>
              <w:spacing w:before="0" w:after="283"/>
              <w:jc w:val="right"/>
              <w:rPr/>
            </w:pPr>
            <w:r>
              <w:rPr/>
              <w:t>32</w:t>
            </w:r>
          </w:p>
        </w:tc>
      </w:tr>
      <w:tr>
        <w:trPr/>
        <w:tc>
          <w:tcPr>
            <w:tcW w:w="5600" w:type="dxa"/>
            <w:tcBorders/>
            <w:vAlign w:val="center"/>
          </w:tcPr>
          <w:p>
            <w:pPr>
              <w:pStyle w:val="TableContents"/>
              <w:bidi w:val="0"/>
              <w:spacing w:before="0" w:after="283"/>
              <w:jc w:val="left"/>
              <w:rPr/>
            </w:pPr>
            <w:r>
              <w:rPr/>
              <w:t>Section 2.05</w:t>
            </w:r>
            <w:r>
              <w:rPr>
                <w:i/>
              </w:rPr>
              <w:t>.  Registry; Notes.</w:t>
            </w:r>
          </w:p>
        </w:tc>
        <w:tc>
          <w:tcPr>
            <w:tcW w:w="560" w:type="dxa"/>
            <w:tcBorders/>
            <w:vAlign w:val="center"/>
          </w:tcPr>
          <w:p>
            <w:pPr>
              <w:pStyle w:val="TableContents"/>
              <w:bidi w:val="0"/>
              <w:spacing w:before="0" w:after="283"/>
              <w:jc w:val="right"/>
              <w:rPr/>
            </w:pPr>
            <w:r>
              <w:rPr/>
              <w:t>33</w:t>
            </w:r>
          </w:p>
        </w:tc>
      </w:tr>
      <w:tr>
        <w:trPr/>
        <w:tc>
          <w:tcPr>
            <w:tcW w:w="5600" w:type="dxa"/>
            <w:tcBorders/>
            <w:vAlign w:val="center"/>
          </w:tcPr>
          <w:p>
            <w:pPr>
              <w:pStyle w:val="TableContents"/>
              <w:bidi w:val="0"/>
              <w:spacing w:before="0" w:after="283"/>
              <w:jc w:val="left"/>
              <w:rPr/>
            </w:pPr>
            <w:r>
              <w:rPr/>
              <w:t>Section 2.06</w:t>
            </w:r>
            <w:r>
              <w:rPr>
                <w:i/>
              </w:rPr>
              <w:t>.  Maturity of Loans; Amortization.</w:t>
            </w:r>
          </w:p>
        </w:tc>
        <w:tc>
          <w:tcPr>
            <w:tcW w:w="560" w:type="dxa"/>
            <w:tcBorders/>
            <w:vAlign w:val="center"/>
          </w:tcPr>
          <w:p>
            <w:pPr>
              <w:pStyle w:val="TableContents"/>
              <w:bidi w:val="0"/>
              <w:spacing w:before="0" w:after="283"/>
              <w:jc w:val="right"/>
              <w:rPr/>
            </w:pPr>
            <w:r>
              <w:rPr/>
              <w:t>34</w:t>
            </w:r>
          </w:p>
        </w:tc>
      </w:tr>
      <w:tr>
        <w:trPr/>
        <w:tc>
          <w:tcPr>
            <w:tcW w:w="5600" w:type="dxa"/>
            <w:tcBorders/>
            <w:vAlign w:val="center"/>
          </w:tcPr>
          <w:p>
            <w:pPr>
              <w:pStyle w:val="TableContents"/>
              <w:bidi w:val="0"/>
              <w:spacing w:before="0" w:after="283"/>
              <w:jc w:val="left"/>
              <w:rPr/>
            </w:pPr>
            <w:r>
              <w:rPr/>
              <w:t>Section 2.07</w:t>
            </w:r>
            <w:r>
              <w:rPr>
                <w:i/>
              </w:rPr>
              <w:t>.  Interest Rates.</w:t>
            </w:r>
          </w:p>
        </w:tc>
        <w:tc>
          <w:tcPr>
            <w:tcW w:w="560" w:type="dxa"/>
            <w:tcBorders/>
            <w:vAlign w:val="center"/>
          </w:tcPr>
          <w:p>
            <w:pPr>
              <w:pStyle w:val="TableContents"/>
              <w:bidi w:val="0"/>
              <w:spacing w:before="0" w:after="283"/>
              <w:jc w:val="right"/>
              <w:rPr/>
            </w:pPr>
            <w:r>
              <w:rPr/>
              <w:t>34</w:t>
            </w:r>
          </w:p>
        </w:tc>
      </w:tr>
      <w:tr>
        <w:trPr/>
        <w:tc>
          <w:tcPr>
            <w:tcW w:w="5600" w:type="dxa"/>
            <w:tcBorders/>
            <w:vAlign w:val="center"/>
          </w:tcPr>
          <w:p>
            <w:pPr>
              <w:pStyle w:val="TableContents"/>
              <w:bidi w:val="0"/>
              <w:spacing w:before="0" w:after="283"/>
              <w:jc w:val="left"/>
              <w:rPr/>
            </w:pPr>
            <w:r>
              <w:rPr/>
              <w:t>Section 2.08</w:t>
            </w:r>
            <w:r>
              <w:rPr>
                <w:i/>
              </w:rPr>
              <w:t>.  Mandatory Termination of Commitments.</w:t>
            </w:r>
          </w:p>
        </w:tc>
        <w:tc>
          <w:tcPr>
            <w:tcW w:w="560" w:type="dxa"/>
            <w:tcBorders/>
            <w:vAlign w:val="center"/>
          </w:tcPr>
          <w:p>
            <w:pPr>
              <w:pStyle w:val="TableContents"/>
              <w:bidi w:val="0"/>
              <w:spacing w:before="0" w:after="283"/>
              <w:jc w:val="right"/>
              <w:rPr/>
            </w:pPr>
            <w:r>
              <w:rPr/>
              <w:t>35</w:t>
            </w:r>
          </w:p>
        </w:tc>
      </w:tr>
      <w:tr>
        <w:trPr/>
        <w:tc>
          <w:tcPr>
            <w:tcW w:w="5600" w:type="dxa"/>
            <w:tcBorders/>
            <w:vAlign w:val="center"/>
          </w:tcPr>
          <w:p>
            <w:pPr>
              <w:pStyle w:val="TableContents"/>
              <w:bidi w:val="0"/>
              <w:spacing w:before="0" w:after="283"/>
              <w:jc w:val="left"/>
              <w:rPr/>
            </w:pPr>
            <w:r>
              <w:rPr/>
              <w:t>Section 2.09</w:t>
            </w:r>
            <w:r>
              <w:rPr>
                <w:i/>
              </w:rPr>
              <w:t>.  Optional Prepayments.</w:t>
            </w:r>
          </w:p>
        </w:tc>
        <w:tc>
          <w:tcPr>
            <w:tcW w:w="560" w:type="dxa"/>
            <w:tcBorders/>
            <w:vAlign w:val="center"/>
          </w:tcPr>
          <w:p>
            <w:pPr>
              <w:pStyle w:val="TableContents"/>
              <w:bidi w:val="0"/>
              <w:spacing w:before="0" w:after="283"/>
              <w:jc w:val="right"/>
              <w:rPr/>
            </w:pPr>
            <w:r>
              <w:rPr/>
              <w:t>35</w:t>
            </w:r>
          </w:p>
        </w:tc>
      </w:tr>
      <w:tr>
        <w:trPr/>
        <w:tc>
          <w:tcPr>
            <w:tcW w:w="5600" w:type="dxa"/>
            <w:tcBorders/>
            <w:vAlign w:val="center"/>
          </w:tcPr>
          <w:p>
            <w:pPr>
              <w:pStyle w:val="TableContents"/>
              <w:bidi w:val="0"/>
              <w:spacing w:before="0" w:after="283"/>
              <w:jc w:val="left"/>
              <w:rPr/>
            </w:pPr>
            <w:r>
              <w:rPr/>
              <w:t>Section 2.10</w:t>
            </w:r>
            <w:r>
              <w:rPr>
                <w:i/>
              </w:rPr>
              <w:t>.  General Provisions as to Payments.</w:t>
            </w:r>
            <w:r>
              <w:rPr/>
              <w:t>.</w:t>
            </w:r>
          </w:p>
        </w:tc>
        <w:tc>
          <w:tcPr>
            <w:tcW w:w="560" w:type="dxa"/>
            <w:tcBorders/>
            <w:vAlign w:val="center"/>
          </w:tcPr>
          <w:p>
            <w:pPr>
              <w:pStyle w:val="TableContents"/>
              <w:bidi w:val="0"/>
              <w:spacing w:before="0" w:after="283"/>
              <w:jc w:val="right"/>
              <w:rPr/>
            </w:pPr>
            <w:r>
              <w:rPr/>
              <w:t>36</w:t>
            </w:r>
          </w:p>
        </w:tc>
      </w:tr>
      <w:tr>
        <w:trPr/>
        <w:tc>
          <w:tcPr>
            <w:tcW w:w="5600" w:type="dxa"/>
            <w:tcBorders/>
            <w:vAlign w:val="center"/>
          </w:tcPr>
          <w:p>
            <w:pPr>
              <w:pStyle w:val="TableContents"/>
              <w:bidi w:val="0"/>
              <w:spacing w:before="0" w:after="283"/>
              <w:jc w:val="left"/>
              <w:rPr/>
            </w:pPr>
            <w:r>
              <w:rPr/>
              <w:t>Section 2.11</w:t>
            </w:r>
            <w:r>
              <w:rPr>
                <w:i/>
              </w:rPr>
              <w:t>.  Fees.</w:t>
            </w:r>
          </w:p>
        </w:tc>
        <w:tc>
          <w:tcPr>
            <w:tcW w:w="560" w:type="dxa"/>
            <w:tcBorders/>
            <w:vAlign w:val="center"/>
          </w:tcPr>
          <w:p>
            <w:pPr>
              <w:pStyle w:val="TableContents"/>
              <w:bidi w:val="0"/>
              <w:spacing w:before="0" w:after="283"/>
              <w:jc w:val="right"/>
              <w:rPr/>
            </w:pPr>
            <w:r>
              <w:rPr/>
              <w:t>37</w:t>
            </w:r>
          </w:p>
        </w:tc>
      </w:tr>
      <w:tr>
        <w:trPr/>
        <w:tc>
          <w:tcPr>
            <w:tcW w:w="5600" w:type="dxa"/>
            <w:tcBorders/>
            <w:vAlign w:val="center"/>
          </w:tcPr>
          <w:p>
            <w:pPr>
              <w:pStyle w:val="TableContents"/>
              <w:bidi w:val="0"/>
              <w:spacing w:before="0" w:after="283"/>
              <w:jc w:val="left"/>
              <w:rPr/>
            </w:pPr>
            <w:r>
              <w:rPr/>
              <w:t>Section 2.12</w:t>
            </w:r>
            <w:r>
              <w:rPr>
                <w:i/>
              </w:rPr>
              <w:t>.  Reduction or Termination of Commitments.</w:t>
            </w:r>
            <w:r>
              <w:rPr/>
              <w:t>.</w:t>
            </w:r>
          </w:p>
        </w:tc>
        <w:tc>
          <w:tcPr>
            <w:tcW w:w="560" w:type="dxa"/>
            <w:tcBorders/>
            <w:vAlign w:val="center"/>
          </w:tcPr>
          <w:p>
            <w:pPr>
              <w:pStyle w:val="TableContents"/>
              <w:bidi w:val="0"/>
              <w:spacing w:before="0" w:after="283"/>
              <w:jc w:val="right"/>
              <w:rPr/>
            </w:pPr>
            <w:r>
              <w:rPr/>
              <w:t>37</w:t>
            </w:r>
          </w:p>
        </w:tc>
      </w:tr>
      <w:tr>
        <w:trPr/>
        <w:tc>
          <w:tcPr>
            <w:tcW w:w="5600" w:type="dxa"/>
            <w:tcBorders/>
            <w:vAlign w:val="center"/>
          </w:tcPr>
          <w:p>
            <w:pPr>
              <w:pStyle w:val="TableContents"/>
              <w:bidi w:val="0"/>
              <w:spacing w:before="0" w:after="283"/>
              <w:jc w:val="left"/>
              <w:rPr/>
            </w:pPr>
            <w:r>
              <w:rPr/>
              <w:t>Section 2.13</w:t>
            </w:r>
            <w:r>
              <w:rPr>
                <w:i/>
              </w:rPr>
              <w:t>.  Method of Electing Interest Rates.</w:t>
            </w:r>
          </w:p>
        </w:tc>
        <w:tc>
          <w:tcPr>
            <w:tcW w:w="560" w:type="dxa"/>
            <w:tcBorders/>
            <w:vAlign w:val="center"/>
          </w:tcPr>
          <w:p>
            <w:pPr>
              <w:pStyle w:val="TableContents"/>
              <w:bidi w:val="0"/>
              <w:spacing w:before="0" w:after="283"/>
              <w:jc w:val="right"/>
              <w:rPr/>
            </w:pPr>
            <w:r>
              <w:rPr/>
              <w:t>37</w:t>
            </w:r>
          </w:p>
        </w:tc>
      </w:tr>
      <w:tr>
        <w:trPr/>
        <w:tc>
          <w:tcPr>
            <w:tcW w:w="5600" w:type="dxa"/>
            <w:tcBorders/>
            <w:vAlign w:val="center"/>
          </w:tcPr>
          <w:p>
            <w:pPr>
              <w:pStyle w:val="TableContents"/>
              <w:bidi w:val="0"/>
              <w:spacing w:before="0" w:after="283"/>
              <w:jc w:val="left"/>
              <w:rPr/>
            </w:pPr>
            <w:r>
              <w:rPr/>
              <w:t>Section 2.14</w:t>
            </w:r>
            <w:r>
              <w:rPr>
                <w:i/>
              </w:rPr>
              <w:t>.  Funding Losses.</w:t>
            </w:r>
          </w:p>
        </w:tc>
        <w:tc>
          <w:tcPr>
            <w:tcW w:w="560" w:type="dxa"/>
            <w:tcBorders/>
            <w:vAlign w:val="center"/>
          </w:tcPr>
          <w:p>
            <w:pPr>
              <w:pStyle w:val="TableContents"/>
              <w:bidi w:val="0"/>
              <w:spacing w:before="0" w:after="283"/>
              <w:jc w:val="right"/>
              <w:rPr/>
            </w:pPr>
            <w:r>
              <w:rPr/>
              <w:t>39</w:t>
            </w:r>
          </w:p>
        </w:tc>
      </w:tr>
      <w:tr>
        <w:trPr/>
        <w:tc>
          <w:tcPr>
            <w:tcW w:w="5600" w:type="dxa"/>
            <w:tcBorders/>
            <w:vAlign w:val="center"/>
          </w:tcPr>
          <w:p>
            <w:pPr>
              <w:pStyle w:val="TableContents"/>
              <w:bidi w:val="0"/>
              <w:spacing w:before="0" w:after="283"/>
              <w:jc w:val="left"/>
              <w:rPr/>
            </w:pPr>
            <w:r>
              <w:rPr/>
              <w:t>Section 2.15</w:t>
            </w:r>
            <w:r>
              <w:rPr>
                <w:i/>
              </w:rPr>
              <w:t>.  Computation of Interest and Fees.</w:t>
            </w:r>
          </w:p>
        </w:tc>
        <w:tc>
          <w:tcPr>
            <w:tcW w:w="560" w:type="dxa"/>
            <w:tcBorders/>
            <w:vAlign w:val="center"/>
          </w:tcPr>
          <w:p>
            <w:pPr>
              <w:pStyle w:val="TableContents"/>
              <w:bidi w:val="0"/>
              <w:spacing w:before="0" w:after="283"/>
              <w:jc w:val="right"/>
              <w:rPr/>
            </w:pPr>
            <w:r>
              <w:rPr/>
              <w:t>39</w:t>
            </w:r>
          </w:p>
        </w:tc>
      </w:tr>
      <w:tr>
        <w:trPr/>
        <w:tc>
          <w:tcPr>
            <w:tcW w:w="5600" w:type="dxa"/>
            <w:tcBorders/>
            <w:vAlign w:val="center"/>
          </w:tcPr>
          <w:p>
            <w:pPr>
              <w:pStyle w:val="TableContents"/>
              <w:bidi w:val="0"/>
              <w:spacing w:before="0" w:after="283"/>
              <w:jc w:val="left"/>
              <w:rPr/>
            </w:pPr>
            <w:r>
              <w:rPr/>
              <w:t>Section 2.16</w:t>
            </w:r>
            <w:r>
              <w:rPr>
                <w:i/>
              </w:rPr>
              <w:t>.  [Reserved].</w:t>
            </w:r>
          </w:p>
        </w:tc>
        <w:tc>
          <w:tcPr>
            <w:tcW w:w="560" w:type="dxa"/>
            <w:tcBorders/>
            <w:vAlign w:val="center"/>
          </w:tcPr>
          <w:p>
            <w:pPr>
              <w:pStyle w:val="TableContents"/>
              <w:bidi w:val="0"/>
              <w:spacing w:before="0" w:after="283"/>
              <w:jc w:val="right"/>
              <w:rPr/>
            </w:pPr>
            <w:r>
              <w:rPr/>
              <w:t>39</w:t>
            </w:r>
          </w:p>
        </w:tc>
      </w:tr>
      <w:tr>
        <w:trPr/>
        <w:tc>
          <w:tcPr>
            <w:tcW w:w="5600" w:type="dxa"/>
            <w:tcBorders/>
            <w:vAlign w:val="center"/>
          </w:tcPr>
          <w:p>
            <w:pPr>
              <w:pStyle w:val="TableContents"/>
              <w:bidi w:val="0"/>
              <w:spacing w:before="0" w:after="283"/>
              <w:jc w:val="left"/>
              <w:rPr/>
            </w:pPr>
            <w:r>
              <w:rPr/>
              <w:t>Section 2.17</w:t>
            </w:r>
            <w:r>
              <w:rPr>
                <w:i/>
              </w:rPr>
              <w:t>.  Defaulting Lenders.</w:t>
            </w:r>
          </w:p>
        </w:tc>
        <w:tc>
          <w:tcPr>
            <w:tcW w:w="560" w:type="dxa"/>
            <w:tcBorders/>
            <w:vAlign w:val="center"/>
          </w:tcPr>
          <w:p>
            <w:pPr>
              <w:pStyle w:val="TableContents"/>
              <w:bidi w:val="0"/>
              <w:spacing w:before="0" w:after="283"/>
              <w:jc w:val="right"/>
              <w:rPr/>
            </w:pPr>
            <w:r>
              <w:rPr/>
              <w:t>39</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5600" w:type="dxa"/>
            <w:tcBorders/>
            <w:vAlign w:val="center"/>
          </w:tcPr>
          <w:p>
            <w:pPr>
              <w:pStyle w:val="TableContents"/>
              <w:bidi w:val="0"/>
              <w:spacing w:before="0" w:after="283"/>
              <w:jc w:val="left"/>
              <w:rPr/>
            </w:pPr>
            <w:r>
              <w:rPr/>
              <w:t>Section 3.01</w:t>
            </w:r>
            <w:r>
              <w:rPr>
                <w:i/>
              </w:rPr>
              <w:t>.  Effectiveness.</w:t>
            </w:r>
          </w:p>
        </w:tc>
        <w:tc>
          <w:tcPr>
            <w:tcW w:w="560" w:type="dxa"/>
            <w:tcBorders/>
            <w:vAlign w:val="center"/>
          </w:tcPr>
          <w:p>
            <w:pPr>
              <w:pStyle w:val="TableContents"/>
              <w:bidi w:val="0"/>
              <w:spacing w:before="0" w:after="283"/>
              <w:jc w:val="right"/>
              <w:rPr/>
            </w:pPr>
            <w:r>
              <w:rPr/>
              <w:t>41</w:t>
            </w:r>
          </w:p>
        </w:tc>
      </w:tr>
      <w:tr>
        <w:trPr/>
        <w:tc>
          <w:tcPr>
            <w:tcW w:w="5600" w:type="dxa"/>
            <w:tcBorders/>
            <w:vAlign w:val="center"/>
          </w:tcPr>
          <w:p>
            <w:pPr>
              <w:pStyle w:val="TableContents"/>
              <w:bidi w:val="0"/>
              <w:spacing w:before="0" w:after="283"/>
              <w:jc w:val="left"/>
              <w:rPr/>
            </w:pPr>
            <w:r>
              <w:rPr/>
              <w:t>Section 3.02</w:t>
            </w:r>
            <w:r>
              <w:rPr>
                <w:i/>
              </w:rPr>
              <w:t>.  Funding Date.</w:t>
            </w:r>
          </w:p>
        </w:tc>
        <w:tc>
          <w:tcPr>
            <w:tcW w:w="560" w:type="dxa"/>
            <w:tcBorders/>
            <w:vAlign w:val="center"/>
          </w:tcPr>
          <w:p>
            <w:pPr>
              <w:pStyle w:val="TableContents"/>
              <w:bidi w:val="0"/>
              <w:spacing w:before="0" w:after="283"/>
              <w:jc w:val="right"/>
              <w:rPr/>
            </w:pPr>
            <w:r>
              <w:rPr/>
              <w:t>43</w:t>
            </w:r>
          </w:p>
        </w:tc>
      </w:tr>
      <w:tr>
        <w:trPr/>
        <w:tc>
          <w:tcPr>
            <w:tcW w:w="560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bdr w:val="single" w:sz="16" w:space="1" w:color="BFBFBF"/>
        </w:rPr>
      </w:pPr>
      <w:r>
        <w:rPr>
          <w:bdr w:val="single" w:sz="16" w:space="1" w:color="BFBFBF"/>
        </w:rPr>
        <w:t>ii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5660"/>
        <w:gridCol w:w="275"/>
      </w:tblGrid>
      <w:tr>
        <w:trPr/>
        <w:tc>
          <w:tcPr>
            <w:tcW w:w="566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Section 4.01</w:t>
            </w:r>
            <w:r>
              <w:rPr>
                <w:i/>
              </w:rPr>
              <w:t>.  Corporate Existence and Power.</w:t>
            </w:r>
          </w:p>
        </w:tc>
        <w:tc>
          <w:tcPr>
            <w:tcW w:w="275" w:type="dxa"/>
            <w:tcBorders/>
            <w:vAlign w:val="center"/>
          </w:tcPr>
          <w:p>
            <w:pPr>
              <w:pStyle w:val="TableContents"/>
              <w:bidi w:val="0"/>
              <w:spacing w:before="0" w:after="283"/>
              <w:jc w:val="right"/>
              <w:rPr/>
            </w:pPr>
            <w:r>
              <w:rPr/>
              <w:t>45</w:t>
            </w:r>
          </w:p>
        </w:tc>
      </w:tr>
      <w:tr>
        <w:trPr/>
        <w:tc>
          <w:tcPr>
            <w:tcW w:w="5660" w:type="dxa"/>
            <w:tcBorders/>
            <w:vAlign w:val="center"/>
          </w:tcPr>
          <w:p>
            <w:pPr>
              <w:pStyle w:val="TableContents"/>
              <w:bidi w:val="0"/>
              <w:spacing w:before="0" w:after="283"/>
              <w:jc w:val="left"/>
              <w:rPr/>
            </w:pPr>
            <w:r>
              <w:rPr/>
              <w:t>Section 4.02</w:t>
            </w:r>
            <w:r>
              <w:rPr>
                <w:i/>
              </w:rPr>
              <w:t>.  Corporate Authorization; No Contravention.</w:t>
            </w:r>
          </w:p>
        </w:tc>
        <w:tc>
          <w:tcPr>
            <w:tcW w:w="275" w:type="dxa"/>
            <w:tcBorders/>
            <w:vAlign w:val="center"/>
          </w:tcPr>
          <w:p>
            <w:pPr>
              <w:pStyle w:val="TableContents"/>
              <w:bidi w:val="0"/>
              <w:spacing w:before="0" w:after="283"/>
              <w:jc w:val="right"/>
              <w:rPr/>
            </w:pPr>
            <w:r>
              <w:rPr/>
              <w:t>45</w:t>
            </w:r>
          </w:p>
        </w:tc>
      </w:tr>
      <w:tr>
        <w:trPr/>
        <w:tc>
          <w:tcPr>
            <w:tcW w:w="5660" w:type="dxa"/>
            <w:tcBorders/>
            <w:vAlign w:val="center"/>
          </w:tcPr>
          <w:p>
            <w:pPr>
              <w:pStyle w:val="TableContents"/>
              <w:bidi w:val="0"/>
              <w:spacing w:before="0" w:after="283"/>
              <w:jc w:val="left"/>
              <w:rPr/>
            </w:pPr>
            <w:r>
              <w:rPr/>
              <w:t>Section 4.03</w:t>
            </w:r>
            <w:r>
              <w:rPr>
                <w:i/>
              </w:rPr>
              <w:t>.  Binding Effect.</w:t>
            </w:r>
          </w:p>
        </w:tc>
        <w:tc>
          <w:tcPr>
            <w:tcW w:w="275" w:type="dxa"/>
            <w:tcBorders/>
            <w:vAlign w:val="center"/>
          </w:tcPr>
          <w:p>
            <w:pPr>
              <w:pStyle w:val="TableContents"/>
              <w:bidi w:val="0"/>
              <w:spacing w:before="0" w:after="283"/>
              <w:jc w:val="right"/>
              <w:rPr/>
            </w:pPr>
            <w:r>
              <w:rPr/>
              <w:t>45</w:t>
            </w:r>
          </w:p>
        </w:tc>
      </w:tr>
      <w:tr>
        <w:trPr/>
        <w:tc>
          <w:tcPr>
            <w:tcW w:w="5660" w:type="dxa"/>
            <w:tcBorders/>
            <w:vAlign w:val="center"/>
          </w:tcPr>
          <w:p>
            <w:pPr>
              <w:pStyle w:val="TableContents"/>
              <w:bidi w:val="0"/>
              <w:spacing w:before="0" w:after="283"/>
              <w:jc w:val="left"/>
              <w:rPr/>
            </w:pPr>
            <w:r>
              <w:rPr/>
              <w:t>Section 4.04</w:t>
            </w:r>
            <w:r>
              <w:rPr>
                <w:i/>
              </w:rPr>
              <w:t>.  Financial Information.</w:t>
            </w:r>
          </w:p>
        </w:tc>
        <w:tc>
          <w:tcPr>
            <w:tcW w:w="275" w:type="dxa"/>
            <w:tcBorders/>
            <w:vAlign w:val="center"/>
          </w:tcPr>
          <w:p>
            <w:pPr>
              <w:pStyle w:val="TableContents"/>
              <w:bidi w:val="0"/>
              <w:spacing w:before="0" w:after="283"/>
              <w:jc w:val="right"/>
              <w:rPr/>
            </w:pPr>
            <w:r>
              <w:rPr/>
              <w:t>45</w:t>
            </w:r>
          </w:p>
        </w:tc>
      </w:tr>
      <w:tr>
        <w:trPr/>
        <w:tc>
          <w:tcPr>
            <w:tcW w:w="5660" w:type="dxa"/>
            <w:tcBorders/>
            <w:vAlign w:val="center"/>
          </w:tcPr>
          <w:p>
            <w:pPr>
              <w:pStyle w:val="TableContents"/>
              <w:bidi w:val="0"/>
              <w:spacing w:before="0" w:after="283"/>
              <w:jc w:val="left"/>
              <w:rPr/>
            </w:pPr>
            <w:r>
              <w:rPr/>
              <w:t>Section 4.05</w:t>
            </w:r>
            <w:r>
              <w:rPr>
                <w:i/>
              </w:rPr>
              <w:t>.  Litigation.</w:t>
            </w:r>
          </w:p>
        </w:tc>
        <w:tc>
          <w:tcPr>
            <w:tcW w:w="275" w:type="dxa"/>
            <w:tcBorders/>
            <w:vAlign w:val="center"/>
          </w:tcPr>
          <w:p>
            <w:pPr>
              <w:pStyle w:val="TableContents"/>
              <w:bidi w:val="0"/>
              <w:spacing w:before="0" w:after="283"/>
              <w:jc w:val="right"/>
              <w:rPr/>
            </w:pPr>
            <w:r>
              <w:rPr/>
              <w:t>46</w:t>
            </w:r>
          </w:p>
        </w:tc>
      </w:tr>
      <w:tr>
        <w:trPr/>
        <w:tc>
          <w:tcPr>
            <w:tcW w:w="5660" w:type="dxa"/>
            <w:tcBorders/>
            <w:vAlign w:val="center"/>
          </w:tcPr>
          <w:p>
            <w:pPr>
              <w:pStyle w:val="TableContents"/>
              <w:bidi w:val="0"/>
              <w:spacing w:before="0" w:after="283"/>
              <w:jc w:val="left"/>
              <w:rPr/>
            </w:pPr>
            <w:r>
              <w:rPr/>
              <w:t>Section 4.06</w:t>
            </w:r>
            <w:r>
              <w:rPr>
                <w:i/>
              </w:rPr>
              <w:t>.  Taxes.</w:t>
            </w:r>
          </w:p>
        </w:tc>
        <w:tc>
          <w:tcPr>
            <w:tcW w:w="275" w:type="dxa"/>
            <w:tcBorders/>
            <w:vAlign w:val="center"/>
          </w:tcPr>
          <w:p>
            <w:pPr>
              <w:pStyle w:val="TableContents"/>
              <w:bidi w:val="0"/>
              <w:spacing w:before="0" w:after="283"/>
              <w:jc w:val="right"/>
              <w:rPr/>
            </w:pPr>
            <w:r>
              <w:rPr/>
              <w:t>46</w:t>
            </w:r>
          </w:p>
        </w:tc>
      </w:tr>
      <w:tr>
        <w:trPr/>
        <w:tc>
          <w:tcPr>
            <w:tcW w:w="5660" w:type="dxa"/>
            <w:tcBorders/>
            <w:vAlign w:val="center"/>
          </w:tcPr>
          <w:p>
            <w:pPr>
              <w:pStyle w:val="TableContents"/>
              <w:bidi w:val="0"/>
              <w:spacing w:before="0" w:after="283"/>
              <w:jc w:val="left"/>
              <w:rPr/>
            </w:pPr>
            <w:r>
              <w:rPr/>
              <w:t>Section 4.07</w:t>
            </w:r>
            <w:r>
              <w:rPr>
                <w:i/>
              </w:rPr>
              <w:t>.  Margin Regulations.</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4.08</w:t>
            </w:r>
            <w:r>
              <w:rPr>
                <w:i/>
              </w:rPr>
              <w:t>.  Compliance with Laws.</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4.09</w:t>
            </w:r>
            <w:r>
              <w:rPr>
                <w:i/>
              </w:rPr>
              <w:t>.  Governmental Approvals.</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4.10</w:t>
            </w:r>
            <w:r>
              <w:rPr>
                <w:i/>
              </w:rPr>
              <w:t>.  Pari Passu Obligations.</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4.11</w:t>
            </w:r>
            <w:r>
              <w:rPr>
                <w:i/>
              </w:rPr>
              <w:t>.  No Defaults.</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4.12</w:t>
            </w:r>
            <w:r>
              <w:rPr>
                <w:i/>
              </w:rPr>
              <w:t>.  Full Disclosure</w:t>
            </w:r>
            <w:r>
              <w:rPr/>
              <w:t>.</w:t>
            </w:r>
          </w:p>
        </w:tc>
        <w:tc>
          <w:tcPr>
            <w:tcW w:w="275" w:type="dxa"/>
            <w:tcBorders/>
            <w:vAlign w:val="center"/>
          </w:tcPr>
          <w:p>
            <w:pPr>
              <w:pStyle w:val="TableContents"/>
              <w:bidi w:val="0"/>
              <w:spacing w:before="0" w:after="283"/>
              <w:jc w:val="right"/>
              <w:rPr/>
            </w:pPr>
            <w:r>
              <w:rPr/>
              <w:t>47</w:t>
            </w:r>
          </w:p>
        </w:tc>
      </w:tr>
      <w:tr>
        <w:trPr/>
        <w:tc>
          <w:tcPr>
            <w:tcW w:w="5660" w:type="dxa"/>
            <w:tcBorders/>
            <w:vAlign w:val="center"/>
          </w:tcPr>
          <w:p>
            <w:pPr>
              <w:pStyle w:val="TableContents"/>
              <w:bidi w:val="0"/>
              <w:spacing w:before="0" w:after="283"/>
              <w:jc w:val="left"/>
              <w:rPr/>
            </w:pPr>
            <w:r>
              <w:rPr/>
              <w:t>Section 4.13</w:t>
            </w:r>
            <w:r>
              <w:rPr>
                <w:i/>
              </w:rPr>
              <w:t>.  ERISA.</w:t>
            </w:r>
          </w:p>
        </w:tc>
        <w:tc>
          <w:tcPr>
            <w:tcW w:w="275" w:type="dxa"/>
            <w:tcBorders/>
            <w:vAlign w:val="center"/>
          </w:tcPr>
          <w:p>
            <w:pPr>
              <w:pStyle w:val="TableContents"/>
              <w:bidi w:val="0"/>
              <w:spacing w:before="0" w:after="283"/>
              <w:jc w:val="right"/>
              <w:rPr/>
            </w:pPr>
            <w:r>
              <w:rPr/>
              <w:t>48</w:t>
            </w:r>
          </w:p>
        </w:tc>
      </w:tr>
      <w:tr>
        <w:trPr/>
        <w:tc>
          <w:tcPr>
            <w:tcW w:w="5660" w:type="dxa"/>
            <w:tcBorders/>
            <w:vAlign w:val="center"/>
          </w:tcPr>
          <w:p>
            <w:pPr>
              <w:pStyle w:val="TableContents"/>
              <w:bidi w:val="0"/>
              <w:spacing w:before="0" w:after="283"/>
              <w:jc w:val="left"/>
              <w:rPr/>
            </w:pPr>
            <w:r>
              <w:rPr/>
              <w:t>Section 4.14</w:t>
            </w:r>
            <w:r>
              <w:rPr>
                <w:i/>
              </w:rPr>
              <w:t>.  Environmental Matters.</w:t>
            </w:r>
          </w:p>
        </w:tc>
        <w:tc>
          <w:tcPr>
            <w:tcW w:w="275" w:type="dxa"/>
            <w:tcBorders/>
            <w:vAlign w:val="center"/>
          </w:tcPr>
          <w:p>
            <w:pPr>
              <w:pStyle w:val="TableContents"/>
              <w:bidi w:val="0"/>
              <w:spacing w:before="0" w:after="283"/>
              <w:jc w:val="right"/>
              <w:rPr/>
            </w:pPr>
            <w:r>
              <w:rPr/>
              <w:t>48</w:t>
            </w:r>
          </w:p>
        </w:tc>
      </w:tr>
      <w:tr>
        <w:trPr/>
        <w:tc>
          <w:tcPr>
            <w:tcW w:w="5660" w:type="dxa"/>
            <w:tcBorders/>
            <w:vAlign w:val="center"/>
          </w:tcPr>
          <w:p>
            <w:pPr>
              <w:pStyle w:val="TableContents"/>
              <w:bidi w:val="0"/>
              <w:spacing w:before="0" w:after="283"/>
              <w:jc w:val="left"/>
              <w:rPr/>
            </w:pPr>
            <w:r>
              <w:rPr/>
              <w:t>Section 4.15</w:t>
            </w:r>
            <w:r>
              <w:rPr>
                <w:i/>
              </w:rPr>
              <w:t>.  Regulatory Restrictions on Borrowing.</w:t>
            </w:r>
          </w:p>
        </w:tc>
        <w:tc>
          <w:tcPr>
            <w:tcW w:w="275" w:type="dxa"/>
            <w:tcBorders/>
            <w:vAlign w:val="center"/>
          </w:tcPr>
          <w:p>
            <w:pPr>
              <w:pStyle w:val="TableContents"/>
              <w:bidi w:val="0"/>
              <w:spacing w:before="0" w:after="283"/>
              <w:jc w:val="right"/>
              <w:rPr/>
            </w:pPr>
            <w:r>
              <w:rPr/>
              <w:t>48</w:t>
            </w:r>
          </w:p>
        </w:tc>
      </w:tr>
      <w:tr>
        <w:trPr/>
        <w:tc>
          <w:tcPr>
            <w:tcW w:w="5660" w:type="dxa"/>
            <w:tcBorders/>
            <w:vAlign w:val="center"/>
          </w:tcPr>
          <w:p>
            <w:pPr>
              <w:pStyle w:val="TableContents"/>
              <w:bidi w:val="0"/>
              <w:spacing w:before="0" w:after="283"/>
              <w:jc w:val="left"/>
              <w:rPr/>
            </w:pPr>
            <w:r>
              <w:rPr/>
              <w:t>Section 4.16.  </w:t>
            </w:r>
            <w:r>
              <w:rPr>
                <w:i/>
              </w:rPr>
              <w:t>Legal Status</w:t>
            </w:r>
            <w:r>
              <w:rPr/>
              <w:t>..</w:t>
            </w:r>
          </w:p>
        </w:tc>
        <w:tc>
          <w:tcPr>
            <w:tcW w:w="275" w:type="dxa"/>
            <w:tcBorders/>
            <w:vAlign w:val="center"/>
          </w:tcPr>
          <w:p>
            <w:pPr>
              <w:pStyle w:val="TableContents"/>
              <w:bidi w:val="0"/>
              <w:spacing w:before="0" w:after="283"/>
              <w:jc w:val="right"/>
              <w:rPr/>
            </w:pPr>
            <w:r>
              <w:rPr/>
              <w:t>48</w:t>
            </w:r>
          </w:p>
        </w:tc>
      </w:tr>
      <w:tr>
        <w:trPr/>
        <w:tc>
          <w:tcPr>
            <w:tcW w:w="5660" w:type="dxa"/>
            <w:tcBorders/>
            <w:vAlign w:val="center"/>
          </w:tcPr>
          <w:p>
            <w:pPr>
              <w:pStyle w:val="TableContents"/>
              <w:bidi w:val="0"/>
              <w:spacing w:before="0" w:after="283"/>
              <w:jc w:val="left"/>
              <w:rPr/>
            </w:pPr>
            <w:r>
              <w:rPr/>
              <w:t>Section 4.17.  </w:t>
            </w:r>
            <w:r>
              <w:rPr>
                <w:i/>
              </w:rPr>
              <w:t>Solvency</w:t>
            </w:r>
            <w:r>
              <w:rPr/>
              <w:t>.</w:t>
            </w:r>
          </w:p>
        </w:tc>
        <w:tc>
          <w:tcPr>
            <w:tcW w:w="275" w:type="dxa"/>
            <w:tcBorders/>
            <w:vAlign w:val="center"/>
          </w:tcPr>
          <w:p>
            <w:pPr>
              <w:pStyle w:val="TableContents"/>
              <w:bidi w:val="0"/>
              <w:spacing w:before="0" w:after="283"/>
              <w:jc w:val="right"/>
              <w:rPr/>
            </w:pPr>
            <w:r>
              <w:rPr/>
              <w:t>49</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Section 5.01</w:t>
            </w:r>
            <w:r>
              <w:rPr>
                <w:i/>
              </w:rPr>
              <w:t>.  Information.</w:t>
            </w:r>
          </w:p>
        </w:tc>
        <w:tc>
          <w:tcPr>
            <w:tcW w:w="275" w:type="dxa"/>
            <w:tcBorders/>
            <w:vAlign w:val="center"/>
          </w:tcPr>
          <w:p>
            <w:pPr>
              <w:pStyle w:val="TableContents"/>
              <w:bidi w:val="0"/>
              <w:spacing w:before="0" w:after="283"/>
              <w:jc w:val="right"/>
              <w:rPr/>
            </w:pPr>
            <w:r>
              <w:rPr/>
              <w:t>50</w:t>
            </w:r>
          </w:p>
        </w:tc>
      </w:tr>
      <w:tr>
        <w:trPr/>
        <w:tc>
          <w:tcPr>
            <w:tcW w:w="5660" w:type="dxa"/>
            <w:tcBorders/>
            <w:vAlign w:val="center"/>
          </w:tcPr>
          <w:p>
            <w:pPr>
              <w:pStyle w:val="TableContents"/>
              <w:bidi w:val="0"/>
              <w:spacing w:before="0" w:after="283"/>
              <w:jc w:val="left"/>
              <w:rPr/>
            </w:pPr>
            <w:r>
              <w:rPr/>
              <w:t>Section 5.02</w:t>
            </w:r>
            <w:r>
              <w:rPr>
                <w:i/>
              </w:rPr>
              <w:t>.  Payment of Obligations.</w:t>
            </w:r>
          </w:p>
        </w:tc>
        <w:tc>
          <w:tcPr>
            <w:tcW w:w="275" w:type="dxa"/>
            <w:tcBorders/>
            <w:vAlign w:val="center"/>
          </w:tcPr>
          <w:p>
            <w:pPr>
              <w:pStyle w:val="TableContents"/>
              <w:bidi w:val="0"/>
              <w:spacing w:before="0" w:after="283"/>
              <w:jc w:val="right"/>
              <w:rPr/>
            </w:pPr>
            <w:r>
              <w:rPr/>
              <w:t>51</w:t>
            </w:r>
          </w:p>
        </w:tc>
      </w:tr>
      <w:tr>
        <w:trPr/>
        <w:tc>
          <w:tcPr>
            <w:tcW w:w="5660" w:type="dxa"/>
            <w:tcBorders/>
            <w:vAlign w:val="center"/>
          </w:tcPr>
          <w:p>
            <w:pPr>
              <w:pStyle w:val="TableContents"/>
              <w:bidi w:val="0"/>
              <w:spacing w:before="0" w:after="283"/>
              <w:jc w:val="left"/>
              <w:rPr/>
            </w:pPr>
            <w:r>
              <w:rPr/>
              <w:t>Section 5.03</w:t>
            </w:r>
            <w:r>
              <w:rPr>
                <w:i/>
              </w:rPr>
              <w:t>.  Insurance.</w:t>
            </w:r>
          </w:p>
        </w:tc>
        <w:tc>
          <w:tcPr>
            <w:tcW w:w="275" w:type="dxa"/>
            <w:tcBorders/>
            <w:vAlign w:val="center"/>
          </w:tcPr>
          <w:p>
            <w:pPr>
              <w:pStyle w:val="TableContents"/>
              <w:bidi w:val="0"/>
              <w:spacing w:before="0" w:after="283"/>
              <w:jc w:val="right"/>
              <w:rPr/>
            </w:pPr>
            <w:r>
              <w:rPr/>
              <w:t>52</w:t>
            </w:r>
          </w:p>
        </w:tc>
      </w:tr>
      <w:tr>
        <w:trPr/>
        <w:tc>
          <w:tcPr>
            <w:tcW w:w="5660" w:type="dxa"/>
            <w:tcBorders/>
            <w:vAlign w:val="center"/>
          </w:tcPr>
          <w:p>
            <w:pPr>
              <w:pStyle w:val="TableContents"/>
              <w:bidi w:val="0"/>
              <w:spacing w:before="0" w:after="283"/>
              <w:jc w:val="left"/>
              <w:rPr/>
            </w:pPr>
            <w:r>
              <w:rPr/>
              <w:t>Section 5.04</w:t>
            </w:r>
            <w:r>
              <w:rPr>
                <w:i/>
              </w:rPr>
              <w:t>.  Maintenance of Existence.</w:t>
            </w:r>
          </w:p>
        </w:tc>
        <w:tc>
          <w:tcPr>
            <w:tcW w:w="275" w:type="dxa"/>
            <w:tcBorders/>
            <w:vAlign w:val="center"/>
          </w:tcPr>
          <w:p>
            <w:pPr>
              <w:pStyle w:val="TableContents"/>
              <w:bidi w:val="0"/>
              <w:spacing w:before="0" w:after="283"/>
              <w:jc w:val="right"/>
              <w:rPr/>
            </w:pPr>
            <w:r>
              <w:rPr/>
              <w:t>52</w:t>
            </w:r>
          </w:p>
        </w:tc>
      </w:tr>
      <w:tr>
        <w:trPr/>
        <w:tc>
          <w:tcPr>
            <w:tcW w:w="5660" w:type="dxa"/>
            <w:tcBorders/>
            <w:vAlign w:val="center"/>
          </w:tcPr>
          <w:p>
            <w:pPr>
              <w:pStyle w:val="TableContents"/>
              <w:bidi w:val="0"/>
              <w:spacing w:before="0" w:after="283"/>
              <w:jc w:val="left"/>
              <w:rPr/>
            </w:pPr>
            <w:r>
              <w:rPr/>
              <w:t>Section 5.05</w:t>
            </w:r>
            <w:r>
              <w:rPr>
                <w:i/>
              </w:rPr>
              <w:t>.  Maintenance of Properties.</w:t>
            </w:r>
          </w:p>
        </w:tc>
        <w:tc>
          <w:tcPr>
            <w:tcW w:w="275" w:type="dxa"/>
            <w:tcBorders/>
            <w:vAlign w:val="center"/>
          </w:tcPr>
          <w:p>
            <w:pPr>
              <w:pStyle w:val="TableContents"/>
              <w:bidi w:val="0"/>
              <w:spacing w:before="0" w:after="283"/>
              <w:jc w:val="right"/>
              <w:rPr/>
            </w:pPr>
            <w:r>
              <w:rPr/>
              <w:t>52</w:t>
            </w:r>
          </w:p>
        </w:tc>
      </w:tr>
      <w:tr>
        <w:trPr/>
        <w:tc>
          <w:tcPr>
            <w:tcW w:w="5660" w:type="dxa"/>
            <w:tcBorders/>
            <w:vAlign w:val="center"/>
          </w:tcPr>
          <w:p>
            <w:pPr>
              <w:pStyle w:val="TableContents"/>
              <w:bidi w:val="0"/>
              <w:spacing w:before="0" w:after="283"/>
              <w:jc w:val="left"/>
              <w:rPr/>
            </w:pPr>
            <w:r>
              <w:rPr/>
              <w:t>Section 5.06</w:t>
            </w:r>
            <w:r>
              <w:rPr>
                <w:i/>
              </w:rPr>
              <w:t>.  Compliance with Laws.</w:t>
            </w:r>
          </w:p>
        </w:tc>
        <w:tc>
          <w:tcPr>
            <w:tcW w:w="275" w:type="dxa"/>
            <w:tcBorders/>
            <w:vAlign w:val="center"/>
          </w:tcPr>
          <w:p>
            <w:pPr>
              <w:pStyle w:val="TableContents"/>
              <w:bidi w:val="0"/>
              <w:spacing w:before="0" w:after="283"/>
              <w:jc w:val="right"/>
              <w:rPr/>
            </w:pPr>
            <w:r>
              <w:rPr/>
              <w:t>52</w:t>
            </w:r>
          </w:p>
        </w:tc>
      </w:tr>
      <w:tr>
        <w:trPr/>
        <w:tc>
          <w:tcPr>
            <w:tcW w:w="5660" w:type="dxa"/>
            <w:tcBorders/>
            <w:vAlign w:val="center"/>
          </w:tcPr>
          <w:p>
            <w:pPr>
              <w:pStyle w:val="TableContents"/>
              <w:bidi w:val="0"/>
              <w:spacing w:before="0" w:after="283"/>
              <w:jc w:val="left"/>
              <w:rPr/>
            </w:pPr>
            <w:r>
              <w:rPr/>
              <w:t>Section 5.07</w:t>
            </w:r>
            <w:r>
              <w:rPr>
                <w:i/>
              </w:rPr>
              <w:t>.  Mergers, Consolidations and Sales of Assets.</w:t>
            </w:r>
          </w:p>
        </w:tc>
        <w:tc>
          <w:tcPr>
            <w:tcW w:w="275" w:type="dxa"/>
            <w:tcBorders/>
            <w:vAlign w:val="center"/>
          </w:tcPr>
          <w:p>
            <w:pPr>
              <w:pStyle w:val="TableContents"/>
              <w:bidi w:val="0"/>
              <w:spacing w:before="0" w:after="283"/>
              <w:jc w:val="right"/>
              <w:rPr/>
            </w:pPr>
            <w:r>
              <w:rPr/>
              <w:t>53</w:t>
            </w:r>
          </w:p>
        </w:tc>
      </w:tr>
      <w:tr>
        <w:trPr/>
        <w:tc>
          <w:tcPr>
            <w:tcW w:w="5660" w:type="dxa"/>
            <w:tcBorders/>
            <w:vAlign w:val="center"/>
          </w:tcPr>
          <w:p>
            <w:pPr>
              <w:pStyle w:val="TableContents"/>
              <w:bidi w:val="0"/>
              <w:spacing w:before="0" w:after="283"/>
              <w:jc w:val="left"/>
              <w:rPr/>
            </w:pPr>
            <w:r>
              <w:rPr/>
              <w:t>Section 5.08</w:t>
            </w:r>
            <w:r>
              <w:rPr>
                <w:i/>
              </w:rPr>
              <w:t>.  Negative Pledge.</w:t>
            </w:r>
          </w:p>
        </w:tc>
        <w:tc>
          <w:tcPr>
            <w:tcW w:w="275" w:type="dxa"/>
            <w:tcBorders/>
            <w:vAlign w:val="center"/>
          </w:tcPr>
          <w:p>
            <w:pPr>
              <w:pStyle w:val="TableContents"/>
              <w:bidi w:val="0"/>
              <w:spacing w:before="0" w:after="283"/>
              <w:jc w:val="right"/>
              <w:rPr/>
            </w:pPr>
            <w:r>
              <w:rPr/>
              <w:t>54</w:t>
            </w:r>
          </w:p>
        </w:tc>
      </w:tr>
      <w:tr>
        <w:trPr/>
        <w:tc>
          <w:tcPr>
            <w:tcW w:w="5660" w:type="dxa"/>
            <w:tcBorders/>
            <w:vAlign w:val="center"/>
          </w:tcPr>
          <w:p>
            <w:pPr>
              <w:pStyle w:val="TableContents"/>
              <w:bidi w:val="0"/>
              <w:spacing w:before="0" w:after="283"/>
              <w:jc w:val="left"/>
              <w:rPr/>
            </w:pPr>
            <w:r>
              <w:rPr/>
              <w:t>Section 5.09</w:t>
            </w:r>
            <w:r>
              <w:rPr>
                <w:i/>
              </w:rPr>
              <w:t>.  Leverage Ratio.</w:t>
            </w:r>
          </w:p>
        </w:tc>
        <w:tc>
          <w:tcPr>
            <w:tcW w:w="275" w:type="dxa"/>
            <w:tcBorders/>
            <w:vAlign w:val="center"/>
          </w:tcPr>
          <w:p>
            <w:pPr>
              <w:pStyle w:val="TableContents"/>
              <w:bidi w:val="0"/>
              <w:spacing w:before="0" w:after="283"/>
              <w:jc w:val="right"/>
              <w:rPr/>
            </w:pPr>
            <w:r>
              <w:rPr/>
              <w:t>57</w:t>
            </w:r>
          </w:p>
        </w:tc>
      </w:tr>
      <w:tr>
        <w:trPr/>
        <w:tc>
          <w:tcPr>
            <w:tcW w:w="5660" w:type="dxa"/>
            <w:tcBorders/>
            <w:vAlign w:val="center"/>
          </w:tcPr>
          <w:p>
            <w:pPr>
              <w:pStyle w:val="TableContents"/>
              <w:bidi w:val="0"/>
              <w:spacing w:before="0" w:after="283"/>
              <w:jc w:val="left"/>
              <w:rPr/>
            </w:pPr>
            <w:r>
              <w:rPr/>
              <w:t>Section 5.10</w:t>
            </w:r>
            <w:r>
              <w:rPr>
                <w:i/>
              </w:rPr>
              <w:t>.  Use of Proceeds.</w:t>
            </w:r>
          </w:p>
        </w:tc>
        <w:tc>
          <w:tcPr>
            <w:tcW w:w="275" w:type="dxa"/>
            <w:tcBorders/>
            <w:vAlign w:val="center"/>
          </w:tcPr>
          <w:p>
            <w:pPr>
              <w:pStyle w:val="TableContents"/>
              <w:bidi w:val="0"/>
              <w:spacing w:before="0" w:after="283"/>
              <w:jc w:val="right"/>
              <w:rPr/>
            </w:pPr>
            <w:r>
              <w:rPr/>
              <w:t>57</w:t>
            </w:r>
          </w:p>
        </w:tc>
      </w:tr>
      <w:tr>
        <w:trPr/>
        <w:tc>
          <w:tcPr>
            <w:tcW w:w="5660" w:type="dxa"/>
            <w:tcBorders/>
            <w:vAlign w:val="center"/>
          </w:tcPr>
          <w:p>
            <w:pPr>
              <w:pStyle w:val="TableContents"/>
              <w:bidi w:val="0"/>
              <w:spacing w:before="0" w:after="283"/>
              <w:jc w:val="left"/>
              <w:rPr/>
            </w:pPr>
            <w:r>
              <w:rPr/>
              <w:t>Section 5.11</w:t>
            </w:r>
            <w:r>
              <w:rPr>
                <w:i/>
              </w:rPr>
              <w:t>.  </w:t>
            </w:r>
            <w:r>
              <w:rPr/>
              <w:t>[</w:t>
            </w:r>
            <w:r>
              <w:rPr>
                <w:i/>
              </w:rPr>
              <w:t>Reserved</w:t>
            </w:r>
            <w:r>
              <w:rPr/>
              <w:t>]</w:t>
            </w:r>
          </w:p>
        </w:tc>
        <w:tc>
          <w:tcPr>
            <w:tcW w:w="275" w:type="dxa"/>
            <w:tcBorders/>
            <w:vAlign w:val="center"/>
          </w:tcPr>
          <w:p>
            <w:pPr>
              <w:pStyle w:val="TableContents"/>
              <w:bidi w:val="0"/>
              <w:spacing w:before="0" w:after="283"/>
              <w:jc w:val="right"/>
              <w:rPr/>
            </w:pPr>
            <w:r>
              <w:rPr/>
              <w:t>58</w:t>
            </w:r>
          </w:p>
        </w:tc>
      </w:tr>
      <w:tr>
        <w:trPr/>
        <w:tc>
          <w:tcPr>
            <w:tcW w:w="5660" w:type="dxa"/>
            <w:tcBorders/>
            <w:vAlign w:val="center"/>
          </w:tcPr>
          <w:p>
            <w:pPr>
              <w:pStyle w:val="TableContents"/>
              <w:bidi w:val="0"/>
              <w:spacing w:before="0" w:after="283"/>
              <w:jc w:val="left"/>
              <w:rPr/>
            </w:pPr>
            <w:r>
              <w:rPr/>
              <w:t>Section 5.12</w:t>
            </w:r>
            <w:r>
              <w:rPr>
                <w:i/>
              </w:rPr>
              <w:t>.  Transactions with Affiliates.</w:t>
            </w:r>
          </w:p>
        </w:tc>
        <w:tc>
          <w:tcPr>
            <w:tcW w:w="275" w:type="dxa"/>
            <w:tcBorders/>
            <w:vAlign w:val="center"/>
          </w:tcPr>
          <w:p>
            <w:pPr>
              <w:pStyle w:val="TableContents"/>
              <w:bidi w:val="0"/>
              <w:spacing w:before="0" w:after="283"/>
              <w:jc w:val="right"/>
              <w:rPr/>
            </w:pPr>
            <w:r>
              <w:rPr/>
              <w:t>58</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Defaults</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5660" w:type="dxa"/>
            <w:tcBorders/>
            <w:vAlign w:val="center"/>
          </w:tcPr>
          <w:p>
            <w:pPr>
              <w:pStyle w:val="TableContents"/>
              <w:bidi w:val="0"/>
              <w:spacing w:before="0" w:after="283"/>
              <w:jc w:val="left"/>
              <w:rPr/>
            </w:pPr>
            <w:r>
              <w:rPr/>
              <w:t>Section 6.01</w:t>
            </w:r>
            <w:r>
              <w:rPr>
                <w:i/>
              </w:rPr>
              <w:t>.  Event of Default.</w:t>
            </w:r>
          </w:p>
        </w:tc>
        <w:tc>
          <w:tcPr>
            <w:tcW w:w="275" w:type="dxa"/>
            <w:tcBorders/>
            <w:vAlign w:val="center"/>
          </w:tcPr>
          <w:p>
            <w:pPr>
              <w:pStyle w:val="TableContents"/>
              <w:bidi w:val="0"/>
              <w:spacing w:before="0" w:after="283"/>
              <w:jc w:val="right"/>
              <w:rPr/>
            </w:pPr>
            <w:r>
              <w:rPr/>
              <w:t>58</w:t>
            </w:r>
          </w:p>
        </w:tc>
      </w:tr>
      <w:tr>
        <w:trPr/>
        <w:tc>
          <w:tcPr>
            <w:tcW w:w="5660" w:type="dxa"/>
            <w:tcBorders/>
            <w:vAlign w:val="center"/>
          </w:tcPr>
          <w:p>
            <w:pPr>
              <w:pStyle w:val="TableContents"/>
              <w:bidi w:val="0"/>
              <w:spacing w:before="0" w:after="283"/>
              <w:jc w:val="left"/>
              <w:rPr/>
            </w:pPr>
            <w:r>
              <w:rPr/>
              <w:t>Section 6.02</w:t>
            </w:r>
            <w:r>
              <w:rPr>
                <w:i/>
              </w:rPr>
              <w:t>.  [Reserved].</w:t>
            </w:r>
          </w:p>
        </w:tc>
        <w:tc>
          <w:tcPr>
            <w:tcW w:w="275" w:type="dxa"/>
            <w:tcBorders/>
            <w:vAlign w:val="center"/>
          </w:tcPr>
          <w:p>
            <w:pPr>
              <w:pStyle w:val="TableContents"/>
              <w:bidi w:val="0"/>
              <w:spacing w:before="0" w:after="283"/>
              <w:jc w:val="right"/>
              <w:rPr/>
            </w:pPr>
            <w:r>
              <w:rPr/>
              <w:t>61</w:t>
            </w:r>
          </w:p>
        </w:tc>
      </w:tr>
      <w:tr>
        <w:trPr/>
        <w:tc>
          <w:tcPr>
            <w:tcW w:w="5660" w:type="dxa"/>
            <w:tcBorders/>
            <w:vAlign w:val="center"/>
          </w:tcPr>
          <w:p>
            <w:pPr>
              <w:pStyle w:val="TableContents"/>
              <w:bidi w:val="0"/>
              <w:spacing w:before="0" w:after="283"/>
              <w:jc w:val="left"/>
              <w:rPr/>
            </w:pPr>
            <w:r>
              <w:rPr/>
              <w:t>Section 6.03.  </w:t>
            </w:r>
            <w:r>
              <w:rPr>
                <w:i/>
              </w:rPr>
              <w:t>Application of Payments</w:t>
            </w:r>
            <w:r>
              <w:rPr/>
              <w:t>.</w:t>
            </w:r>
          </w:p>
        </w:tc>
        <w:tc>
          <w:tcPr>
            <w:tcW w:w="275" w:type="dxa"/>
            <w:tcBorders/>
            <w:vAlign w:val="center"/>
          </w:tcPr>
          <w:p>
            <w:pPr>
              <w:pStyle w:val="TableContents"/>
              <w:bidi w:val="0"/>
              <w:spacing w:before="0" w:after="283"/>
              <w:jc w:val="right"/>
              <w:rPr/>
            </w:pPr>
            <w:r>
              <w:rPr/>
              <w:t>62</w:t>
            </w:r>
          </w:p>
        </w:tc>
      </w:tr>
      <w:tr>
        <w:trPr/>
        <w:tc>
          <w:tcPr>
            <w:tcW w:w="56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bdr w:val="single" w:sz="16" w:space="1" w:color="BFBFBF"/>
        </w:rPr>
      </w:pPr>
      <w:r>
        <w:rPr>
          <w:bdr w:val="single" w:sz="16" w:space="1" w:color="BFBFBF"/>
        </w:rPr>
        <w:t>iii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7735" w:type="dxa"/>
        <w:jc w:val="left"/>
        <w:tblInd w:w="0" w:type="dxa"/>
        <w:tblLayout w:type="fixed"/>
        <w:tblCellMar>
          <w:top w:w="0" w:type="dxa"/>
          <w:left w:w="0" w:type="dxa"/>
          <w:bottom w:w="0" w:type="dxa"/>
          <w:right w:w="0" w:type="dxa"/>
        </w:tblCellMar>
      </w:tblPr>
      <w:tblGrid>
        <w:gridCol w:w="7340"/>
        <w:gridCol w:w="395"/>
      </w:tblGrid>
      <w:tr>
        <w:trPr/>
        <w:tc>
          <w:tcPr>
            <w:tcW w:w="734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Administrative Agent</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Section 7.01</w:t>
            </w:r>
            <w:r>
              <w:rPr>
                <w:i/>
              </w:rPr>
              <w:t>.  Appointment and Authorization.</w:t>
            </w:r>
          </w:p>
        </w:tc>
        <w:tc>
          <w:tcPr>
            <w:tcW w:w="395" w:type="dxa"/>
            <w:tcBorders/>
            <w:vAlign w:val="center"/>
          </w:tcPr>
          <w:p>
            <w:pPr>
              <w:pStyle w:val="TableContents"/>
              <w:bidi w:val="0"/>
              <w:spacing w:before="0" w:after="283"/>
              <w:jc w:val="right"/>
              <w:rPr/>
            </w:pPr>
            <w:r>
              <w:rPr/>
              <w:t>63</w:t>
            </w:r>
          </w:p>
        </w:tc>
      </w:tr>
      <w:tr>
        <w:trPr/>
        <w:tc>
          <w:tcPr>
            <w:tcW w:w="7340" w:type="dxa"/>
            <w:tcBorders/>
            <w:vAlign w:val="center"/>
          </w:tcPr>
          <w:p>
            <w:pPr>
              <w:pStyle w:val="TableContents"/>
              <w:bidi w:val="0"/>
              <w:spacing w:before="0" w:after="283"/>
              <w:jc w:val="left"/>
              <w:rPr/>
            </w:pPr>
            <w:r>
              <w:rPr/>
              <w:t>Section 7.02</w:t>
            </w:r>
            <w:r>
              <w:rPr>
                <w:i/>
              </w:rPr>
              <w:t>.  Administrative Agent and Affiliates.</w:t>
            </w:r>
          </w:p>
        </w:tc>
        <w:tc>
          <w:tcPr>
            <w:tcW w:w="395" w:type="dxa"/>
            <w:tcBorders/>
            <w:vAlign w:val="center"/>
          </w:tcPr>
          <w:p>
            <w:pPr>
              <w:pStyle w:val="TableContents"/>
              <w:bidi w:val="0"/>
              <w:spacing w:before="0" w:after="283"/>
              <w:jc w:val="right"/>
              <w:rPr/>
            </w:pPr>
            <w:r>
              <w:rPr/>
              <w:t>66</w:t>
            </w:r>
          </w:p>
        </w:tc>
      </w:tr>
      <w:tr>
        <w:trPr/>
        <w:tc>
          <w:tcPr>
            <w:tcW w:w="7340" w:type="dxa"/>
            <w:tcBorders/>
            <w:vAlign w:val="center"/>
          </w:tcPr>
          <w:p>
            <w:pPr>
              <w:pStyle w:val="TableContents"/>
              <w:bidi w:val="0"/>
              <w:spacing w:before="0" w:after="283"/>
              <w:jc w:val="left"/>
              <w:rPr/>
            </w:pPr>
            <w:r>
              <w:rPr/>
              <w:t>Section 7.03</w:t>
            </w:r>
            <w:r>
              <w:rPr>
                <w:i/>
              </w:rPr>
              <w:t>.  Action by Administrative Agent.</w:t>
            </w:r>
          </w:p>
        </w:tc>
        <w:tc>
          <w:tcPr>
            <w:tcW w:w="395" w:type="dxa"/>
            <w:tcBorders/>
            <w:vAlign w:val="center"/>
          </w:tcPr>
          <w:p>
            <w:pPr>
              <w:pStyle w:val="TableContents"/>
              <w:bidi w:val="0"/>
              <w:spacing w:before="0" w:after="283"/>
              <w:jc w:val="right"/>
              <w:rPr/>
            </w:pPr>
            <w:r>
              <w:rPr/>
              <w:t>66</w:t>
            </w:r>
          </w:p>
        </w:tc>
      </w:tr>
      <w:tr>
        <w:trPr/>
        <w:tc>
          <w:tcPr>
            <w:tcW w:w="7340" w:type="dxa"/>
            <w:tcBorders/>
            <w:vAlign w:val="center"/>
          </w:tcPr>
          <w:p>
            <w:pPr>
              <w:pStyle w:val="TableContents"/>
              <w:bidi w:val="0"/>
              <w:spacing w:before="0" w:after="283"/>
              <w:jc w:val="left"/>
              <w:rPr/>
            </w:pPr>
            <w:r>
              <w:rPr/>
              <w:t>Section 7.04</w:t>
            </w:r>
            <w:r>
              <w:rPr>
                <w:i/>
              </w:rPr>
              <w:t>.  Consultation with Experts.</w:t>
            </w:r>
            <w:r>
              <w:rPr/>
              <w:t>.</w:t>
            </w:r>
          </w:p>
        </w:tc>
        <w:tc>
          <w:tcPr>
            <w:tcW w:w="395" w:type="dxa"/>
            <w:tcBorders/>
            <w:vAlign w:val="center"/>
          </w:tcPr>
          <w:p>
            <w:pPr>
              <w:pStyle w:val="TableContents"/>
              <w:bidi w:val="0"/>
              <w:spacing w:before="0" w:after="283"/>
              <w:jc w:val="right"/>
              <w:rPr/>
            </w:pPr>
            <w:r>
              <w:rPr/>
              <w:t>66</w:t>
            </w:r>
          </w:p>
        </w:tc>
      </w:tr>
      <w:tr>
        <w:trPr/>
        <w:tc>
          <w:tcPr>
            <w:tcW w:w="7340" w:type="dxa"/>
            <w:tcBorders/>
            <w:vAlign w:val="center"/>
          </w:tcPr>
          <w:p>
            <w:pPr>
              <w:pStyle w:val="TableContents"/>
              <w:bidi w:val="0"/>
              <w:spacing w:before="0" w:after="283"/>
              <w:jc w:val="left"/>
              <w:rPr/>
            </w:pPr>
            <w:r>
              <w:rPr/>
              <w:t>Section 7.05.  </w:t>
            </w:r>
            <w:r>
              <w:rPr>
                <w:i/>
              </w:rPr>
              <w:t>Administrative Agent’s Reliance; Limitation of Liability.</w:t>
            </w:r>
          </w:p>
        </w:tc>
        <w:tc>
          <w:tcPr>
            <w:tcW w:w="395" w:type="dxa"/>
            <w:tcBorders/>
            <w:vAlign w:val="center"/>
          </w:tcPr>
          <w:p>
            <w:pPr>
              <w:pStyle w:val="TableContents"/>
              <w:bidi w:val="0"/>
              <w:spacing w:before="0" w:after="283"/>
              <w:jc w:val="right"/>
              <w:rPr/>
            </w:pPr>
            <w:r>
              <w:rPr/>
              <w:t>66</w:t>
            </w:r>
          </w:p>
        </w:tc>
      </w:tr>
      <w:tr>
        <w:trPr/>
        <w:tc>
          <w:tcPr>
            <w:tcW w:w="7340" w:type="dxa"/>
            <w:tcBorders/>
            <w:vAlign w:val="center"/>
          </w:tcPr>
          <w:p>
            <w:pPr>
              <w:pStyle w:val="TableContents"/>
              <w:bidi w:val="0"/>
              <w:spacing w:before="0" w:after="283"/>
              <w:jc w:val="left"/>
              <w:rPr/>
            </w:pPr>
            <w:r>
              <w:rPr/>
              <w:t>Section 7.06</w:t>
            </w:r>
            <w:r>
              <w:rPr>
                <w:i/>
              </w:rPr>
              <w:t>.  Posting of Communications</w:t>
            </w:r>
            <w:r>
              <w:rPr/>
              <w:t>..</w:t>
            </w:r>
          </w:p>
        </w:tc>
        <w:tc>
          <w:tcPr>
            <w:tcW w:w="395" w:type="dxa"/>
            <w:tcBorders/>
            <w:vAlign w:val="center"/>
          </w:tcPr>
          <w:p>
            <w:pPr>
              <w:pStyle w:val="TableContents"/>
              <w:bidi w:val="0"/>
              <w:spacing w:before="0" w:after="283"/>
              <w:jc w:val="right"/>
              <w:rPr/>
            </w:pPr>
            <w:r>
              <w:rPr/>
              <w:t>68</w:t>
            </w:r>
          </w:p>
        </w:tc>
      </w:tr>
      <w:tr>
        <w:trPr/>
        <w:tc>
          <w:tcPr>
            <w:tcW w:w="7340" w:type="dxa"/>
            <w:tcBorders/>
            <w:vAlign w:val="center"/>
          </w:tcPr>
          <w:p>
            <w:pPr>
              <w:pStyle w:val="TableContents"/>
              <w:bidi w:val="0"/>
              <w:spacing w:before="0" w:after="283"/>
              <w:jc w:val="left"/>
              <w:rPr/>
            </w:pPr>
            <w:r>
              <w:rPr/>
              <w:t>Section 7.07</w:t>
            </w:r>
            <w:r>
              <w:rPr>
                <w:i/>
              </w:rPr>
              <w:t>.  Acknowledgments of Lenders.</w:t>
            </w:r>
          </w:p>
        </w:tc>
        <w:tc>
          <w:tcPr>
            <w:tcW w:w="395" w:type="dxa"/>
            <w:tcBorders/>
            <w:vAlign w:val="center"/>
          </w:tcPr>
          <w:p>
            <w:pPr>
              <w:pStyle w:val="TableContents"/>
              <w:bidi w:val="0"/>
              <w:spacing w:before="0" w:after="283"/>
              <w:jc w:val="right"/>
              <w:rPr/>
            </w:pPr>
            <w:r>
              <w:rPr/>
              <w:t>70</w:t>
            </w:r>
          </w:p>
        </w:tc>
      </w:tr>
      <w:tr>
        <w:trPr/>
        <w:tc>
          <w:tcPr>
            <w:tcW w:w="7340" w:type="dxa"/>
            <w:tcBorders/>
            <w:vAlign w:val="center"/>
          </w:tcPr>
          <w:p>
            <w:pPr>
              <w:pStyle w:val="TableContents"/>
              <w:bidi w:val="0"/>
              <w:spacing w:before="0" w:after="283"/>
              <w:jc w:val="left"/>
              <w:rPr/>
            </w:pPr>
            <w:r>
              <w:rPr/>
              <w:t>Section 7.08</w:t>
            </w:r>
            <w:r>
              <w:rPr>
                <w:i/>
              </w:rPr>
              <w:t>.  Successor Administrative Agents.</w:t>
            </w:r>
          </w:p>
        </w:tc>
        <w:tc>
          <w:tcPr>
            <w:tcW w:w="395" w:type="dxa"/>
            <w:tcBorders/>
            <w:vAlign w:val="center"/>
          </w:tcPr>
          <w:p>
            <w:pPr>
              <w:pStyle w:val="TableContents"/>
              <w:bidi w:val="0"/>
              <w:spacing w:before="0" w:after="283"/>
              <w:jc w:val="right"/>
              <w:rPr/>
            </w:pPr>
            <w:r>
              <w:rPr/>
              <w:t>72</w:t>
            </w:r>
          </w:p>
        </w:tc>
      </w:tr>
      <w:tr>
        <w:trPr/>
        <w:tc>
          <w:tcPr>
            <w:tcW w:w="7340" w:type="dxa"/>
            <w:tcBorders/>
            <w:vAlign w:val="center"/>
          </w:tcPr>
          <w:p>
            <w:pPr>
              <w:pStyle w:val="TableContents"/>
              <w:bidi w:val="0"/>
              <w:spacing w:before="0" w:after="283"/>
              <w:jc w:val="left"/>
              <w:rPr/>
            </w:pPr>
            <w:r>
              <w:rPr/>
              <w:t>Section 7.09</w:t>
            </w:r>
            <w:r>
              <w:rPr>
                <w:i/>
              </w:rPr>
              <w:t>.  Administrative Agent’s Fees.</w:t>
            </w:r>
          </w:p>
        </w:tc>
        <w:tc>
          <w:tcPr>
            <w:tcW w:w="395" w:type="dxa"/>
            <w:tcBorders/>
            <w:vAlign w:val="center"/>
          </w:tcPr>
          <w:p>
            <w:pPr>
              <w:pStyle w:val="TableContents"/>
              <w:bidi w:val="0"/>
              <w:spacing w:before="0" w:after="283"/>
              <w:jc w:val="right"/>
              <w:rPr/>
            </w:pPr>
            <w:r>
              <w:rPr/>
              <w:t>73</w:t>
            </w:r>
          </w:p>
        </w:tc>
      </w:tr>
      <w:tr>
        <w:trPr/>
        <w:tc>
          <w:tcPr>
            <w:tcW w:w="7340" w:type="dxa"/>
            <w:tcBorders/>
            <w:vAlign w:val="center"/>
          </w:tcPr>
          <w:p>
            <w:pPr>
              <w:pStyle w:val="TableContents"/>
              <w:bidi w:val="0"/>
              <w:spacing w:before="0" w:after="283"/>
              <w:jc w:val="left"/>
              <w:rPr/>
            </w:pPr>
            <w:r>
              <w:rPr/>
              <w:t>Section 7.10</w:t>
            </w:r>
            <w:r>
              <w:rPr>
                <w:i/>
              </w:rPr>
              <w:t>.  Other Agents.</w:t>
            </w:r>
            <w:r>
              <w:rPr/>
              <w:t>.</w:t>
            </w:r>
          </w:p>
        </w:tc>
        <w:tc>
          <w:tcPr>
            <w:tcW w:w="395" w:type="dxa"/>
            <w:tcBorders/>
            <w:vAlign w:val="center"/>
          </w:tcPr>
          <w:p>
            <w:pPr>
              <w:pStyle w:val="TableContents"/>
              <w:bidi w:val="0"/>
              <w:spacing w:before="0" w:after="283"/>
              <w:jc w:val="right"/>
              <w:rPr/>
            </w:pPr>
            <w:r>
              <w:rPr/>
              <w:t>73</w:t>
            </w:r>
          </w:p>
        </w:tc>
      </w:tr>
      <w:tr>
        <w:trPr/>
        <w:tc>
          <w:tcPr>
            <w:tcW w:w="7340" w:type="dxa"/>
            <w:tcBorders/>
            <w:vAlign w:val="center"/>
          </w:tcPr>
          <w:p>
            <w:pPr>
              <w:pStyle w:val="TableContents"/>
              <w:bidi w:val="0"/>
              <w:spacing w:before="0" w:after="283"/>
              <w:jc w:val="left"/>
              <w:rPr/>
            </w:pPr>
            <w:r>
              <w:rPr/>
              <w:t>Section 7.11</w:t>
            </w:r>
            <w:r>
              <w:rPr>
                <w:i/>
              </w:rPr>
              <w:t>.  Certain ERISA Matters.</w:t>
            </w:r>
          </w:p>
        </w:tc>
        <w:tc>
          <w:tcPr>
            <w:tcW w:w="395" w:type="dxa"/>
            <w:tcBorders/>
            <w:vAlign w:val="center"/>
          </w:tcPr>
          <w:p>
            <w:pPr>
              <w:pStyle w:val="TableContents"/>
              <w:bidi w:val="0"/>
              <w:spacing w:before="0" w:after="283"/>
              <w:jc w:val="right"/>
              <w:rPr/>
            </w:pPr>
            <w:r>
              <w:rPr/>
              <w:t>73</w:t>
            </w:r>
          </w:p>
        </w:tc>
      </w:tr>
      <w:tr>
        <w:trPr/>
        <w:tc>
          <w:tcPr>
            <w:tcW w:w="7340" w:type="dxa"/>
            <w:tcBorders/>
            <w:vAlign w:val="center"/>
          </w:tcPr>
          <w:p>
            <w:pPr>
              <w:pStyle w:val="TableContents"/>
              <w:bidi w:val="0"/>
              <w:spacing w:before="0" w:after="283"/>
              <w:jc w:val="left"/>
              <w:rPr/>
            </w:pPr>
            <w:r>
              <w:rPr/>
              <w:t>Section 7.12.  </w:t>
            </w:r>
            <w:r>
              <w:rPr>
                <w:i/>
              </w:rPr>
              <w:t>Borrower Communications</w:t>
            </w:r>
            <w:r>
              <w:rPr/>
              <w:t>.</w:t>
            </w:r>
          </w:p>
        </w:tc>
        <w:tc>
          <w:tcPr>
            <w:tcW w:w="395" w:type="dxa"/>
            <w:tcBorders/>
            <w:vAlign w:val="center"/>
          </w:tcPr>
          <w:p>
            <w:pPr>
              <w:pStyle w:val="TableContents"/>
              <w:bidi w:val="0"/>
              <w:spacing w:before="0" w:after="283"/>
              <w:jc w:val="right"/>
              <w:rPr/>
            </w:pPr>
            <w:r>
              <w:rPr/>
              <w:t>75</w:t>
            </w:r>
          </w:p>
        </w:tc>
      </w:tr>
      <w:tr>
        <w:trPr/>
        <w:tc>
          <w:tcPr>
            <w:tcW w:w="734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Change in Circumstances</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Section 8.01</w:t>
            </w:r>
            <w:r>
              <w:rPr>
                <w:i/>
              </w:rPr>
              <w:t>.  Increased Cost and Reduced Return; Capital Adequacy.</w:t>
            </w:r>
            <w:r>
              <w:rPr/>
              <w:t>.</w:t>
            </w:r>
          </w:p>
        </w:tc>
        <w:tc>
          <w:tcPr>
            <w:tcW w:w="395" w:type="dxa"/>
            <w:tcBorders/>
            <w:vAlign w:val="center"/>
          </w:tcPr>
          <w:p>
            <w:pPr>
              <w:pStyle w:val="TableContents"/>
              <w:bidi w:val="0"/>
              <w:spacing w:before="0" w:after="283"/>
              <w:jc w:val="right"/>
              <w:rPr/>
            </w:pPr>
            <w:r>
              <w:rPr/>
              <w:t>76</w:t>
            </w:r>
          </w:p>
        </w:tc>
      </w:tr>
      <w:tr>
        <w:trPr/>
        <w:tc>
          <w:tcPr>
            <w:tcW w:w="7340" w:type="dxa"/>
            <w:tcBorders/>
            <w:vAlign w:val="center"/>
          </w:tcPr>
          <w:p>
            <w:pPr>
              <w:pStyle w:val="TableContents"/>
              <w:bidi w:val="0"/>
              <w:spacing w:before="0" w:after="283"/>
              <w:jc w:val="left"/>
              <w:rPr/>
            </w:pPr>
            <w:r>
              <w:rPr/>
              <w:t>Section 8.02.  </w:t>
            </w:r>
            <w:r>
              <w:rPr>
                <w:i/>
              </w:rPr>
              <w:t>Alternate Rate of Interest</w:t>
            </w:r>
            <w:r>
              <w:rPr/>
              <w:t>.</w:t>
            </w:r>
          </w:p>
        </w:tc>
        <w:tc>
          <w:tcPr>
            <w:tcW w:w="395" w:type="dxa"/>
            <w:tcBorders/>
            <w:vAlign w:val="center"/>
          </w:tcPr>
          <w:p>
            <w:pPr>
              <w:pStyle w:val="TableContents"/>
              <w:bidi w:val="0"/>
              <w:spacing w:before="0" w:after="283"/>
              <w:jc w:val="right"/>
              <w:rPr/>
            </w:pPr>
            <w:r>
              <w:rPr/>
              <w:t>78</w:t>
            </w:r>
          </w:p>
        </w:tc>
      </w:tr>
      <w:tr>
        <w:trPr/>
        <w:tc>
          <w:tcPr>
            <w:tcW w:w="7340" w:type="dxa"/>
            <w:tcBorders/>
            <w:vAlign w:val="center"/>
          </w:tcPr>
          <w:p>
            <w:pPr>
              <w:pStyle w:val="TableContents"/>
              <w:bidi w:val="0"/>
              <w:spacing w:before="0" w:after="283"/>
              <w:jc w:val="left"/>
              <w:rPr/>
            </w:pPr>
            <w:r>
              <w:rPr/>
              <w:t>Section 8.03</w:t>
            </w:r>
            <w:r>
              <w:rPr>
                <w:i/>
              </w:rPr>
              <w:t>.  Illegality.</w:t>
            </w:r>
          </w:p>
        </w:tc>
        <w:tc>
          <w:tcPr>
            <w:tcW w:w="395" w:type="dxa"/>
            <w:tcBorders/>
            <w:vAlign w:val="center"/>
          </w:tcPr>
          <w:p>
            <w:pPr>
              <w:pStyle w:val="TableContents"/>
              <w:bidi w:val="0"/>
              <w:spacing w:before="0" w:after="283"/>
              <w:jc w:val="right"/>
              <w:rPr/>
            </w:pPr>
            <w:r>
              <w:rPr/>
              <w:t>81</w:t>
            </w:r>
          </w:p>
        </w:tc>
      </w:tr>
      <w:tr>
        <w:trPr/>
        <w:tc>
          <w:tcPr>
            <w:tcW w:w="7340" w:type="dxa"/>
            <w:tcBorders/>
            <w:vAlign w:val="center"/>
          </w:tcPr>
          <w:p>
            <w:pPr>
              <w:pStyle w:val="TableContents"/>
              <w:bidi w:val="0"/>
              <w:spacing w:before="0" w:after="283"/>
              <w:jc w:val="left"/>
              <w:rPr/>
            </w:pPr>
            <w:r>
              <w:rPr/>
              <w:t>Section 8.04</w:t>
            </w:r>
            <w:r>
              <w:rPr>
                <w:i/>
              </w:rPr>
              <w:t>.  Taxes on Payments.</w:t>
            </w:r>
          </w:p>
        </w:tc>
        <w:tc>
          <w:tcPr>
            <w:tcW w:w="395" w:type="dxa"/>
            <w:tcBorders/>
            <w:vAlign w:val="center"/>
          </w:tcPr>
          <w:p>
            <w:pPr>
              <w:pStyle w:val="TableContents"/>
              <w:bidi w:val="0"/>
              <w:spacing w:before="0" w:after="283"/>
              <w:jc w:val="right"/>
              <w:rPr/>
            </w:pPr>
            <w:r>
              <w:rPr/>
              <w:t>82</w:t>
            </w:r>
          </w:p>
        </w:tc>
      </w:tr>
      <w:tr>
        <w:trPr/>
        <w:tc>
          <w:tcPr>
            <w:tcW w:w="734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Miscellaneous</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 </w:t>
            </w:r>
          </w:p>
        </w:tc>
      </w:tr>
      <w:tr>
        <w:trPr/>
        <w:tc>
          <w:tcPr>
            <w:tcW w:w="7340" w:type="dxa"/>
            <w:tcBorders/>
            <w:vAlign w:val="center"/>
          </w:tcPr>
          <w:p>
            <w:pPr>
              <w:pStyle w:val="TableContents"/>
              <w:bidi w:val="0"/>
              <w:spacing w:before="0" w:after="283"/>
              <w:jc w:val="left"/>
              <w:rPr/>
            </w:pPr>
            <w:r>
              <w:rPr/>
              <w:t>Section 9.01</w:t>
            </w:r>
            <w:r>
              <w:rPr>
                <w:i/>
              </w:rPr>
              <w:t>.  Replacement of Lenders.</w:t>
            </w:r>
          </w:p>
        </w:tc>
        <w:tc>
          <w:tcPr>
            <w:tcW w:w="395" w:type="dxa"/>
            <w:tcBorders/>
            <w:vAlign w:val="center"/>
          </w:tcPr>
          <w:p>
            <w:pPr>
              <w:pStyle w:val="TableContents"/>
              <w:bidi w:val="0"/>
              <w:spacing w:before="0" w:after="283"/>
              <w:jc w:val="right"/>
              <w:rPr/>
            </w:pPr>
            <w:r>
              <w:rPr/>
              <w:t>87</w:t>
            </w:r>
          </w:p>
        </w:tc>
      </w:tr>
      <w:tr>
        <w:trPr/>
        <w:tc>
          <w:tcPr>
            <w:tcW w:w="7340" w:type="dxa"/>
            <w:tcBorders/>
            <w:vAlign w:val="center"/>
          </w:tcPr>
          <w:p>
            <w:pPr>
              <w:pStyle w:val="TableContents"/>
              <w:bidi w:val="0"/>
              <w:spacing w:before="0" w:after="283"/>
              <w:jc w:val="left"/>
              <w:rPr/>
            </w:pPr>
            <w:r>
              <w:rPr/>
              <w:t>Section 9.02</w:t>
            </w:r>
            <w:r>
              <w:rPr>
                <w:i/>
              </w:rPr>
              <w:t>.  Notices.</w:t>
            </w:r>
          </w:p>
        </w:tc>
        <w:tc>
          <w:tcPr>
            <w:tcW w:w="395" w:type="dxa"/>
            <w:tcBorders/>
            <w:vAlign w:val="center"/>
          </w:tcPr>
          <w:p>
            <w:pPr>
              <w:pStyle w:val="TableContents"/>
              <w:bidi w:val="0"/>
              <w:spacing w:before="0" w:after="283"/>
              <w:jc w:val="right"/>
              <w:rPr/>
            </w:pPr>
            <w:r>
              <w:rPr/>
              <w:t>88</w:t>
            </w:r>
          </w:p>
        </w:tc>
      </w:tr>
      <w:tr>
        <w:trPr/>
        <w:tc>
          <w:tcPr>
            <w:tcW w:w="7340" w:type="dxa"/>
            <w:tcBorders/>
            <w:vAlign w:val="center"/>
          </w:tcPr>
          <w:p>
            <w:pPr>
              <w:pStyle w:val="TableContents"/>
              <w:bidi w:val="0"/>
              <w:spacing w:before="0" w:after="283"/>
              <w:jc w:val="left"/>
              <w:rPr/>
            </w:pPr>
            <w:r>
              <w:rPr/>
              <w:t>Section 9.03</w:t>
            </w:r>
            <w:r>
              <w:rPr>
                <w:i/>
              </w:rPr>
              <w:t>.  No Waivers.</w:t>
            </w:r>
            <w:r>
              <w:rPr/>
              <w:t>.</w:t>
            </w:r>
          </w:p>
        </w:tc>
        <w:tc>
          <w:tcPr>
            <w:tcW w:w="395" w:type="dxa"/>
            <w:tcBorders/>
            <w:vAlign w:val="center"/>
          </w:tcPr>
          <w:p>
            <w:pPr>
              <w:pStyle w:val="TableContents"/>
              <w:bidi w:val="0"/>
              <w:spacing w:before="0" w:after="283"/>
              <w:jc w:val="right"/>
              <w:rPr/>
            </w:pPr>
            <w:r>
              <w:rPr/>
              <w:t>89</w:t>
            </w:r>
          </w:p>
        </w:tc>
      </w:tr>
      <w:tr>
        <w:trPr/>
        <w:tc>
          <w:tcPr>
            <w:tcW w:w="7340" w:type="dxa"/>
            <w:tcBorders/>
            <w:vAlign w:val="center"/>
          </w:tcPr>
          <w:p>
            <w:pPr>
              <w:pStyle w:val="TableContents"/>
              <w:bidi w:val="0"/>
              <w:spacing w:before="0" w:after="283"/>
              <w:jc w:val="left"/>
              <w:rPr/>
            </w:pPr>
            <w:r>
              <w:rPr/>
              <w:t>Section 9.04</w:t>
            </w:r>
            <w:r>
              <w:rPr>
                <w:i/>
              </w:rPr>
              <w:t>.  Expenses; Indemnification; Limitation of Liability.</w:t>
            </w:r>
          </w:p>
        </w:tc>
        <w:tc>
          <w:tcPr>
            <w:tcW w:w="395" w:type="dxa"/>
            <w:tcBorders/>
            <w:vAlign w:val="center"/>
          </w:tcPr>
          <w:p>
            <w:pPr>
              <w:pStyle w:val="TableContents"/>
              <w:bidi w:val="0"/>
              <w:spacing w:before="0" w:after="283"/>
              <w:jc w:val="right"/>
              <w:rPr/>
            </w:pPr>
            <w:r>
              <w:rPr/>
              <w:t>89</w:t>
            </w:r>
          </w:p>
        </w:tc>
      </w:tr>
      <w:tr>
        <w:trPr/>
        <w:tc>
          <w:tcPr>
            <w:tcW w:w="7340" w:type="dxa"/>
            <w:tcBorders/>
            <w:vAlign w:val="center"/>
          </w:tcPr>
          <w:p>
            <w:pPr>
              <w:pStyle w:val="TableContents"/>
              <w:bidi w:val="0"/>
              <w:spacing w:before="0" w:after="283"/>
              <w:jc w:val="left"/>
              <w:rPr/>
            </w:pPr>
            <w:r>
              <w:rPr/>
              <w:t>Section 9.05</w:t>
            </w:r>
            <w:r>
              <w:rPr>
                <w:i/>
              </w:rPr>
              <w:t>.  Pro Rata Treatment.</w:t>
            </w:r>
          </w:p>
        </w:tc>
        <w:tc>
          <w:tcPr>
            <w:tcW w:w="395" w:type="dxa"/>
            <w:tcBorders/>
            <w:vAlign w:val="center"/>
          </w:tcPr>
          <w:p>
            <w:pPr>
              <w:pStyle w:val="TableContents"/>
              <w:bidi w:val="0"/>
              <w:spacing w:before="0" w:after="283"/>
              <w:jc w:val="right"/>
              <w:rPr/>
            </w:pPr>
            <w:r>
              <w:rPr/>
              <w:t>91</w:t>
            </w:r>
          </w:p>
        </w:tc>
      </w:tr>
      <w:tr>
        <w:trPr/>
        <w:tc>
          <w:tcPr>
            <w:tcW w:w="7340" w:type="dxa"/>
            <w:tcBorders/>
            <w:vAlign w:val="center"/>
          </w:tcPr>
          <w:p>
            <w:pPr>
              <w:pStyle w:val="TableContents"/>
              <w:bidi w:val="0"/>
              <w:spacing w:before="0" w:after="283"/>
              <w:jc w:val="left"/>
              <w:rPr/>
            </w:pPr>
            <w:r>
              <w:rPr/>
              <w:t>Section 9.06</w:t>
            </w:r>
            <w:r>
              <w:rPr>
                <w:i/>
              </w:rPr>
              <w:t>.  Sharing of Set-offs.</w:t>
            </w:r>
          </w:p>
        </w:tc>
        <w:tc>
          <w:tcPr>
            <w:tcW w:w="395" w:type="dxa"/>
            <w:tcBorders/>
            <w:vAlign w:val="center"/>
          </w:tcPr>
          <w:p>
            <w:pPr>
              <w:pStyle w:val="TableContents"/>
              <w:bidi w:val="0"/>
              <w:spacing w:before="0" w:after="283"/>
              <w:jc w:val="right"/>
              <w:rPr/>
            </w:pPr>
            <w:r>
              <w:rPr/>
              <w:t>91</w:t>
            </w:r>
          </w:p>
        </w:tc>
      </w:tr>
      <w:tr>
        <w:trPr/>
        <w:tc>
          <w:tcPr>
            <w:tcW w:w="7340" w:type="dxa"/>
            <w:tcBorders/>
            <w:vAlign w:val="center"/>
          </w:tcPr>
          <w:p>
            <w:pPr>
              <w:pStyle w:val="TableContents"/>
              <w:bidi w:val="0"/>
              <w:spacing w:before="0" w:after="283"/>
              <w:jc w:val="left"/>
              <w:rPr/>
            </w:pPr>
            <w:r>
              <w:rPr/>
              <w:t>Section 9.07</w:t>
            </w:r>
            <w:r>
              <w:rPr>
                <w:i/>
              </w:rPr>
              <w:t>.  Amendments and Waivers.</w:t>
            </w:r>
          </w:p>
        </w:tc>
        <w:tc>
          <w:tcPr>
            <w:tcW w:w="395" w:type="dxa"/>
            <w:tcBorders/>
            <w:vAlign w:val="center"/>
          </w:tcPr>
          <w:p>
            <w:pPr>
              <w:pStyle w:val="TableContents"/>
              <w:bidi w:val="0"/>
              <w:spacing w:before="0" w:after="283"/>
              <w:jc w:val="right"/>
              <w:rPr/>
            </w:pPr>
            <w:r>
              <w:rPr/>
              <w:t>92</w:t>
            </w:r>
          </w:p>
        </w:tc>
      </w:tr>
      <w:tr>
        <w:trPr/>
        <w:tc>
          <w:tcPr>
            <w:tcW w:w="7340" w:type="dxa"/>
            <w:tcBorders/>
            <w:vAlign w:val="center"/>
          </w:tcPr>
          <w:p>
            <w:pPr>
              <w:pStyle w:val="TableContents"/>
              <w:bidi w:val="0"/>
              <w:spacing w:before="0" w:after="283"/>
              <w:jc w:val="left"/>
              <w:rPr/>
            </w:pPr>
            <w:r>
              <w:rPr/>
              <w:t>Section 9.08</w:t>
            </w:r>
            <w:r>
              <w:rPr>
                <w:i/>
              </w:rPr>
              <w:t>.  Successors and Assigns; Participations; Novation.</w:t>
            </w:r>
          </w:p>
        </w:tc>
        <w:tc>
          <w:tcPr>
            <w:tcW w:w="395" w:type="dxa"/>
            <w:tcBorders/>
            <w:vAlign w:val="center"/>
          </w:tcPr>
          <w:p>
            <w:pPr>
              <w:pStyle w:val="TableContents"/>
              <w:bidi w:val="0"/>
              <w:spacing w:before="0" w:after="283"/>
              <w:jc w:val="right"/>
              <w:rPr/>
            </w:pPr>
            <w:r>
              <w:rPr/>
              <w:t>94</w:t>
            </w:r>
          </w:p>
        </w:tc>
      </w:tr>
      <w:tr>
        <w:trPr/>
        <w:tc>
          <w:tcPr>
            <w:tcW w:w="7340" w:type="dxa"/>
            <w:tcBorders/>
            <w:vAlign w:val="center"/>
          </w:tcPr>
          <w:p>
            <w:pPr>
              <w:pStyle w:val="TableContents"/>
              <w:bidi w:val="0"/>
              <w:spacing w:before="0" w:after="283"/>
              <w:jc w:val="left"/>
              <w:rPr/>
            </w:pPr>
            <w:r>
              <w:rPr/>
              <w:t>Section 9.09</w:t>
            </w:r>
            <w:r>
              <w:rPr>
                <w:i/>
              </w:rPr>
              <w:t>.  Visitation.</w:t>
            </w:r>
          </w:p>
        </w:tc>
        <w:tc>
          <w:tcPr>
            <w:tcW w:w="395" w:type="dxa"/>
            <w:tcBorders/>
            <w:vAlign w:val="center"/>
          </w:tcPr>
          <w:p>
            <w:pPr>
              <w:pStyle w:val="TableContents"/>
              <w:bidi w:val="0"/>
              <w:spacing w:before="0" w:after="283"/>
              <w:jc w:val="right"/>
              <w:rPr/>
            </w:pPr>
            <w:r>
              <w:rPr/>
              <w:t>97</w:t>
            </w:r>
          </w:p>
        </w:tc>
      </w:tr>
      <w:tr>
        <w:trPr/>
        <w:tc>
          <w:tcPr>
            <w:tcW w:w="7340" w:type="dxa"/>
            <w:tcBorders/>
            <w:vAlign w:val="center"/>
          </w:tcPr>
          <w:p>
            <w:pPr>
              <w:pStyle w:val="TableContents"/>
              <w:bidi w:val="0"/>
              <w:spacing w:before="0" w:after="283"/>
              <w:jc w:val="left"/>
              <w:rPr/>
            </w:pPr>
            <w:r>
              <w:rPr/>
              <w:t>Section 9.10</w:t>
            </w:r>
            <w:r>
              <w:rPr>
                <w:i/>
              </w:rPr>
              <w:t>.  Collateral.</w:t>
            </w:r>
          </w:p>
        </w:tc>
        <w:tc>
          <w:tcPr>
            <w:tcW w:w="395" w:type="dxa"/>
            <w:tcBorders/>
            <w:vAlign w:val="center"/>
          </w:tcPr>
          <w:p>
            <w:pPr>
              <w:pStyle w:val="TableContents"/>
              <w:bidi w:val="0"/>
              <w:spacing w:before="0" w:after="283"/>
              <w:jc w:val="right"/>
              <w:rPr/>
            </w:pPr>
            <w:r>
              <w:rPr/>
              <w:t>97</w:t>
            </w:r>
          </w:p>
        </w:tc>
      </w:tr>
      <w:tr>
        <w:trPr/>
        <w:tc>
          <w:tcPr>
            <w:tcW w:w="7340" w:type="dxa"/>
            <w:tcBorders/>
            <w:vAlign w:val="center"/>
          </w:tcPr>
          <w:p>
            <w:pPr>
              <w:pStyle w:val="TableContents"/>
              <w:bidi w:val="0"/>
              <w:spacing w:before="0" w:after="283"/>
              <w:jc w:val="left"/>
              <w:rPr/>
            </w:pPr>
            <w:r>
              <w:rPr/>
              <w:t>Section 9.11</w:t>
            </w:r>
            <w:r>
              <w:rPr>
                <w:i/>
              </w:rPr>
              <w:t>.  </w:t>
            </w:r>
            <w:r>
              <w:rPr/>
              <w:t>[</w:t>
            </w:r>
            <w:r>
              <w:rPr>
                <w:i/>
              </w:rPr>
              <w:t>Reserved</w:t>
            </w:r>
            <w:r>
              <w:rPr/>
              <w:t>]</w:t>
            </w:r>
          </w:p>
        </w:tc>
        <w:tc>
          <w:tcPr>
            <w:tcW w:w="395" w:type="dxa"/>
            <w:tcBorders/>
            <w:vAlign w:val="center"/>
          </w:tcPr>
          <w:p>
            <w:pPr>
              <w:pStyle w:val="TableContents"/>
              <w:bidi w:val="0"/>
              <w:spacing w:before="0" w:after="283"/>
              <w:jc w:val="right"/>
              <w:rPr/>
            </w:pPr>
            <w:r>
              <w:rPr/>
              <w:t>98</w:t>
            </w:r>
          </w:p>
        </w:tc>
      </w:tr>
      <w:tr>
        <w:trPr/>
        <w:tc>
          <w:tcPr>
            <w:tcW w:w="7340" w:type="dxa"/>
            <w:tcBorders/>
            <w:vAlign w:val="center"/>
          </w:tcPr>
          <w:p>
            <w:pPr>
              <w:pStyle w:val="TableContents"/>
              <w:bidi w:val="0"/>
              <w:spacing w:before="0" w:after="283"/>
              <w:jc w:val="left"/>
              <w:rPr/>
            </w:pPr>
            <w:r>
              <w:rPr/>
              <w:t>Section 9.12</w:t>
            </w:r>
            <w:r>
              <w:rPr>
                <w:i/>
              </w:rPr>
              <w:t>.  Governing Law; Submission to Jurisdiction.</w:t>
            </w:r>
          </w:p>
        </w:tc>
        <w:tc>
          <w:tcPr>
            <w:tcW w:w="395" w:type="dxa"/>
            <w:tcBorders/>
            <w:vAlign w:val="center"/>
          </w:tcPr>
          <w:p>
            <w:pPr>
              <w:pStyle w:val="TableContents"/>
              <w:bidi w:val="0"/>
              <w:spacing w:before="0" w:after="283"/>
              <w:jc w:val="right"/>
              <w:rPr/>
            </w:pPr>
            <w:r>
              <w:rPr/>
              <w:t>98</w:t>
            </w:r>
          </w:p>
        </w:tc>
      </w:tr>
      <w:tr>
        <w:trPr/>
        <w:tc>
          <w:tcPr>
            <w:tcW w:w="7340" w:type="dxa"/>
            <w:tcBorders/>
            <w:vAlign w:val="center"/>
          </w:tcPr>
          <w:p>
            <w:pPr>
              <w:pStyle w:val="TableContents"/>
              <w:bidi w:val="0"/>
              <w:spacing w:before="0" w:after="283"/>
              <w:jc w:val="left"/>
              <w:rPr/>
            </w:pPr>
            <w:r>
              <w:rPr/>
              <w:t>Section 9.13</w:t>
            </w:r>
            <w:r>
              <w:rPr>
                <w:i/>
              </w:rPr>
              <w:t>.  Counterparts; Integration, Effectiveness, Electronic Execution.</w:t>
            </w:r>
          </w:p>
        </w:tc>
        <w:tc>
          <w:tcPr>
            <w:tcW w:w="395" w:type="dxa"/>
            <w:tcBorders/>
            <w:vAlign w:val="center"/>
          </w:tcPr>
          <w:p>
            <w:pPr>
              <w:pStyle w:val="TableContents"/>
              <w:bidi w:val="0"/>
              <w:spacing w:before="0" w:after="283"/>
              <w:jc w:val="right"/>
              <w:rPr/>
            </w:pPr>
            <w:r>
              <w:rPr/>
              <w:t>98</w:t>
            </w:r>
          </w:p>
        </w:tc>
      </w:tr>
      <w:tr>
        <w:trPr/>
        <w:tc>
          <w:tcPr>
            <w:tcW w:w="7340" w:type="dxa"/>
            <w:tcBorders/>
            <w:vAlign w:val="center"/>
          </w:tcPr>
          <w:p>
            <w:pPr>
              <w:pStyle w:val="TableContents"/>
              <w:bidi w:val="0"/>
              <w:spacing w:before="0" w:after="283"/>
              <w:jc w:val="left"/>
              <w:rPr/>
            </w:pPr>
            <w:r>
              <w:rPr/>
              <w:t>Section 9.14</w:t>
            </w:r>
            <w:r>
              <w:rPr>
                <w:b/>
                <w:i/>
              </w:rPr>
              <w:t>.  WAIVER OF JURY TRIAL.</w:t>
            </w:r>
          </w:p>
        </w:tc>
        <w:tc>
          <w:tcPr>
            <w:tcW w:w="395" w:type="dxa"/>
            <w:tcBorders/>
            <w:vAlign w:val="center"/>
          </w:tcPr>
          <w:p>
            <w:pPr>
              <w:pStyle w:val="TableContents"/>
              <w:bidi w:val="0"/>
              <w:spacing w:before="0" w:after="283"/>
              <w:jc w:val="right"/>
              <w:rPr/>
            </w:pPr>
            <w:r>
              <w:rPr/>
              <w:t>100</w:t>
            </w:r>
          </w:p>
        </w:tc>
      </w:tr>
      <w:tr>
        <w:trPr/>
        <w:tc>
          <w:tcPr>
            <w:tcW w:w="7340" w:type="dxa"/>
            <w:tcBorders/>
            <w:vAlign w:val="center"/>
          </w:tcPr>
          <w:p>
            <w:pPr>
              <w:pStyle w:val="TableContents"/>
              <w:bidi w:val="0"/>
              <w:spacing w:before="0" w:after="283"/>
              <w:jc w:val="left"/>
              <w:rPr/>
            </w:pPr>
            <w:r>
              <w:rPr/>
              <w:t>Section 9.15</w:t>
            </w:r>
            <w:r>
              <w:rPr>
                <w:i/>
              </w:rPr>
              <w:t>.  Confidentiality.</w:t>
            </w:r>
            <w:r>
              <w:rPr/>
              <w:t>.</w:t>
            </w:r>
          </w:p>
        </w:tc>
        <w:tc>
          <w:tcPr>
            <w:tcW w:w="395" w:type="dxa"/>
            <w:tcBorders/>
            <w:vAlign w:val="center"/>
          </w:tcPr>
          <w:p>
            <w:pPr>
              <w:pStyle w:val="TableContents"/>
              <w:bidi w:val="0"/>
              <w:spacing w:before="0" w:after="283"/>
              <w:jc w:val="right"/>
              <w:rPr/>
            </w:pPr>
            <w:r>
              <w:rPr/>
              <w:t>100</w:t>
            </w:r>
          </w:p>
        </w:tc>
      </w:tr>
      <w:tr>
        <w:trPr/>
        <w:tc>
          <w:tcPr>
            <w:tcW w:w="7340" w:type="dxa"/>
            <w:tcBorders/>
            <w:vAlign w:val="center"/>
          </w:tcPr>
          <w:p>
            <w:pPr>
              <w:pStyle w:val="TableContents"/>
              <w:bidi w:val="0"/>
              <w:spacing w:before="0" w:after="283"/>
              <w:jc w:val="left"/>
              <w:rPr/>
            </w:pPr>
            <w:r>
              <w:rPr/>
              <w:t>Section 9.16</w:t>
            </w:r>
            <w:r>
              <w:rPr>
                <w:i/>
              </w:rPr>
              <w:t>.  USA Patriot Act.</w:t>
            </w:r>
          </w:p>
        </w:tc>
        <w:tc>
          <w:tcPr>
            <w:tcW w:w="395" w:type="dxa"/>
            <w:tcBorders/>
            <w:vAlign w:val="center"/>
          </w:tcPr>
          <w:p>
            <w:pPr>
              <w:pStyle w:val="TableContents"/>
              <w:bidi w:val="0"/>
              <w:spacing w:before="0" w:after="283"/>
              <w:jc w:val="right"/>
              <w:rPr/>
            </w:pPr>
            <w:r>
              <w:rPr/>
              <w:t>101</w:t>
            </w:r>
          </w:p>
        </w:tc>
      </w:tr>
    </w:tbl>
    <w:p>
      <w:pPr>
        <w:pStyle w:val="TextBody"/>
        <w:bidi w:val="0"/>
        <w:spacing w:before="0" w:after="283"/>
        <w:jc w:val="left"/>
        <w:rPr/>
      </w:pPr>
      <w:r>
        <w:rPr/>
        <w:t> </w:t>
      </w:r>
    </w:p>
    <w:p>
      <w:pPr>
        <w:pStyle w:val="TextBody"/>
        <w:bidi w:val="0"/>
        <w:spacing w:before="0" w:after="0"/>
        <w:jc w:val="center"/>
        <w:rPr>
          <w:bdr w:val="single" w:sz="16" w:space="1" w:color="BFBFBF"/>
        </w:rPr>
      </w:pPr>
      <w:r>
        <w:rPr>
          <w:bdr w:val="single" w:sz="16" w:space="1" w:color="BFBFBF"/>
        </w:rPr>
        <w:t>iv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8935" w:type="dxa"/>
        <w:jc w:val="left"/>
        <w:tblInd w:w="0" w:type="dxa"/>
        <w:tblLayout w:type="fixed"/>
        <w:tblCellMar>
          <w:top w:w="0" w:type="dxa"/>
          <w:left w:w="0" w:type="dxa"/>
          <w:bottom w:w="0" w:type="dxa"/>
          <w:right w:w="0" w:type="dxa"/>
        </w:tblCellMar>
      </w:tblPr>
      <w:tblGrid>
        <w:gridCol w:w="8540"/>
        <w:gridCol w:w="395"/>
      </w:tblGrid>
      <w:tr>
        <w:trPr/>
        <w:tc>
          <w:tcPr>
            <w:tcW w:w="8540" w:type="dxa"/>
            <w:tcBorders/>
            <w:vAlign w:val="center"/>
          </w:tcPr>
          <w:p>
            <w:pPr>
              <w:pStyle w:val="TableContents"/>
              <w:bidi w:val="0"/>
              <w:spacing w:before="0" w:after="283"/>
              <w:jc w:val="left"/>
              <w:rPr/>
            </w:pPr>
            <w:r>
              <w:rPr/>
              <w:t>Section 9.17.  </w:t>
            </w:r>
            <w:r>
              <w:rPr>
                <w:i/>
              </w:rPr>
              <w:t>Acknowledgement and Consent to Bail-in of Affected Financial Institutions</w:t>
            </w:r>
            <w:r>
              <w:rPr/>
              <w:t>.</w:t>
            </w:r>
          </w:p>
        </w:tc>
        <w:tc>
          <w:tcPr>
            <w:tcW w:w="395" w:type="dxa"/>
            <w:tcBorders/>
            <w:vAlign w:val="center"/>
          </w:tcPr>
          <w:p>
            <w:pPr>
              <w:pStyle w:val="TableContents"/>
              <w:bidi w:val="0"/>
              <w:spacing w:before="0" w:after="283"/>
              <w:jc w:val="right"/>
              <w:rPr/>
            </w:pPr>
            <w:r>
              <w:rPr/>
              <w:t>101</w:t>
            </w:r>
          </w:p>
        </w:tc>
      </w:tr>
      <w:tr>
        <w:trPr/>
        <w:tc>
          <w:tcPr>
            <w:tcW w:w="8540" w:type="dxa"/>
            <w:tcBorders/>
            <w:vAlign w:val="center"/>
          </w:tcPr>
          <w:p>
            <w:pPr>
              <w:pStyle w:val="TableContents"/>
              <w:bidi w:val="0"/>
              <w:spacing w:before="0" w:after="283"/>
              <w:jc w:val="left"/>
              <w:rPr/>
            </w:pPr>
            <w:r>
              <w:rPr/>
              <w:t>Section 9.18.  </w:t>
            </w:r>
            <w:r>
              <w:rPr>
                <w:i/>
              </w:rPr>
              <w:t>Right of Setoff</w:t>
            </w:r>
            <w:r>
              <w:rPr/>
              <w:t>.</w:t>
            </w:r>
          </w:p>
        </w:tc>
        <w:tc>
          <w:tcPr>
            <w:tcW w:w="395" w:type="dxa"/>
            <w:tcBorders/>
            <w:vAlign w:val="center"/>
          </w:tcPr>
          <w:p>
            <w:pPr>
              <w:pStyle w:val="TableContents"/>
              <w:bidi w:val="0"/>
              <w:spacing w:before="0" w:after="283"/>
              <w:jc w:val="right"/>
              <w:rPr/>
            </w:pPr>
            <w:r>
              <w:rPr/>
              <w:t>102</w:t>
            </w:r>
          </w:p>
        </w:tc>
      </w:tr>
      <w:tr>
        <w:trPr/>
        <w:tc>
          <w:tcPr>
            <w:tcW w:w="8540" w:type="dxa"/>
            <w:tcBorders/>
            <w:vAlign w:val="center"/>
          </w:tcPr>
          <w:p>
            <w:pPr>
              <w:pStyle w:val="TableContents"/>
              <w:bidi w:val="0"/>
              <w:spacing w:before="0" w:after="283"/>
              <w:jc w:val="left"/>
              <w:rPr/>
            </w:pPr>
            <w:r>
              <w:rPr/>
              <w:t>Section 9.19.  </w:t>
            </w:r>
            <w:r>
              <w:rPr>
                <w:i/>
              </w:rPr>
              <w:t>No Fiduciary Duty</w:t>
            </w:r>
            <w:r>
              <w:rPr/>
              <w:t>.</w:t>
            </w:r>
          </w:p>
        </w:tc>
        <w:tc>
          <w:tcPr>
            <w:tcW w:w="395" w:type="dxa"/>
            <w:tcBorders/>
            <w:vAlign w:val="center"/>
          </w:tcPr>
          <w:p>
            <w:pPr>
              <w:pStyle w:val="TableContents"/>
              <w:bidi w:val="0"/>
              <w:spacing w:before="0" w:after="283"/>
              <w:jc w:val="right"/>
              <w:rPr/>
            </w:pPr>
            <w:r>
              <w:rPr/>
              <w:t>102</w:t>
            </w:r>
          </w:p>
        </w:tc>
      </w:tr>
    </w:tbl>
    <w:p>
      <w:pPr>
        <w:pStyle w:val="TextBody"/>
        <w:bidi w:val="0"/>
        <w:spacing w:before="0" w:after="0"/>
        <w:ind w:left="720" w:right="504" w:hanging="720"/>
        <w:jc w:val="left"/>
        <w:rPr>
          <w:caps w:val="false"/>
          <w:smallCaps w:val="false"/>
        </w:rPr>
      </w:pPr>
      <w:r>
        <w:rPr>
          <w:caps w:val="false"/>
          <w:smallCaps w:val="false"/>
        </w:rPr>
        <w:t> </w:t>
      </w:r>
    </w:p>
    <w:p>
      <w:pPr>
        <w:pStyle w:val="TextBody"/>
        <w:bidi w:val="0"/>
        <w:spacing w:before="0" w:after="0"/>
        <w:ind w:left="720" w:right="504" w:hanging="720"/>
        <w:jc w:val="center"/>
        <w:rPr>
          <w:bdr w:val="single" w:sz="16" w:space="1" w:color="BFBFBF"/>
        </w:rPr>
      </w:pPr>
      <w:r>
        <w:rPr>
          <w:bdr w:val="single" w:sz="16" w:space="1" w:color="BFBFBF"/>
        </w:rPr>
        <w:t>v </w:t>
      </w:r>
    </w:p>
    <w:p>
      <w:pPr>
        <w:pStyle w:val="TextBody"/>
        <w:bidi w:val="0"/>
        <w:spacing w:before="0" w:after="0"/>
        <w:ind w:left="0" w:right="0" w:hanging="0"/>
        <w:jc w:val="left"/>
        <w:rPr/>
      </w:pPr>
      <w:r>
        <w:rPr/>
        <w:t> </w:t>
      </w:r>
    </w:p>
    <w:p>
      <w:pPr>
        <w:pStyle w:val="TextBody"/>
        <w:bidi w:val="0"/>
        <w:spacing w:before="0" w:after="0"/>
        <w:ind w:left="720" w:right="504"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535"/>
        <w:gridCol w:w="140"/>
        <w:gridCol w:w="3875"/>
      </w:tblGrid>
      <w:tr>
        <w:trPr/>
        <w:tc>
          <w:tcPr>
            <w:tcW w:w="1535" w:type="dxa"/>
            <w:tcBorders/>
            <w:vAlign w:val="center"/>
          </w:tcPr>
          <w:p>
            <w:pPr>
              <w:pStyle w:val="TableContents"/>
              <w:bidi w:val="0"/>
              <w:spacing w:before="0" w:after="283"/>
              <w:jc w:val="left"/>
              <w:rPr/>
            </w:pPr>
            <w:r>
              <w:rPr/>
              <w:t>SCHEDULE I</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Pricing Schedule</w:t>
            </w:r>
          </w:p>
        </w:tc>
      </w:tr>
      <w:tr>
        <w:trPr/>
        <w:tc>
          <w:tcPr>
            <w:tcW w:w="1535" w:type="dxa"/>
            <w:tcBorders/>
            <w:vAlign w:val="center"/>
          </w:tcPr>
          <w:p>
            <w:pPr>
              <w:pStyle w:val="TableContents"/>
              <w:bidi w:val="0"/>
              <w:spacing w:before="0" w:after="283"/>
              <w:jc w:val="left"/>
              <w:rPr/>
            </w:pPr>
            <w:r>
              <w:rPr/>
              <w:t>SCHEDULE II</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Commitment Schedule</w:t>
            </w:r>
          </w:p>
        </w:tc>
      </w:tr>
      <w:tr>
        <w:trPr/>
        <w:tc>
          <w:tcPr>
            <w:tcW w:w="153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p>
        </w:tc>
        <w:tc>
          <w:tcPr>
            <w:tcW w:w="38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EXHIBIT A</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Note</w:t>
            </w:r>
          </w:p>
        </w:tc>
      </w:tr>
      <w:tr>
        <w:trPr/>
        <w:tc>
          <w:tcPr>
            <w:tcW w:w="1535" w:type="dxa"/>
            <w:tcBorders/>
            <w:vAlign w:val="center"/>
          </w:tcPr>
          <w:p>
            <w:pPr>
              <w:pStyle w:val="TableContents"/>
              <w:bidi w:val="0"/>
              <w:spacing w:before="0" w:after="283"/>
              <w:jc w:val="left"/>
              <w:rPr/>
            </w:pPr>
            <w:r>
              <w:rPr/>
              <w:t>EXHIBIT B</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Solvency Certificate</w:t>
            </w:r>
          </w:p>
        </w:tc>
      </w:tr>
      <w:tr>
        <w:trPr/>
        <w:tc>
          <w:tcPr>
            <w:tcW w:w="1535" w:type="dxa"/>
            <w:tcBorders/>
            <w:vAlign w:val="center"/>
          </w:tcPr>
          <w:p>
            <w:pPr>
              <w:pStyle w:val="TableContents"/>
              <w:bidi w:val="0"/>
              <w:spacing w:before="0" w:after="283"/>
              <w:jc w:val="left"/>
              <w:rPr/>
            </w:pPr>
            <w:r>
              <w:rPr/>
              <w:t>EXHIBIT C</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[Reserved]</w:t>
            </w:r>
          </w:p>
        </w:tc>
      </w:tr>
      <w:tr>
        <w:trPr/>
        <w:tc>
          <w:tcPr>
            <w:tcW w:w="1535" w:type="dxa"/>
            <w:tcBorders/>
            <w:vAlign w:val="center"/>
          </w:tcPr>
          <w:p>
            <w:pPr>
              <w:pStyle w:val="TableContents"/>
              <w:bidi w:val="0"/>
              <w:spacing w:before="0" w:after="283"/>
              <w:jc w:val="left"/>
              <w:rPr/>
            </w:pPr>
            <w:r>
              <w:rPr/>
              <w:t>EXHIBIT D</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[Reserved]</w:t>
            </w:r>
          </w:p>
        </w:tc>
      </w:tr>
      <w:tr>
        <w:trPr/>
        <w:tc>
          <w:tcPr>
            <w:tcW w:w="1535" w:type="dxa"/>
            <w:tcBorders/>
            <w:vAlign w:val="center"/>
          </w:tcPr>
          <w:p>
            <w:pPr>
              <w:pStyle w:val="TableContents"/>
              <w:bidi w:val="0"/>
              <w:spacing w:before="0" w:after="283"/>
              <w:jc w:val="left"/>
              <w:rPr/>
            </w:pPr>
            <w:r>
              <w:rPr/>
              <w:t>EXHIBIT E</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Assignment and Assumption Agreement</w:t>
            </w:r>
          </w:p>
        </w:tc>
      </w:tr>
      <w:tr>
        <w:trPr/>
        <w:tc>
          <w:tcPr>
            <w:tcW w:w="1535" w:type="dxa"/>
            <w:tcBorders/>
            <w:vAlign w:val="center"/>
          </w:tcPr>
          <w:p>
            <w:pPr>
              <w:pStyle w:val="TableContents"/>
              <w:bidi w:val="0"/>
              <w:spacing w:before="0" w:after="283"/>
              <w:jc w:val="left"/>
              <w:rPr/>
            </w:pPr>
            <w:r>
              <w:rPr/>
              <w:t>EXHIBIT F</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Compliance Certificate</w:t>
            </w:r>
          </w:p>
        </w:tc>
      </w:tr>
      <w:tr>
        <w:trPr/>
        <w:tc>
          <w:tcPr>
            <w:tcW w:w="1535" w:type="dxa"/>
            <w:tcBorders/>
            <w:vAlign w:val="center"/>
          </w:tcPr>
          <w:p>
            <w:pPr>
              <w:pStyle w:val="TableContents"/>
              <w:bidi w:val="0"/>
              <w:spacing w:before="0" w:after="283"/>
              <w:jc w:val="left"/>
              <w:rPr/>
            </w:pPr>
            <w:r>
              <w:rPr/>
              <w:t>EXHIBIT G</w:t>
            </w:r>
          </w:p>
        </w:tc>
        <w:tc>
          <w:tcPr>
            <w:tcW w:w="140" w:type="dxa"/>
            <w:tcBorders/>
            <w:vAlign w:val="center"/>
          </w:tcPr>
          <w:p>
            <w:pPr>
              <w:pStyle w:val="TableContents"/>
              <w:bidi w:val="0"/>
              <w:spacing w:before="0" w:after="283"/>
              <w:jc w:val="center"/>
              <w:rPr/>
            </w:pPr>
            <w:r>
              <w:rPr/>
              <w:t>–</w:t>
            </w:r>
          </w:p>
        </w:tc>
        <w:tc>
          <w:tcPr>
            <w:tcW w:w="3875" w:type="dxa"/>
            <w:tcBorders/>
            <w:vAlign w:val="center"/>
          </w:tcPr>
          <w:p>
            <w:pPr>
              <w:pStyle w:val="TableContents"/>
              <w:bidi w:val="0"/>
              <w:spacing w:before="0" w:after="283"/>
              <w:jc w:val="left"/>
              <w:rPr/>
            </w:pPr>
            <w:r>
              <w:rPr/>
              <w:t>Exemption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vi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CREDIT AGREEMENT dated as of July 15, 2026 among MARTIN MARIETTA MATERIALS, INC., the LENDERS from time to time party 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b w:val="false"/>
          <w:i/>
          <w:caps w:val="false"/>
          <w:smallCaps w:val="false"/>
          <w:sz w:val="20"/>
        </w:rPr>
        <w:t xml:space="preserve">. Definitions. </w:t>
      </w:r>
      <w:r>
        <w:rPr>
          <w:rFonts w:ascii="Times New Roman;Times;Serif" w:hAnsi="Times New Roman;Times;Serif"/>
          <w:b w:val="false"/>
          <w:i w:val="false"/>
          <w:caps w:val="false"/>
          <w:smallCaps w:val="false"/>
          <w:sz w:val="20"/>
        </w:rPr>
        <w:t>The following terms, as used herein and in any Exhibit or Schedule hereto,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Accepting Lender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means JPMorgan Chase Bank, N.A. (or any of its designated branch offices or affiliates), in its capacity as administrative agent for the Lenders hereunder, and its successors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means, with respect to each Lender, an administrative questionnaire in the form prepared by the Administrative Agent and submitted to the Administrative Agent with a copy to the Borrower duly completed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(i) any Person that directly, or indirectly through one or more intermediaries, controls the Borrower (a “</w:t>
      </w:r>
      <w:r>
        <w:rPr>
          <w:rFonts w:ascii="Times New Roman;Times;Serif" w:hAnsi="Times New Roman;Times;Serif"/>
          <w:b/>
          <w:i w:val="false"/>
          <w:caps w:val="false"/>
          <w:smallCaps w:val="false"/>
          <w:sz w:val="20"/>
        </w:rPr>
        <w:t>Controlling Person</w:t>
      </w:r>
      <w:r>
        <w:rPr>
          <w:rFonts w:ascii="Times New Roman;Times;Serif" w:hAnsi="Times New Roman;Times;Serif"/>
          <w:b w:val="false"/>
          <w:i w:val="false"/>
          <w:caps w:val="false"/>
          <w:smallCaps w:val="false"/>
          <w:sz w:val="20"/>
        </w:rPr>
        <w:t>”) or (ii) any Person (other than the Borrower or a Subsidiary) which is controlled by or is under common control with a Controlling Person. As used herein, the term “control” means possession, directly or indirectly, of the power to vote 10% or more of any class of voting securities of a Person or to direct or cause the direction of the management or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has the meaning set forth in Section 9.04(d).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the Administrative Agent, the Syndication Agent and the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Term Credit Agreement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has the meaning set forth in Section 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applicable laws or regulations in any jurisdiction in which the Borrower or any Subsidiary is located or doing business that relate to money laundering, or any financial record keeping and reporting requirements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Lending Office</w:t>
      </w:r>
      <w:r>
        <w:rPr>
          <w:rFonts w:ascii="Times New Roman;Times;Serif" w:hAnsi="Times New Roman;Times;Serif"/>
          <w:b w:val="false"/>
          <w:i w:val="false"/>
          <w:caps w:val="false"/>
          <w:smallCaps w:val="false"/>
          <w:sz w:val="20"/>
        </w:rPr>
        <w:t>” means, with respect to any Lender, its Domestic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means, as of any date, with respect to any Base Rate Loan, Term Benchmark Loan or RFR Loan, the applicable rate per annum set forth on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means, for any Lender and at any time, (a) at any time on or prior to the funding of the Loans on the Funding Date, the percentage of the Total Commitments represented by such Lender’s Commitment at such time and (b) at any time thereafter, the percentage of the aggregate outstanding principal amount of the Loans represented by the Loans of such Lender at such time</w:t>
      </w:r>
      <w:r>
        <w:rPr>
          <w:rFonts w:ascii="Times New Roman;Times;Serif" w:hAnsi="Times New Roman;Times;Serif"/>
          <w:b w:val="false"/>
          <w:i/>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Borrower Portal</w:t>
      </w:r>
      <w:r>
        <w:rPr>
          <w:rFonts w:ascii="Times New Roman;Times;Serif" w:hAnsi="Times New Roman;Times;Serif"/>
          <w:b w:val="false"/>
          <w:i w:val="false"/>
          <w:caps w:val="false"/>
          <w:smallCaps w:val="false"/>
          <w:sz w:val="20"/>
        </w:rPr>
        <w:t>” has the meaning assigned to it in Section 7.12(a).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 has the meaning assigned to it in Section 7.06(a).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Arrangers</w:t>
      </w:r>
      <w:r>
        <w:rPr>
          <w:rFonts w:ascii="Times New Roman;Times;Serif" w:hAnsi="Times New Roman;Times;Serif"/>
          <w:b w:val="false"/>
          <w:i w:val="false"/>
          <w:caps w:val="false"/>
          <w:smallCaps w:val="false"/>
          <w:sz w:val="20"/>
        </w:rPr>
        <w:t>” means Goldman Sachs Bank USA, JPMorgan Chase Bank, N.A., Deutsche Bank Securities Inc., Truist Securities, Inc., Wells Fargo Securities, LLC, PNC Capital Markets LLC, Regions Capital Markets and First-Citizens Bank &amp; Trust Company, each in its capacity as joint lead arranger and joint bookrunner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has the meaning set forth in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Assignment and Assumption Agreement</w:t>
      </w:r>
      <w:r>
        <w:rPr>
          <w:rFonts w:ascii="Times New Roman;Times;Serif" w:hAnsi="Times New Roman;Times;Serif"/>
          <w:b w:val="false"/>
          <w:i w:val="false"/>
          <w:caps w:val="false"/>
          <w:smallCaps w:val="false"/>
          <w:sz w:val="20"/>
        </w:rPr>
        <w:t xml:space="preserve">” means an agreement,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under which an interest of a Lender hereunder is transferred to an Assignee pursuant to ‎Section 9.08(c)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 as now and hereafter in effect,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has had any order for relief in such proceeding entered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such ownership interest does not result in or provide such Person with immunity from the jurisdiction of courts within the United States or from the enforcement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w:t>
      </w:r>
      <w:r>
        <w:rPr>
          <w:rFonts w:ascii="Times New Roman;Times;Serif" w:hAnsi="Times New Roman;Times;Serif"/>
          <w:b w:val="false"/>
          <w:i w:val="false"/>
          <w:caps w:val="false"/>
          <w:smallCaps w:val="false"/>
          <w:sz w:val="20"/>
        </w:rPr>
        <w:t>” means, for any day, a rate per annum equal to the greatest of (i) the Prime Rate on such day, (ii) the NYFRB Rate in effect on such day plus ½ of 1% and (iii) the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8.02 (for the avoidance of doubt, only until the Benchmark Replacement has been determined pursuant to Section 8.02(b)), then the Base Rate shall be the greater of clauses (i) and (ii) above and shall be determined without reference to clause (iii) above. For the avoidance of doubt, if the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 Loan</w:t>
      </w:r>
      <w:r>
        <w:rPr>
          <w:rFonts w:ascii="Times New Roman;Times;Serif" w:hAnsi="Times New Roman;Times;Serif"/>
          <w:b w:val="false"/>
          <w:i w:val="false"/>
          <w:caps w:val="false"/>
          <w:smallCaps w:val="false"/>
          <w:sz w:val="20"/>
        </w:rPr>
        <w:t>” means a Loan which bears interest at the Base Rate pursuant to the applicable Notice of Borrowing or Notice of Interest Rate Election or the provisions of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initially, with respect to any (i) RFR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xml:space="preserve">” means, with respect to any Benchmark Replacement and/or any Term Benchmark Loan, any technical, administrative or operational changes (including changes to the definition of “Base Rate,” the definition of “Domestic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8.02 and (y) ending at the time that a Benchmark Replacement has replaced such then-current Benchmark for all purposes hereunder and under any Loan Document in accordance with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of (a) an “ employee benefit plan” (as defined in ERISA) that is subject to Title I of ERISA, (b) a “ plan” as defined in and subject to Section 4975 of the Internal Revenue Code or (c) any Person whose assets include (for purposes of ERISA Section 3(42) or otherwise for purposes of Title I of ERISA or Section 4975 of the Internal Revenue Code) the assets of any such “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Blocking Regulations</w:t>
      </w:r>
      <w:r>
        <w:rPr>
          <w:rFonts w:ascii="Times New Roman;Times;Serif" w:hAnsi="Times New Roman;Times;Serif"/>
          <w:b w:val="false"/>
          <w:i w:val="false"/>
          <w:caps w:val="false"/>
          <w:smallCaps w:val="false"/>
          <w:sz w:val="20"/>
        </w:rPr>
        <w:t>” has the meaning assigned to it in Section 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means Martin Marietta Materials, Inc., a North Carolina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Communications</w:t>
      </w:r>
      <w:r>
        <w:rPr>
          <w:rFonts w:ascii="Times New Roman;Times;Serif" w:hAnsi="Times New Roman;Times;Serif"/>
          <w:b w:val="false"/>
          <w:i w:val="false"/>
          <w:caps w:val="false"/>
          <w:smallCaps w:val="false"/>
          <w:sz w:val="20"/>
        </w:rPr>
        <w:t>” has the meaning assigned to it in Section 7.12.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Borrower’s Securitization Facility</w:t>
      </w:r>
      <w:r>
        <w:rPr>
          <w:rFonts w:ascii="Times New Roman;Times;Serif" w:hAnsi="Times New Roman;Times;Serif"/>
          <w:b w:val="false"/>
          <w:i w:val="false"/>
          <w:caps w:val="false"/>
          <w:smallCaps w:val="false"/>
          <w:sz w:val="20"/>
        </w:rPr>
        <w:t>” means, collectively, (i) the Credit and Security Agreement, dated as of April 19, 2013 (as amended, supplemented or amended and restated from time to time), by and among Martin Marietta Funding LLC, as borrower, the Borrower, as servicer, Truist Bank, as successor by merger to SunTrust Bank, as administrative agent, and Truist Bank, as successor by merger to SunTrust Bank, and each financial institution from time to time a party thereto, as lenders, and (ii) any other accounts receivable based revolving facility under which financing is provided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xml:space="preserve">” means, for purposes of ‎Section 8.01 and ‎Section 8.03, the adoption of any applicable law, rule or regulation (including any new or additional regulations issued under, or implementing, any existing law to the extent of any new or additional requirements thereunder), or any change therein, or any change in the interpretation or administration thereof by any Governmental Authority charged with the interpretation or administration thereof, or compliance by any Lender with any request or directive (whether or not having the force of law) of any such authority, central bank or comparable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guidelines or directives thereunder or issued in connection therewith or in the implementation thereof and (y) all requests, rules, guidelines or directives concerning capital adequacy promulgated by the Bank for International Settlements, the Basel Committee on Banking Supervision (or any successor or similar authority) or United States regulatory authorities, in each case pursuant to Basel III, shall be deemed to be a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w:t>
      </w:r>
      <w:r>
        <w:rPr>
          <w:rFonts w:ascii="Times New Roman;Times;Serif" w:hAnsi="Times New Roman;Times;Serif"/>
          <w:b w:val="false"/>
          <w:i w:val="false"/>
          <w:caps w:val="false"/>
          <w:smallCaps w:val="false"/>
          <w:sz w:val="20"/>
        </w:rPr>
        <w:t>” means Lhoist North America,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 Acquisition</w:t>
      </w:r>
      <w:r>
        <w:rPr>
          <w:rFonts w:ascii="Times New Roman;Times;Serif" w:hAnsi="Times New Roman;Times;Serif"/>
          <w:b w:val="false"/>
          <w:i w:val="false"/>
          <w:caps w:val="false"/>
          <w:smallCaps w:val="false"/>
          <w:sz w:val="20"/>
        </w:rPr>
        <w:t>” means the acquisition by the Borrower of all the issued and outstanding stock of Combins, pursuant to the Combins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 Acquisition Agreement</w:t>
      </w:r>
      <w:r>
        <w:rPr>
          <w:rFonts w:ascii="Times New Roman;Times;Serif" w:hAnsi="Times New Roman;Times;Serif"/>
          <w:b w:val="false"/>
          <w:i w:val="false"/>
          <w:caps w:val="false"/>
          <w:smallCaps w:val="false"/>
          <w:sz w:val="20"/>
        </w:rPr>
        <w:t xml:space="preserve">” means that certain Securities Sale Agreement (together with the exhibits and schedules thereto and the disclosure schedules referred to therein), dated as of the Signing Date, by and among LNA Holding SRL, a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organized under the laws of Belgium and the Borrower, as amended, restated, supplemented or otherwise modified from time to time in accordance therewith and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means, for any Lender and at any time, its commitment hereunder to make a Loan to the Borrower on the Funding Date in a principal amount not to exceed the amount set forth opposite such Lender’s name on the Commitment Schedule or in the Assignment and Assumption Agreement pursuant to which such Lender becomes a party hereto, as applicable, as such amount may be adjusted from time to time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Schedule</w:t>
      </w:r>
      <w:r>
        <w:rPr>
          <w:rFonts w:ascii="Times New Roman;Times;Serif" w:hAnsi="Times New Roman;Times;Serif"/>
          <w:b w:val="false"/>
          <w:i w:val="false"/>
          <w:caps w:val="false"/>
          <w:smallCaps w:val="false"/>
          <w:sz w:val="20"/>
        </w:rPr>
        <w:t>” means the Commitment Schedule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Termination Date</w:t>
      </w:r>
      <w:r>
        <w:rPr>
          <w:rFonts w:ascii="Times New Roman;Times;Serif" w:hAnsi="Times New Roman;Times;Serif"/>
          <w:b w:val="false"/>
          <w:i w:val="false"/>
          <w:caps w:val="false"/>
          <w:smallCaps w:val="false"/>
          <w:sz w:val="20"/>
        </w:rPr>
        <w:t xml:space="preserve">” means the earliest of (a) the date of the consummation of the Combins Acquisition, effective immediately following such consummation, with or without the use of any proceeds of the Loans, (b) the termination of the Combins Acquisition Agreement in accordance with its terms and (c) 11:59 p.m., New York City time, on the date that is five Domestic Business Days following the later of (x) the Long Stop Date (as defined in the Combins Acquisition Agreement as in effect on the Signing Date), and (y) solely in the event that the Long Stop Date is extended pursuant to Clause 4.2(c) of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Combins Acquisition Agreement as in effect on the Signing Date, the “Extended Long Stop Date” (as defined in the Combins Acquisition Agreement as in effect on the Signing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has the meaning set forth in Section 7.06(c).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Debt</w:t>
      </w:r>
      <w:r>
        <w:rPr>
          <w:rFonts w:ascii="Times New Roman;Times;Serif" w:hAnsi="Times New Roman;Times;Serif"/>
          <w:b w:val="false"/>
          <w:i w:val="false"/>
          <w:caps w:val="false"/>
          <w:smallCaps w:val="false"/>
          <w:sz w:val="20"/>
        </w:rPr>
        <w:t>” means at any date the Debt of the Borrower and its Consolidated Subsidiaries (including, whether or not included as indebtedness of the Borrower or its Consolidated Subsidiaries under GAAP, the principal amounts outstanding under the Borrower’s Securitization Facility other than, to the extent non-recourse to the Borrower and its Subsidiaries, an amount not to exceed $500,000,000), determined on a consolidated basis as of such date; provided, that (w) at any date on which there are no revolving loans outstanding under the Revolving Credit Agreement and no principal amounts are outstanding under the Borrower’s Securitization Facility, Consolidated Debt shall be reduced in an amount equal to the lesser of (a) $500,000,000 and (b) the sum of the unrestricted cash and Temporary Cash Investments of the Borrower and its Consolidated Subsidiaries, (x) Consolidated Debt shall exclude any Specified Acquisition Debt during the applicable Specified Acquisition Period, (y) Consolidated Debt shall exclude any Debt outstanding on any date of determination which is to be refinanced, repurchased or purchased, redeemed or otherwise repaid (any such Debt,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with the net proceeds of Debt that has been issued or incurred and is included in the determination of Consolidated Debt (any such Debt, “</w:t>
      </w:r>
      <w:r>
        <w:rPr>
          <w:rFonts w:ascii="Times New Roman;Times;Serif" w:hAnsi="Times New Roman;Times;Serif"/>
          <w:b/>
          <w:i w:val="false"/>
          <w:caps w:val="false"/>
          <w:smallCaps w:val="false"/>
          <w:sz w:val="20"/>
        </w:rPr>
        <w:t>Refinancing Debt</w:t>
      </w:r>
      <w:r>
        <w:rPr>
          <w:rFonts w:ascii="Times New Roman;Times;Serif" w:hAnsi="Times New Roman;Times;Serif"/>
          <w:b w:val="false"/>
          <w:i w:val="false"/>
          <w:caps w:val="false"/>
          <w:smallCaps w:val="false"/>
          <w:sz w:val="20"/>
        </w:rPr>
        <w:t>”); provided, that the amount of Refinanced Debt that is excluded from the determination of Consolidated Debt shall not exceed the amount of Refinancing Debt that is included in the determination of Consolidated Debt and (z) Consolidated Debt shall exclude any Debt in the form of debt securities outstanding on any date of determination which has been satisfied, discharged and/or legally defeased pursuant to the terms of the definitive documentation for such debt securities but remains outstanding pending the final maturity date or redemption date thereof, as the case may be; provided that (i) the cash and Temporary Cash Investments of the Borrower and its Consolidated Subsidiaries utilized to effectuate any such satisfaction, discharge or defeasance shall not be included in clause (w)(b) above, (ii) Debt shall only be excluded from Consolidated Debt pursuant to this clause (z) to the extent the cash or Temporary Cash Investments utilized to effectuate any such satisfaction, discharge or defeasance has been irrevocably deposited with the applicable trustee in accordance with the terms of any definitive documentation governing such Debt and (iii) the Borrower shall have delivered to the Administrative Agent for posting to the Lenders an officer’s certificate signed by an authorized officer of the Borrower certifying in reasonable detail the amount and relevant details of any Debt that is excluded from Consolidated Debt pursuant to this clause (z).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xml:space="preserve">” means, for any period, net income (or net loss) (before discontinued operations) plus the sum of (a) consolidated interest expense, (b) income tax expense, (c) depreciation expense, (d) amortization expense, (e) depletion expense, (f) stock based compensation expense and (g) any losses or expenses from any unusual or otherwise non-recurring items as reasonably determined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losses and expenses arising from any such unusual or otherwise non-recurring items included pursuant to this clause (g) (other than transaction fees, costs and expenses incurred in connection with any acquisition or disposition) shall not exceed $200,000,000 for any period of four consecutive fiscal quarters, and minus (x) consolidated interest income and (y) the sum of the amounts for such period of any income tax benefits and any income or gains from any unusual or otherwise non-recurring items as reasonably determined by the Borrower, in each case determined on a consolidated basis for the Borrower and its Subsidiaries in accordance with GAAP and in the case of items (a) through (g) and items (x) and (y), to the extent such amounts were included in the calculation of net income. For the purpose of calculating Consolidated EBITDA for any period, if during such period the Borrower or any Subsidiary shall have made an acquisition or a disposition, Consolidated EBITDA for such period shall be calculated after giving pro forma effect thereto as if such acquisition or disposition, as the case may be,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Worth</w:t>
      </w:r>
      <w:r>
        <w:rPr>
          <w:rFonts w:ascii="Times New Roman;Times;Serif" w:hAnsi="Times New Roman;Times;Serif"/>
          <w:b w:val="false"/>
          <w:i w:val="false"/>
          <w:caps w:val="false"/>
          <w:smallCaps w:val="false"/>
          <w:sz w:val="20"/>
        </w:rPr>
        <w:t>” means at any date the consolidated shareholders’ equity of the Borrower and its Consolidated Subsidiaries which would be reported on the consolidated balance sheet of the Borrower as total shareholders’ equity, determined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Subsidiary</w:t>
      </w:r>
      <w:r>
        <w:rPr>
          <w:rFonts w:ascii="Times New Roman;Times;Serif" w:hAnsi="Times New Roman;Times;Serif"/>
          <w:b w:val="false"/>
          <w:i w:val="false"/>
          <w:caps w:val="false"/>
          <w:smallCaps w:val="false"/>
          <w:sz w:val="20"/>
        </w:rPr>
        <w:t>” means at any date any Subsidiary or other entity the accounts of which would be consolidated with the Borrower in its consolidated financial statements if such statements were prepared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Tenor</w:t>
      </w:r>
      <w:r>
        <w:rPr>
          <w:rFonts w:ascii="Times New Roman;Times;Serif" w:hAnsi="Times New Roman;Times;Serif"/>
          <w:b w:val="false"/>
          <w:i w:val="false"/>
          <w:caps w:val="false"/>
          <w:smallCaps w:val="false"/>
          <w:sz w:val="20"/>
        </w:rPr>
        <w:t xml:space="preserve">” with respect to any Available Tenor means, as applicable, either a tenor (including overnight) or an interest payment period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means the Administrative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that is five (5) U.S. Government Securities Business Day prior to (i) if such SOFR Rate Day is a U.S. Government Securities Business Day, such SOFR Rate Day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xml:space="preserve">”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except trade accounts payable arising in the ordinary course of business, (iv) all obligations of such Person as lessee which are capitalized in accordance with generally accepted accounting principles (subject to Section 1.02), (v) all non-contingent obligations of such Person to reimburse any bank or other Person in respect of amounts paid under a letter of credit, banker’s acceptance, bank guarantee, surety bond or similar instrument which remain unpaid for two Domestic Business Days, (vi) all Debt secured by a Lien on any asset of such Person, whether or not such Debt is otherwise an obligation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any such Debt which is not otherwise an obligation of such Person shall be deemed not to exceed the fair market value of such asset and (vii) all Debt of others guaranteed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condition or event which constitutes an Event of Default or which with the giving of notice or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means any Lender that (a) has failed, within two Domestic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such Loan has not been satisfied, (b) has notified the Borrower or any Credit Party in writing, or has made a public statement to the effect, that it does not intend or expect to comply with any of its funding obligations under this Agreement (unless, in the case of any Loan, such writing or public statement indicates that such position is based on such Lender’s good faith determination that a condition precedent (specifically identified and including the particular default, if any) to funding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under this Agreement cannot be satisfied) or generally under other agreements in which it commits to extend credit, (c) has failed, within three Domestic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such Credit Party’s receipt of such certification in form and substance satisfactory to it and the Administrative Agent, or (d) has become (or has a Parent that has become) the subject of (A) a Bankruptcy Event or (B)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Obligations</w:t>
      </w:r>
      <w:r>
        <w:rPr>
          <w:rFonts w:ascii="Times New Roman;Times;Serif" w:hAnsi="Times New Roman;Times;Serif"/>
          <w:b w:val="false"/>
          <w:i w:val="false"/>
          <w:caps w:val="false"/>
          <w:smallCaps w:val="false"/>
          <w:sz w:val="20"/>
        </w:rPr>
        <w:t>” of any Person means all obligations of such Person in respect of any Derivatives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Transaction</w:t>
      </w:r>
      <w:r>
        <w:rPr>
          <w:rFonts w:ascii="Times New Roman;Times;Serif" w:hAnsi="Times New Roman;Times;Serif"/>
          <w:b w:val="false"/>
          <w:i w:val="false"/>
          <w:caps w:val="false"/>
          <w:smallCaps w:val="false"/>
          <w:sz w:val="20"/>
        </w:rPr>
        <w:t>” means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Documentation Agents</w:t>
      </w:r>
      <w:r>
        <w:rPr>
          <w:rFonts w:ascii="Times New Roman;Times;Serif" w:hAnsi="Times New Roman;Times;Serif"/>
          <w:b w:val="false"/>
          <w:i w:val="false"/>
          <w:caps w:val="false"/>
          <w:smallCaps w:val="false"/>
          <w:sz w:val="20"/>
        </w:rPr>
        <w:t>” means Deutsche Bank Securities Inc., Truist Bank, Wells Fargo Bank, National Association, PNC Bank, National Association, Regions Bank and First-Citizens Bank &amp; Trust Company. “</w:t>
      </w:r>
      <w:r>
        <w:rPr>
          <w:rFonts w:ascii="Times New Roman;Times;Serif" w:hAnsi="Times New Roman;Times;Serif"/>
          <w:b/>
          <w:i w:val="false"/>
          <w:caps w:val="false"/>
          <w:smallCaps w:val="false"/>
          <w:sz w:val="20"/>
        </w:rPr>
        <w:t>Documentation Agent</w:t>
      </w:r>
      <w:r>
        <w:rPr>
          <w:rFonts w:ascii="Times New Roman;Times;Serif" w:hAnsi="Times New Roman;Times;Serif"/>
          <w:b w:val="false"/>
          <w:i w:val="false"/>
          <w:caps w:val="false"/>
          <w:smallCaps w:val="false"/>
          <w:sz w:val="20"/>
        </w:rPr>
        <w:t>” means any of them, in their capacity as documentation agents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 provided that, in addition to the foregoing, a Domestic Business Day shall not include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 any such day that is not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Lending Office</w:t>
      </w:r>
      <w:r>
        <w:rPr>
          <w:rFonts w:ascii="Times New Roman;Times;Serif" w:hAnsi="Times New Roman;Times;Serif"/>
          <w:b w:val="false"/>
          <w:i w:val="false"/>
          <w:caps w:val="false"/>
          <w:smallCaps w:val="false"/>
          <w:sz w:val="20"/>
        </w:rPr>
        <w:t>” means, as to each Lender, its office located at its address set forth in its Administrative Questionnaire (or identified in its Administrative Questionnaire as its Domestic Lending Office) or such other office as such Lender may hereafter designate as its Domestic Lending Office by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conditions precedent set forth in ‎Section 3.01 shall have been satisfied (or waived in accordance with Section 9.07).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Eligible Institution</w:t>
      </w:r>
      <w:r>
        <w:rPr>
          <w:rFonts w:ascii="Times New Roman;Times;Serif" w:hAnsi="Times New Roman;Times;Serif"/>
          <w:b w:val="false"/>
          <w:i w:val="false"/>
          <w:caps w:val="false"/>
          <w:smallCaps w:val="false"/>
          <w:sz w:val="20"/>
        </w:rPr>
        <w:t xml:space="preserve">” means any bank or other Person other than (i) a natural Person or (ii)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of its Subsidiaries or Affiliates may be an Eligible Institution.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and all applicable federal, state and local statutes, regulations, ordinances, rules, administrative orders, consent decrees, permits, concessions, grants, franchises, licenses, agreements or other governmental restrictions relating to the environment or to emissions, discharges or releases of pollutants, contaminants, hazardous substances, or hazardous wastes into the environment including, without limitation, ambient air, surface water, ground water, or land, or otherwise relating to the manufacture, processing, distribution, use, treatment, storage, disposal, transport or handling of pollutants, contaminants, hazardous substances, or hazardous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 Group</w:t>
      </w:r>
      <w:r>
        <w:rPr>
          <w:rFonts w:ascii="Times New Roman;Times;Serif" w:hAnsi="Times New Roman;Times;Serif"/>
          <w:b w:val="false"/>
          <w:i w:val="false"/>
          <w:caps w:val="false"/>
          <w:smallCaps w:val="false"/>
          <w:sz w:val="20"/>
        </w:rPr>
        <w:t>” means the Borrower and all members of a controlled group of corporations and all trades or businesses (whether or not incorporated) under common control that, together with the Borrower, are treated as a single employer under Section 4001(a)(14) of ERISA or Section 414(b), 414(c), 414(m) or 414(o) of the Internal Revenue Code. For the avoidance of doubt, when any provision of this Agreement relates to a past event or period of time, the term “ERISA Group” includes any Person who was, as to the time of such past event or period of time, a member of the “ERISA Group” within the meaning of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set forth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Internal Revenue Code, as of the date of this Agreement (or any amended version or successor provision that is substantively comparable and not materially more onerous to comply with), and any regulations promulgated thereunder or official administrative interpretations thereof, any agreements entered into pursuant to Section 1471(b)(1) of the Internal Revenue Code, any intergovernmental agreement between a non-U.S. jurisdiction and the United States with respect to the foregoing and any law or regulation or official interpretation thereof adopted pursuant to any such intergovernmental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the NYFRB shall set forth on the NYFRB’s Website from time to time) and published on the next succeeding Domestic Business Day by the NYFRB as the effective federal funds rate; provided that if the Federal Funds Rate determined in accordance with the foregoing would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otherwise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Fee Letters</w:t>
      </w:r>
      <w:r>
        <w:rPr>
          <w:rFonts w:ascii="Times New Roman;Times;Serif" w:hAnsi="Times New Roman;Times;Serif"/>
          <w:b w:val="false"/>
          <w:i w:val="false"/>
          <w:caps w:val="false"/>
          <w:smallCaps w:val="false"/>
          <w:sz w:val="20"/>
        </w:rPr>
        <w:t>” means, collectively, (i) the Administrative Agent Fee Letter dated as of July 15, 2026, between JPMorgan Chase Bank, N.A. and the Borrower and (ii) the provisions relating to the fees payable to the Lenders in the Engagement Letter dated as of the Signing Date between Goldman Sachs &amp; Co. LLC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Term SOFR Rate or the Daily Simple SOFR, as applicable. For the avoidance of doubt the initial Floor for each of Term SOFR Rate or the Daily Simple SOFR shall be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means any Person (other than a natural person) that is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Funding Date</w:t>
      </w:r>
      <w:r>
        <w:rPr>
          <w:rFonts w:ascii="Times New Roman;Times;Serif" w:hAnsi="Times New Roman;Times;Serif"/>
          <w:b w:val="false"/>
          <w:i w:val="false"/>
          <w:caps w:val="false"/>
          <w:smallCaps w:val="false"/>
          <w:sz w:val="20"/>
        </w:rPr>
        <w:t>” means the first date, on or after the Effective Date and on or prior to the Commitment Termination Date, on which the conditions precedent set forth in Section 3.02 shall have been satisfied (or waived in accordance with Section 9.07).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central bank (or similar monetary or regulatory authority) thereof, any entity exercising executive, legislative, judicial, regulatory or administrative functions of or pertaining to government (including any supra-national bodies such as the European Union or the European Central Bank) and any corporation or other entity owned or controlled, through stock or capital ownership or otherwise, by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 of Loans</w:t>
      </w:r>
      <w:r>
        <w:rPr>
          <w:rFonts w:ascii="Times New Roman;Times;Serif" w:hAnsi="Times New Roman;Times;Serif"/>
          <w:b w:val="false"/>
          <w:i w:val="false"/>
          <w:caps w:val="false"/>
          <w:smallCaps w:val="false"/>
          <w:sz w:val="20"/>
        </w:rPr>
        <w:t xml:space="preserve">” means at any time a group of Loans consisting of (i) all Loans which are Base Rate Loans at such time, (ii) all Term Benchmark Loans having the same Interest Period at such time or (iii) all Loans which are RFR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Loan of any particular Lender is converted to or made as a Base Rate Loan pursuant to ‎Article 8, such Loan shall be included in the same Group or Groups of Loans from time to time as it would have been in if it had not been so converted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provided, that (i) if any Interest Period would end on a day other than a Domestic Business Day, such Interest Period shall be extended to the next succeeding Domestic Business Day unless such next succeeding Domestic Business Day would fall in the next calendar month, in which case such Interest Period shall end on the next preceding Domestic Business Day, (ii) any Interest Period that commences on the last Domestic Business Day of a calendar month (or on a day for which there is no numerically corresponding day in the last calendar month of such Interest Period) shall end on the last Domestic Business Day of the last calendar month of such Interest Period and (iii) no tenor that has been removed from this definition pursuant to Section 8.02(e) shall be available for specification in such Notice of Borrowing or Notice of Interest Rate Election; provided, further, that any Interest Period which would otherwise end after the Maturity Date shall end on the Maturity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means the Internal Revenue Code of 1986, as amended,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investment in any Person, whether by means of (a) the purchase or other acquisition of capital stock or other securities of such Person, or (b) a loan, advance or capital contribution to, guarantee or assumption of debt of, or purchase or other acquisition of any other debt or equity participation or interest in,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means (i) each Person listed as a Lender on the signature pages hereof, (ii) each Assignee that becomes a Lender pursuant to Section 9.08(c) and (iii)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means any of the Administrative Agent, any Arranger, the Syndication Agent, any Documentation Agent, and any Lender, and any Related Party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Leverage Ratio</w:t>
      </w:r>
      <w:r>
        <w:rPr>
          <w:rFonts w:ascii="Times New Roman;Times;Serif" w:hAnsi="Times New Roman;Times;Serif"/>
          <w:b w:val="false"/>
          <w:i w:val="false"/>
          <w:caps w:val="false"/>
          <w:smallCaps w:val="false"/>
          <w:sz w:val="20"/>
        </w:rPr>
        <w:t xml:space="preserve">” means, as of the last day of any fiscal quarter, the ratio of (a) Consolidated Debt on such date to (b) Consolidated EBITDA for the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of four consecutive fiscal quarters ended on such date, taken as one accounting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For the purposes of this Agreement, the Borrower or any Subsidiary shall be deemed to own subject to a Lien any asset which it has acquired or holds subject to the interest of a vendor or lessor under any conditional sale agreement, capital or finance lease or other title retention agreement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mean and include each and every loan made by a Lender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Document</w:t>
      </w:r>
      <w:r>
        <w:rPr>
          <w:rFonts w:ascii="Times New Roman;Times;Serif" w:hAnsi="Times New Roman;Times;Serif"/>
          <w:b w:val="false"/>
          <w:i w:val="false"/>
          <w:caps w:val="false"/>
          <w:smallCaps w:val="false"/>
          <w:sz w:val="20"/>
        </w:rPr>
        <w:t>” means this Agreement, including without limitation, the schedules and exhibits hereto, the Fee Letters, the Notes and any other document or instrument designated by the Borrower and the Administrative Agent as a “Loan Document” and any amendments, modifications or supplements to, or waivers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 material adverse effect on (a) the ability of the Borrower to perform its obligations, taken as a whole, under this Agreement or any of the Notes, (b) the validity or enforceability of this Agreement or any of the Notes or (c) the rights and remedies of any Lender or the Administrative Agent, taken as a whole, under this Agreement or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Debt</w:t>
      </w:r>
      <w:r>
        <w:rPr>
          <w:rFonts w:ascii="Times New Roman;Times;Serif" w:hAnsi="Times New Roman;Times;Serif"/>
          <w:b w:val="false"/>
          <w:i w:val="false"/>
          <w:caps w:val="false"/>
          <w:smallCaps w:val="false"/>
          <w:sz w:val="20"/>
        </w:rPr>
        <w:t>” means, without duplication, Debt (other than the Loans) of the Borrower and/or one or more of its Restricted Subsidiaries, arising in one or more related or unrelated transactions, in an aggregate principal or face amount exceeding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Financial Obligations</w:t>
      </w:r>
      <w:r>
        <w:rPr>
          <w:rFonts w:ascii="Times New Roman;Times;Serif" w:hAnsi="Times New Roman;Times;Serif"/>
          <w:b w:val="false"/>
          <w:i w:val="false"/>
          <w:caps w:val="false"/>
          <w:smallCaps w:val="false"/>
          <w:sz w:val="20"/>
        </w:rPr>
        <w:t>” means, without duplication, a principal or face amount of Debt and/or payment or collateralization obligations in respect of Derivatives Obligations of the Borrower and/or one or more of its 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arising in one or more related or unrelated transactions, exceeding in the aggregate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the third anniversary of the Funding Date; provided, however, that if such date is not a Domestic Business Day, the Maturity Date shall be the next preceding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has the meaning set forth in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means, at any given time, any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means promissory notes of the Borrower,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evidencing the obligation of the Borrower to repay the Loans, and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means any one of such promissory notes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has the meaning set forth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has the meaning set forth in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 Rate</w:t>
      </w:r>
      <w:r>
        <w:rPr>
          <w:rFonts w:ascii="Times New Roman;Times;Serif" w:hAnsi="Times New Roman;Times;Serif"/>
          <w:b w:val="false"/>
          <w:i w:val="false"/>
          <w:caps w:val="false"/>
          <w:smallCaps w:val="false"/>
          <w:sz w:val="20"/>
        </w:rPr>
        <w:t xml:space="preserve">” means, for any day, the greater of (a) the Federal Funds Rate in effect on such day and (b) the Overnight Bank Funding Rate in effect on such day (or for any day that is not a Domestic Business Day, for the immediately preceding Domestic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Domestic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of the aforesaid rates as so determined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an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has the meaning set forth in Section 8.04(c).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Domestic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with respect to any Lender, any Person directly or indirectly controlling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has the meaning set forth in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or any entity succeeding to any or all of its functions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company, corporation, joint venture, joint-stock company, limited liability company or partnership, trust, unincorporated organization, government or state entity, or any association or partnership (whether or not having separate legal personality) of two or more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or (ii) has at any time within the preceding six years been maintained, or contributed to, by any Person which was at such time a member of the ERISA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Property</w:t>
      </w:r>
      <w:r>
        <w:rPr>
          <w:rFonts w:ascii="Times New Roman;Times;Serif" w:hAnsi="Times New Roman;Times;Serif"/>
          <w:b w:val="false"/>
          <w:i w:val="false"/>
          <w:caps w:val="false"/>
          <w:smallCaps w:val="false"/>
          <w:sz w:val="20"/>
        </w:rPr>
        <w:t>” means, at any time, any manufacturing facility that is located in the United States, is owned by the Borrower or any of its Subsidiaries, and has a book value, net of any depreciation or amortization, pursuant to the then most recently delivered financial statements, in excess of 2.5%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Quarterly Date</w:t>
      </w:r>
      <w:r>
        <w:rPr>
          <w:rFonts w:ascii="Times New Roman;Times;Serif" w:hAnsi="Times New Roman;Times;Serif"/>
          <w:b w:val="false"/>
          <w:i w:val="false"/>
          <w:caps w:val="false"/>
          <w:smallCaps w:val="false"/>
          <w:sz w:val="20"/>
        </w:rPr>
        <w:t>” means the last day of March, June, September and December in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Domestic Business Days prior to such setting or (3) if such Benchmark is none of the Term SOFR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has the meaning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means Regulation U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and/or the NYFRB,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Rate</w:t>
      </w:r>
      <w:r>
        <w:rPr>
          <w:rFonts w:ascii="Times New Roman;Times;Serif" w:hAnsi="Times New Roman;Times;Serif"/>
          <w:b w:val="false"/>
          <w:i w:val="false"/>
          <w:caps w:val="false"/>
          <w:smallCaps w:val="false"/>
          <w:sz w:val="20"/>
        </w:rPr>
        <w:t>” means (i) with respect to any Term Benchmark Borrowing, the Term SOFR Rate or (ii) with respect to any RFR Borrowing, the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means, (a) at any time on or prior to the funding of the Loans on the Funding Date, Lenders having Commitments representing more than 50% of the total Commitments at such time and (b) at any time thereafter, Lenders holding Loans representing more than 50% of the aggregate principal amount of the Loans then outstanding; provided that the Commitments of, and the Loans held by, any Defaulting Lender shall be excluded for purposes of making a determination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each president, executive vice president, chief executive officer, chief financial officer, treasurer, secretary, general counsel or assistant general counsel, or any Person having comparable responsibilities with respect to such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means (x) any Significant Subsidiary, (y) any Subsidiary that has substantially all of its property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that owns a Principal Property and (z) other Subsidiaries from time to time designated, by the Borrower by notice to the Administrative Agent, as Restricted Subsidiaries as necessary such that at all times, based on the most recent financial statements delivered pursuant hereto, at the end of any fiscal quarter the book value of the aggregate total assets, net of depreciation and amortization and after intercompany eliminations, of the Borrower and all of its Restricted Subsidiaries is not less than 85% of the consolidated total assets, net of depreciation and amortization and after intercompany eliminations,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has the meaning set forth in ‎Section 9.01(a).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Credit Agreement</w:t>
      </w:r>
      <w:r>
        <w:rPr>
          <w:rFonts w:ascii="Times New Roman;Times;Serif" w:hAnsi="Times New Roman;Times;Serif"/>
          <w:b w:val="false"/>
          <w:i w:val="false"/>
          <w:caps w:val="false"/>
          <w:smallCaps w:val="false"/>
          <w:sz w:val="20"/>
        </w:rPr>
        <w:t>” means the Credit Agreement, dated as of December 21, 2021 (as amended by that certain Loan Modification No. 1 and Extension Agreement, dated as of December 22, 2022, by that certain Loan Modification No. 2 and Extension Agreement, dated as of December 21, 2023, by that certain Loan Modification No. 3 and Extension Agreement, dated as of December 20, 2024, by that certain Loan Modification No. 4 and Extension Agreement, dated as of December 19, 2025, by that certain Amendment No. 1, dated as of July 10, 2026, and as further amended, restated, amended and restated, supplemented or otherwise modified from time to time) among the Borrower, the lenders from time to time party thereto, the issuing lenders from time to time party thereto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Loan</w:t>
      </w:r>
      <w:r>
        <w:rPr>
          <w:rFonts w:ascii="Times New Roman;Times;Serif" w:hAnsi="Times New Roman;Times;Serif"/>
          <w:b w:val="false"/>
          <w:i w:val="false"/>
          <w:caps w:val="false"/>
          <w:smallCaps w:val="false"/>
          <w:sz w:val="20"/>
        </w:rPr>
        <w:t>” means a Loan that bears interest at a rate based on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has the meaning set forth in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which is itself the subject or target of any Sanctions (including, without limitation, at the time of this Agreement, the so-called Donetsk People’s Republic, the so-called Luhansk People’s Republic, the Crimea region of Ukraine, the non-government controlled areas of the Kherson and Zaporizhzhia Regions of Ukraine,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(a)(i) an agency or instrumentality of the government of a Sanctioned Country, (ii) an entity owned or controlled by a Sanctioned Country or (iii) a Person located, organized or resident in a Sanctioned Country, (b) a Person that is named on the SDN List or on any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list of designated Persons maintained by the U.S. government, the European Union or any European Union member state, the United Kingdom or the United Nations Security Council, or (c) a Person directly or indirectly owned 50% or more or controlled by any Person or Persons described in the foregoing clauses (a) or (b), or (d) a Person that is otherwise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OFAC and the U.S. Department of State, the European Union or any European Union member state, the United Kingdom, or the United Nations Security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means OFAC’s list of Specially Designated Nationals and Blocked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 Subsidiary with a book value of total assets, net of depreciation and amortization and after intercompany eliminations, equal to or greater than 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Signing Date</w:t>
      </w:r>
      <w:r>
        <w:rPr>
          <w:rFonts w:ascii="Times New Roman;Times;Serif" w:hAnsi="Times New Roman;Times;Serif"/>
          <w:b w:val="false"/>
          <w:i w:val="false"/>
          <w:caps w:val="false"/>
          <w:smallCaps w:val="false"/>
          <w:sz w:val="20"/>
        </w:rPr>
        <w:t>” means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has the meaning set forth in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Debt</w:t>
      </w:r>
      <w:r>
        <w:rPr>
          <w:rFonts w:ascii="Times New Roman;Times;Serif" w:hAnsi="Times New Roman;Times;Serif"/>
          <w:b w:val="false"/>
          <w:i w:val="false"/>
          <w:caps w:val="false"/>
          <w:smallCaps w:val="false"/>
          <w:sz w:val="20"/>
        </w:rPr>
        <w:t xml:space="preserve">” means any Debt incurred by the Borrower or any of its Consolidated Subsidiaries for the purpose of financing, in whole or in part, a Specified Acquisition and any related transactions or series of related transactions (including for the purpose of refinancing or replacing all or a portion of any pre-existing Debt of the Borrower, any of its Consolidated Subsidiaries or the person(s) or assets to be acquired);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the release of the proceeds of such Debt to the Borrower and/or its Consolidated Subsidiaries is contingent upon the consummation of such Specified Acquisition and, pending such release, such proceeds are held in escrow (and, if the definitive agreement (or, in the case of a tender offer or similar transaction, the definitive offer document) for such acquisition is terminated prior to the consummation of such Specified Acquisition or if such Specified Acquisition is otherwise not consummated by the date specified in the definitive documentation relating to such Debt, such proceeds shall be promptly applied to satisfy and discharge all obligations of the Borrower and/or its Consolidated Subsidiaries in respect of such Debt) or (b) such Debt contains a “special mandatory redemption” provision (or other similar provision) or otherwise permits such Debt to be redeemed or prepaid if such Specified Acquisition is not consummated by the date specified in the definitive documentation relating to such Debt (and if the definitive agreement (or, in the case of a tender offer or similar transaction, the definitive offer document) for such Specified Acquisition is terminated in accordance with its terms prior to the consummation of such Specified Acquisition or such Specified Acquisition is otherwise not consummated by the date specified in the definitive documentation relating to such Debt, such Debt is so redeemed or prepaid within 90 days of such termination or such specified date,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Period</w:t>
      </w:r>
      <w:r>
        <w:rPr>
          <w:rFonts w:ascii="Times New Roman;Times;Serif" w:hAnsi="Times New Roman;Times;Serif"/>
          <w:b w:val="false"/>
          <w:i w:val="false"/>
          <w:caps w:val="false"/>
          <w:smallCaps w:val="false"/>
          <w:sz w:val="20"/>
        </w:rPr>
        <w:t>” means any period commencing with the date of the delivery of a written notice from the Borrower to the Administrative Agent specifying the incurrence or issuance by the Borrower or any Consolidated Subsidiary of Specified Acquisition Debt in connection with a Specified Acquisition and the date upon which any such Specified Acquisition Debt has been incurred or issued (a “</w:t>
      </w:r>
      <w:r>
        <w:rPr>
          <w:rFonts w:ascii="Times New Roman;Times;Serif" w:hAnsi="Times New Roman;Times;Serif"/>
          <w:b/>
          <w:i w:val="false"/>
          <w:caps w:val="false"/>
          <w:smallCaps w:val="false"/>
          <w:sz w:val="20"/>
        </w:rPr>
        <w:t>Specified Acquisition Debt Notice</w:t>
      </w:r>
      <w:r>
        <w:rPr>
          <w:rFonts w:ascii="Times New Roman;Times;Serif" w:hAnsi="Times New Roman;Times;Serif"/>
          <w:b w:val="false"/>
          <w:i w:val="false"/>
          <w:caps w:val="false"/>
          <w:smallCaps w:val="false"/>
          <w:sz w:val="20"/>
        </w:rPr>
        <w:t>”) to the earliest of (a) twelve months from the date such Specified Acquisition Debt Notice was delivered to the Administrative Agent, (b) the closing date of such Specified Acquisition or (c) the termination of the definitive documentation in respect of such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Permitted Lender</w:t>
      </w:r>
      <w:r>
        <w:rPr>
          <w:rFonts w:ascii="Times New Roman;Times;Serif" w:hAnsi="Times New Roman;Times;Serif"/>
          <w:b w:val="false"/>
          <w:i w:val="false"/>
          <w:caps w:val="false"/>
          <w:smallCaps w:val="false"/>
          <w:sz w:val="20"/>
        </w:rPr>
        <w:t xml:space="preserve">” means a Person that (a) is a Lender as of the Effective Date, (b) is a lender under the Revolving Credit Agreement (other than any “Defaulting Lender” (or any term of similar import) under the Revolving Credit Agreement as of the date of the applicable assignment) or (c) is a commercial or investment bank that at the time of the applicable assignment has 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rating or senior unsecured, non-credit enhanced long-term indebtedness rating from Moody’s that is Baa3 or higher or from S&amp;P that is BBB- or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Representations</w:t>
      </w:r>
      <w:r>
        <w:rPr>
          <w:rFonts w:ascii="Times New Roman;Times;Serif" w:hAnsi="Times New Roman;Times;Serif"/>
          <w:b w:val="false"/>
          <w:i w:val="false"/>
          <w:caps w:val="false"/>
          <w:smallCaps w:val="false"/>
          <w:sz w:val="20"/>
        </w:rPr>
        <w:t>” means the representations and warranties of the Borrower set forth in Sections 4.01(a)(i) and 4.01(a)(ii) (in each case, solely with respect to the Borrower), 4.01(b), 4.01(c), 4.02(i), 4.02(ii), 4.02(iii)(x)(2), 4.02(iii)(y) (solely with respect to any agreement or instrument pursuant to which the Borrower has Debt in a committed or outstanding principal amount in excess of $250,000,000, and without giving effect to the “Material Adverse Effect” qualification applicable to such clause), 4.03, 4.07, 4.15, 4.16 (solely with respect to the use of the proceeds of the Loans) and 4.17.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 unless otherwise specified, “Subsidiary” means a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Syndication Agent</w:t>
      </w:r>
      <w:r>
        <w:rPr>
          <w:rFonts w:ascii="Times New Roman;Times;Serif" w:hAnsi="Times New Roman;Times;Serif"/>
          <w:b w:val="false"/>
          <w:i w:val="false"/>
          <w:caps w:val="false"/>
          <w:smallCaps w:val="false"/>
          <w:sz w:val="20"/>
        </w:rPr>
        <w:t>” means Goldman Sachs Bank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Temporary Cash Investment</w:t>
      </w:r>
      <w:r>
        <w:rPr>
          <w:rFonts w:ascii="Times New Roman;Times;Serif" w:hAnsi="Times New Roman;Times;Serif"/>
          <w:b w:val="false"/>
          <w:i w:val="false"/>
          <w:caps w:val="false"/>
          <w:smallCaps w:val="false"/>
          <w:sz w:val="20"/>
        </w:rPr>
        <w:t xml:space="preserve">” means any Investment in (i) direct obligations of the United States or any agency thereof, or obligations guaranteed by the United States or any agency thereof, (ii) commercial paper rated at least A-1 by Standard &amp; Poor’s Financial Services LLC and P-1 by Moody’s Investors Service, Inc., (iii) bank deposits, checking accounts, money market deposits and time deposits with, including certificates of deposit issued by, any office of any bank or trust company which is organized under the laws of the United States or any state thereof and has capital, surplus and undivided profits aggregating at least $1,000,000,000, (iv) obligations of a municipality or its agency that are supported by a letter of credit from an office of a bank or trust company meeting the criteria set forth in clause (iii) above provided the holder of such obligations may compel the repurchase or resale of such obligations within a one month period, (v) repurchase agreements with respect to securities described in clause (i) above entered into with an office of a bank or trust company meeting the criteria specified in clause (iii) above, and (vi) investment funds, substantially all of whose assets are invested in Investments of the character and quality described in clauses (i) – (v) of this definition;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such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matures within one year from the date of acquisition thereof by the Borrower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 Loan</w:t>
      </w:r>
      <w:r>
        <w:rPr>
          <w:rFonts w:ascii="Times New Roman;Times;Serif" w:hAnsi="Times New Roman;Times;Serif"/>
          <w:b w:val="false"/>
          <w:i w:val="false"/>
          <w:caps w:val="false"/>
          <w:smallCaps w:val="false"/>
          <w:sz w:val="20"/>
        </w:rPr>
        <w:t>” means any Loan in respect of which interest is computed on the basis of the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the Term SOFR Rate as so determined would be less than the Floor, such rate shall be deemed to be equal to the Floor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Ticking Fee</w:t>
      </w:r>
      <w:r>
        <w:rPr>
          <w:rFonts w:ascii="Times New Roman;Times;Serif" w:hAnsi="Times New Roman;Times;Serif"/>
          <w:b w:val="false"/>
          <w:i w:val="false"/>
          <w:caps w:val="false"/>
          <w:smallCaps w:val="false"/>
          <w:sz w:val="20"/>
        </w:rPr>
        <w:t>” has the meaning specified in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Ticking Fee Accrual Period</w:t>
      </w:r>
      <w:r>
        <w:rPr>
          <w:rFonts w:ascii="Times New Roman;Times;Serif" w:hAnsi="Times New Roman;Times;Serif"/>
          <w:b w:val="false"/>
          <w:i w:val="false"/>
          <w:caps w:val="false"/>
          <w:smallCaps w:val="false"/>
          <w:sz w:val="20"/>
        </w:rPr>
        <w:t>” has the meaning specified in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Commitments</w:t>
      </w:r>
      <w:r>
        <w:rPr>
          <w:rFonts w:ascii="Times New Roman;Times;Serif" w:hAnsi="Times New Roman;Times;Serif"/>
          <w:b w:val="false"/>
          <w:i w:val="false"/>
          <w:caps w:val="false"/>
          <w:smallCaps w:val="false"/>
          <w:sz w:val="20"/>
        </w:rPr>
        <w:t>” means, at the time for any determination thereof, the aggregate amount of the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(a) the execution, delivery and performance by the Borrower of the Loan Documents, the borrowing of Loans and the use of the proceeds thereof, (b) the consummation of the Combins Acquisition and (c) the payment of fees and expenses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has the meaning set forth in ‎Section 9.08(e).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when used in reference to a Loan or Borrowing, refers to whether the rate of interest on such Loan, or on the Loans comprising the Borrowing, is determined by reference to the Term SOFR Rate, the Base Rate or, if applicable pursuant to Section 8.02,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Unfunded Liabilities</w:t>
      </w:r>
      <w:r>
        <w:rPr>
          <w:rFonts w:ascii="Times New Roman;Times;Serif" w:hAnsi="Times New Roman;Times;Serif"/>
          <w:b w:val="false"/>
          <w:i w:val="false"/>
          <w:caps w:val="false"/>
          <w:smallCaps w:val="false"/>
          <w:sz w:val="20"/>
        </w:rPr>
        <w:t>” means, with respect to any Plan at any time, the amount (if any) by which (i) the present value of all benefits under such Plan exceeds (ii) the fair market value of all Plan assets allocable to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any accrued but unpaid contributions), all determined on an ongoing basis as of the then most recent valuation date for such Plan in accordance with the assumptions used for funding such Plan pursuant to Section 430 of the Internal Revenue Code, but only to the extent that such excess represents a potential liability of a member of the ERISA Group to the PBGC or an appointed trustee under Title IV of ERISA or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and the District of Columbia, but excluding the Commonwealths, territories and possessions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b w:val="false"/>
          <w:i/>
          <w:caps w:val="false"/>
          <w:smallCaps w:val="false"/>
          <w:sz w:val="20"/>
        </w:rPr>
        <w:t>. Accounting Terms and Determinations.</w:t>
      </w:r>
      <w:r>
        <w:rPr>
          <w:rFonts w:ascii="Times New Roman;Times;Serif" w:hAnsi="Times New Roman;Times;Serif"/>
          <w:b w:val="false"/>
          <w:i w:val="false"/>
          <w:caps w:val="false"/>
          <w:smallCaps w:val="false"/>
          <w:sz w:val="20"/>
        </w:rPr>
        <w:t xml:space="preserve"> Unless otherwise specified herein, all accounting terms used herein shall be 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Borrower’s independent public accountants) with the most recent audited consolidated financial statements of the Borrower and its Consolidated Subsidiaries delivered to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Borrower notifies the Administrative Agent that the Borrower wishes to amend any covenant contained in ‎Article 5 to eliminate the effect of any change after the date hereof in generally accepted accounting principles (which, for purposes of this proviso, shall include the generally accepted application or interpretation thereof) on the operation of such covenant (or if the Administrative Agent notifies the Borrower that the Required Lenders wish to amend any such covenant for such purpose), then the Borrower’s compliance with such covenant shall be determined on the basis of generally accepted accounting principles 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 immediately before the relevant change in generally accepted accounting principles is adopted by the Borrower, until either such notice is withdrawn or such covenant is amended in a manner satisfactory to the Borrower and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adoption of </w:t>
      </w:r>
      <w:r>
        <w:rPr>
          <w:rFonts w:ascii="Times New Roman;Times;Serif" w:hAnsi="Times New Roman;Times;Serif"/>
          <w:b w:val="false"/>
          <w:i/>
          <w:caps w:val="false"/>
          <w:smallCaps w:val="false"/>
          <w:sz w:val="20"/>
        </w:rPr>
        <w:t>Financial Accounting Standards Board Accounting Standards Update No. 2016-02, Leases (Topic 842)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FAS 842</w:t>
      </w:r>
      <w:r>
        <w:rPr>
          <w:rFonts w:ascii="Times New Roman;Times;Serif" w:hAnsi="Times New Roman;Times;Serif"/>
          <w:b w:val="false"/>
          <w:i w:val="false"/>
          <w:caps w:val="false"/>
          <w:smallCaps w:val="false"/>
          <w:sz w:val="20"/>
        </w:rPr>
        <w:t>”), to the extent such adoption would require (x) treating any lease (or similar arrangement conveying the right to use) as a capital lease where such lease (or similar arrangement) would not have been required to be so treated under GAAP as in effect on December 31, 2018 or (y) recognizing liabilities on the balance sheet with respect to operating leases under FAS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b w:val="false"/>
          <w:i/>
          <w:caps w:val="false"/>
          <w:smallCaps w:val="false"/>
          <w:sz w:val="20"/>
        </w:rPr>
        <w:t xml:space="preserve">. Types of Borrowings. </w:t>
      </w: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denotes the aggregation of Loans of one or more Lenders to be made to the Borrower pursuant to ‎Article 2 on the same date, all of which Loans are of the same type (subject to Article 8) and, except in the case of Base Rate Loans, have the same initial Interest Period. Borrowings are classified for purposes of this Agreement by reference to the pricing of Loans comprising such Borrowing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Term Benchmark Borrowing</w:t>
      </w:r>
      <w:r>
        <w:rPr>
          <w:rFonts w:ascii="Times New Roman;Times;Serif" w:hAnsi="Times New Roman;Times;Serif"/>
          <w:b w:val="false"/>
          <w:i w:val="false"/>
          <w:caps w:val="false"/>
          <w:smallCaps w:val="false"/>
          <w:sz w:val="20"/>
        </w:rPr>
        <w:t>” is a Borrowing comprised of Term Benchmark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caps w:val="false"/>
          <w:smallCaps w:val="false"/>
          <w:sz w:val="20"/>
        </w:rPr>
        <w:t>Interest Rates; Benchmark Notification.</w:t>
      </w:r>
      <w:r>
        <w:rPr>
          <w:rFonts w:ascii="Times New Roman;Times;Serif" w:hAnsi="Times New Roman;Times;Serif"/>
          <w:b w:val="false"/>
          <w:i w:val="false"/>
          <w:caps w:val="false"/>
          <w:smallCaps w:val="false"/>
          <w:sz w:val="20"/>
        </w:rPr>
        <w:t xml:space="preserve"> The interest rate on a Loan denominated in Dollars may be derived from an interest rate benchmark that may be discontinued or is, or may in the future become, the subject of regulatory reform. Upon the occurrence of a Benchmark Transition Event, Section 8.02(b)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r>
        <w:rPr>
          <w:rFonts w:ascii="Times New Roman;Times;Serif" w:hAnsi="Times New Roman;Times;Serif"/>
          <w:b w:val="false"/>
          <w:i/>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caps w:val="false"/>
          <w:smallCaps w:val="false"/>
          <w:sz w:val="20"/>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b w:val="false"/>
          <w:i/>
          <w:caps w:val="false"/>
          <w:smallCaps w:val="false"/>
          <w:sz w:val="20"/>
        </w:rPr>
        <w:t xml:space="preserve">. Loans. </w:t>
      </w:r>
      <w:r>
        <w:rPr>
          <w:rFonts w:ascii="Times New Roman;Times;Serif" w:hAnsi="Times New Roman;Times;Serif"/>
          <w:b w:val="false"/>
          <w:i w:val="false"/>
          <w:caps w:val="false"/>
          <w:smallCaps w:val="false"/>
          <w:sz w:val="20"/>
        </w:rPr>
        <w:t>Each Lender severally agrees, on the terms and conditions set forth in this Agreement, to make a loan to the Borrower in Dollars in a single draw on the Funding Date in an amount not to exceed such Lender’s Commitment. Amounts repaid on the Loans may not be reborrowed. Each Borrowing under this Section shall be in an aggregate principal amount of $5,000,000 or any larger multiple of $1,000,000 and shall be made from the several Lenders in respective amounts equal to their respective Applicable Percentages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8.02, each Borrowing shall be comprised entirely of Base Rate Loans or Term Benchmark Loans, as the Borrower may request in accordance herewith.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b w:val="false"/>
          <w:i/>
          <w:caps w:val="false"/>
          <w:smallCaps w:val="false"/>
          <w:sz w:val="20"/>
        </w:rPr>
        <w:t xml:space="preserve">. Notice of Borrowing. </w:t>
      </w:r>
      <w:r>
        <w:rPr>
          <w:rFonts w:ascii="Times New Roman;Times;Serif" w:hAnsi="Times New Roman;Times;Serif"/>
          <w:b w:val="false"/>
          <w:i w:val="false"/>
          <w:caps w:val="false"/>
          <w:smallCaps w:val="false"/>
          <w:sz w:val="20"/>
        </w:rPr>
        <w:t>The Borrower shall give the Administrative Agent notice in writing (a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not later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 noon (New York City time) on (x) the date of each Base Rate Borrowing, (y) three U.S. Government Securities Business Days before the date of each proposed Term Benchmark Borrowing, and (z) five U.S. Government Securities Business Days before the date of each proposed RFR Borrowing (solely to the extent applicable pursuant to Section 8.02) or, in each case, such shorter period as the Administrative Agent may agree,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of such Borrowing, which shall be a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Loans comprising such Borrowing are to bear interest initially at the Base Rate or Term Benchmark (or, solely to the extent applicable pursuant to Section 8.02, Daily Simple SOFR);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Benchmark Borrowing, the duration of the initial Interest Period applicable thereto, subject to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b w:val="false"/>
          <w:i/>
          <w:caps w:val="false"/>
          <w:smallCaps w:val="false"/>
          <w:sz w:val="20"/>
        </w:rPr>
        <w:t xml:space="preserve">. Notice to Lenders; Funding of Loans. </w:t>
      </w:r>
      <w:r>
        <w:rPr>
          <w:rFonts w:ascii="Times New Roman;Times;Serif" w:hAnsi="Times New Roman;Times;Serif"/>
          <w:b w:val="false"/>
          <w:i w:val="false"/>
          <w:caps w:val="false"/>
          <w:smallCaps w:val="false"/>
          <w:sz w:val="20"/>
        </w:rPr>
        <w:t>(a) Upon receipt of a Notice of Borrowing, the Administrative Agent shall give each Lender participating therein prompt notice of the contents thereof and of such Lender’s share of such Borrowing and such Notice of Borrowing shall not thereafter be revocable by Borrower. Notwithstanding the foregoing, the Notice of Borrowing delivered with respect to the borrowing of Loans on the Funding Date may, at the Borrower’s option, be conditioned on the consummation (or substantially concurrent consummation) of the Combins Acquisition on such date, in which case such Notice of Borrowing may be revoked or extended by the Borrower (by notice to the Administrative Agent, which must be received by the Administrative Agent not later than the time by which the Lenders are required to make available to the Administrative Agent their respective Loans as set forth below)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later than (i) in the case of a Term Benchmark Borrowing or an RFR Borrowing (solely to the extent applicable pursuant to Section 8.02), 10:00 a.m. (New York City time) on the date of each such Borrowing or (ii) in the case of a Base Rate Borrowing, 2:00 p.m. (New York City time) on the date of each such Borrowing, each Lender participating therein shall make available its share of such Borrowing in Federal or other funds immediately available in New York City, to the Administrative Agent at its address referred to in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2.04(c), unless the Administrative Agent determines that any applicable condition specified in ‎Article 3 has not been satisfied, the Administrative Agent will make the funds so received from the Lenders available to the Borrower at the Administrative Agent’s aforesaid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Administrative Agent shall have received notice from a Lender prior to the date of any Borrowing that such Lender will not make available to the Administrative Agent such Lender’s share of such Borrowing, the Administrative Agent may assume that such Lender has made such share available to the Administrative Agent on the date of such Borrowing in accordance with subsection (b) of this Section and the Administrative Agent may, in reliance upon such assumption, make available to the Borrower on such date a corresponding amount. If and to the extent that such Lender shall not have so made such share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(i) in the case of a payment made by a Lender, at the greater of the NYFRB Rate and a rate determined by the Administrative Agent in accordance with banking industry rules on interbank compensation and (ii) in the case of a payment made by the Borrower, at the interest rate applicable to Base Rate Loans. If such Lender shall repay to the Administrative Agent such corresponding amount, such amount so repaid shall constitute such Lender’s Loan included in such Borrowing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failure of any Lender to make a Loan required to be made by it as part of any Borrowing hereunder shall not relieve any other Lender of its obligation, if any, hereunder to make its Loan on the date of such Borrowing, but no Lender shall be responsible for the failure of any other Lender to make the Loan to be made by such other Lender on the date of the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b w:val="false"/>
          <w:i/>
          <w:caps w:val="false"/>
          <w:smallCaps w:val="false"/>
          <w:sz w:val="20"/>
        </w:rPr>
        <w:t xml:space="preserve">. Registry; Notes. </w:t>
      </w:r>
      <w:r>
        <w:rPr>
          <w:rFonts w:ascii="Times New Roman;Times;Serif" w:hAnsi="Times New Roman;Times;Serif"/>
          <w:b w:val="false"/>
          <w:i w:val="false"/>
          <w:caps w:val="false"/>
          <w:smallCaps w:val="false"/>
          <w:sz w:val="20"/>
        </w:rPr>
        <w:t>(a) The Administrative Agent, acting solely for this purpose as an agent of the Borrower, shall maintain at one of its offices a copy of each Assignment and Assumption Agreement delivered to it and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on which it will record the name and address of each Lender, each Commitment of and principal amounts (and stated interest) of each Lender, each Loan made by each Lender and each repayment of any Loan made by each Lender. Any such recordation by the Administrative Agent on the Register shall be presumptively correct, absent manifest error and the Lenders shall treat each Person whose name is recorded in the Register pursuant to the terms hereof as a Lender hereunder for all purposes of this Agreement.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agrees that, promptly upon the request of any Lender at any time, the Borrower shall deliver to such Lender a Note, duly executed by the Borrower and payable to such Lender and its registered assigns and representing the obligation of the Borrower to pay the aggregate unpaid principal amount of all Loans made to the Borrower by such Lender, with interest as provided herein on the unpaid principal amount from time to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shall record the date, amount and maturity of each Loan made by it and the date and amount of each payment of principal made by the Borrower with respect thereto, and each Lender receiving a Note pursuant to this Section, if such Lender so elects in connection with any transfer or enforcement of any Note, may record on the schedule forming a part thereof appropriate notations to evidence the foregoing information with respect to each such Loan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failure of such Lender to make any such recordation nor any error therein shall affect the obligations of the Borrower hereunder or under any Note. In the event of a conflict between any such recording and the Register, the Register should control absent manifest error</w:t>
      </w:r>
      <w:r>
        <w:rPr>
          <w:rFonts w:ascii="Times New Roman;Times;Serif" w:hAnsi="Times New Roman;Times;Serif"/>
          <w:b w:val="false"/>
          <w:i/>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b w:val="false"/>
          <w:i/>
          <w:caps w:val="false"/>
          <w:smallCaps w:val="false"/>
          <w:sz w:val="20"/>
        </w:rPr>
        <w:t>. Maturity of Loans; Amortization.</w:t>
      </w:r>
      <w:r>
        <w:rPr>
          <w:rFonts w:ascii="Times New Roman;Times;Serif" w:hAnsi="Times New Roman;Times;Serif"/>
          <w:b w:val="false"/>
          <w:i w:val="false"/>
          <w:caps w:val="false"/>
          <w:smallCaps w:val="false"/>
          <w:sz w:val="20"/>
        </w:rPr>
        <w:t xml:space="preserve"> Each Loan shall mature, and the outstanding principal amount thereof shall be due and payable,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b w:val="false"/>
          <w:i/>
          <w:caps w:val="false"/>
          <w:smallCaps w:val="false"/>
          <w:sz w:val="20"/>
        </w:rPr>
        <w:t xml:space="preserve">. Interest Rates. </w:t>
      </w:r>
      <w:r>
        <w:rPr>
          <w:rFonts w:ascii="Times New Roman;Times;Serif" w:hAnsi="Times New Roman;Times;Serif"/>
          <w:b w:val="false"/>
          <w:i w:val="false"/>
          <w:caps w:val="false"/>
          <w:smallCaps w:val="false"/>
          <w:sz w:val="20"/>
        </w:rPr>
        <w:t>(a) Each Base Rate Loan shall bear interest on the outstanding principal amount thereof, for each day from the date such Loan is made until it becomes due, at a rate per annum equal to the sum of the Base Rate plus the Applicable Margin for such day. Such interest shall be payable quarterly in arrears on each Quarterly Date and on the Maturity Date and, with respect to the principal amount of any Base Rate Loan converted to a Term Benchmark Loan, on the date of such conversion. Any overdue principal of, or interest on, any Base Rate Loan shall bear interest, payable on demand, for each day until paid at a rate per annum equal to the sum of 2% plus the rate otherwise applicable to Base Rate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Term Benchmark Loan shall bear interest on the outstanding principal amount thereof, for each day during each Interest Period applicable thereto, at a rate per annum equal to the sum of the Applicable Margin for such day plus the Term SOFR Rate applicable to such Interest Period. Such interest shall be payable for each Interest Period on the last day thereof and, if such Interest Period is longer than three months, at intervals of three months after the first day thereof, and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applicable pursuant to Section 8.02, each RFR Loan shall bear interest on the outstanding principal amount thereof at a rate per annum equal to the sum of the Applicable Margin for such day plus the Daily Simple SOFR applicable to such Interest Period. Such interest shall be payable on each date that is on the numerically corresponding day in each calendar month after the Borrowing of such Loan (or, if there is no such numerically corresponding day in such month, then the last day of such month), and on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overdue principal of or interest on any Term Benchmark Loan or RFR Loan shall bear interest, payable on demand, for each day until paid at a rate per annum equal to 2% plus the Applicable Margin applicable to such Loan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determine each interest rate applicable to the Loans hereunder. The Administrative Agent shall give prompt notice to the Borrower and the participating Lenders of each rate of interest so determined, and its determination thereof shall be conclusive in the absence of manifest error.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b w:val="false"/>
          <w:i/>
          <w:caps w:val="false"/>
          <w:smallCaps w:val="false"/>
          <w:sz w:val="20"/>
        </w:rPr>
        <w:t xml:space="preserve">. Mandatory Termination of Commitments. </w:t>
      </w:r>
      <w:r>
        <w:rPr>
          <w:rFonts w:ascii="Times New Roman;Times;Serif" w:hAnsi="Times New Roman;Times;Serif"/>
          <w:b w:val="false"/>
          <w:i w:val="false"/>
          <w:caps w:val="false"/>
          <w:smallCaps w:val="false"/>
          <w:sz w:val="20"/>
        </w:rPr>
        <w:t>Unless previously terminated, the Commitment of each Lender shall automatically terminate upon the earlier of (i) the funding by such Lender of its Loan on the Funding Date and (ii) the Commitment Termination Date. The Borrower shall provide the Administrative Agent with prompt written notice of the occurrence of the Commitment Termination Date (unless the Commitment Termination Date is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b w:val="false"/>
          <w:i/>
          <w:caps w:val="false"/>
          <w:smallCaps w:val="false"/>
          <w:sz w:val="20"/>
        </w:rPr>
        <w:t>. Optional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in the case of any Term Benchmark Borrowing to ‎Section 2.14 the Borrower may, upon notice to the Administrative Agent not later than 11:30 a.m. (New York City time) on the date of such prepayment, prepay any Group of Base Rate Loans or upon at least three U.S. Government Securities Business Days’ notice to the Administrative Agent, prepay any Group of Term Benchmark Loans, in each case in whole at any time, or from time to time in part in amounts aggregating $5,000,000 or any larger multiple of $1,000,000 by paying the principal amount to be prepaid together with accrued interest thereon to the date of prepayment. Each such optional prepayment shall be applied to prepay ratably the Loans of the several Lenders included in such Group of Loans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receipt of a notice of prepayment pursuant to this Section, the Administrative Agent shall promptly notify each affected Lender of the contents thereof and of such Lender’s ratable share of such prepayment and such notice shall not thereafter be revocable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of prepayment may state that such notice is conditioned upon the effectiveness of other credit facilities or the receipt of the proceeds from the issuance of other Debt, in which case such notice of prepayment may be revoked by the Borrower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b w:val="false"/>
          <w:i/>
          <w:caps w:val="false"/>
          <w:smallCaps w:val="false"/>
          <w:sz w:val="20"/>
        </w:rPr>
        <w:t>. General Provisions as to Payments.</w:t>
      </w:r>
      <w:r>
        <w:rPr>
          <w:rFonts w:ascii="Times New Roman;Times;Serif" w:hAnsi="Times New Roman;Times;Serif"/>
          <w:b w:val="false"/>
          <w:i w:val="false"/>
          <w:caps w:val="false"/>
          <w:smallCaps w:val="false"/>
          <w:sz w:val="20"/>
        </w:rPr>
        <w:t xml:space="preserve"> (a) The Borrower shall make each payment of principal of, and interest on, the Loans and of fees hereunder, not later than 2:00 p.m. (New York City time) on the date when due, in funds immediately available in New York City without set-off or counterclaim, to the Administrative Agent at its address referred to in ‎Section 9.02. If a Fed-Wire reference or tracer number has been received, from the Borrower or otherwise, by the Administrative Agent by that time the Borrower will not be penalized for a payment received after 2:00 p.m. (New York City time). The Administrative Agent will promptly distribute to each Lender its ratable share of each such payment received by the Administrative Agent for the account of the Lenders. Whenever any payment of principal of, or interest on, the Base Rate Loans or RFR Loans or of fees shall be due on a day which is not a Domestic Business Day, the date for payment thereof shall be extended to the next succeeding Domestic Business Day. Whenever any payment of principal of, or interest on, the Term Benchmark Loans shall be due on a day which is not a Domestic Business Day, the date for payment thereof shall be extended to the next succeeding Domestic Business Day unless such Domestic Business Day falls in another calendar month, in which case the date for payment thereof shall be the next preceding Domestic Business Day. If the date for any payment of principal is extended by operation of law or otherwise, interest thereon shall be payable for such extended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that the Borrower shall not have so made such payment, each Lender shall repay to the Administrative Agent forthwith on demand such amount distributed to such Lender together with interest thereon, for each day from and including the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 is distributed to such Lender until but excluding the date such Lender repays such amount to the Administrative Agent, at the NYFRB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shall fail to make any payment required to be made by it pursuant to ‎Section 2.04(c) or ‎Section 2.10(b), then the Administrative Agent may, in its discretion and notwithstanding any contrary provision hereof, (i) apply any amounts thereafter received by the Administrative Agent for the account of such Lender for the benefit of the Administrative Agent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b w:val="false"/>
          <w:i/>
          <w:caps w:val="false"/>
          <w:smallCaps w:val="false"/>
          <w:sz w:val="20"/>
        </w:rPr>
        <w:t>. Fees.</w:t>
      </w:r>
      <w:r>
        <w:rPr>
          <w:rFonts w:ascii="Times New Roman;Times;Serif" w:hAnsi="Times New Roman;Times;Serif"/>
          <w:b w:val="false"/>
          <w:i w:val="false"/>
          <w:caps w:val="false"/>
          <w:smallCaps w:val="false"/>
          <w:sz w:val="20"/>
        </w:rPr>
        <w:t xml:space="preserve"> (a) The Borrower shall pay to the Administrative Agent for the account of the Lenders ratably a ticking fee (the “</w:t>
      </w:r>
      <w:r>
        <w:rPr>
          <w:rFonts w:ascii="Times New Roman;Times;Serif" w:hAnsi="Times New Roman;Times;Serif"/>
          <w:b/>
          <w:i w:val="false"/>
          <w:caps w:val="false"/>
          <w:smallCaps w:val="false"/>
          <w:sz w:val="20"/>
        </w:rPr>
        <w:t>Ticking Fee</w:t>
      </w:r>
      <w:r>
        <w:rPr>
          <w:rFonts w:ascii="Times New Roman;Times;Serif" w:hAnsi="Times New Roman;Times;Serif"/>
          <w:b w:val="false"/>
          <w:i w:val="false"/>
          <w:caps w:val="false"/>
          <w:smallCaps w:val="false"/>
          <w:sz w:val="20"/>
        </w:rPr>
        <w:t>”) in Dollars at a rate per annum equal to the Applicable Ticking Fee Rate set forth in the Pricing Schedule on the daily amount of such Lender’s Commitment, accruing from and including the date that is the later of (i) October 25, 2026 and (ii) the Effective Date and to but excluding the earlier of (i) the Funding Date and (ii) the date on which the Commitments terminate (such period, the “</w:t>
      </w:r>
      <w:r>
        <w:rPr>
          <w:rFonts w:ascii="Times New Roman;Times;Serif" w:hAnsi="Times New Roman;Times;Serif"/>
          <w:b/>
          <w:i w:val="false"/>
          <w:caps w:val="false"/>
          <w:smallCaps w:val="false"/>
          <w:sz w:val="20"/>
        </w:rPr>
        <w:t>Ticking Fee Accrual Period</w:t>
      </w:r>
      <w:r>
        <w:rPr>
          <w:rFonts w:ascii="Times New Roman;Times;Serif" w:hAnsi="Times New Roman;Times;Serif"/>
          <w:b w:val="false"/>
          <w:i w:val="false"/>
          <w:caps w:val="false"/>
          <w:smallCaps w:val="false"/>
          <w:sz w:val="20"/>
        </w:rPr>
        <w:t>”), which Ticking Fee shall be earned as accrued and shall be payable in full on the last day of the Ticking Fee Accrual Period (or if such date is not a Domestic Business Day, then shall be payable in full on the next following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each of the Administrative Agent and each Arranger, for its own respective account, fees in the amounts and at the times specified in the Fee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Once paid, fees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r>
        <w:rPr>
          <w:rFonts w:ascii="Times New Roman;Times;Serif" w:hAnsi="Times New Roman;Times;Serif"/>
          <w:b w:val="false"/>
          <w:i/>
          <w:caps w:val="false"/>
          <w:smallCaps w:val="false"/>
          <w:sz w:val="20"/>
        </w:rPr>
        <w:t>. Reduction or Termination of Commitments.</w:t>
      </w:r>
      <w:r>
        <w:rPr>
          <w:rFonts w:ascii="Times New Roman;Times;Serif" w:hAnsi="Times New Roman;Times;Serif"/>
          <w:b w:val="false"/>
          <w:i w:val="false"/>
          <w:caps w:val="false"/>
          <w:smallCaps w:val="false"/>
          <w:sz w:val="20"/>
        </w:rPr>
        <w:t xml:space="preserve"> The Borrower may, upon at least three Domestic Business Days’ notice to the Administrative Agent, (i) terminate the Commitments at any time or (ii) ratably reduce from time to time by an aggregate amount of $5,000,000 or a larger multiple of $1,000,000, the aggregate amount of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r>
        <w:rPr>
          <w:rFonts w:ascii="Times New Roman;Times;Serif" w:hAnsi="Times New Roman;Times;Serif"/>
          <w:b w:val="false"/>
          <w:i/>
          <w:caps w:val="false"/>
          <w:smallCaps w:val="false"/>
          <w:sz w:val="20"/>
        </w:rPr>
        <w:t>. Method of Electing Interest Rates.</w:t>
      </w:r>
      <w:r>
        <w:rPr>
          <w:rFonts w:ascii="Times New Roman;Times;Serif" w:hAnsi="Times New Roman;Times;Serif"/>
          <w:b w:val="false"/>
          <w:i w:val="false"/>
          <w:caps w:val="false"/>
          <w:smallCaps w:val="false"/>
          <w:sz w:val="20"/>
        </w:rPr>
        <w:t xml:space="preserve"> (a) The Loans included in each Borrowing shall bear interest initially at the type of rate specified by the Borrower in the applicable Notice of Borrowing. Thereafter, the Borrower may from time to time elect to change or continue the type of interest rate borne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of Loans (subject in each case to the provisions of ‎Article 8 and the last sentence of this subsection(a)),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Loans are Base Rate Loans, the Borrower may elect to convert such Loans to Term Benchmark Loans or, to the extent available pursuant to Section 8.02, RFR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Loans are Term Benchmark Loans, the Borrower may elect to convert such Loans to Base Rate Loans or elect to continue such Loans as Term Benchmark Loans for an additional Interest Period, subject to ‎Section 2.14 in the case of any such conversion or continuation effective on any day other than the last day of the then current Interest Period applicable to such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pursuant to Section 8.02, such Loans are RFR Loans, the Borrower may elect to convert such Loans to Base Rate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election shall be made by delivering a notice (a “</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xml:space="preserve">”) to the Administrative Agent not later than 12:00 noon. (New York City time) on the third Domestic Business Day before the conversion or continuation selected in such notice is to be effective. A Notice of Interest Rate Election may, if it so specifies, apply to only a portion of the aggregate principal amount of the relevant Group of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portion is allocated ratably among the Loans comprising such Group of Loans and (ii) the portion to which such notice applies, and the remaining portion to which it does not apply, are each $5,000,000 or any larger multiple of $1,000,000. If no such notice is timely received prior to the end of an Interest Period, the Borrower shall be deemed to have elected that all Loans having such Interest Period be converted to Base Rate Loans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Notice of Interest Rate Election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Group of Loans (or portion thereof) to which such notice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conversion or continuation selected in such notice is to be effective, which shall comply with the applicable clause of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Loans comprising such Group are to be converted, the new type of Loans and, if the Loans being converted are to be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Loans, the duration of the next succeeding Interest Period applicable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Loans are to be continued as Term Benchmark Loans for an additional Interest Period, the duration of such additional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Interest Period specified in a Notice of Interest Rate Election shall comply with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 Notice of Interest Rate Election from the Borrower pursuant to subsection (a) above, the Administrative Agent shall promptly notify each affected Lender of the contents thereof and such notice shall not thereafter be revocable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election by the Borrower to change or continue the rate of interest applicable to any Group of Loans pursuant to this Section shall not constitute a “Borrowing” subject to the provisions of ‎Section 3.02.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r>
        <w:rPr>
          <w:rFonts w:ascii="Times New Roman;Times;Serif" w:hAnsi="Times New Roman;Times;Serif"/>
          <w:b w:val="false"/>
          <w:i/>
          <w:caps w:val="false"/>
          <w:smallCaps w:val="false"/>
          <w:sz w:val="20"/>
        </w:rPr>
        <w:t>. Funding Losses.</w:t>
      </w:r>
      <w:r>
        <w:rPr>
          <w:rFonts w:ascii="Times New Roman;Times;Serif" w:hAnsi="Times New Roman;Times;Serif"/>
          <w:b w:val="false"/>
          <w:i w:val="false"/>
          <w:caps w:val="false"/>
          <w:smallCaps w:val="false"/>
          <w:sz w:val="20"/>
        </w:rPr>
        <w:t xml:space="preserve"> If the Borrower makes any payment of principal with respect to any Term Benchmark Loan or any Term Benchmark Loan is converted (pursuant to ‎Article 2, ‎6 or ‎8 or otherwise) on any day other than the last day of an Interest Period applicable thereto, or if the Borrower fails to borrow, prepay, convert or continue any Term Benchmark Loans after notice has been given to any Lender in accordance with ‎Section 2.04(a), ‎2.09 or ‎2.13 the Borrower shall reimburse each affected Lender within 30 days after demand for any resulting loss or expense incurred by it, including (without limitation) any loss incurred in obtaining, liquidating or employing deposits from third parties, but excluding loss of margin for the period after any such payment or conversion or failure to borrow, prepay, convert or continue,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have delivered to the Borrower a certificate as to the amount of such loss or expense, which certificate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r>
        <w:rPr>
          <w:rFonts w:ascii="Times New Roman;Times;Serif" w:hAnsi="Times New Roman;Times;Serif"/>
          <w:b w:val="false"/>
          <w:i/>
          <w:caps w:val="false"/>
          <w:smallCaps w:val="false"/>
          <w:sz w:val="20"/>
        </w:rPr>
        <w:t>. Computation of Interest and Fees.</w:t>
      </w:r>
      <w:r>
        <w:rPr>
          <w:rFonts w:ascii="Times New Roman;Times;Serif" w:hAnsi="Times New Roman;Times;Serif"/>
          <w:b w:val="false"/>
          <w:i w:val="false"/>
          <w:caps w:val="false"/>
          <w:smallCaps w:val="false"/>
          <w:sz w:val="20"/>
        </w:rPr>
        <w:t xml:space="preserve"> Interest based on the Prime Rate hereunder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r>
        <w:rPr>
          <w:rFonts w:ascii="Times New Roman;Times;Serif" w:hAnsi="Times New Roman;Times;Serif"/>
          <w:b w:val="false"/>
          <w:i/>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r>
        <w:rPr>
          <w:rFonts w:ascii="Times New Roman;Times;Serif" w:hAnsi="Times New Roman;Times;Serif"/>
          <w:b w:val="false"/>
          <w:i/>
          <w:caps w:val="false"/>
          <w:smallCaps w:val="false"/>
          <w:sz w:val="20"/>
        </w:rPr>
        <w:t>. Defaulting Lenders.</w:t>
      </w:r>
      <w:r>
        <w:rPr>
          <w:rFonts w:ascii="Times New Roman;Times;Serif" w:hAnsi="Times New Roman;Times;Serif"/>
          <w:b w:val="false"/>
          <w:i w:val="false"/>
          <w:caps w:val="false"/>
          <w:smallCaps w:val="false"/>
          <w:sz w:val="20"/>
        </w:rPr>
        <w:t xml:space="preserve">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Defaulting Lender shall not be entitled to receive any Ticking Fee pursuant to ‎Section 2.11(a) for any period during which such Lender is a Defaulting Lender (and the Borrower shall not be required to pay any such Ticking Fee that otherwise would have been required to have been paid to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or under any other Loan Document;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3.02 were satisfied or waived, such payment shall be applied solely to pay the Loans of all Non-Defaulting Lenders on a pro rata basis prior to being applied to the payment of any Loans of such Defaulting Lender. Any payments, prepayments or other amounts paid or payable to a Defaulting Lender that are applied (or held)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amounts owed by a Defaulting Lender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Commitments or Loans of such Defaulting Lender shall not be included in determining whether the Required Lenders have taken or may take any action hereunder (including any consent to any amendment, waiver or other modification pursuant to ‎Section 9.07); it being understood that this clause (c) shall not affect the rights of a Defaulting Lender in the case of an amendment, waiver or other modification under ‎Section 9.07(a)(i), ‎Section 9.07(a)(ii) or ‎Section 9.07(a)(iii).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that the Administrative Agent and the Borrower agree that such Defaulting Lender has adequately remedied all matters that caused such Lender to be a Defaulting Lender, then such Lender shall cease to be Defaulting Lender and such Lender shall take such actions as the Administrative Agent shall determine to be appropriate in connection with such Lender ceasing to be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such Lender was a Defaulting Lender;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except to the extent otherwise expressly agreed by the affected parties, no cessation of such Lender’s Defaulting Lender status hereunder will constitute a waiver or release of any claim of any party hereunder arising from such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b w:val="false"/>
          <w:i/>
          <w:caps w:val="false"/>
          <w:smallCaps w:val="false"/>
          <w:sz w:val="20"/>
        </w:rPr>
        <w:t>. Effectiveness.</w:t>
      </w:r>
      <w:r>
        <w:rPr>
          <w:rFonts w:ascii="Times New Roman;Times;Serif" w:hAnsi="Times New Roman;Times;Serif"/>
          <w:b w:val="false"/>
          <w:i w:val="false"/>
          <w:caps w:val="false"/>
          <w:smallCaps w:val="false"/>
          <w:sz w:val="20"/>
        </w:rPr>
        <w:t xml:space="preserve"> The Commitments shall become effective upon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counterparts hereof signed by each of the parties hereto (or, in the case of any party as to which an executed counterpart shall not have been received, receipt by the Administrative Agent in form satisfactory to it of facsimile or other electronic transmission or other written confirmation from such party of execution of a counterpart hereof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an opinion of Cravath, Swaine &amp; Moore LLP, counsel for the Borrower, and an opinion of Robinson, Bradshaw &amp; Hinson, P.A., North Carolina counsel for the Borrower, in each case dated as of the Effective Date and addressed to the Administrative Agent and each Lender and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customary secretary’s certificate of the Borrower dated the Effective Date and signed by a Responsible Officer of the Borrower, attaching, and where applicable, certifying (A) a copy of the certificate of incorporation of the Borrower, certified as of a recent date prior to the Effective Date by the North Carolina Secretary of State, (B) a copy of the by-laws of the Borrower, (C) a copy of the resolutions of the board of directors of the Borrower approving the Loan Documents and the transactions contemplated thereby, (D) the names and true signatures of the officers of the Borrower authorized to sign the Loan Documents and the other documents to be delivered by the Borrower hereunder, and (E) a good standing certificate (certificate of existence) for the Borrower from the North Carolina Secretary of State dated as of a recent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a certificate, dated the Effective Date and signed by a Responsible Officer of the Borrower, (A) certifying that the representations and warranties of the Borrower contained in this Agreement are true and correct in all material respects (and in all respects to the extent any such representation and warranty is already qualified by materiality or a reference to Material Adverse Effect) on and as of the Effective Date, except to the extent that such representations and warranties specifically refer to an earlier date, in which case they shall be certified as true and correct in all material respects (and in all respects to the extent any such representation and warranty is already qualified by materiality or a reference to Material Adverse Effect) as of such earlier date and (B) certifying that no Default or Event of Default exists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Arrangers, the Administrative Agent and the Lenders shall have received all fees and invoiced expenses required to be paid by the Borrower on or prior to the Effective Date under this Agreement and the Fee Letters (in the case of expenses, to the extent invoiced at least three Domestic Business Days prior to the Effective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at least three Domestic Business Days prior to the Effective Date (A) all documentation and other information regarding the Borrower required by bank regulatory authorities under applicable “know-your-customer” and anti-money laundering rules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including the PATRIOT Act, and (B) if the Borrower qualifies as a “legal entity customer” under the Beneficial Ownership Regulation, a Beneficial Ownership Certification in relation to the Borrower, in each case of clauses (A) and (B), to the extent reasonably requested by the Administrative Agent or any Lender at least 10 Domestic Business Days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promptly notify the Borrower and the Lenders of the Effective Date, and such notice shall be conclusive and binding on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b w:val="false"/>
          <w:i/>
          <w:caps w:val="false"/>
          <w:smallCaps w:val="false"/>
          <w:sz w:val="20"/>
        </w:rPr>
        <w:t>. Funding Date.</w:t>
      </w:r>
      <w:r>
        <w:rPr>
          <w:rFonts w:ascii="Times New Roman;Times;Serif" w:hAnsi="Times New Roman;Times;Serif"/>
          <w:b w:val="false"/>
          <w:i w:val="false"/>
          <w:caps w:val="false"/>
          <w:smallCaps w:val="false"/>
          <w:sz w:val="20"/>
        </w:rPr>
        <w:t xml:space="preserve"> The obligation of each Lender to make a Loan hereunder is subject solely to the occurrence of the Effective Date and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Combins Acquisition shall have been (or, substantially concurrently with the funding of the Loans on the Funding Date, shall be) consummated pursuant to, and in all material respects in accordance with, the Combins Acquisition Agreement. The Combins Acquisition Agreement as in effect on the Signing Date shall not have been amended, supplemented or modified in any respect, or any provision or condition therein waived, or any consent granted thereunder (directly or indirectly), by the Borrower or any of its Subsidiaries, if such amendment, supplement, modification, waiver or consent would be material and adverse to the interests of the Lenders or the Arrangers (in their respective capacities as such) without the Arrangers’ prior written consent (such consent not to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any reduction, when taken together with all prior reductions, of less than 15% in the original consideration for the Combins Acquisition shall be deemed not to be (and any such reduction of 15% or more shall be deemed to be) material and adverse to the interests of the Lenders or the Arrangers (in their respective capacities as such) and (B) any increase, when taken together with all prior increases, of less than 10% in the original consideration for the Combins Acquisition shall be deemed not to be (and any such increase of 10% or more shall be deemed to be, unless solely funded by the issuance and sale of shares of common stock of the Borrower) material and adverse to the interests of the Lenders and the Arrangers (in their respective capacities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Arrangers shall have received (A) audited consolidated financial statements of the Borrower, prepared in accordance with U.S. GAAP, as of the last day of, and for, each of the two most recent fiscal years ended at least 60 days prior to the Funding Date and (B) unaudited consolidated financial statements of the Borrower, prepared in accordance with U.S. GAAP, as of the last day of, and for, any fiscal quarter (other than the fourth fiscal quarter) ended after the date of the most recent audited consolidated financial statements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delivered pursuant to clause (A) above and more than 40 days prior to the Funding Date (and corresponding periods of any prior year), it being agreed that (1) timely filing of any required audited consolidated financial statements of the Borrower on Form 10-K or required unaudited consolidated financial statements of the Borrower on Form 10-Q, in each case, with the Securities and Exchange Commission pursuant to the Exchange Act by the Borrower will satisfy the requirements of clauses (A) and (B)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subsequent Form 8-K, Item 4.02, has not been filed with respect to the financial statements included therein) and (2) the Arrangers have acknowledged receipt, as of the Signing Date, of the financial statements referred to in clause (A) above as of, and for, the fiscal years ended December 31, 2025 and December 31, 2024 and in clause (B) above as of, and for, the fiscal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and upon giving effect to the funding of the Loans on the Funding Date, (A) the Specified Representations shall be true and correct in all material respects (and in all respects to the extent any such representation and warranty is already qualified by materiality or a reference to Material Adverse Effect), except to the extent that any Specified Representation specifically refers to an earlier date or period, in which case such Specified Representation shall be true and correct in all material respects (and in all respects to the extent such Specified Representation is already qualified by materiality or a reference to Material Adverse Effect) as of such earlier date or period and (B) no Event of Default under Section 6.01(a), (b), (c), (h) (solely with respect to the Borrower) or (i) (solely with respect to the Borrower)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Arrangers, the Administrative Agent and the Lenders shall have received all fees and invoiced expenses required to be paid by the Borrower on or prior to the Funding Date under this Agreement and the Fee Letters (in the case of expenses, to the extent invoiced at least three Domestic Business Days prior to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 a certificate, dated the Funding Date and signed by a Responsible Officer of the Borrower, certifying that the conditions specified in Sections 3.02(a) and 3.02(c) have been satisfied, (B) a Notice of Borrowing in accordance with Section 2.02 (which shall not contain any representations or warranties) and (C) a solvency certificate from the chief financial officer of the Borrower in the form attached as Exhibit B hereto as to the solvency of the Borrower and its Subsidiaries, on a consolidated basis as of the Funding Date after giving effect to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of the Funding Date, (A) the Existing Indebtedness (as defined in the Combins Acquisition Agreement) shall have been (or, substantially contemporaneously with the funding of the Loans hereunder, shall be) repaid,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repurchased or redeemed and any commitments thereunder shall be terminated, to the extent provided for in the Combins Acquisition Agreement or (B) irrevocable notices of prepayment, repurchase or redemption in full shall have been delivered with respect to the Existing Indebtedness (as defined in the Combins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on the Effective Date (except with respect to Section 4.17) and the Funding Date (after giving effect to the Transactions)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b w:val="false"/>
          <w:i/>
          <w:caps w:val="false"/>
          <w:smallCaps w:val="false"/>
          <w:sz w:val="20"/>
        </w:rPr>
        <w:t>. Corporate Existence and Power.</w:t>
      </w:r>
      <w:r>
        <w:rPr>
          <w:rFonts w:ascii="Times New Roman;Times;Serif" w:hAnsi="Times New Roman;Times;Serif"/>
          <w:b w:val="false"/>
          <w:i w:val="false"/>
          <w:caps w:val="false"/>
          <w:smallCaps w:val="false"/>
          <w:sz w:val="20"/>
        </w:rPr>
        <w:t xml:space="preserve"> (a) Each of the Borrower and its Restricted Subsidiaries (i) is a corporation duly organized and validly existing under the laws of the state of its incorporation, (ii) is in good standing therein, and (iii) is duly qualified to transact business in all jurisdictions where such qualification is necessary, except for such jurisdictions where the failure to be so qualified or licensed will not be reasonably likely to have a Material Adverse Effect; (b) the Borrower has corporate power to enter into and perform this Agreement; and (c) the Borrower has the corporate power to borrow and issue Notes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b w:val="false"/>
          <w:i/>
          <w:caps w:val="false"/>
          <w:smallCaps w:val="false"/>
          <w:sz w:val="20"/>
        </w:rPr>
        <w:t>. Corporate Authorization; No Contravention.</w:t>
      </w:r>
      <w:r>
        <w:rPr>
          <w:rFonts w:ascii="Times New Roman;Times;Serif" w:hAnsi="Times New Roman;Times;Serif"/>
          <w:b w:val="false"/>
          <w:i w:val="false"/>
          <w:caps w:val="false"/>
          <w:smallCaps w:val="false"/>
          <w:sz w:val="20"/>
        </w:rPr>
        <w:t xml:space="preserve"> The execution, delivery and performance by the Borrower of this Agreement and the Notes (i) are within the corporate powers of the Borrower, (ii) have been duly authorized by all necessary corporate action and (iii) do not contravene, or constitute a default under, (x) any provision (1) of applicable law or regulation or (2) of the certificate of incorporation or by-laws of the Borrower or (y) of any agreement, judgment, injunction, order, decree or other instrument binding upon the Borrower or any of its Subsidiaries, if such contravention or default would be reasonably likely to have a Material Adverse Effect, or (iv) result in the creation or imposition of any Lien on any asset of the Borrower or any of its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b w:val="false"/>
          <w:i/>
          <w:caps w:val="false"/>
          <w:smallCaps w:val="false"/>
          <w:sz w:val="20"/>
        </w:rPr>
        <w:t>. Binding Effect.</w:t>
      </w:r>
      <w:r>
        <w:rPr>
          <w:rFonts w:ascii="Times New Roman;Times;Serif" w:hAnsi="Times New Roman;Times;Serif"/>
          <w:b w:val="false"/>
          <w:i w:val="false"/>
          <w:caps w:val="false"/>
          <w:smallCaps w:val="false"/>
          <w:sz w:val="20"/>
        </w:rPr>
        <w:t xml:space="preserve"> This Agreement and any Notes constitute valid and binding agreements of the Borrower enforceable against the Borrower in accordance with their respective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b w:val="false"/>
          <w:i/>
          <w:caps w:val="false"/>
          <w:smallCaps w:val="false"/>
          <w:sz w:val="20"/>
        </w:rPr>
        <w:t>. Financial Information.</w:t>
      </w:r>
      <w:r>
        <w:rPr>
          <w:rFonts w:ascii="Times New Roman;Times;Serif" w:hAnsi="Times New Roman;Times;Serif"/>
          <w:b w:val="false"/>
          <w:i w:val="false"/>
          <w:caps w:val="false"/>
          <w:smallCaps w:val="false"/>
          <w:sz w:val="20"/>
        </w:rPr>
        <w:t xml:space="preserve"> (a) The consolidated balance sheet of the Borrower and its Consolidated Subsidiaries as of December 31, 2025 and the related consolidated statements of earnings and cash flows for the fiscal year then ended, reported on by PricewaterhouseCoopers LLP and set forth in the Borrower’s 2025 Form 10-K, fairly present in all material respects, in conformity with generally accepted accounting principles, the consolidated financial position of the Borrower and its Consolidated Subsidiaries as of such date and their consolidated results of operations and cash flows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unaudited consolidated balance sheet of the Borrower and its Consolidated Subsidiaries as of March 31, 2026 and the related unaudited consolidated statements of earnings and cash flows for the three months then ended, set forth in the Borrower’s Form 10-Q for March 31, 2026 and for the period of three months then ended filed with the Securities and Exchange Commission, a copy of which has been delivered to each of the Lenders, fairly present in all material respects, in conformity with generally accepted accounting principles applied on a basis consistent with the financial statements referred to in subsection (a) of this Section, the consolidated financial position of the Borrower and its Consolidated Subsidiaries as of such date and their consolidated results of operations and cash flows for such three-month period (subject to normal year-end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December 31, 2025, there has been no change in the consolidated financial condition of the Borrower and its Consolidated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b w:val="false"/>
          <w:i/>
          <w:caps w:val="false"/>
          <w:smallCaps w:val="false"/>
          <w:sz w:val="20"/>
        </w:rPr>
        <w:t>. Litigation.</w:t>
      </w:r>
      <w:r>
        <w:rPr>
          <w:rFonts w:ascii="Times New Roman;Times;Serif" w:hAnsi="Times New Roman;Times;Serif"/>
          <w:b w:val="false"/>
          <w:i w:val="false"/>
          <w:caps w:val="false"/>
          <w:smallCaps w:val="false"/>
          <w:sz w:val="20"/>
        </w:rPr>
        <w:t xml:space="preserve"> There are no suits, actions or proceedings pending, or to the knowledge of any member of the Borrower’s legal department threatened against the Borrower or any Subsidiary, the adverse determination of which is reasonably likely to occur, and if so adversely determined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b w:val="false"/>
          <w:i/>
          <w:caps w:val="false"/>
          <w:smallCaps w:val="false"/>
          <w:sz w:val="20"/>
        </w:rPr>
        <w:t>. Taxes.</w:t>
      </w:r>
      <w:r>
        <w:rPr>
          <w:rFonts w:ascii="Times New Roman;Times;Serif" w:hAnsi="Times New Roman;Times;Serif"/>
          <w:b w:val="false"/>
          <w:i w:val="false"/>
          <w:caps w:val="false"/>
          <w:smallCaps w:val="false"/>
          <w:sz w:val="20"/>
        </w:rPr>
        <w:t xml:space="preserve"> The Borrower and each Subsidiary (a) has timely filed or caused to be filed all Tax returns and reports required to have been filed by it, except to the extent that failure to do so could not reasonably be expected to result in a Material Adverse Effect, and (b) has paid or caused to be paid all Taxes required to have been paid by it, except for (i) those not yet delinquent, (ii) those the nonpayment of which, individually and in the aggregate, would not be reasonably likely to have a Material Adverse Effect or (iii) those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bdr w:val="single" w:sz="16" w:space="1" w:color="BFBFBF"/>
        </w:rPr>
      </w:pPr>
      <w:r>
        <w:rPr>
          <w:bdr w:val="single" w:sz="16" w:space="1" w:color="BFBFBF"/>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b w:val="false"/>
          <w:i/>
          <w:caps w:val="false"/>
          <w:smallCaps w:val="false"/>
          <w:sz w:val="20"/>
        </w:rPr>
        <w:t>. Margin Regulations.</w:t>
      </w:r>
      <w:r>
        <w:rPr>
          <w:rFonts w:ascii="Times New Roman;Times;Serif" w:hAnsi="Times New Roman;Times;Serif"/>
          <w:b w:val="false"/>
          <w:i w:val="false"/>
          <w:caps w:val="false"/>
          <w:smallCaps w:val="false"/>
          <w:sz w:val="20"/>
        </w:rPr>
        <w:t xml:space="preserve"> No part of the proceeds of any Loan will be used in a manner which would violate, or result in a violation of,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The Borrower and its Restricted Subsidiaries are in compliance in all material respects with all applicable laws, rules and regulations, other than such laws, rules and regulations (i) the validity or applicability of which the Borrower or such Subsidiary is contesting in good faith or (ii) the failure to comply with which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b w:val="false"/>
          <w:i/>
          <w:caps w:val="false"/>
          <w:smallCaps w:val="false"/>
          <w:sz w:val="20"/>
        </w:rPr>
        <w:t>. Governmental Approvals.</w:t>
      </w:r>
      <w:r>
        <w:rPr>
          <w:rFonts w:ascii="Times New Roman;Times;Serif" w:hAnsi="Times New Roman;Times;Serif"/>
          <w:b w:val="false"/>
          <w:i w:val="false"/>
          <w:caps w:val="false"/>
          <w:smallCaps w:val="false"/>
          <w:sz w:val="20"/>
        </w:rPr>
        <w:t xml:space="preserve"> No consent, approval, authorization, permit or license from, or registration or filing with, any Governmental Authority is required in connection with the making of this Agreement, with the exception of routine periodic filings made under the Exchange Act and such consents, approvals, authorizations, permits, licenses, registrations or filings which have already been completed or obtained.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b w:val="false"/>
          <w:i/>
          <w:caps w:val="false"/>
          <w:smallCaps w:val="false"/>
          <w:sz w:val="20"/>
        </w:rPr>
        <w:t>. Pari Passu Obligations.</w:t>
      </w:r>
      <w:r>
        <w:rPr>
          <w:rFonts w:ascii="Times New Roman;Times;Serif" w:hAnsi="Times New Roman;Times;Serif"/>
          <w:b w:val="false"/>
          <w:i w:val="false"/>
          <w:caps w:val="false"/>
          <w:smallCaps w:val="false"/>
          <w:sz w:val="20"/>
        </w:rPr>
        <w:t xml:space="preserve"> Under applicable United States laws (including state and local laws) in force at the date hereof, the claims and rights of the Lenders and the Administrative Agent against the Borrower under this Agreement and the Notes will not be subordinate to, and will rank at least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claims and rights of any other unsecured creditors of the Borrower (except to the extent provided by bankruptcy, reorganization, insolvency, moratorium or other similar laws of general application relating to or affecting the enforcement of creditors’ rights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r>
        <w:rPr>
          <w:rFonts w:ascii="Times New Roman;Times;Serif" w:hAnsi="Times New Roman;Times;Serif"/>
          <w:b w:val="false"/>
          <w:i/>
          <w:caps w:val="false"/>
          <w:smallCaps w:val="false"/>
          <w:sz w:val="20"/>
        </w:rPr>
        <w:t>. No Defaults.</w:t>
      </w:r>
      <w:r>
        <w:rPr>
          <w:rFonts w:ascii="Times New Roman;Times;Serif" w:hAnsi="Times New Roman;Times;Serif"/>
          <w:b w:val="false"/>
          <w:i w:val="false"/>
          <w:caps w:val="false"/>
          <w:smallCaps w:val="false"/>
          <w:sz w:val="20"/>
        </w:rPr>
        <w:t xml:space="preserve"> The payment obligations of the Borrower and its Restricted Subsidiaries in respect of any Material Debt are not overdue (after giving effect to any cure period or period of grace applicable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r>
        <w:rPr>
          <w:rFonts w:ascii="Times New Roman;Times;Serif" w:hAnsi="Times New Roman;Times;Serif"/>
          <w:b w:val="false"/>
          <w:i/>
          <w:caps w:val="false"/>
          <w:smallCaps w:val="false"/>
          <w:sz w:val="20"/>
        </w:rPr>
        <w:t>. Full Disclosure.</w:t>
      </w:r>
      <w:r>
        <w:rPr>
          <w:rFonts w:ascii="Times New Roman;Times;Serif" w:hAnsi="Times New Roman;Times;Serif"/>
          <w:b w:val="false"/>
          <w:i w:val="false"/>
          <w:caps w:val="false"/>
          <w:smallCaps w:val="false"/>
          <w:sz w:val="20"/>
        </w:rPr>
        <w:t xml:space="preserve"> All information (it being understood that such information shall be deemed to include all recent filings on Form 10-K and Form 10-Q and any filing on Form 8-K, or posted on the Borrower’s website, filed or posted since the Borrower’s most recent filing on Form 10-Q) furnished to the Lenders in writing prior to the date hereof in connection with the transactions contemplated hereby does not, collectively, contain any material misstatement of a material fact or omit to state a material fact necessary to make the statements contained therein (when furnished and taken as a whole), in the light of the circumstances under which they were made, not misleading in any material respect on and as of the date hereof (as modified or supplemented by other information that has been or is simultaneously so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forecasts and other forward-looking information), the Borrower represents only that such information was prepared in good faith based upon assumptions believed to be reasonable at the time (it being understood that such forecasts and projections may vary from actual results and that such variances may be material);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this ‎Section 4.12, such information shall not include information of a general economic or general industry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r>
        <w:rPr>
          <w:rFonts w:ascii="Times New Roman;Times;Serif" w:hAnsi="Times New Roman;Times;Serif"/>
          <w:b w:val="false"/>
          <w:i/>
          <w:caps w:val="false"/>
          <w:smallCaps w:val="false"/>
          <w:sz w:val="20"/>
        </w:rPr>
        <w:t>. ERISA.</w:t>
      </w:r>
      <w:r>
        <w:rPr>
          <w:rFonts w:ascii="Times New Roman;Times;Serif" w:hAnsi="Times New Roman;Times;Serif"/>
          <w:b w:val="false"/>
          <w:i w:val="false"/>
          <w:caps w:val="false"/>
          <w:smallCaps w:val="false"/>
          <w:sz w:val="20"/>
        </w:rPr>
        <w:t xml:space="preserve"> Each member of the ERISA Group has fulfilled its obligations under the minimum funding standards of ERISA and the Internal Revenue Code with respect to each Plan and is in substantial compliance in all material respects with the presently applicable material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made any amendment to any Plan which, in either case, has resulted or could result in the imposition of a material Lien or the posting of a material bond or other material security under ERISA or the Internal Revenue Code or (iii) incurred any material liability under Title IV of ERISA other than a liability to the PBGC for premiums under Section 4007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r>
        <w:rPr>
          <w:rFonts w:ascii="Times New Roman;Times;Serif" w:hAnsi="Times New Roman;Times;Serif"/>
          <w:b w:val="false"/>
          <w:i/>
          <w:caps w:val="false"/>
          <w:smallCaps w:val="false"/>
          <w:sz w:val="20"/>
        </w:rPr>
        <w:t>. Environmental Matters.</w:t>
      </w:r>
      <w:r>
        <w:rPr>
          <w:rFonts w:ascii="Times New Roman;Times;Serif" w:hAnsi="Times New Roman;Times;Serif"/>
          <w:b w:val="false"/>
          <w:i w:val="false"/>
          <w:caps w:val="false"/>
          <w:smallCaps w:val="false"/>
          <w:sz w:val="20"/>
        </w:rPr>
        <w:t xml:space="preserve"> The Financial Statements described in ‎Section 4.04(a) provide certain information regarding environmental matters related to properties currently owned by the Borrower or its Restricted Subsidiaries, previously owned properties, and other properties. Since December 31, 2025, environmental matters have not caused any material adverse change in the consolidated financial condition of the Borrower and the Consolidated Subsidiaries from that shown by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Borrower, ongoing operations at the Principal Properties are currently being conducted in substantial compliance with applicable Environmental Laws except to the extent that noncompliance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r>
        <w:rPr>
          <w:rFonts w:ascii="Times New Roman;Times;Serif" w:hAnsi="Times New Roman;Times;Serif"/>
          <w:b w:val="false"/>
          <w:i/>
          <w:caps w:val="false"/>
          <w:smallCaps w:val="false"/>
          <w:sz w:val="20"/>
        </w:rPr>
        <w:t>. Regulatory Restrictions on Borrowing.</w:t>
      </w:r>
      <w:r>
        <w:rPr>
          <w:rFonts w:ascii="Times New Roman;Times;Serif" w:hAnsi="Times New Roman;Times;Serif"/>
          <w:b w:val="false"/>
          <w:i w:val="false"/>
          <w:caps w:val="false"/>
          <w:smallCaps w:val="false"/>
          <w:sz w:val="20"/>
        </w:rPr>
        <w:t xml:space="preserve"> The Borrower is not an “investment company” within the meaning of the Investment Company Act of 1940, as amended, or otherwise subject to any regulatory scheme which restricts its ability to incur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Legal Status</w:t>
      </w:r>
      <w:r>
        <w:rPr>
          <w:rFonts w:ascii="Times New Roman;Times;Serif" w:hAnsi="Times New Roman;Times;Serif"/>
          <w:b w:val="false"/>
          <w:i w:val="false"/>
          <w:caps w:val="false"/>
          <w:smallCaps w:val="false"/>
          <w:sz w:val="20"/>
        </w:rPr>
        <w:t xml:space="preserve">. The Borrower, its Subsidiaries and their respective directors and officers and, to the knowledge of the Borrower, employees and agents are in compliance with applicable Sanctions in all material respects. None of the Borrower, its Subsidiaries, or their respective directors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or, to the knowledge of the Borrower, employees or agents is a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and their respective officers and directors and, to the knowledge of the Borrower, their respective employees and agents, are in compliance with the Foreign Corrupt Practices Act, 15 U.S.C. §§ 78dd-1, et seq., as amended from time to time, and other anti-corruption laws in effect in jurisdictions in which the Borrower and its Subsidiaries do business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The Borrower has not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or (iii) with the intent to induce the recipient to misuse his or her official position to direct business wrongfully to the Borrower in violation of Anti-Corruption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have implemented and maintain in effect policies and procedures reasonably designed to ensure compliance by the 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in this Section 4.16 are not being sought by any Lender that is subject to </w:t>
      </w:r>
      <w:r>
        <w:rPr>
          <w:rFonts w:ascii="Times New Roman;Times;Serif" w:hAnsi="Times New Roman;Times;Serif"/>
          <w:b w:val="false"/>
          <w:i/>
          <w:caps w:val="false"/>
          <w:smallCaps w:val="false"/>
          <w:sz w:val="20"/>
        </w:rPr>
        <w:t>Council Regulation (EC) No 2271/96 and/or Section 7 of the German Foreign Trade and Payments Ordinance (Außenwirtschaftsverordnung) (in connection with Section 4 Paragraph 1 No. 3 of the German Foreign Trade and Payments Act (Außenwirtschaftsgesetz))</w:t>
      </w:r>
      <w:r>
        <w:rPr>
          <w:rFonts w:ascii="Times New Roman;Times;Serif" w:hAnsi="Times New Roman;Times;Serif"/>
          <w:b w:val="false"/>
          <w:i w:val="false"/>
          <w:caps w:val="false"/>
          <w:smallCaps w:val="false"/>
          <w:sz w:val="20"/>
        </w:rPr>
        <w:t xml:space="preserve"> or other similar blocking or anti-boycott laws (collectively, the “</w:t>
      </w:r>
      <w:r>
        <w:rPr>
          <w:rFonts w:ascii="Times New Roman;Times;Serif" w:hAnsi="Times New Roman;Times;Serif"/>
          <w:b/>
          <w:i w:val="false"/>
          <w:caps w:val="false"/>
          <w:smallCaps w:val="false"/>
          <w:sz w:val="20"/>
        </w:rPr>
        <w:t>Blocking Regulations</w:t>
      </w:r>
      <w:r>
        <w:rPr>
          <w:rFonts w:ascii="Times New Roman;Times;Serif" w:hAnsi="Times New Roman;Times;Serif"/>
          <w:b w:val="false"/>
          <w:i w:val="false"/>
          <w:caps w:val="false"/>
          <w:smallCaps w:val="false"/>
          <w:sz w:val="20"/>
        </w:rPr>
        <w:t>”) if and to the extent that such representations and warranties would give rise to a violation by such party of the Blocking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As of the Funding Date, immediately after giving effect to the consummation of the Combins Acquisition and the other Transactions, including the making of the Loans and the application of the proceeds thereof, (a) the fair value of the property of the Borrower and its Subsidiaries, on a consolidated basis, will exceed, on a consolidated basis, their debts and liabilities, subordinated, contingent or otherwise; (b) the present fair saleable value of the property of the Borrower and its Subsidiaries, on a consolidated basis, will be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will be able to pay their debts and liabilities, subordinated, contingent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as such debts and liabilities become absolute and matured; and (d) the Borrower and its Subsidiaries, on a consolidated basis, will not be engaged in, and will not be about to engage in, business for which they have unreasonably small capital. For purposes of this Section 4.17, the amount of any contingent liability at any time shall be computed as the amount that would reasonably be expected to become an actual and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Effective Date and so long as any Lender has any Commitment or any Loan or other Obligation hereunder shall remain unpaid or unsatisfied, the Borrower agrees that, unless the Required Lenders shall otherwise consent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b w:val="false"/>
          <w:i/>
          <w:caps w:val="false"/>
          <w:smallCaps w:val="false"/>
          <w:sz w:val="20"/>
        </w:rPr>
        <w:t>. Information.</w:t>
      </w:r>
      <w:r>
        <w:rPr>
          <w:rFonts w:ascii="Times New Roman;Times;Serif" w:hAnsi="Times New Roman;Times;Serif"/>
          <w:b w:val="false"/>
          <w:i w:val="false"/>
          <w:caps w:val="false"/>
          <w:smallCaps w:val="false"/>
          <w:sz w:val="20"/>
        </w:rPr>
        <w:t xml:space="preserve"> The Borrower will deliver to the Administrative Agent which will deliver to each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60 days after the end of each of its first three quarterly accounting periods in each fiscal year, consolidated statements of earnings and cash flows of the Borrower and the Consolidated Subsidiaries for the period from the beginning of such fiscal year to the end of such fiscal period and the related consolidated balance sheet of the Borrower and the Consolidated Subsidiaries as at the end of such fiscal period, all in reasonable detail (it being understood that delivery of such statements as filed with the Securities and Exchange Commission shall be deemed to satisfy the requirements of this subsection) and accompanied by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period and for the period involved, subject, however, to year-end audit adjustments,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120 days after the end of each fiscal year, consolidated statements of earnings and cash flows of the Borrower and the Consolidated Subsidiaries for such year and the related consolidated balance sheets of the Borrower and the Consolidated Subsidiaries as at the end of such year, all in reasonable detail and accompanied by (i) an opinion of an independent, certified public accountant of recognized standing selected by the Borrower as to such consolidated financial statements (it being understood that delivery of such statements as filed with the Securities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shall be deemed to satisfy the requirements of this subsection), and (ii)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year and for the year involved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their becoming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all financial statements, stockholder reports and proxy statements that the Borrower shall have sent to its stockholders generally;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copies of all registration statements filed by the Borrower under the Securities Act of 1933, as amended (other than registration statements on Form S-8 or any registration statement filed in connection with a dividend reinvestment plan), and regular and periodic reports, if any, which the Borrower shall have filed with the Securities and Exchange Commission (or any governmental agency or agencies substituted therefor) under Section 13 or Section 15(d) of the Exchange Act, or with any national or international securities exchange (other than those on Form 11-K or any successor form) (it being understood that delivery of such statements and reports, or those referenced in the immediately preceding sub-clause (i), as filed with the Securities and Exchange Commission shall be deemed to satisfy the requirements of this subsection);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time to time, with reasonable promptness, such further information regarding the business and financial condition of the Borrower and its Subsidiaries as any Lender may reasonably request through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 notice of the occurrence of any Default;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 notice of all litigation and of all proceedings before any governmental or regulatory agency pending (or, to the knowledge of the General Counsel of the Borrower, threatened) and affecting the Borrower or any Restricted Subsidiary, except litigation or proceedings which, if adversely determined,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set of financial statements delivered pursuant to ‎Section 5.01(a) or ‎5.01(b) shall be accompanied by or include the computations showing, in the form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whether the Borrower was, at the end of the relevant fiscal period, in compliance with the provisions of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b w:val="false"/>
          <w:i/>
          <w:caps w:val="false"/>
          <w:smallCaps w:val="false"/>
          <w:sz w:val="20"/>
        </w:rPr>
        <w:t>. Payment of Obligations.</w:t>
      </w:r>
      <w:r>
        <w:rPr>
          <w:rFonts w:ascii="Times New Roman;Times;Serif" w:hAnsi="Times New Roman;Times;Serif"/>
          <w:b w:val="false"/>
          <w:i w:val="false"/>
          <w:caps w:val="false"/>
          <w:smallCaps w:val="false"/>
          <w:sz w:val="20"/>
        </w:rPr>
        <w:t xml:space="preserve"> The Borrower will pay and discharge, and will cause each Restricted Subsidiary to pay and discharge, all material Taxes imposed upon it or upon its income or profits, or upon any property belonging to it, prior to the date on which penalties attach thereto, and all lawful material claims which, if unpaid, might become a Lien upon the property of the Borrower or such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such Restricted Subsidiary shall be required to pay any such Tax or claim (i) the payment of which is being contested in good faith and by appropriate proceedings and for which adequate reserves have been provided in accordance with GAAP, (ii) not yet delinquent or (iii) the non-payment of which, individually or in the aggregate,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b w:val="false"/>
          <w:i/>
          <w:caps w:val="false"/>
          <w:smallCaps w:val="false"/>
          <w:sz w:val="20"/>
        </w:rPr>
        <w:t xml:space="preserve">. Insurance. </w:t>
      </w:r>
      <w:r>
        <w:rPr>
          <w:rFonts w:ascii="Times New Roman;Times;Serif" w:hAnsi="Times New Roman;Times;Serif"/>
          <w:b w:val="false"/>
          <w:i w:val="false"/>
          <w:caps w:val="false"/>
          <w:smallCaps w:val="false"/>
          <w:sz w:val="20"/>
        </w:rPr>
        <w:t>The Borrower will maintain, and will cause each Restricted Subsidiary to maintain, insurance from responsible companies in such amounts and against such risks as is reasonable, taking into consideration the practices of businesses in the same line of business or of similar size as the Borrower or such Restricted Subsidiary, or, to a reasonable extent, self-insurance.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b w:val="false"/>
          <w:i/>
          <w:caps w:val="false"/>
          <w:smallCaps w:val="false"/>
          <w:sz w:val="20"/>
        </w:rPr>
        <w:t>. Maintenance of Existence.</w:t>
      </w:r>
      <w:r>
        <w:rPr>
          <w:rFonts w:ascii="Times New Roman;Times;Serif" w:hAnsi="Times New Roman;Times;Serif"/>
          <w:b w:val="false"/>
          <w:i w:val="false"/>
          <w:caps w:val="false"/>
          <w:smallCaps w:val="false"/>
          <w:sz w:val="20"/>
        </w:rPr>
        <w:t xml:space="preserve"> The Borrower (i) will preserve and maintain, and will cause each Restricted Subsidiary to preserve and maintain, its corporate existence and (ii) will take all reasonable action to preserve and maintain all of its rights, privileges and franchises necessary or desirable in the normal conduct of its business, except to the extent that failure to do so would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contained shall prevent the termination of the business or corporate existence of any Restricted Subsidiary which in the judgment of the Borrower is no longer necessary or desirable, a merger or consolidation of a Restricted Subsidiary into or with the Borrower (if the Borrower is the surviving corporation) or another Subsidiary or any other merger, consolidation or transfer of assets that is not prohibited by Section 5.07, as long as immediately after giving effect to any such transaction,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b w:val="false"/>
          <w:i/>
          <w:caps w:val="false"/>
          <w:smallCaps w:val="false"/>
          <w:sz w:val="20"/>
        </w:rPr>
        <w:t>. Maintenance of Properties.</w:t>
      </w:r>
      <w:r>
        <w:rPr>
          <w:rFonts w:ascii="Times New Roman;Times;Serif" w:hAnsi="Times New Roman;Times;Serif"/>
          <w:b w:val="false"/>
          <w:i w:val="false"/>
          <w:caps w:val="false"/>
          <w:smallCaps w:val="false"/>
          <w:sz w:val="20"/>
        </w:rPr>
        <w:t xml:space="preserve"> The Borrower will keep, and will cause each Restricted Subsidiary to keep, all of its tangible properties necessary, in the judgment of the Borrower, in its business in good working order and condition (ordinary wear and tear, and damage caused by casualty, excepted), except to the extent that failure to do so would not reasonably be expected to have a Material Adverse Effect. Nothing in this ‎Section 5.05 shall prevent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any Restricted Subsidiary from discontinuing the operation or maintenance, or both the operation and maintenance, of any properties of the Borrower or any such Restricted Subsidiary if such discontinuance is, in the judgment of the Borrower (or such Restricted Subsidiary), desirable in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(a) The Borrower will comply, and will cause each Restricted Subsidiary to comply, with the requirements of all applicable laws, rules, regulations, and orders of any Governmental Authority (including Environmental Laws, ERISA and the Internal Revenue Code and the rules and regulations thereunder), a breach of which would be reasonably likely to have a Material Adverse Effect, except where contested in good faith and by proper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its Subsidiaries will maintain in effect policies and procedures reasonably designed to ensure compliance by the Borrower, its Subsidiaries, and their respective directors, officers, employees and agents with Anti-Corruption Laws and applicable Sanctions. The covenants in this Section 5.06(b) are not being sought by any Lender that is subject to the Blocking Regulations if and to the extent that such covenants would give rise to a violation by such party of the Blocking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b w:val="false"/>
          <w:i/>
          <w:caps w:val="false"/>
          <w:smallCaps w:val="false"/>
          <w:sz w:val="20"/>
        </w:rPr>
        <w:t>. Mergers, Consolidations and Sales of Assets.</w:t>
      </w:r>
      <w:r>
        <w:rPr>
          <w:rFonts w:ascii="Times New Roman;Times;Serif" w:hAnsi="Times New Roman;Times;Serif"/>
          <w:b w:val="false"/>
          <w:i w:val="false"/>
          <w:caps w:val="false"/>
          <w:smallCaps w:val="false"/>
          <w:sz w:val="20"/>
        </w:rPr>
        <w:t xml:space="preserve"> (a) The Borrower will not consolidate with or merge into any other Person or convey or transfer its properties and assets substantially as an entirety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 Consolidated Subsidiary that is incorporated under the laws of the United States, any state thereof or the District of Columbia is the surviving corporation of any such consolidation or merger or is the Person that acquires by conveyance or transfer the properties and assets of the Borrower substantially as an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Consolidated Subsidiary is the surviving corporation or is the Person that acquires the property and assets of the Borrower substantially as an entirety, it shall expressly assume the performance of every covenant of this Agreement and of the Notes on the part of the Borrower to be performed or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Borrower is not the surviving entity, the Borrower has delivered to the Administrative Agent an Officer’s Certificate and a legal opinion of its General Counsel, Associate General Counsel or Assistant General Counsel, upon the express instruction of the Borrower for the benefit of the Administrative Agent and the Lenders, each stating that such transaction complies with this Section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any consolidation by the Borrower with, or merger by the Borrower into, a Consolidated Subsidiary, the result of which is that such Consolidated Subsidiary is the surviving entity, or any conveyance or transfer of the properties and assets of the Borrower substantially as an entirety to a Consolidated Subsidiary, the Consolidated Subsidiary into which the Borrower is merged or consolidated or to which such conveyance or transfer is made shall succeed to, and be substituted for, and may exercise every right and power of, the Borrower, as the case may be, under this Agreement with the same effect as if such Consolidated Subsidiary had been named as the Borrower, as the case may be, herein, and thereafter, in the case of a transfer or conveyance permitted by ‎Section 5.07(a), the Borrower shall be relieved of all obligations and covenants under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b w:val="false"/>
          <w:i/>
          <w:caps w:val="false"/>
          <w:smallCaps w:val="false"/>
          <w:sz w:val="20"/>
        </w:rPr>
        <w:t xml:space="preserve">. Negative Pledge. </w:t>
      </w:r>
      <w:r>
        <w:rPr>
          <w:rFonts w:ascii="Times New Roman;Times;Serif" w:hAnsi="Times New Roman;Times;Serif"/>
          <w:b w:val="false"/>
          <w:i w:val="false"/>
          <w:caps w:val="false"/>
          <w:smallCaps w:val="false"/>
          <w:sz w:val="20"/>
        </w:rPr>
        <w:t>Neither the Borrower nor any Restricted Subsidiary will create, assume or suffer to exist any Lien on any asset now owned or hereafter acquired by 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Debt of a Restricted Subsidiary owing to the Borrower or to another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Lien existing on any asset of any person at the time such person becomes a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on any asset securing Debt incurred or assumed for the purpose of financing all or any part of the cost of acquiring such asset (and/or, in the case of the acquisition of a business, any Lien on the equity and/or assets of the acquired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 attaches to such asset concurrently with or within 180 days after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Lien on any asset of any person existing at the time such person is merged or consolidated with or into the Borrower or a Restricted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Lien existing on any asset prior to the acquisition thereof by the Borrower or a Subsidiary and not created in contemplation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Lien arising out of the refinancing, extension, renewal or refunding of any Debt secured by any Lien permitted by any of the foregoing clauses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Debt is not increased and is not secured by any additional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in favor of any customer (including any Governmental Authority) to secure partial, progress, advance or other payments or performance pursuant to any contract or statute or to secure any related indebtedness or to secure Debt guaranteed by a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incurred in the ordinary course of business not securing Debt that do not impair in any material respect the usefulness in the business of the Borrower and its Restricted Subsidiaries of the assets to which such Liens attach;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carriers’, warehousemen’s, mechanics’, materialmen’s, suppliers’ or other similar Liens, in each case arising in the ordinary course of business securing obligations which are not overdue for a period of more than 30 days or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for taxes, assessments or governmental charges or levies, in each case arising in the ordinary course of business securing obligations which are (i) not overdue or (ii)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arising by operation of law in favor of any lender to the Borrower or any Restricted Subsidiary in the ordinary course of business constituting a banker’s lien or right of offset in moneys of the Borrower or a Restricted Subsidiary deposited with such lender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licenses or sublicenses of intellectual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interests of lessees, lessors, licensees and licensors under leases, subleases, licenses or sublicenses, as applicable, in, and the interest of managers or operators with respect to, real or personal property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deposits to secure the performance of bids, trade contracts and leases (other than Debt), statutory obligations, surety bonds (other than bonds related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or litigation), performance bonds and other obligations of a like nature incurred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solely on any cash earnest money deposits made by the Borrower or any of its Restricted Subsidiaries in connection with any letter of intent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securing judgments for the payment of money not constituting an Event of Default under ‎Section 6.01(j) or securing appeal bonds in respect of appeals being prosecuted in good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pledges and deposits in the ordinary course of business in connection with workers’ compensation, unemployment insurance and other social security or retirement benefits legislation or similar law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arising out of a conditional sale, title retention, consignment or similar arrangement for the sale of goods entered into by the Borrower or any of its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that are contractual rights of set-off (i) relating to the establishment of depositary relations with banks or other financial institutions not given in connection with the issuance of Debt, (ii) relating to pooled deposit or sweep accounts of the Borrower or any of its Restricted Subsidiaries to permit satisfaction of overdraft or similar obligations incurred in the ordinary course of business of the Borrower or any of its Restricted Subsidiaries or (iii) relating to agreements other than in connection with Debt or Derivatives Obligations entered into by the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Liens on cash and cash equivalents securing Derivatives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and cash equivalents subject to such Liens may at no time exceed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Liens securing Debt equally and ratably securing the Loans and such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Required Lenders may, in their sole discretion, refuse to take any Lien on any asset (which refusal will not limit the Borrower’s or any Restricted Subsidiary’s ability to incur a Lien otherwise permitted by this ‎Section 5.08(w)); such Lien may equally and ratably secure the Loans and any other obligation of the Borrower or any of its Subsidiaries, other than an obligation that is subordinated to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securing contingent obligations in an aggregate principal amount not to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not otherwise permitted by the foregoing clauses of this Section securing obligations in an aggregate principal or face amount at any date not to exceed at the time of incurrence the greater of 12.5% of Consolidated Net Worth and $800,000,000;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on accounts receivable and related assets securing obligations under the Borrower’s Securitization Facility in an aggregate amount not to exceed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 security interest arising solely as a result of, or the filing of UCC financing statements in connection with, any sale by the Borrower or any of its Subsidiaries of accounts receivable not prohibited by Section 5.07 shall not constitute a Lien prohibited by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b w:val="false"/>
          <w:i/>
          <w:caps w:val="false"/>
          <w:smallCaps w:val="false"/>
          <w:sz w:val="20"/>
        </w:rPr>
        <w:t xml:space="preserve">. Leverage Ratio. </w:t>
      </w:r>
      <w:r>
        <w:rPr>
          <w:rFonts w:ascii="Times New Roman;Times;Serif" w:hAnsi="Times New Roman;Times;Serif"/>
          <w:b w:val="false"/>
          <w:i w:val="false"/>
          <w:caps w:val="false"/>
          <w:smallCaps w:val="false"/>
          <w:sz w:val="20"/>
        </w:rPr>
        <w:t xml:space="preserve">The Leverage Ratio shall not exceed as of the last day of any fiscal quarter ending after the Funding Date: (a) for the first three fiscal quarters ending after the Funding Date, 4.75:1.00, (b) for the next succeeding three fiscal quarters, 4.25:1.00 and (c) thereafter, 3.75:1.00;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(i) Consolidated Debt has increased in connection with a Specified Acquisition that has been consummated within such fiscal quarter or the three fiscal quarters immediately prior to such fiscal quarter and (ii) the Borrower has stated in the compliance certificate delivered pursuant to ‎Section 5.01(a) for such fiscal quarter that the condition set forth in clause (i) above has been satisfied (and specifying the date of such Specified Acquisition), then the Borrower shall be permitted to elect that any additional Consolidated Debt incurred in connection with such Specified Acquisition shall be excluded from Consolidated Debt for purposes of calculating the Leverage Ratio, but only if the Leverage Ratio determined at such time but calculated without giving effect to such exclusion does not exceed 4.25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5.09, a “</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means any single acquisition by the Borrower or a Subsidiary of the Borrower (x) of any Person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that is in the same line or lines of business as the Borrower or in the judgment of the Borrower related line or lines of business, (y) as to which such Target’s board of directors has not objected and (z) that involves cash payments, as of the date of the closing thereof, to the seller or sellers of the Target in excess of $225,000,000. The Combins Acquisition shall not constitute a Specified Acquisition for the purposes of this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b w:val="false"/>
          <w:i/>
          <w:caps w:val="false"/>
          <w:smallCaps w:val="false"/>
          <w:sz w:val="20"/>
        </w:rPr>
        <w:t xml:space="preserve">. Use of Proceeds. </w:t>
      </w:r>
      <w:r>
        <w:rPr>
          <w:rFonts w:ascii="Times New Roman;Times;Serif" w:hAnsi="Times New Roman;Times;Serif"/>
          <w:b w:val="false"/>
          <w:i w:val="false"/>
          <w:caps w:val="false"/>
          <w:smallCaps w:val="false"/>
          <w:sz w:val="20"/>
        </w:rPr>
        <w:t>(a) The Borrower will use the proceeds of the Loans solely to (i) pay a portion of the consideration payable pursuant to the Combins Acquisition Agreement and (ii) pay fees and expenses related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 of the proceeds of any Loan will be used directly or, to the knowledge of the Borrower, indirectly (a) to fund any operations, activities, business or transactions of, in, or with, a Sanctioned Person or a Sanctioned Country, (b) in any manner that would result in the violation of any Sanctions applicable to any party hereto, (c) in furtherance of an offer, payment, promise to pay, or authorization of the payment or giving of money, or anything else of value, to any Person in violation of any Anti-Corruption Laws or (d) in violation of any Anti-Money Laundering Laws. The covenants in this paragraph are not being sought by any Lender that is subject to the Blocking Regulations if and to the extent that such covenants would give rise to a violation by such party of the Blocking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b w:val="false"/>
          <w:i/>
          <w:caps w:val="false"/>
          <w:smallCaps w:val="false"/>
          <w:sz w:val="20"/>
        </w:rPr>
        <w:t xml:space="preserve">. Transactions with Affiliates. </w:t>
      </w:r>
      <w:r>
        <w:rPr>
          <w:rFonts w:ascii="Times New Roman;Times;Serif" w:hAnsi="Times New Roman;Times;Serif"/>
          <w:b w:val="false"/>
          <w:i w:val="false"/>
          <w:caps w:val="false"/>
          <w:smallCaps w:val="false"/>
          <w:sz w:val="20"/>
        </w:rPr>
        <w:t>The Borrower will not, and will not permit any Restricted Subsidiary to, directly or indirectly, pay any funds to or for the account of, make any investment (whether by acquisition of stock or indebtedness, by loan, advance, transfer of property, guarantee or other agreement to pay, purchase or service, directly or indirectly, any Debt, or otherwise) in, lease, sell, transfer or otherwise dispose of any assets, tangible or intangible, to, or participate in, or effect, any transaction with, any Affiliate except (i) transactions on an arms-length basis on terms at least as favorable to the Borrower or such Restricted Subsidiary than could have been obtained from a third party who was not an Affiliate, and (ii) transactions described in this ‎Section 5.12 that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b w:val="false"/>
          <w:i/>
          <w:caps w:val="false"/>
          <w:smallCaps w:val="false"/>
          <w:sz w:val="20"/>
        </w:rPr>
        <w:t xml:space="preserve">. Event of Default. </w:t>
      </w:r>
      <w:r>
        <w:rPr>
          <w:rFonts w:ascii="Times New Roman;Times;Serif" w:hAnsi="Times New Roman;Times;Serif"/>
          <w:b w:val="false"/>
          <w:i w:val="false"/>
          <w:caps w:val="false"/>
          <w:smallCaps w:val="false"/>
          <w:sz w:val="20"/>
        </w:rPr>
        <w:t>If one or more of the following events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pay within 5 days of the due date thereof (i) any Ticking Fee or (ii) interest on 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fail to pay within 30 days after a request for payment by any Lender acting through the Administrative Agent any other amount that becomes due and payable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fail to observe or perform any agreement contained in Section 5.01(e), Section 5.01(f) or Section 5.07 through 5.10 (and, with respect to Section 5.01(e), such failure shall have continued for 5 days after a Responsible Officer of the Borrower obtains knowledge of the underlying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fail to observe or perform any covenant or agreement contained in this Agreement (other than those covered by clauses ‎(a) through ‎(d) above) for 30 days after notice thereof has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representation, warranty or certification made by the Borrower in this Agreement or in any certificate or notice delivered pursuant to the terms of this Agreement shall prove to have been incorrect in any material respect when made and such deficiency shall remain unremedied for five days after 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Material Financial Obligations shall become due before stated maturity by the acceleration of the maturity thereof by reason of default, or any Material Financial Obligations shall become due by its terms and shall not be paid (after giving effect to any grace period with respect thereto) and, in any case aforesaid in this clause ‎(g), corrective action satisfactory to the Required Lenders shall not have been taken within 5 days after written notice of the situation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or any Restricted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Borrower or any Restricted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Borrower or any Restricted Subsidiary under the federal bankruptcy laws as now or hereafter in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final judgment for the payment of money in excess of $250,000,000 shall have been entered against the Borrower or any Restricted Subsidiary, and the Borrower or such Subsidiary shall not have satisfied the same within 60 days, or caused execution thereon to be stayed within 60 days, and such failure to satisfy or stay such judgment shall remain unremedied for 5 days after 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final judgment either (1) requiring termination or imposing liability (other than for premiums under Section 4007 of ERISA) under Title IV of ERISA in respect of, or requiring a trustee to be appointed under Title IV of ERISA to administer, any Plan or Plans having aggregate Unfunded Liabilities in excess of $250,000,000 or (2) in an action relating to a Multiemployer Plan involving a current payment obligation in excess of $250,000,000, which judgment, in either case, has not been satisfied or stayed within 60 days and such failure to satisfy or stay is unremedied for 5 days after notice thereof shall have been given to the Borrower by the Administrative Agent at the request of the Required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person or group of persons (within the meaning of Section 13 or 14 of the Securities Exchange Act of 1934, as amended) shall have acquired beneficial ownership (within the meaning of Rule 13d-3 promulgated by the Securities and Exchange Commission under said Act) of 35% or more of the outstanding shares of common stock of the Borrower; or during any two-year period, individuals who at the beginning of such period constituted the Borrower’s Board of Directors (together with any new director whose election by the Board of Directors or whose nomination for election by the shareholders of the Borrower was approved by a vote of at least two-thirds of the directors then in office who either were directors as the beginning of such period or whose election or nomination for election was previously so approved) cease for any reason to constitute a majority of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the Administrative Agent shall, if requested by the Required Lenders, (i) by notice to the Borrower terminate the Commitments and they shall thereupon terminate, or (ii) by notice to the Borrower declare the Loans, interest accrued thereon and all other amounts payable hereunder to be, and the same shall thereupon become, immediately due and payable without presentment, demand, protest or other notice of any kind, all of which are hereby waived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the filing by the Borrower of a petition, or (B) an actual or deemed entry of an order for relief with respect to the Borrower, in each case under the federal bankruptcy laws as now or hereafter in effect, without any notice to the Borrower or any other act by the Administrative Agent or the Lenders, the Commitments shall thereupon terminate and the Loans, interest accrued thereon and all other amounts payable hereunder shall become immediately due and payable without presentment, demand, protest or other notice of any kind, all of which are hereby waived by the Borrower.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during the period from and including the Effective Date to and including the earlier of the termination of the Commitments or the funding of the Loans on the Funding Date, and notwithstanding (a) that any representation made on the Effective Date or on the Funding Date (excluding the Specified Representations) was incorrect, (b) any failure by the Borrower or any of its Subsidiaries to comply with any of the covenants set forth in Article 5, (c) the occurrence of any Event of Default (other than any Event of Default under Section 6.01(a), (b), (c), (h) (solely with respect to the Borrower) or (i) (solely with respect to the Borrower)), (d) that any condition to the Effective Date may subsequently be determined not to have been satisfied or (e) any provision to the contrary in this Agreement or any other Loan Document, neither the Administrative Agent nor any Lender shall be entitled to (other than in the case of any Event of Default under Section 6.01(a), (b), (c), (h) (solely with respect to the Borrower) or (i) (solely with respect to the Borrower)) (i) rescind, terminate or cancel the Commitments pursuant to this Section 6.01, or exercise any right or remedy under this Agreement or any other Loan Document, to the extent to do so would prevent, limit or delay the making of the Loans, (ii) refuse to participate in making its Loans or (iii) exercise any right of set-off (including pursuant to Section 9.06) or counterclaim in respect of its Loans to the extent to do so would prevent, limit or delay the making of its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 the making of Loans shall be subject to the satisfaction (or waiver in accordance with Section 9.07) of the conditions set forth in Section 3.02 and (B) the Commitments shall be reduced as provided in Section 2.08 or 2.12. For the avoidance of doubt, (x) the rights and remedies of the Lenders, the Arrangers and the Administrative Agent with respect to any condition set forth in Section 3.02 shall not be limited in the event that any such condition is not satisfied (or waived in accordance with Section 9.07) on the Funding Date, (y) immediately after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funding of the Loans on the Funding Date, all of the rights, remedies and entitlements of the Administrative Agent and the Lenders hereunder shall be available and may be exercised by them notwithstanding that such rights, remedies or entitlements were not available prior to such time under this paragraph and (z) nothing in this paragraph shall affect the rights, remedies or entitlements (or the ability to exercise the same) of the Administrative Agent or the Lenders with respect to any Event of Default under Section 6.01(a), (b), (c), (h) (solely with respect to the Borrower) or (i) (solely with respect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b w:val="false"/>
          <w:i/>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(i) the occurrence and during the continuance of an Event of Default, the termination of the Commitments or the acceleration of the Loans and notice thereof to the Administrative Agent by the Borrower or the Required Lenders or (ii) the occurrence and during the continuance of an Event of Default under Section 6.01(a), (b), (c), (h) or (i) and notice thereof to the Administrative Agent by the Borrower or the Required Lenders, all payments received on account of the Obligations shall, subject to Section 2.17, be applied by the Administrative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Obligations constituting fees, indemnities, expenses and other amounts payable to the Administrative Agent (including fees and disbursements and other charges of counsel to the Administrative Agent payable under Section 9.04 and amounts pursuant to Section 2.11(b)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that portion of the Obligations constituting fees, expenses, indemnities and other amounts payable to the Lenders (including fees and disbursements and other charges of counsel to the Lenders payable under Section 9.04) arising under the Loan Documents, ratably among them in proportion to the respective amounts described in this clause (ii)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that portion of the Obligations constituting accrued and unpaid interest on the Loans, ratably among the Lenders in proportion to the respective amounts described in this clause (iii)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to payment of that portion of the Obligations constituting unpaid principal of the Loans, ratably among the Lenders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 to the respective amounts described in this clause (iv)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finally</w:t>
      </w:r>
      <w:r>
        <w:rPr>
          <w:rFonts w:ascii="Times New Roman;Times;Serif" w:hAnsi="Times New Roman;Times;Serif"/>
          <w:b w:val="false"/>
          <w:i w:val="false"/>
          <w:caps w:val="false"/>
          <w:smallCaps w:val="false"/>
          <w:sz w:val="20"/>
        </w:rPr>
        <w:t>, the balance, if any, after all Obligations have been indefeasibly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b w:val="false"/>
          <w:i/>
          <w:caps w:val="false"/>
          <w:smallCaps w:val="false"/>
          <w:sz w:val="20"/>
        </w:rPr>
        <w:t xml:space="preserve">. Appointment and Authorization. </w:t>
      </w:r>
      <w:r>
        <w:rPr>
          <w:rFonts w:ascii="Times New Roman;Times;Serif" w:hAnsi="Times New Roman;Times;Serif"/>
          <w:b w:val="false"/>
          <w:i w:val="false"/>
          <w:caps w:val="false"/>
          <w:smallCaps w:val="false"/>
          <w:sz w:val="20"/>
        </w:rPr>
        <w:t xml:space="preserve">(a) Each Lender irrevocably appoints and authorizes the Administrative Agent to take such action as agent on its behalf and to exercise such powers under this Agreement and the Notes as are delegated to the Administrative Agent by the terms hereof or thereof, together with all such powers as are reasonably incidental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not commence any legal action or proceeding before a court of law on behalf of any Lender without such Lender’s prior written consent.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the Borrower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2.07, 2.11, 8.01, 8.04 and 9.04) allowed in such judicial proceeding;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center"/>
        <w:rPr>
          <w:bdr w:val="single" w:sz="16" w:space="1" w:color="BFBFBF"/>
        </w:rPr>
      </w:pPr>
      <w:r>
        <w:rPr>
          <w:bdr w:val="single" w:sz="16" w:space="1" w:color="BFBFBF"/>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9.04).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xml:space="preserve">. Administrative Agent and Affiliates. </w:t>
      </w:r>
      <w:r>
        <w:rPr>
          <w:rFonts w:ascii="Times New Roman;Times;Serif" w:hAnsi="Times New Roman;Times;Serif"/>
          <w:b w:val="false"/>
          <w:i w:val="false"/>
          <w:caps w:val="false"/>
          <w:smallCaps w:val="false"/>
          <w:sz w:val="20"/>
        </w:rPr>
        <w:t>JPMorgan Chase Bank, N.A. shall have the same rights and powers under this Agreement as any other Lender and may exercise or refrain from exercising the same as though it were not the Administrative Agent, and JPMorgan Chase Bank, N.A. and its affiliates may accept deposits from, lend money to, and generally engage in any kind of business with the Borrower or any Subsidiary or affiliate of the Borrower as if it were not the Administrative Agent. The term “Lender” or “Lenders” shall, unless expressly indicated, include JPMorgan Chase Bank, N.A. (and any successor acting as Administrative Agent) in its capacity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xml:space="preserve">. Action by Administrative Agent. </w:t>
      </w:r>
      <w:r>
        <w:rPr>
          <w:rFonts w:ascii="Times New Roman;Times;Serif" w:hAnsi="Times New Roman;Times;Serif"/>
          <w:b w:val="false"/>
          <w:i w:val="false"/>
          <w:caps w:val="false"/>
          <w:smallCaps w:val="false"/>
          <w:sz w:val="20"/>
        </w:rPr>
        <w:t>The obligations of the Administrative Agent hereunder are only those expressly set forth herein. Without limiting the generality of the foregoing, the Administrative Agent shall not be required to take any action with respect to any Default, except as expressly provided in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b w:val="false"/>
          <w:i/>
          <w:caps w:val="false"/>
          <w:smallCaps w:val="false"/>
          <w:sz w:val="20"/>
        </w:rPr>
        <w:t xml:space="preserve">. Consultation with Experts. </w:t>
      </w:r>
      <w:r>
        <w:rPr>
          <w:rFonts w:ascii="Times New Roman;Times;Serif" w:hAnsi="Times New Roman;Times;Serif"/>
          <w:b w:val="false"/>
          <w:i w:val="false"/>
          <w:caps w:val="false"/>
          <w:smallCaps w:val="false"/>
          <w:sz w:val="20"/>
        </w:rPr>
        <w:t>The Administrative Agent may consult with legal counsel (who may be counsel for the Borrower), independent public accountants and other experts selected by it and shall not be liable to any Lender for any action taken or omitted to be taken by it in good faith in accordance with the advice of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 xml:space="preserve">Administrative Agent’s Reliance; Limitation of Liability. </w:t>
      </w: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shall be deemed not to have knowledge of any (i) notice of any of the events or circumstances set forth or described in Section 5.01(e) unless and until written notice thereof stating that it is a “notice under Section 5.01(e)”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3 or elsewhere in any Loan Document, other than to confirm receipt of items (which on their face purport to be such items) expressly required to be delivered to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or any Lender as a result of, any determination of the Commitments or Loans outstanding or any portion thereof attributable to each Lender.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Administrative Agent (i) may treat the payee of any promissory note as its holder until such promissory note has been assigned in accordance with Section 9.08, (ii) may rely on the Register to the extent set forth in Section 2.05,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b w:val="false"/>
          <w:i/>
          <w:caps w:val="false"/>
          <w:smallCaps w:val="false"/>
          <w:sz w:val="20"/>
        </w:rPr>
        <w:t>. Posting of Communications</w:t>
      </w:r>
      <w:r>
        <w:rPr>
          <w:rFonts w:ascii="Times New Roman;Times;Serif" w:hAnsi="Times New Roman;Times;Serif"/>
          <w:b w:val="false"/>
          <w:i w:val="false"/>
          <w:caps w:val="false"/>
          <w:smallCaps w:val="false"/>
          <w:sz w:val="20"/>
        </w:rPr>
        <w:t>. (a) 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Although the Approved Electronic Platform and its primary web portal are secured with generally-applicable security procedures and policies implemented or modified by the Administrative Agent from time to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THE SYNDICATION AGENT OR ANY OF THEIR RESPECTIVE RELATED PARTIES (COLLECTIVELY, “</w:t>
      </w:r>
      <w:r>
        <w:rPr>
          <w:rFonts w:ascii="Times New Roman;Times;Serif" w:hAnsi="Times New Roman;Times;Serif"/>
          <w:b/>
          <w:i w:val="false"/>
          <w:caps w:val="false"/>
          <w:smallCaps w:val="false"/>
          <w:sz w:val="20"/>
        </w:rPr>
        <w:t>APPLICABLE PARTIES</w:t>
      </w:r>
      <w:r>
        <w:rPr>
          <w:rFonts w:ascii="Times New Roman;Times;Serif" w:hAnsi="Times New Roman;Times;Serif"/>
          <w:b w:val="false"/>
          <w:i w:val="false"/>
          <w:caps w:val="false"/>
          <w:smallCaps w:val="false"/>
          <w:sz w:val="20"/>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xml:space="preserve">” means, collectively, any notice, demand, communication, information, document or other material provided by or on behalf of the Borrower pursuant to any Loan Document or the transactions contemplated therein which is distributed by the Administrative Agent or any Lender by means of electronic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b w:val="false"/>
          <w:i/>
          <w:caps w:val="false"/>
          <w:smallCaps w:val="false"/>
          <w:sz w:val="20"/>
        </w:rPr>
        <w:t xml:space="preserve">. Acknowledgments of Lenders. </w:t>
      </w:r>
      <w:r>
        <w:rPr>
          <w:rFonts w:ascii="Times New Roman;Times;Serif" w:hAnsi="Times New Roman;Times;Serif"/>
          <w:b w:val="false"/>
          <w:i w:val="false"/>
          <w:caps w:val="false"/>
          <w:smallCaps w:val="false"/>
          <w:sz w:val="20"/>
        </w:rPr>
        <w:t xml:space="preserve">(a)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the Syndication Agent, any Documentation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independently and without reliance upon the Administrative Agent, any Arranger, the Syndication Agent, any Documentation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Agreement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Domestic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7.07(c)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Domestic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party’s obligations under this Section 7.07(c)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b w:val="false"/>
          <w:i/>
          <w:caps w:val="false"/>
          <w:smallCaps w:val="false"/>
          <w:sz w:val="20"/>
        </w:rPr>
        <w:t xml:space="preserve">. Successor Administrative Agents. </w:t>
      </w:r>
      <w:r>
        <w:rPr>
          <w:rFonts w:ascii="Times New Roman;Times;Serif" w:hAnsi="Times New Roman;Times;Serif"/>
          <w:b w:val="false"/>
          <w:i w:val="false"/>
          <w:caps w:val="false"/>
          <w:smallCaps w:val="false"/>
          <w:sz w:val="20"/>
        </w:rPr>
        <w:t xml:space="preserve">(a) The Administrative Agent may resign at any time by giving notice thereof to the Lenders and the Borrower. Upon any such resignation, the Borrower shall, so long as no Event of Default shall have occurred and be continuing, have the right, with the consent of the Required Lenders, to appoint any of the Lenders as a successor Administrative Agent. In the event that a Default has occurred and is continuing, the Required Lenders shall have the right to appoint the successor Administrative Agent. If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Administrative Agent shall have been so appointed, and shall have accepted such appointment, within 30 days after the retiring Administrative Agent gives notice of resignation, the retiring Administrative Agent may, on behalf of the Lenders, appoint a successor Administrative Agent, which shall be a commercial bank organized or licensed under the laws of the United States of America or of any State thereof and having a combined capital and surplus of at least $50,000,000. Upon the acceptance of its appointment as an Administrative Agent hereunder by a successor Administrative Agent, such successor Administrative Agent shall thereupon succeed to and become vested with all the rights and duties of the retiring Administrative Agent, and the retiring Administrative Agent shall be discharged from its duties and obligations hereunder as Administrative Agent. After any retiring Administrative Agent’s resignation hereunder as Administrative Agent, the provisions of this Article shall inure to its benefit as to any actions taken or omitted to be taken by it while it was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b w:val="false"/>
          <w:i/>
          <w:caps w:val="false"/>
          <w:smallCaps w:val="false"/>
          <w:sz w:val="20"/>
        </w:rPr>
        <w:t xml:space="preserve">. Administrative Agent’s Fees. </w:t>
      </w:r>
      <w:r>
        <w:rPr>
          <w:rFonts w:ascii="Times New Roman;Times;Serif" w:hAnsi="Times New Roman;Times;Serif"/>
          <w:b w:val="false"/>
          <w:i w:val="false"/>
          <w:caps w:val="false"/>
          <w:smallCaps w:val="false"/>
          <w:sz w:val="20"/>
        </w:rPr>
        <w:t>The Borrower shall pay to the Administrative Agent for its own account fees in the amounts and at the times previously agreed upon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b w:val="false"/>
          <w:i/>
          <w:caps w:val="false"/>
          <w:smallCaps w:val="false"/>
          <w:sz w:val="20"/>
        </w:rPr>
        <w:t xml:space="preserve">. Other Agents. </w:t>
      </w:r>
      <w:r>
        <w:rPr>
          <w:rFonts w:ascii="Times New Roman;Times;Serif" w:hAnsi="Times New Roman;Times;Serif"/>
          <w:b w:val="false"/>
          <w:i w:val="false"/>
          <w:caps w:val="false"/>
          <w:smallCaps w:val="false"/>
          <w:sz w:val="20"/>
        </w:rPr>
        <w:t>Nothing in this Agreement shall impose upon any Agent other than the Administrative Agent, in its capacity as such an Agent, any obligation or liability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b w:val="false"/>
          <w:i/>
          <w:caps w:val="false"/>
          <w:smallCaps w:val="false"/>
          <w:sz w:val="20"/>
        </w:rPr>
        <w:t>. Certain ERISA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caps w:val="false"/>
          <w:smallCaps w:val="false"/>
          <w:sz w:val="20"/>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i w:val="false"/>
          <w:caps w:val="false"/>
          <w:smallCaps w:val="false"/>
          <w:sz w:val="20"/>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APPROVED BORROWER PORTAL IS PROVIDED “AS IS” AND “AS AVAILABLE”. THE APPLICABLE PARTIES (AS DEFINED BELOW) DO NOT WARRANT THE ACCURACY OR COMPLETENESS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THE SYNDICATION AGENT, ANY DOCUMENTATION AGENT OR ANY OF THEIR RESPECTIVE RELATED PARTIES (COLLECTIVELY, “</w:t>
      </w:r>
      <w:r>
        <w:rPr>
          <w:rFonts w:ascii="Times New Roman;Times;Serif" w:hAnsi="Times New Roman;Times;Serif"/>
          <w:b/>
          <w:i/>
          <w:caps w:val="false"/>
          <w:smallCaps w:val="false"/>
          <w:sz w:val="20"/>
        </w:rPr>
        <w:t>APPLICABLE PARTIES</w:t>
      </w:r>
      <w:r>
        <w:rPr>
          <w:rFonts w:ascii="Times New Roman;Times;Serif" w:hAnsi="Times New Roman;Times;Serif"/>
          <w:b w:val="false"/>
          <w:i w:val="false"/>
          <w:caps w:val="false"/>
          <w:smallCaps w:val="false"/>
          <w:sz w:val="20"/>
        </w:rPr>
        <w:t>”) HAVE ANY LIABILITY TO THE BORROWER,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Communications</w:t>
      </w:r>
      <w:r>
        <w:rPr>
          <w:rFonts w:ascii="Times New Roman;Times;Serif" w:hAnsi="Times New Roman;Times;Serif"/>
          <w:b w:val="false"/>
          <w:i w:val="false"/>
          <w:caps w:val="false"/>
          <w:smallCaps w:val="false"/>
          <w:sz w:val="20"/>
        </w:rPr>
        <w:t>” means, collectively, any Notice of Borrowing, Notice of Interest Rate Election, notice of prepayment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Change 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b w:val="false"/>
          <w:i/>
          <w:caps w:val="false"/>
          <w:smallCaps w:val="false"/>
          <w:sz w:val="20"/>
        </w:rPr>
        <w:t>. Increased Cost and Reduced Return; Capital Adequacy.</w:t>
      </w:r>
      <w:r>
        <w:rPr>
          <w:rFonts w:ascii="Times New Roman;Times;Serif" w:hAnsi="Times New Roman;Times;Serif"/>
          <w:b w:val="false"/>
          <w:i w:val="false"/>
          <w:caps w:val="false"/>
          <w:smallCaps w:val="false"/>
          <w:sz w:val="20"/>
        </w:rPr>
        <w:t xml:space="preserve"> (a) If after the date hereof, in the case of any Loan or any obligation to make Loans, a Change in Law shall (i) impose, modify or deem applicable any reserve, special deposit, assessment (excluding Taxes) or similar requirement (including, without limitation, any such requirement imposed by the Board of Governors of the Federal Reserve System pursuant to Regulation D or otherwise, as herein provided) against assets of, deposits with or for the account of, or credit extended by, any Lender, (ii) subject any Administrative Agent or Lender to any Taxes (other than (A) Indemnified Taxes imposed on or with respect to any payment made by or on account of any obligation of the Borrower hereunder or (B) Taxes described in Sections 8.04(b)(v)-(z)) on its loans, loan principal, letters of credit, commitments, or other obligations, or its deposits, reserves, other liabilities or capital attributable thereto, or (iii) impose on any Lender or the applicable interbank market any other condition affecting its Term Benchmark Loans, its Note or its obligations to make Term Benchmark Loans and the result of any of the foregoing is to increase the cost to such Lender (or its Applicable Lending Office) of making or maintaining any Term Benchmark Loan or to reduce the amount of any sum received or receivable by such Lender under this Agreement or under its Note, by an amount deemed by such Lender to be material, then, within 15 days after written demand therefor made through the Administrative Agent, in the form of the certificate referred to in ‎Section 8.01(c), the Borrower shall pay to such Lender such additional amount or amounts as will compensate such Lender for such increased cost or reduction;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effect of ‎Section 8.01(a) (but without duplication), if any Lender determines at any time after the date on which this Agreement becomes effective that a Change in Law will have the effect of increasing the amount of capital or liquidity required to be maintained by such Lender (or its Parent) based on the existence of such Lender’s Loans, Commitment and/or other obligations hereunder, then the Borrower shall pay to such Lender, within 15 days after its written demand therefor made through the Administrative Agent in the form of the certificate referred to in ‎Section 8.01(c), such additional amounts as shall be required to compensate such Lender for any reduction in the rate of return on capital of such Lender (or its Parent) as a result of such increased capital or liquidity requirement;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(i) a Lender shall increase its level of capital above the level maintained by such Lender on the date of this Agreement and there has not been a Change in Law or (ii) there has been a Change in Law and a Lender shall increase its level of capital by an amount greater than the increase attributable (taking into consideration the same variables taken into consideration in determining the level of capital maintained by such Lender on the date of this Agreement) to such Change in Law, the Borrower shall not be required to pay any amount or amounts under this Agreement with respect to any such increase in capital. Thus, for example, a Lender which is “adequately capitalized” (as such term or any similar term is used by any applicable bank regulatory agency having authority with respect to such Lender) may not require the Borrower to make payments in respect of increases in such Lender’s level of capital made under the circumstances described in clause ‎(i) or ‎(ii) above which improve its capital position from “adequately capitalized” to “well capitalized” (as such term or any similar term is used by any applicable bank regulatory agency having authority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will promptly notify the Borrower, through the Administrative Agent, of any event of which it has knowledge, occurring after the date on which this Agreement becomes effective, which will entitle such Lender to compensation pursuant to this ‎Section 8.01 and will use commercially reasonable efforts to designate a different Applicable Lending Office if such designation will avoid the need for, or reduce the amount of, such compensation and will not, in the sole judgment of such Lender, subject such Lender to any unreimbursed cost or expense or be otherwise disadvantageous to such Lender. A certificate of any Lender claiming compensation under this ‎Section 8.01 and setting forth the additional amount or amounts to be paid to it hereunder and setting forth the basis for the determination thereof shall be conclusive in the absence of manifest error. In determining such amount, such Lender shall act reasonably and in good faith, and may use any reasonable averaging and attribution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Alternate Rate of Interest</w:t>
      </w:r>
      <w:r>
        <w:rPr>
          <w:rFonts w:ascii="Times New Roman;Times;Serif" w:hAnsi="Times New Roman;Times;Serif"/>
          <w:b w:val="false"/>
          <w:i w:val="false"/>
          <w:caps w:val="false"/>
          <w:smallCaps w:val="false"/>
          <w:sz w:val="20"/>
        </w:rPr>
        <w:t>. (a) Subject to clauses (b), (c), (d), (e) and (f) of this Section 8.02,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adequate and reasonable means do not exist for ascertaining the applicable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 or (B) at any time, Daily Simple SOFR will not adequately and fairly reflect the cost to such Lenders (or Lender) of making or maintaining their Loans (or its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of Interest Rate Election in accordance with the terms of Section 2.03 or a Notice of Borrowing in accordance with the terms of Section 2.02, (1) any Notice of Interest Rate Election that requests the conversion of any Borrowing to, or continuation of any Borrowing as, a Term Benchmark Borrowing and any Notice of Borrowing that requests a Term Benchmark Borrowing shall instead be deemed to be a Notice of Interest Rate Election or a Notice of Borrowing, as applicable, for (x) an RFR Borrowing so long as the Daily Simple SOFR is not also the subject of Section 8.02(a)(i) or (ii) above or (y) an Base Rate Borrowing if the Daily Simple SOFR also is the subject of Section 8.02(a)(i) or (ii) above and (2) any Notice of Borrowing that requests an RFR Borrowing shall instead be deemed to be a Notice of Borrowing, as applicable, for a Base Rate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8.02(a)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Interest Rate Election in accordance with the terms of Section 2.03 or a new Notice of Borrowing in accordance with the terms of Section 2.02, (1) any Term Benchmark Loan shall on the last day of the Interest Period applicable to such Loan, be converted by the Administrative Agent to, and shall constitute, (x) an RFR Borrowing so long as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also the subject of Section 8.02(a)(i) or (ii) above or (y) a Base Rate Loan if the Daily Simple SOFR also is the subject of Section 8.02(a)(i) or (ii) above, on such day, and (2) any RFR Loan shall on and from such day be converted by the Administrative Agent to, and shall constitute a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Domestic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(1)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(2)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Daily Simple SOFR is not the subject of a Benchmark Transition Event or (B) an Base Rate Borrowing if the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the Borrower’s receipt of notice of the commencement of a Benchmark Unavailability Period with respect to a Relevant Rate applicable to such Term Benchmark Loan or RFR Loan, then until such time as a Benchmark Replacement is implemented pursuant to this ‎Section 8.02, (1) any Term Benchmark Loan shall on the last day of the Interest Period applicable to such Loan, be converted by the Administrative Agent to, and shall constitute, (x) an RFR Borrowing so long as the Daily Simple SOFR is not the subject of a Benchmark Transition Event or (y) a Base Rate Loan if the Daily Simple SOFR is the subject of a Benchmark Transition Event, on such day and (2) any RFR Loan shall on and from such day be converted by the Administrative Agent to, and shall constitute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b w:val="false"/>
          <w:i/>
          <w:caps w:val="false"/>
          <w:smallCaps w:val="false"/>
          <w:sz w:val="20"/>
        </w:rPr>
        <w:t>. Illegality.</w:t>
      </w:r>
      <w:r>
        <w:rPr>
          <w:rFonts w:ascii="Times New Roman;Times;Serif" w:hAnsi="Times New Roman;Times;Serif"/>
          <w:b w:val="false"/>
          <w:i w:val="false"/>
          <w:caps w:val="false"/>
          <w:smallCaps w:val="false"/>
          <w:sz w:val="20"/>
        </w:rPr>
        <w:t xml:space="preserve"> (a) Notwithstanding any other provision herein, if, after the date on which this Agreement becomes effective, a Change in Law shall make it unlawful or impossible for any Lender to (i) honor any Commitment it may have hereunder to make any Term Benchmark Loan or RFR Loans then such Commitment shall be suspended, or (ii) maintain any Term Benchmark Loan or RFR Loans, then all Term Benchmark Loans or RFR Loans of such Lender then outstanding shall be converted into Base Rate Loans as provided in ‎Section 8.03(b), and any remaining Commitment of such Lender hereunder to make Term Benchmark Loans or RFR Loans (but not other Loans) shall be immediately suspended, in either case until such Lender may again make and/or maintain Term Benchmark Loans or RFR Loans (as the case may be), and borrowings from such Lender, at a time when borrowings from the other Lenders are to be of Term Benchmark Loans or RFR Loans, shall be made, simultaneously with such borrowings from the other Lenders, by way of Base Rate Loans. Upon the occurrence of any such change, such Lender shall promptly notify the Borrower thereof (with a copy to the Administrative Agent), and shall furnish to the Borrower in writing evidence thereof certified by such Lender. Before giving any notice pursuant to this ‎Section 8.03, such Lender shall designate a different Applicable Lending Office if such designation will avoid the need for giving such notice and will not, in the sole reasonable judgment of such Lender, be otherwise disadvantageous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conversion of any outstanding Term Benchmark Loan which is required under this ‎Section 8.03 shall be effected immediately (or, if permitted by applicable law, on the last day of the Interest Period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b w:val="false"/>
          <w:i/>
          <w:caps w:val="false"/>
          <w:smallCaps w:val="false"/>
          <w:sz w:val="20"/>
        </w:rPr>
        <w:t>. Taxes on Payments.</w:t>
      </w:r>
      <w:r>
        <w:rPr>
          <w:rFonts w:ascii="Times New Roman;Times;Serif" w:hAnsi="Times New Roman;Times;Serif"/>
          <w:b w:val="false"/>
          <w:i w:val="false"/>
          <w:caps w:val="false"/>
          <w:smallCaps w:val="false"/>
          <w:sz w:val="20"/>
        </w:rPr>
        <w:t xml:space="preserve"> (a) For purposes of this Section 8.04, the term “applicable law” includes FATCA.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payments pursuant to this Agreement shall be made free and clear of and without any deduction or withholding for or on account of 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 and future Taxes imposed on the Administrative Agent or any Lender, excluding, in the case of the Administrative Agent and each Lender, (v) Taxes imposed on its net income, branch profit Taxes and franchise or similar Taxes imposed in lieu of net income Taxes by the jurisdiction (or any political subdivision thereof) under the laws of which it is organized or doing business (other than solely pursuant to or in connection with this Agreement or any Loan Document) or in which its principal office is located or, in the case of any Lender, in which its Applicable Lending Office is located, (w) backup withholding tax that is required by Section 3406 of the Internal Revenue Code (or any successor provision thereto) to be withheld from amounts payable to the Administrative Agent or such Lender, (x)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9.01(b)) or (ii) such Lender changes its lending office, except in each case to the extent that, pursuant to Section 8.04, amounts with respect to such Taxes were payable either to such Lender’s assignor immediately before such Lender became a party hereto or to such Lender immediately before it changed its lending office, (y) any withholding tax that is attributable to such Lender’s failure to comply with Section 8.04(e) and (z) Taxes imposed pursuant to FATCA (all such non-excluded Taxes being hereinafter called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except as expressly provided in this ‎‎Section 8.04. If any Taxes are imposed and required by law to be deducted or withheld from any amount payable by the Borrower or the Administrative Agent (the “</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to the Administrative Agent or to any Lender, then (1) if such Taxes are Indemnified Taxes, the Borrower shall increase the amount of such payment so that the Administrative Agent or such Lender, as the case may be, will receive a net amount (after deduction and withholding of all Indemnified Taxes including such deductions and withholdings applicable to additional amounts payable under this Section 8.04) equal to the amount it would otherwise have received hereunder, (2) the Withholding Agent shall pay such Taxes to the appropriate Governmental Authority for the account of the Administrative Agent or such Lender, as the case may be, and (3) as soon as practicable thereafter, the Withholding Agent shall send the Administrative Agent or such Lender, as the case may be, evidence of original or certified copy of a receipt showing payment thereof, a copy of the return reporting such payment or other evidence of such payment reasonably satisfactory to the Administrative Agent or such Lender. If the Borrower fails to perform its obligations under (2) or (3) above, the Borrower shall indemnify the Administrative Agent or such Lender for any incremental Taxes, interest or penalties that may become payable as a result of any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timely pay to the relevant Governmental Authority in accordance with applicable law, or at the option of the Administrative Agent indemnify the Administrative Agent and each Lender against any present or future transfer taxes, intangible, stamp, recording, filing or documentary taxes, excise or property taxes, assessments or charges made by any Governmental Authority by reason of the execution, delivery, registration or enforcement of this Agreement or any Notes (hereinafter referred to as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indemnify the Administrative Agent and each Lender, within 10 days after demand therefor, for the full amount of any Indemnified Taxes (including Indemnified Taxes imposed or asserted on or attributable to amounts payable under this ‎Section 8.04) payable or paid by such Administrative Agent or Lender or required to be withheld or deducted from a payment to the Administrative Agent or such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Lender that is a foreign person (i.e., a person who is not a “United States person” within the meaning of Section 7701(a)(30) of the Internal Revenue Code) agrees to deliver to the Borrower and the Administrative Agent (in such number of copies as shall be requested by the recipient) on or prior to the date on which such Lender becomes a Lender under this Agreement (and from time to time thereafter upon the request of the Borrower or the Administrative Agent), unless the Lender is not legally entitled to do so, whichever of the following is applicable: (i) duly executed copies of Internal Revenue Service Form W-8BEN or W-8BEN-E, as applicable, claiming eligibility for benefits of an income tax treaty to which the United States is a party, (ii) duly executed copies of Internal Revenue Service Form W-8ECI, (iii) in the case of a Lender claiming the benefits of the exemption for portfolio interest under Section 881(c) of the Internal Revenue Code, (x) a certificate, in substantially the form of the applicable certificate that is included in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or any other form approved by the Borrower and the Administrative Agent, to the effect that such Lender is not (A) a “bank” within the meaning of Section 881(c)(3)(A) of the Internal Revenue Code, (B) a “10 percent shareholder” of Borrower within the meaning of Section 881(c)(3)(B) of the Internal Revenue Code, or (C) a “controlled foreign corporation” described in Section 881(c)(3)(C) of the Internal Revenue Code and (y) duly executed copies of Internal Revenue Service Form W-8BEN or 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8BEN-E, as applicable, (iv) in the case of a Lender that is not the beneficial owner of payments made under this Agreement (including a partnership) (A) executed copies of IRS Form W-8IMY on behalf of itself and (B) the relevant forms prescribed in clauses (i), (ii), (iii), and (v) of this paragraph (e) that would be required of each beneficial owner (or partner) if the beneficial owner (or partner)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Lender is a partnership and one or more of its direct or indirect partners are claiming the exemption for portfolio interest under Section 881(c) of the Internal Revenue Code, the Lender may provide the certificate required under paragraph (iii) above on behalf of such partners; and (v) any other form prescribed by applicable law as a basis for claiming exemption from or a reduction in United States federal withholding tax duly completed together with such supplementary documentation as may be prescribed by applicable law to permit Borrower or the Administrative Agent to determine the withholding or deduction required to be made; provided that no form shall be required under this Section 8.04(e)(v) if, in the Lender’s reasonable judgment, the completion, execution or submission of such form would subject such Lender to any material unreimbursed cost or expense or would materially prejudice the legal or commercial position of such Lender. The Borrower and the Administrative Agent shall each be entitled to rely on such forms in its possession until receipt of any revised or successor form pursuant to the preceding sentence.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Borrower is required to pay additional amounts to or for the account of any Lender (including the Administrative Agent in its capacity as a Lender) pursuant to this ‎Section 8.04, then such Lender will (at the request of the borrower) use reasonable efforts to change the jurisdiction of one or more Applicable Lending Offices if such change, in the judgment of such Lender, would eliminate or reduce any such additional payment which may thereafter accrue and does not result in an unreimbursed cost and is not otherwise disadvantageous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party determines, in its sole discretion exercised in good faith, that it has received a refund of any Taxes as to which it has been indemnified pursuant to this ‎Section 8.04 (including by the payment of additional amounts pursuant to this ‎Section 8.04), it shall pay to the indemnifying party an amount equal to such refund (but only to the extent of indemnity payments made under this Section with respect to the Taxes giving rise to such refund), net of all out-of-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with respect to such refund) in the event such indemnified party is required to repay such refund to such Governmental Authority. Notwithstanding anything to the contrary in this ‎Section 8.04(h), in no event will any indemnified party be required to pay any amount to any indemnifying party pursuant to this ‎Section 8.04(h) if such payment would place such indemnified party in a less favorable position (on a net after-Tax basis) than such indemnified party would have been in if the indemnification payments or additional amounts giving rise to such refund had never been paid. This ‎Section 8.04(h) shall not be construed to require any indemnified party to make available its Tax returns (or any other information relating to its Taxes which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a “United States person” within the meaning of Section 7701(a)(30) of the Internal Revenue Code shall deliver to the Borrower and the Administrative Agent on or prior to the date on which such Lender becomes a Lender under this Agreement (and from time to time thereafter upon the request of the Borrower or the Administrative Agent), executed copies of Internal Revenue Service form W-9 certifying, to the extent such Lender is legally entitled to do so,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If a payment made to a Lender under this Agreement or any Assignment and Assumption Agreement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Solely for purposes of this ‎Section 8.04(j),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Lender shall severally indemnify the Administrative Agent for (i) any Indemnified Taxes (but only to the extent that the Borrower has not already indemnified the Administrative Agent for such Indemnified Taxes and without limiting the obligation of the Borrower to do so), (ii) any Taxes attributable to such Lender’s failure to comply with the provisions of Section 9.08(b) relating to the maintenance of a Participant Register and (iii) any Taxes (other than Indemnified Taxes and Other Taxes) imposed on or with respect to such Lender or required to be withheld or deducted from a payment to such Lender, in each case attributable to such Lender that are paid or payable by the Administrative Agent in connection with this Agreement or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This indemnification shall be made within 15 days from the date the Administrative Agent makes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party’s obligation under this Section 8.04 shall survive the resignation or replacement of the Administrative Agent or any assignment of rights by, or the replacement of, a Lender, the termination of the Commitments and the repayment, satisfaction or discharge of all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b w:val="false"/>
          <w:i/>
          <w:caps w:val="false"/>
          <w:smallCaps w:val="false"/>
          <w:sz w:val="20"/>
        </w:rPr>
        <w:t>. Replacement of Lenders.</w:t>
      </w:r>
      <w:r>
        <w:rPr>
          <w:rFonts w:ascii="Times New Roman;Times;Serif" w:hAnsi="Times New Roman;Times;Serif"/>
          <w:b w:val="false"/>
          <w:i w:val="false"/>
          <w:caps w:val="false"/>
          <w:smallCaps w:val="false"/>
          <w:sz w:val="20"/>
        </w:rPr>
        <w:t xml:space="preserve"> (a) Notwithstanding any provision of this Agreement to the contrary (including ‎Section 9.05 and ‎Section 9.06), (1) upon receipt of notice from any Lender for compensation or indemnification pursuant to ‎Section 8.01(c) or ‎Section 8.04 if such Lender has declined or is unable to designate a different lending office in accordance with Sections 8.01(c), 8.03(a), or 8.04(g), (2) upon receipt of notice that the obligations of a Lender to make or maintain Term Benchmark Loans or RFR Loans has been suspended or (3) if a Lender shall become a Defaulting Lender, the Borrower shall have the right to terminate the Commitment in full of such Lender (a “</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xml:space="preserve">”) (if still in existence) and to prepay all outstanding Loans of such Lender. Such termination and/or prepayment pursuant to this ‎Section 9.01(a) shall be effective on the tenth Domestic Business Day following the date of a notice thereof to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Retiring Lender through the Administrative Agent,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on such effective date there shall be any Loan(s) of the Retiring Lender outstanding hereunder, the Borrower shall have prepaid on such date the aggregate principal amount of such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payment of the principal of the Loans held by the Retiring Lender pursuant to clause ‎(i) above, the Borrower shall have paid such Retiring Lender all accrued interest thereon, and Ticking Fee and any other amounts then payable to it hereunder, including, without limitation, all amounts payable by the Borrower to such Lender under ‎Section 2.14 by reason of the prepayment of Loans pursuant to clause ‎(i) with respect to the period ending on such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‎Section 8.01, ‎Section 8.04 and ‎Section 9.04 shall survive for the benefit of any Retiring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set forth in clauses ‎(i) and ‎(ii) above, such Lender shall cease to be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lieu of the termination of a Lender’s Commitment and/or prepayments of its Loans pursuant to ‎Section 9.01(a), the Borrower may notify the Administrative Agent that the Borrower desires to replace such Retiring Lender with a new bank or banks (which may be one or more of the Lenders), which will purchase the Loans or assume the Commitments, as applicable, of the Retiring Lender; provided that, in the case of any such assignment resulting from a claim for compensation or indemnification under Sections 8.01(a) or 8.04, such assignment will result in a reduction in such compensation or indemnification thereafter. Upon the Borrower’s selection of a bank to replace a Retiring Lender, such bank’s agreement thereto and the fulfillment of the conditions to assignment and assumption set forth in Section 9.08(c) such bank shall become a Lender hereunder for all purposes in accordance with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b w:val="false"/>
          <w:i/>
          <w:caps w:val="false"/>
          <w:smallCaps w:val="false"/>
          <w:sz w:val="20"/>
        </w:rPr>
        <w:t>. Notices.</w:t>
      </w:r>
      <w:r>
        <w:rPr>
          <w:rFonts w:ascii="Times New Roman;Times;Serif" w:hAnsi="Times New Roman;Times;Serif"/>
          <w:b w:val="false"/>
          <w:i w:val="false"/>
          <w:caps w:val="false"/>
          <w:smallCaps w:val="false"/>
          <w:sz w:val="20"/>
        </w:rPr>
        <w:t xml:space="preserve"> (a) All notices, requests and other communications to any party hereunder shall be in writing (including bank wire, facsimile or other electronic transmission or similar writing) and shall be given to such party: (i) if to the Borrower, at its address, facsimile number or electronic mail address set forth on the signature pages hereof, (ii) if to the Administrative Agent from the Borrower, in accordance with the notice information separately provided to the Borrower, (iii) if to the Administrative Agent from the Lenders, in accordance with the notice information separately provided to the Lenders, (iv) if to any Lender, at its address, facsimile number or electronic mail address set forth in 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Questionnaire or (v) if to any other party, such other address, facsimile number or electronic mail address as such party may hereafter specify for the purpose by notice to the Administrative Agent and the Borrower. Each such notice, request or other communication shall be effective (x) if given by facsimile transmission, when transmitted to the facsimile number specified in this Section and confirmation of receipt is received, (y) if given by e-mail transmission, as set forth in Section 9.02(c) or (z) if given by any other means, when delivered at the address specified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hereunder may be delivered or furnished by using Approved Electronic Platforms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2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notice or other communication is not sent during the normal business hours of the recipient, such notice or communication shall be deemed to have been sent at the opening of business on the next Domestic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b w:val="false"/>
          <w:i/>
          <w:caps w:val="false"/>
          <w:smallCaps w:val="false"/>
          <w:sz w:val="20"/>
        </w:rPr>
        <w:t>. No Waivers.</w:t>
      </w:r>
      <w:r>
        <w:rPr>
          <w:rFonts w:ascii="Times New Roman;Times;Serif" w:hAnsi="Times New Roman;Times;Serif"/>
          <w:b w:val="false"/>
          <w:i w:val="false"/>
          <w:caps w:val="false"/>
          <w:smallCaps w:val="false"/>
          <w:sz w:val="20"/>
        </w:rPr>
        <w:t xml:space="preserve"> No failure or delay by either Administrative Agent or any Lender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b w:val="false"/>
          <w:i/>
          <w:caps w:val="false"/>
          <w:smallCaps w:val="false"/>
          <w:sz w:val="20"/>
        </w:rPr>
        <w:t>. Expenses; Indemnification; Limitation of Liability.</w:t>
      </w:r>
      <w:r>
        <w:rPr>
          <w:rFonts w:ascii="Times New Roman;Times;Serif" w:hAnsi="Times New Roman;Times;Serif"/>
          <w:b w:val="false"/>
          <w:i w:val="false"/>
          <w:caps w:val="false"/>
          <w:smallCaps w:val="false"/>
          <w:sz w:val="20"/>
        </w:rPr>
        <w:t xml:space="preserve"> (a) The Borrower shall pay (i) reasonable, documented out-of-pocket expenses, including the reasonable fees and expenses of one special counsel for the Administrative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in connection with the preparation of this Agreement and (ii) if an Event of Default occurs, all reasonable, documented out-of-pocket expenses incurred by the Administrative Agent, and the Lenders, including reasonable fees and expenses of one outside counsel for the Administrative Agent, and the Lenders (in addition to one local counsel in each applicable local jurisdiction if reasonably necessary as determined by the Administrative Agent and, if the Administrative Agent or one or more Lenders shall determine in good faith that there is an actual or perceived conflict between its interests and the interests of the Lenders or other Lenders, as the case may be, one additional counsel for each such Lender), in connection with such Event of Default and collection and other enforcement proceedings resulting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indemnify the Administrative Agent, each Arranger, the Syndication Agent, each Documentation Agent and each Lender, their respective affiliates and the respective directors, officers, agents and employees of the foregoing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and hold each Indemnitee harmless from and against any and all liabilities, losses, damages, costs and reasonable expenses of any kind, including, without limitation, the reasonable, documented fees and disbursements of one outside counsel selected by the Administrative Agent for the Indemnitees (in addition to one local counsel in each applicable local jurisdiction if reasonably necessary as determined by the Administrative Agent and, to the extent one or more Indemnitees shall determine in good faith that there is an actual or perceived conflict between its interests and the interests of other Indemnitees, one additional counsel for each such Indemnitee), incurred by such Indemnitee in response to or in defense of any investigative, administrative or judicial proceeding brought or threatened against the Administrative Agent, or any Lender relating to or arising out of this Agreement or any actual or proposed use of proceeds of Loans, whether or not such proceeding is brought by the Borrower or its Affiliates, creditors or any other third Person and whether based on contract, tort or any other theory and regardless of whether any Indemnitee is a party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Indemnitee shall have the right to be indemnified hereunder (i) to the extent such indemnification relates to relationships between or among each of, or any of, the Administrative Agent, the Arrangers, the Syndication Agent, the Documentation Agents, the Lenders or any Assignee or Participant and does not involve any act or omission by the Borrower or (ii) for such Indemnitee’s own gross negligence or willful misconduct or any bad faith breach by such Indemnitee of any of its material obligations hereunder as determined by a court of competent jurisdiction by final and nonappealable judgment. This Section 9.04(b)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permitted by applicable law, (i) the Borrower shall not assert, and the Borrower hereby waives, any claim against any Lender-Related Person for any Liabilities arising from the use by others of information or other materials (including, without limitation, any personal data) obtained through telecommunications, electronic or other information transmission systems (including the Internet and any Approved Electronic Platform), except to the extent resulting from the gross negligence or willful misconduct or any bad faith breach by such Lender-Related Person of any of its material obligations hereunder as determined by a court of competent jurisdiction by final and nonappealable judgment, and (ii) no party hereto shall assert, and each such party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thereby, any Loan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clause (c) shall relieve the Borrower of any obligation it may have to indemnify an Indemnitee against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severally agrees to pay any amount required to be paid by the Borrower under paragraphs (a), (b) or (c) of this Section 9.04 to the Administrative Agent and each Related Party of any of the foregoing Persons (each, an “</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Liability or related expense, as the case may be, was incurred by or asserted against such Agent-Related Person in its capacity as such;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gross negligence or willful misconduct.  The agreements in this Section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All amounts due under this Section 9.04 shall be payable promptly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b w:val="false"/>
          <w:i/>
          <w:caps w:val="false"/>
          <w:smallCaps w:val="false"/>
          <w:sz w:val="20"/>
        </w:rPr>
        <w:t>. Pro Rata Treatment.</w:t>
      </w:r>
      <w:r>
        <w:rPr>
          <w:rFonts w:ascii="Times New Roman;Times;Serif" w:hAnsi="Times New Roman;Times;Serif"/>
          <w:b w:val="false"/>
          <w:i w:val="false"/>
          <w:caps w:val="false"/>
          <w:smallCaps w:val="false"/>
          <w:sz w:val="20"/>
        </w:rPr>
        <w:t xml:space="preserve"> Except as expressly provided in this Agreement, (a) each borrowing from, and change in the Commitments of, the Lenders shall be made pro rata according to their respective Commitments, and (b) each payment and prepayment on any Group of Loans shall be made to all applicable Lenders, pro rata in accordance with the unpaid principal amount of such Loans held by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b w:val="false"/>
          <w:i/>
          <w:caps w:val="false"/>
          <w:smallCaps w:val="false"/>
          <w:sz w:val="20"/>
        </w:rPr>
        <w:t xml:space="preserve">. Sharing of Set-offs. </w:t>
      </w:r>
      <w:r>
        <w:rPr>
          <w:rFonts w:ascii="Times New Roman;Times;Serif" w:hAnsi="Times New Roman;Times;Serif"/>
          <w:b w:val="false"/>
          <w:i w:val="false"/>
          <w:caps w:val="false"/>
          <w:smallCaps w:val="false"/>
          <w:sz w:val="20"/>
        </w:rPr>
        <w:t xml:space="preserve">Each Lender agrees that if it shall, by exercising any right of set-off or counterclaim or otherwise, receive payment of a proportion of the aggregate amount then due with respect to the Loans held by it which is greater than the proportion received by any other Lender in respect of the aggregate amount then due with respect to the Loans held by such other Lender, the Lender receiving such proportionately greater payment shall purchase such participations in the Loans held by the other Lenders, and such other adjustments shall be made, as may be required so that all such payments shall be shared by the Lenders pro rata;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nothing in this Section shall impair the right of any Lender to exercise any right of set-off or counterclaim it may have and to apply the amount subject to such exercise to the payment of indebtedness of the Borrower other than its indebtedness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b w:val="false"/>
          <w:i/>
          <w:caps w:val="false"/>
          <w:smallCaps w:val="false"/>
          <w:sz w:val="20"/>
        </w:rPr>
        <w:t xml:space="preserve">. Amendments and Waivers. </w:t>
      </w:r>
      <w:r>
        <w:rPr>
          <w:rFonts w:ascii="Times New Roman;Times;Serif" w:hAnsi="Times New Roman;Times;Serif"/>
          <w:b w:val="false"/>
          <w:i w:val="false"/>
          <w:caps w:val="false"/>
          <w:smallCaps w:val="false"/>
          <w:sz w:val="20"/>
        </w:rPr>
        <w:t>Any provision of this Agreement or the Notes may be amended or waived if, but only if, such amendment or waiver is in writing and is signed by the Borrower and the Required Lenders (provided that no such amendment or waiver shall amend, modify or otherwise affect the rights or duties of the Administrative Agent without the prior written consent of the Administrative Agent). Notwithstanding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such amendment or waiver shall, unless signed by all affected Lenders (other than any Defaulting Lender if and as provided in ‎Section 2.17 or as otherwise set forth in this ‎Section 9.07, including pursuant to a Loan Modification Offer),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or extend any Commitment (including any extension as a result of any amendment or waiver of the definition of the term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of or rate of interest on any Loan or any fees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postpone the date fixed for any payment of principal of or interest on any loan or any fees hereunder or for termination of any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‎Section 9.08(c) to impose any additional requirements for Lender assignments;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subordinate the obligations of the Borrower hereunder in right of payment to any other Debt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Section 9.05 in a manner that would alter the ratable reduction of Commitments or the pro rata sharing of payments required thereby,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change the payment waterfall provisions of Section 2.17(b) or 6.03 without the written consent of each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this ‎Section 9.07, or any defined term used herein, the definition of “Required Lenders”, or any other provision specifying the number or percentage of Lenders required to amend or waive a particular provision of this Agreement, so as to change the percentage of the aggregate amount of Commitments or Loans which shall be required for the Lenders or any of them to take any action under this Section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any Fee Letter may be amended or waived solely with the consent of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by written notice to the Administrative Agent from time to time, make one or more offers (each, a “</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to all Lenders to make one or more amendments or modifications to (A) allow the maturity of the Loans and/or Commitments of Accepting Lenders (as defined below) to be extended and/or (B) change the pricing and/or fees (or add additional fees) with respect to the Loans and Commitments of the Accepting Lenders (“</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xml:space="preserve">”)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Permitted Amendments shall become effective only with respect to the Loans and/or Commitments of the Lenders that accept the applicable Loan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Offer (such Lenders, the “</w:t>
      </w:r>
      <w:r>
        <w:rPr>
          <w:rFonts w:ascii="Times New Roman;Times;Serif" w:hAnsi="Times New Roman;Times;Serif"/>
          <w:b/>
          <w:i w:val="false"/>
          <w:caps w:val="false"/>
          <w:smallCaps w:val="false"/>
          <w:sz w:val="20"/>
        </w:rPr>
        <w:t>Accepting Lenders</w:t>
      </w:r>
      <w:r>
        <w:rPr>
          <w:rFonts w:ascii="Times New Roman;Times;Serif" w:hAnsi="Times New Roman;Times;Serif"/>
          <w:b w:val="false"/>
          <w:i w:val="false"/>
          <w:caps w:val="false"/>
          <w:smallCaps w:val="false"/>
          <w:sz w:val="20"/>
        </w:rPr>
        <w:t>”) and, in the case of any Accepting Lender, only with respect to such Lender’s Loans and/or Commitments as to which such Lender’s acceptance has been made. The Borrower and each Accepting Lender shall execute and deliver to the Administrative Agent an agreement containing the terms of the Permitted Amendments (a “</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and such other documentation as the Administrative Agent shall reasonably specify to evidence the acceptance of the Permitted Amendments and the terms and conditions thereof. The Administrative Agent shall promptly notify each Lender as to the effectiveness of each Loan Modification Agreement. Each of the parties hereto hereby agrees that, upon the effectiveness of any Loan Modification Agreement, this Agreement shall be deemed amended to the extent (but only to the extent) necessary to reflect the existence and terms of the Permitted Amendment evidenced thereby and only with respect to the Loans and Commitments of the Accepting Lenders as to which such Lenders’ acceptance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if the Administrative Agent and the Borrower have jointly identified any ambiguity, mistake, defect, inconsistency, obvious error, omission or any other error or omission of a technical nature or any necessary or desirable technical change on any Lender, in each case, in any provision of any Loan Document, the Borrower and the Administrative Agent shall be permitted to effect amendments to this Agreement or any other Loan Document, as applicable, solely to address such matter and such amendment shall become effective without the consent of any other party to this Agreement so long as, in each case, the Lenders shall have received at least five (5) Domestic Business Days’ prior written notice thereof and the Administrative Agent shall not have received, within five (5) Domestic Business Days of the date of such notice to the Lenders, a written notice from the Required Lenders stating that the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r>
        <w:rPr>
          <w:rFonts w:ascii="Times New Roman;Times;Serif" w:hAnsi="Times New Roman;Times;Serif"/>
          <w:b w:val="false"/>
          <w:i/>
          <w:caps w:val="false"/>
          <w:smallCaps w:val="false"/>
          <w:sz w:val="20"/>
        </w:rPr>
        <w:t>. Successors and Assigns; Participations; Novation.</w:t>
      </w:r>
      <w:r>
        <w:rPr>
          <w:rFonts w:ascii="Times New Roman;Times;Serif" w:hAnsi="Times New Roman;Times;Serif"/>
          <w:b w:val="false"/>
          <w:i w:val="false"/>
          <w:caps w:val="false"/>
          <w:smallCaps w:val="false"/>
          <w:sz w:val="20"/>
        </w:rPr>
        <w:t xml:space="preserve"> (a) This Agreement shall be binding upon and inure to the benefit of the parties hereto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in accordance with ‎Sections 5.04 and 5.07, the Borrower may not assign or transfer any of its rights or obligations under this Agreement without the consent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Lender may, without the consent of, or notice to, the Borrower, at any time sell to one or more Eligible Institutions (each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participating interests in any Loan owing to such Lender, any Note held by such Lender, the Commitment of such Lender hereunder and any other interest of such Lender hereunder. In the event of any such sale by a Lender of a participating interest to a Participant, such Lender’s obligations under this Agreement shall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remain unchanged, such Lender shall remain solely responsible for the performance thereof, such Lender shall remain the holder of its Note or Notes, if any, for all purposes under this Agreement and the Borrower and the Administrative Agent shall continue to deal solely and directly with such Lender in connection with such Lender’s rights and obligations under this Agreement. Any agreement pursuant to which a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participation agreement may provide that such Lender will not agree to any modification, amendment or waiver of this Agreement described in clause ‎(i), ‎(ii) or ‎(iii) of ‎Section 9.07(a) affecting such Participant without the consent of the Participant;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Participant shall be bound by any waiver, amendment or other decision that all Lenders shall be required to abide by pursuant to a vote by Required Lenders. Subject to the provisions of ‎Section 9.08(d), the Borrower agrees that each Participant shall, to the extent provided in its participation agreement, be entitled (through the applicable Lender) to the benefits of ‎Article 8 with respect to its participating interest (subject to the requirements and limitations therein, including the requirements under Sections 8.04(e), (h), and (i) (it being understood that the documentation required under Sections 8.04(e), (h), and (i) shall be delivered to the participating lender)) to the same extent as if it were a Lender and had acquired its interest by assignment pursuant to Section 9.08(c);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shall be subject to ‎Section 9.10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An assignment or other transfer which is not permitted by subsection ‎(c) or ‎(f) below shall be given effect for purposes of this Agreement only to the extent of a participating interest granted in accordance with this subsection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Subject to compliance with the requirements of this Section 9.08(c), any Lender may at any time sell to one or more Eligible Institutions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all or a portion of its rights and obligations under this Agreement and the Notes. Each Assignee shall assume all such rights and obligations pursuant to an Assignment and Assumption Agreement. In no event shall (A) the aggregate Commitment or the aggregate principal amount of the Loans of the transferor Lender or a transferee Lender (together with the aggregate Commitment or the aggregate principal amount of the Loans of any affiliate of such Lender, as applicable), after giving effect to any sale pursuant to this subsection (c), be less than $5,000,000, except as may result upon the transfer by a Lender of its aggregate Commitment or the aggregate principal amount of its Loans in its entirety, or (B) any sale pursuant to this subsection ‎(c) result in the transferee Lender (together with its affiliates) holding more than 35% of the aggregate Commitments or Loans, as applicable, except to the extent that the Borrower and the Administrative Agent’s consent to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interest may be sold by a Lender pursuant to this subsection (c) without the prior written consent of (A) the Administrative Agent and (B) except (i) with respect to sales to any Specified Permitted Lender or (ii) after the Funding Date, when an Event of Default under Section 6.01(a), (b), (c), (h) or (i) has occurred and is continuing, the Borrower (which consent shall not be unreasonably withheld, conditioned or delayed),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after the Funding Date, sales made to a Lender, an affiliate of a Lender or an Approved Fund, will not require the consent of the Borrower or the Administrative Agent. For the purposes of this subsection (c)(ii), the withholding of consent by the Borrower shall not be deemed unreasonable if based solely upon the Borrower’s desire to (A) balance relative loan exposures to such Eligible Institution among all credit facilities of the Borrower or (B) avoid payment of any additional amounts payable to such Eligible Institution under ‎Article 8 which would arise from such assignment. On and after the Funding Date, the Borrower shall be deemed to have consented to any such assignment unless it shall object thereto by notice to the Administrative Agent within ten Domestic Business Days after having received notice thereof. Notwithstanding anything to the contrary herein, no consent shall be required for any assignment or any sale of an interest of any rights or obligations hereunder by Goldman Sachs Bank USA to Goldman Sachs Lending Partners LLC or by Goldman Sachs Lending Partners LLC to Goldman Sachs Bank USA.</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 execution of an Assignment and Assumption Agreement, (B) delivery by the transferor Lender of an executed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together with notice that the payment referred to in clause (C) below shall have been made, to the Borrower and the Administrative Agent and (C) payment by such Assignee to such transferor Lender of an amount equal to the purchase price agreed between such transferor Lender and such Assignee, such Assignee shall for all purposes be a Lender party to this Agreement and shall have all the rights and obligations of a Lender under this Agreement to the same extent as if it were an original party hereto with Commitments or Loans, as applicable, as set forth in such Assignment and Assumption Agreement, and the transferor Lender shall be released from its obligations hereunder to a correspondent extent, and no further consent or action by the Borrower, the Lenders or the Administrative Agents shall be required to effectuate such transfer. Each Assignee shall be bound by any waiver, amendment or other decision that all Lenders shall be required to abide by pursuant to a vote by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consummation of any transfer to an Assignee pursuant to this subsection ‎(c), the transferor Lender, the Administrative Agent and the Borrower shall make appropriate arrangements so that, if requested by the transferor Lender or the Assignee, a new Note or Notes shall be delivered from the Borrower to the transferor Lender and/or such Assignee. In connection with any such assignment, the Assignee or the transferor Lender shall pay to the Administrative Agent an administrative fee for processing such assignment in the amount of $3,500.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Assignee, Participant or other transferee (including any successor Applicable Lending Office) of any Lender’s rights shall be entitled to receive any greater payment under ‎Section 8.01 than such Lender would have been entitled to receive with respect to the rights transferred, unless such transfer is made with the Borrower’s prior written consent or by reason of the provisions of ‎Section 8.01 or ‎Section 8.03 requiring such Lender to designate a different Applicable Lending Office under certain circumstances or at a time when the circumstances giving rise to such greater payment did not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may, upon the written consent of the Borrower, which consent shall not be unreasonably withheld, disclose to any Participant or Assignee (each a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xml:space="preserve">”) and any prospective Transferee any and all financial information in such Lender’s possession concerning the Borrower that has been delivered to such Lender by the Borrower pursuant to this Agreement or that has been delivered to such Lender by the Borrower in connection with such Lender’s credit evaluation prior to entering into this Agreement, subject in 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cases to agreement by such Transferee or prospective Transferee to comply with the provisions of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provision of this ‎Section 9.08 to the contrary, any Lender may assign or pledge any of its rights and interests in the Loans to a Federal Reserve Bank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r>
        <w:rPr>
          <w:rFonts w:ascii="Times New Roman;Times;Serif" w:hAnsi="Times New Roman;Times;Serif"/>
          <w:b w:val="false"/>
          <w:i/>
          <w:caps w:val="false"/>
          <w:smallCaps w:val="false"/>
          <w:sz w:val="20"/>
        </w:rPr>
        <w:t xml:space="preserve">. Visitation. </w:t>
      </w:r>
      <w:r>
        <w:rPr>
          <w:rFonts w:ascii="Times New Roman;Times;Serif" w:hAnsi="Times New Roman;Times;Serif"/>
          <w:b w:val="false"/>
          <w:i w:val="false"/>
          <w:caps w:val="false"/>
          <w:smallCaps w:val="false"/>
          <w:sz w:val="20"/>
        </w:rPr>
        <w:t xml:space="preserve">Subject to restrictions imposed by applicable security clearance regulations, the Borrower will upon reasonable prior notice and at times mutually agreed during normal business hours permit representatives of any Lender at such Lender’s expense to visit any of its major properties;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an Event of Default shall have occurred and be continuing, only one such visit shall be permitted in any fiscal year by all Lenders at all major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r>
        <w:rPr>
          <w:rFonts w:ascii="Times New Roman;Times;Serif" w:hAnsi="Times New Roman;Times;Serif"/>
          <w:b w:val="false"/>
          <w:i/>
          <w:caps w:val="false"/>
          <w:smallCaps w:val="false"/>
          <w:sz w:val="20"/>
        </w:rPr>
        <w:t>. Collateral.</w:t>
      </w:r>
      <w:r>
        <w:rPr>
          <w:rFonts w:ascii="Times New Roman;Times;Serif" w:hAnsi="Times New Roman;Times;Serif"/>
          <w:b w:val="false"/>
          <w:i w:val="false"/>
          <w:caps w:val="false"/>
          <w:smallCaps w:val="false"/>
          <w:sz w:val="20"/>
        </w:rPr>
        <w:t xml:space="preserve"> Each of the Lenders represents to the Administrative Agent and each of the other Lenders that it in good faith is not relying upon any “margin stock” (as defined in Regulation U) as collateral in the extension or maintenance of the credit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r>
        <w:rPr>
          <w:rFonts w:ascii="Times New Roman;Times;Serif" w:hAnsi="Times New Roman;Times;Serif"/>
          <w:b w:val="false"/>
          <w:i/>
          <w:caps w:val="false"/>
          <w:smallCaps w:val="false"/>
          <w:sz w:val="20"/>
        </w:rPr>
        <w:t>. Governing Law; Submission to Jurisdiction.</w:t>
      </w:r>
      <w:r>
        <w:rPr>
          <w:rFonts w:ascii="Times New Roman;Times;Serif" w:hAnsi="Times New Roman;Times;Serif"/>
          <w:b w:val="false"/>
          <w:i w:val="false"/>
          <w:caps w:val="false"/>
          <w:smallCaps w:val="false"/>
          <w:sz w:val="20"/>
        </w:rPr>
        <w:t xml:space="preserve"> This Agreement, each Note, and any claim, controversy, dispute, proceeding or cause of action (whether in contract, tort or otherwise and whether at law or in equity) based upon, arising out of or relating to this Agreement and the transactions contemplated hereby shall be governed by and construed in accordance with the internal laws of the State of New York;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determination of whether the Combins Acquisition has been consummated pursuant to, and in all material respects in accordance with, the Combins Acquisition Agreement, in each case, shall be governed by, and interpreted and enforced in accordance with, the laws of France, without giving effect to any choice of law or conflict of laws rules or provisions (whether of France or any other jurisdiction) that would cause the application of the laws of any jurisdiction other than France. Each of the Borrower, the Administrative Agent and the Lenders hereby submits to the exclusive jurisdiction of the United States District Court for the Southern District of New York and of any New York State Court sitting in New York for purposes of all legal proceedings arising out of or relating to this Agreement or the transactions contemplated hereby. Each of the Borrower, the Administrative Agent and the Lenders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r>
        <w:rPr>
          <w:rFonts w:ascii="Times New Roman;Times;Serif" w:hAnsi="Times New Roman;Times;Serif"/>
          <w:b w:val="false"/>
          <w:i/>
          <w:caps w:val="false"/>
          <w:smallCaps w:val="false"/>
          <w:sz w:val="20"/>
        </w:rPr>
        <w:t>. Counterparts; Integration, Effectiveness, Electronic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9.02), certificate, request, statement, disclosure or authorization related to this Agreement, any other Loan Document and/or the transactions contemplated hereby and/or thereby (each an “</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r>
        <w:rPr>
          <w:rFonts w:ascii="Times New Roman;Times;Serif" w:hAnsi="Times New Roman;Times;Serif"/>
          <w:b/>
          <w:i/>
          <w:caps w:val="false"/>
          <w:smallCaps w:val="false"/>
          <w:sz w:val="20"/>
        </w:rPr>
        <w:t>. WAIVER OF JURY TRIAL.</w:t>
      </w:r>
      <w:r>
        <w:rPr>
          <w:rFonts w:ascii="Times New Roman;Times;Serif" w:hAnsi="Times New Roman;Times;Serif"/>
          <w:b/>
          <w:i w:val="false"/>
          <w:caps w:val="false"/>
          <w:smallCaps w:val="false"/>
          <w:sz w:val="20"/>
        </w:rPr>
        <w:t xml:space="preserve"> EACH OF THE BORROWER, THE </w:t>
        <w:tab/>
        <w:t>ADMINISTRATIVE AGENT AND THE LENDERS HEREBY IRREVOCABLY WAIVES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r>
        <w:rPr>
          <w:rFonts w:ascii="Times New Roman;Times;Serif" w:hAnsi="Times New Roman;Times;Serif"/>
          <w:b w:val="false"/>
          <w:i/>
          <w:caps w:val="false"/>
          <w:smallCaps w:val="false"/>
          <w:sz w:val="20"/>
        </w:rPr>
        <w:t xml:space="preserve">. Confidentiality. </w:t>
      </w:r>
      <w:r>
        <w:rPr>
          <w:rFonts w:ascii="Times New Roman;Times;Serif" w:hAnsi="Times New Roman;Times;Serif"/>
          <w:b w:val="false"/>
          <w:i w:val="false"/>
          <w:caps w:val="false"/>
          <w:smallCaps w:val="false"/>
          <w:sz w:val="20"/>
        </w:rPr>
        <w:t xml:space="preserve">Each Lender agrees, with respect to any information delivered or made available by the Borrower to it that is clearly indicated to be confidential information or private data, to use all reasonable efforts to protect such confidential information from unauthorized use or disclosure and to restrict disclosure to only those Persons employed or retained by such Lender who are or are expected to become engaged in evaluating, approving, structuring or administering this Agreement and the transactions contemplated hereby. Nothing herein shall prevent any Lender from disclosing such information (i) to any other Lender, (ii) to its affiliates, officers, directors, employees, agents, attorneys and accountants who have a need to know such information in accordance with customary banking practices and who receive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information having been made aware of and having agreed to the restrictions set forth in this Section, (iii) upon the order of any court or administrative agency, (iv) upon the request or demand of any regulatory agency or authority having jurisdiction over such Lender, (v) which has been publicly disclosed, (vi) to the extent reasonably required in connection with any litigation to which any Agent or Lender, the Borrower or their respective affiliates may be a party, (vii) to the extent reasonably required in connection with the exercise of any remedy hereunder or under any other Loan Document, (viii) to any direct, indirect, actual or prospective counterparty (and its advisor) to any swap, derivative or securitization transaction related to the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person agree to be bound by the terms provided in this paragraph, (ix) with the prior written consent of the Borrower and (x) on a confidential basis to any rating agency in connection with rating the Borrower or its Subsidiaries or the credit facility provided for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before any disclosure is permitted under (iii) or (vi) of this ‎Section 9.15, each Lender shall, if not legally prohibited, notify and consult with the Borrower, promptly and in a timely manner, concerning the information it proposes to disclose, to enable the Borrower to take such action as may be appropriate under the circumstances to protect the confidentiality of the information in question,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disclosure under the foregoing proviso be limited to only that information discussed with the Borrower. The use of the term “confidential” in this ‎Section 9.15 is not intended to refer to data classified by the government of the United States under laws and regulations relating to the handling of data, but is intended to refer to information and other data regarded by the Borrower as private.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9.15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to the extent that any such prohibition on disclosure set forth in this ‎Section 9.15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r>
        <w:rPr>
          <w:rFonts w:ascii="Times New Roman;Times;Serif" w:hAnsi="Times New Roman;Times;Serif"/>
          <w:b w:val="false"/>
          <w:i/>
          <w:caps w:val="false"/>
          <w:smallCaps w:val="false"/>
          <w:sz w:val="20"/>
        </w:rPr>
        <w:t xml:space="preserve">. USA Patriot Act. </w:t>
      </w:r>
      <w:r>
        <w:rPr>
          <w:rFonts w:ascii="Times New Roman;Times;Serif" w:hAnsi="Times New Roman;Times;Serif"/>
          <w:b w:val="false"/>
          <w:i w:val="false"/>
          <w:caps w:val="false"/>
          <w:smallCaps w:val="false"/>
          <w:sz w:val="20"/>
        </w:rPr>
        <w:t>Each Lender and the Administrative Agent (for itself and not on behalf of any Lender) hereby notifies the Borrower that pursuant to the requirements of the USA PATRIOT Act (Title III of Pub. L. No. 107-56 (signed into law October 26, 2001)) (the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as amended from time to time,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9.17. </w:t>
      </w:r>
      <w:r>
        <w:rPr>
          <w:rFonts w:ascii="Times New Roman;Times;Serif" w:hAnsi="Times New Roman;Times;Serif"/>
          <w:b w:val="false"/>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9.18. </w:t>
      </w:r>
      <w:r>
        <w:rPr>
          <w:rFonts w:ascii="Times New Roman;Times;Serif" w:hAnsi="Times New Roman;Times;Serif"/>
          <w:b w:val="false"/>
          <w:i/>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9.19. </w:t>
      </w:r>
      <w:r>
        <w:rPr>
          <w:rFonts w:ascii="Times New Roman;Times;Serif" w:hAnsi="Times New Roman;Times;Serif"/>
          <w:b w:val="false"/>
          <w:i/>
          <w:caps w:val="false"/>
          <w:smallCaps w:val="false"/>
          <w:sz w:val="20"/>
        </w:rPr>
        <w:t>No Fiduciary Duty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in connection with all aspects of the Loans contemplated by this Agreement and any communications in connection therewith, the Borrower and its Subsidiaries, on the one hand, and the Credit Parties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The Borrower acknowledges and agrees that the Administrative Agent, each Lender and their Affiliates may have economic interests that conflict with those of the Borrower and its Subsidiaries, their stockholders and/or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contemplated by the Loan Documents, or to furnish to the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75"/>
        <w:gridCol w:w="365"/>
        <w:gridCol w:w="980"/>
        <w:gridCol w:w="4010"/>
        <w:gridCol w:w="75"/>
      </w:tblGrid>
      <w:tr>
        <w:trPr/>
        <w:tc>
          <w:tcPr>
            <w:tcW w:w="75" w:type="dxa"/>
            <w:tcBorders/>
            <w:vAlign w:val="center"/>
          </w:tcPr>
          <w:p>
            <w:pPr>
              <w:pStyle w:val="TableHeading"/>
              <w:bidi w:val="0"/>
              <w:spacing w:before="0" w:after="283"/>
              <w:jc w:val="left"/>
              <w:rPr/>
            </w:pPr>
            <w:r>
              <w:rPr/>
              <w:t> </w:t>
            </w:r>
          </w:p>
        </w:tc>
        <w:tc>
          <w:tcPr>
            <w:tcW w:w="5355" w:type="dxa"/>
            <w:gridSpan w:val="3"/>
            <w:tcBorders/>
            <w:vAlign w:val="center"/>
          </w:tcPr>
          <w:p>
            <w:pPr>
              <w:pStyle w:val="TableHeading"/>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MARTIN MARIETTA MATERIALS, INC.</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990" w:type="dxa"/>
            <w:gridSpan w:val="2"/>
            <w:tcBorders>
              <w:bottom w:val="single" w:sz="8" w:space="0" w:color="000000"/>
            </w:tcBorders>
            <w:tcMar>
              <w:bottom w:w="28" w:type="dxa"/>
            </w:tcMar>
            <w:vAlign w:val="center"/>
          </w:tcPr>
          <w:p>
            <w:pPr>
              <w:pStyle w:val="TableContents"/>
              <w:bidi w:val="0"/>
              <w:spacing w:before="0" w:after="283"/>
              <w:jc w:val="left"/>
              <w:rPr/>
            </w:pPr>
            <w:r>
              <w:rPr/>
              <w:t>/s/ 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Name:</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Title:</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Address:</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 Parklake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NC 27612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Facsimile:</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919-510-4700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E-mail:</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Michael.Petro@martinmarietta.com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ableContents"/>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Tyler.Birch@martinmarietta.com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75"/>
        <w:gridCol w:w="423"/>
        <w:gridCol w:w="823"/>
        <w:gridCol w:w="1937"/>
        <w:gridCol w:w="75"/>
      </w:tblGrid>
      <w:tr>
        <w:trPr/>
        <w:tc>
          <w:tcPr>
            <w:tcW w:w="75" w:type="dxa"/>
            <w:tcBorders/>
            <w:vAlign w:val="center"/>
          </w:tcPr>
          <w:p>
            <w:pPr>
              <w:pStyle w:val="TableHeading"/>
              <w:bidi w:val="0"/>
              <w:spacing w:before="0" w:after="283"/>
              <w:jc w:val="left"/>
              <w:rPr/>
            </w:pPr>
            <w:r>
              <w:rPr/>
              <w:t> </w:t>
            </w:r>
          </w:p>
        </w:tc>
        <w:tc>
          <w:tcPr>
            <w:tcW w:w="3183" w:type="dxa"/>
            <w:gridSpan w:val="3"/>
            <w:tcBorders/>
            <w:vAlign w:val="center"/>
          </w:tcPr>
          <w:p>
            <w:pPr>
              <w:pStyle w:val="TableHeading"/>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as Administrative Agent and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193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By:</w:t>
            </w:r>
          </w:p>
        </w:tc>
        <w:tc>
          <w:tcPr>
            <w:tcW w:w="2760" w:type="dxa"/>
            <w:gridSpan w:val="2"/>
            <w:tcBorders>
              <w:bottom w:val="single" w:sz="8" w:space="0" w:color="000000"/>
            </w:tcBorders>
            <w:tcMar>
              <w:bottom w:w="28" w:type="dxa"/>
            </w:tcMar>
            <w:vAlign w:val="center"/>
          </w:tcPr>
          <w:p>
            <w:pPr>
              <w:pStyle w:val="TableContents"/>
              <w:bidi w:val="0"/>
              <w:spacing w:before="0" w:after="283"/>
              <w:jc w:val="left"/>
              <w:rPr/>
            </w:pPr>
            <w:r>
              <w:rPr/>
              <w:t>/s/ Nicholas Nussbaum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xml:space="preserve">Name: </w:t>
            </w:r>
          </w:p>
        </w:tc>
        <w:tc>
          <w:tcPr>
            <w:tcW w:w="193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Nicholas Nussbaum</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Title:</w:t>
            </w:r>
          </w:p>
        </w:tc>
        <w:tc>
          <w:tcPr>
            <w:tcW w:w="193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75"/>
        <w:gridCol w:w="450"/>
        <w:gridCol w:w="802"/>
        <w:gridCol w:w="2246"/>
        <w:gridCol w:w="75"/>
      </w:tblGrid>
      <w:tr>
        <w:trPr/>
        <w:tc>
          <w:tcPr>
            <w:tcW w:w="75" w:type="dxa"/>
            <w:tcBorders/>
            <w:vAlign w:val="center"/>
          </w:tcPr>
          <w:p>
            <w:pPr>
              <w:pStyle w:val="TableHeading"/>
              <w:bidi w:val="0"/>
              <w:spacing w:before="0" w:after="283"/>
              <w:jc w:val="left"/>
              <w:rPr/>
            </w:pPr>
            <w:r>
              <w:rPr/>
              <w:t> </w:t>
            </w:r>
          </w:p>
        </w:tc>
        <w:tc>
          <w:tcPr>
            <w:tcW w:w="3498"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GOLDMAN SACHS BANK USA</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By:</w:t>
            </w:r>
          </w:p>
        </w:tc>
        <w:tc>
          <w:tcPr>
            <w:tcW w:w="3048" w:type="dxa"/>
            <w:gridSpan w:val="2"/>
            <w:tcBorders>
              <w:bottom w:val="single" w:sz="8" w:space="0" w:color="000000"/>
            </w:tcBorders>
            <w:tcMar>
              <w:bottom w:w="28" w:type="dxa"/>
            </w:tcMar>
            <w:vAlign w:val="center"/>
          </w:tcPr>
          <w:p>
            <w:pPr>
              <w:pStyle w:val="TableContents"/>
              <w:bidi w:val="0"/>
              <w:spacing w:before="0" w:after="283"/>
              <w:jc w:val="left"/>
              <w:rPr/>
            </w:pPr>
            <w:r>
              <w:rPr/>
              <w:t>/s/ Robert Ehudin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Name:</w:t>
            </w:r>
          </w:p>
        </w:tc>
        <w:tc>
          <w:tcPr>
            <w:tcW w:w="224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Robert Ehudin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Title:</w:t>
            </w:r>
          </w:p>
        </w:tc>
        <w:tc>
          <w:tcPr>
            <w:tcW w:w="224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54" w:type="dxa"/>
        <w:jc w:val="left"/>
        <w:tblInd w:w="0" w:type="dxa"/>
        <w:tblLayout w:type="fixed"/>
        <w:tblCellMar>
          <w:top w:w="0" w:type="dxa"/>
          <w:left w:w="0" w:type="dxa"/>
          <w:bottom w:w="0" w:type="dxa"/>
          <w:right w:w="0" w:type="dxa"/>
        </w:tblCellMar>
      </w:tblPr>
      <w:tblGrid>
        <w:gridCol w:w="75"/>
        <w:gridCol w:w="862"/>
        <w:gridCol w:w="1536"/>
        <w:gridCol w:w="2706"/>
        <w:gridCol w:w="75"/>
      </w:tblGrid>
      <w:tr>
        <w:trPr/>
        <w:tc>
          <w:tcPr>
            <w:tcW w:w="75" w:type="dxa"/>
            <w:tcBorders/>
            <w:vAlign w:val="center"/>
          </w:tcPr>
          <w:p>
            <w:pPr>
              <w:pStyle w:val="TableHeading"/>
              <w:bidi w:val="0"/>
              <w:spacing w:before="0" w:after="283"/>
              <w:jc w:val="left"/>
              <w:rPr/>
            </w:pPr>
            <w:r>
              <w:rPr/>
              <w:t> </w:t>
            </w:r>
          </w:p>
        </w:tc>
        <w:tc>
          <w:tcPr>
            <w:tcW w:w="5104"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DEUTSCHE BANK AG NEW YORK BRANCH</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536" w:type="dxa"/>
            <w:tcBorders/>
            <w:vAlign w:val="center"/>
          </w:tcPr>
          <w:p>
            <w:pPr>
              <w:pStyle w:val="TableContents"/>
              <w:bidi w:val="0"/>
              <w:spacing w:before="0" w:after="283"/>
              <w:jc w:val="left"/>
              <w:rPr/>
            </w:pPr>
            <w:r>
              <w:rPr/>
              <w:t> </w:t>
            </w:r>
          </w:p>
        </w:tc>
        <w:tc>
          <w:tcPr>
            <w:tcW w:w="270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By:</w:t>
            </w:r>
          </w:p>
        </w:tc>
        <w:tc>
          <w:tcPr>
            <w:tcW w:w="4242" w:type="dxa"/>
            <w:gridSpan w:val="2"/>
            <w:tcBorders>
              <w:bottom w:val="single" w:sz="8" w:space="0" w:color="000000"/>
            </w:tcBorders>
            <w:tcMar>
              <w:bottom w:w="28" w:type="dxa"/>
            </w:tcMar>
            <w:vAlign w:val="center"/>
          </w:tcPr>
          <w:p>
            <w:pPr>
              <w:pStyle w:val="TableContents"/>
              <w:bidi w:val="0"/>
              <w:spacing w:before="0" w:after="283"/>
              <w:jc w:val="left"/>
              <w:rPr/>
            </w:pPr>
            <w:r>
              <w:rPr/>
              <w:t>/s/ Marko Lukin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536" w:type="dxa"/>
            <w:tcBorders/>
            <w:vAlign w:val="center"/>
          </w:tcPr>
          <w:p>
            <w:pPr>
              <w:pStyle w:val="TableContents"/>
              <w:bidi w:val="0"/>
              <w:spacing w:before="0" w:after="283"/>
              <w:jc w:val="left"/>
              <w:rPr/>
            </w:pPr>
            <w:r>
              <w:rPr/>
              <w:t>Name:</w:t>
            </w:r>
          </w:p>
        </w:tc>
        <w:tc>
          <w:tcPr>
            <w:tcW w:w="270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Marko Lukin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536" w:type="dxa"/>
            <w:tcBorders/>
            <w:vAlign w:val="center"/>
          </w:tcPr>
          <w:p>
            <w:pPr>
              <w:pStyle w:val="TableContents"/>
              <w:bidi w:val="0"/>
              <w:spacing w:before="0" w:after="283"/>
              <w:jc w:val="left"/>
              <w:rPr/>
            </w:pPr>
            <w:r>
              <w:rPr/>
              <w:t>Title:</w:t>
            </w:r>
          </w:p>
        </w:tc>
        <w:tc>
          <w:tcPr>
            <w:tcW w:w="270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75"/>
        <w:gridCol w:w="365"/>
        <w:gridCol w:w="650"/>
        <w:gridCol w:w="1250"/>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900" w:type="dxa"/>
            <w:gridSpan w:val="2"/>
            <w:tcBorders>
              <w:bottom w:val="single" w:sz="8" w:space="0" w:color="000000"/>
            </w:tcBorders>
            <w:tcMar>
              <w:bottom w:w="28" w:type="dxa"/>
            </w:tcMar>
            <w:vAlign w:val="center"/>
          </w:tcPr>
          <w:p>
            <w:pPr>
              <w:pStyle w:val="TableContents"/>
              <w:bidi w:val="0"/>
              <w:spacing w:before="0" w:after="283"/>
              <w:jc w:val="left"/>
              <w:rPr/>
            </w:pPr>
            <w:r>
              <w:rPr/>
              <w:t>/s/ Kelvyn Correa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25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Kelvyn Correa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25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00" w:type="dxa"/>
        <w:jc w:val="left"/>
        <w:tblInd w:w="0" w:type="dxa"/>
        <w:tblLayout w:type="fixed"/>
        <w:tblCellMar>
          <w:top w:w="0" w:type="dxa"/>
          <w:left w:w="0" w:type="dxa"/>
          <w:bottom w:w="0" w:type="dxa"/>
          <w:right w:w="0" w:type="dxa"/>
        </w:tblCellMar>
      </w:tblPr>
      <w:tblGrid>
        <w:gridCol w:w="75"/>
        <w:gridCol w:w="365"/>
        <w:gridCol w:w="650"/>
        <w:gridCol w:w="935"/>
        <w:gridCol w:w="75"/>
      </w:tblGrid>
      <w:tr>
        <w:trPr/>
        <w:tc>
          <w:tcPr>
            <w:tcW w:w="75" w:type="dxa"/>
            <w:tcBorders/>
            <w:vAlign w:val="center"/>
          </w:tcPr>
          <w:p>
            <w:pPr>
              <w:pStyle w:val="TableHeading"/>
              <w:bidi w:val="0"/>
              <w:spacing w:before="0" w:after="283"/>
              <w:jc w:val="left"/>
              <w:rPr/>
            </w:pPr>
            <w:r>
              <w:rPr/>
              <w:t> </w:t>
            </w:r>
          </w:p>
        </w:tc>
        <w:tc>
          <w:tcPr>
            <w:tcW w:w="1950"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TRUIST BANK</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585" w:type="dxa"/>
            <w:gridSpan w:val="2"/>
            <w:tcBorders>
              <w:bottom w:val="single" w:sz="8" w:space="0" w:color="000000"/>
            </w:tcBorders>
            <w:tcMar>
              <w:bottom w:w="28" w:type="dxa"/>
            </w:tcMar>
            <w:vAlign w:val="center"/>
          </w:tcPr>
          <w:p>
            <w:pPr>
              <w:pStyle w:val="TableContents"/>
              <w:bidi w:val="0"/>
              <w:spacing w:before="0" w:after="283"/>
              <w:jc w:val="left"/>
              <w:rPr/>
            </w:pPr>
            <w:r>
              <w:rPr/>
              <w:t>/s/ Anika Kirs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93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Anika Kirs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93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75"/>
        <w:gridCol w:w="559"/>
        <w:gridCol w:w="996"/>
        <w:gridCol w:w="2468"/>
        <w:gridCol w:w="75"/>
      </w:tblGrid>
      <w:tr>
        <w:trPr/>
        <w:tc>
          <w:tcPr>
            <w:tcW w:w="75" w:type="dxa"/>
            <w:tcBorders/>
            <w:vAlign w:val="center"/>
          </w:tcPr>
          <w:p>
            <w:pPr>
              <w:pStyle w:val="TableHeading"/>
              <w:bidi w:val="0"/>
              <w:spacing w:before="0" w:after="283"/>
              <w:jc w:val="left"/>
              <w:rPr/>
            </w:pPr>
            <w:r>
              <w:rPr/>
              <w:t> </w:t>
            </w:r>
          </w:p>
        </w:tc>
        <w:tc>
          <w:tcPr>
            <w:tcW w:w="4023"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WELLS FARGO BANK, NATIONAL</w:t>
            </w:r>
          </w:p>
          <w:p>
            <w:pPr>
              <w:pStyle w:val="TableHeading"/>
              <w:bidi w:val="0"/>
              <w:jc w:val="left"/>
              <w:rPr>
                <w:caps w:val="false"/>
                <w:smallCaps w:val="false"/>
              </w:rPr>
            </w:pPr>
            <w:r>
              <w:rPr>
                <w:caps w:val="false"/>
                <w:smallCaps w:val="false"/>
              </w:rPr>
              <w:t>    </w:t>
            </w:r>
            <w:r>
              <w:rPr>
                <w:rFonts w:ascii="Times New Roman;Times;Serif" w:hAnsi="Times New Roman;Times;Serif"/>
                <w:b/>
                <w:i w:val="false"/>
                <w:caps w:val="false"/>
                <w:smallCaps w:val="false"/>
              </w:rPr>
              <w:t>ASSOCIATION</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By:</w:t>
            </w:r>
          </w:p>
        </w:tc>
        <w:tc>
          <w:tcPr>
            <w:tcW w:w="3464" w:type="dxa"/>
            <w:gridSpan w:val="2"/>
            <w:tcBorders>
              <w:bottom w:val="single" w:sz="8" w:space="0" w:color="000000"/>
            </w:tcBorders>
            <w:tcMar>
              <w:bottom w:w="28" w:type="dxa"/>
            </w:tcMar>
            <w:vAlign w:val="center"/>
          </w:tcPr>
          <w:p>
            <w:pPr>
              <w:pStyle w:val="TableContents"/>
              <w:bidi w:val="0"/>
              <w:spacing w:before="0" w:after="283"/>
              <w:jc w:val="left"/>
              <w:rPr/>
            </w:pPr>
            <w:r>
              <w:rPr/>
              <w:t>/s/ Andrew Payne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Name:</w:t>
            </w:r>
          </w:p>
        </w:tc>
        <w:tc>
          <w:tcPr>
            <w:tcW w:w="2468"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Andrew Payne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Title:</w:t>
            </w:r>
          </w:p>
        </w:tc>
        <w:tc>
          <w:tcPr>
            <w:tcW w:w="2468"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75"/>
        <w:gridCol w:w="563"/>
        <w:gridCol w:w="1003"/>
        <w:gridCol w:w="2787"/>
        <w:gridCol w:w="75"/>
      </w:tblGrid>
      <w:tr>
        <w:trPr/>
        <w:tc>
          <w:tcPr>
            <w:tcW w:w="75" w:type="dxa"/>
            <w:tcBorders/>
            <w:vAlign w:val="center"/>
          </w:tcPr>
          <w:p>
            <w:pPr>
              <w:pStyle w:val="TableHeading"/>
              <w:bidi w:val="0"/>
              <w:spacing w:before="0" w:after="283"/>
              <w:jc w:val="left"/>
              <w:rPr/>
            </w:pPr>
            <w:r>
              <w:rPr/>
              <w:t> </w:t>
            </w:r>
          </w:p>
        </w:tc>
        <w:tc>
          <w:tcPr>
            <w:tcW w:w="4353" w:type="dxa"/>
            <w:gridSpan w:val="3"/>
            <w:tcBorders/>
            <w:vAlign w:val="center"/>
          </w:tcPr>
          <w:p>
            <w:pPr>
              <w:pStyle w:val="TableHeading"/>
              <w:bidi w:val="0"/>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PNC BANK, NATIONAL ASSOCIATION</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 </w:t>
            </w:r>
          </w:p>
        </w:tc>
        <w:tc>
          <w:tcPr>
            <w:tcW w:w="27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By:</w:t>
            </w:r>
          </w:p>
        </w:tc>
        <w:tc>
          <w:tcPr>
            <w:tcW w:w="3790" w:type="dxa"/>
            <w:gridSpan w:val="2"/>
            <w:tcBorders>
              <w:bottom w:val="single" w:sz="8" w:space="0" w:color="000000"/>
            </w:tcBorders>
            <w:tcMar>
              <w:bottom w:w="28" w:type="dxa"/>
            </w:tcMar>
            <w:vAlign w:val="center"/>
          </w:tcPr>
          <w:p>
            <w:pPr>
              <w:pStyle w:val="TableContents"/>
              <w:bidi w:val="0"/>
              <w:spacing w:before="0" w:after="283"/>
              <w:jc w:val="left"/>
              <w:rPr/>
            </w:pPr>
            <w:r>
              <w:rPr/>
              <w:t>/s/ Stephanie Gray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Name:</w:t>
            </w:r>
          </w:p>
        </w:tc>
        <w:tc>
          <w:tcPr>
            <w:tcW w:w="278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Stephanie Gray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left"/>
              <w:rPr/>
            </w:pPr>
            <w:r>
              <w:rPr/>
              <w:t>Title:</w:t>
            </w:r>
          </w:p>
        </w:tc>
        <w:tc>
          <w:tcPr>
            <w:tcW w:w="278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75"/>
        <w:gridCol w:w="365"/>
        <w:gridCol w:w="650"/>
        <w:gridCol w:w="1610"/>
        <w:gridCol w:w="75"/>
      </w:tblGrid>
      <w:tr>
        <w:trPr/>
        <w:tc>
          <w:tcPr>
            <w:tcW w:w="75" w:type="dxa"/>
            <w:tcBorders/>
            <w:vAlign w:val="center"/>
          </w:tcPr>
          <w:p>
            <w:pPr>
              <w:pStyle w:val="TableHeading"/>
              <w:bidi w:val="0"/>
              <w:spacing w:before="0" w:after="283"/>
              <w:jc w:val="left"/>
              <w:rPr/>
            </w:pPr>
            <w:r>
              <w:rPr/>
              <w:t> </w:t>
            </w:r>
          </w:p>
        </w:tc>
        <w:tc>
          <w:tcPr>
            <w:tcW w:w="2625" w:type="dxa"/>
            <w:gridSpan w:val="3"/>
            <w:tcBorders/>
            <w:vAlign w:val="center"/>
          </w:tcPr>
          <w:p>
            <w:pPr>
              <w:pStyle w:val="TableHeading"/>
              <w:bidi w:val="0"/>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REGIONS BANK</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60" w:type="dxa"/>
            <w:gridSpan w:val="2"/>
            <w:tcBorders>
              <w:bottom w:val="single" w:sz="8" w:space="0" w:color="000000"/>
            </w:tcBorders>
            <w:tcMar>
              <w:bottom w:w="28" w:type="dxa"/>
            </w:tcMar>
            <w:vAlign w:val="center"/>
          </w:tcPr>
          <w:p>
            <w:pPr>
              <w:pStyle w:val="TableContents"/>
              <w:bidi w:val="0"/>
              <w:spacing w:before="0" w:after="283"/>
              <w:jc w:val="left"/>
              <w:rPr/>
            </w:pPr>
            <w:r>
              <w:rPr/>
              <w:t>/s/ Cheryl L. Shelhart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Cheryl L. Shelhart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549"/>
        <w:gridCol w:w="978"/>
        <w:gridCol w:w="2422"/>
        <w:gridCol w:w="75"/>
      </w:tblGrid>
      <w:tr>
        <w:trPr/>
        <w:tc>
          <w:tcPr>
            <w:tcW w:w="75" w:type="dxa"/>
            <w:tcBorders/>
            <w:vAlign w:val="center"/>
          </w:tcPr>
          <w:p>
            <w:pPr>
              <w:pStyle w:val="TableHeading"/>
              <w:bidi w:val="0"/>
              <w:spacing w:before="0" w:after="283"/>
              <w:jc w:val="left"/>
              <w:rPr/>
            </w:pPr>
            <w:r>
              <w:rPr/>
              <w:t> </w:t>
            </w:r>
          </w:p>
        </w:tc>
        <w:tc>
          <w:tcPr>
            <w:tcW w:w="3949"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First-Citizens Bank &amp; Trust Company</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c>
          <w:tcPr>
            <w:tcW w:w="24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By:</w:t>
            </w:r>
          </w:p>
        </w:tc>
        <w:tc>
          <w:tcPr>
            <w:tcW w:w="3400" w:type="dxa"/>
            <w:gridSpan w:val="2"/>
            <w:tcBorders>
              <w:bottom w:val="single" w:sz="8" w:space="0" w:color="000000"/>
            </w:tcBorders>
            <w:tcMar>
              <w:bottom w:w="28" w:type="dxa"/>
            </w:tcMar>
            <w:vAlign w:val="center"/>
          </w:tcPr>
          <w:p>
            <w:pPr>
              <w:pStyle w:val="TableContents"/>
              <w:bidi w:val="0"/>
              <w:spacing w:before="0" w:after="283"/>
              <w:jc w:val="left"/>
              <w:rPr/>
            </w:pPr>
            <w:r>
              <w:rPr/>
              <w:t>/s/ Rocky Rhodes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Name:</w:t>
            </w:r>
          </w:p>
        </w:tc>
        <w:tc>
          <w:tcPr>
            <w:tcW w:w="2422"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Rocky Rhodes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Title:</w:t>
            </w:r>
          </w:p>
        </w:tc>
        <w:tc>
          <w:tcPr>
            <w:tcW w:w="2422"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509"/>
        <w:gridCol w:w="906"/>
        <w:gridCol w:w="2684"/>
        <w:gridCol w:w="75"/>
      </w:tblGrid>
      <w:tr>
        <w:trPr/>
        <w:tc>
          <w:tcPr>
            <w:tcW w:w="75" w:type="dxa"/>
            <w:tcBorders/>
            <w:vAlign w:val="center"/>
          </w:tcPr>
          <w:p>
            <w:pPr>
              <w:pStyle w:val="TableHeading"/>
              <w:bidi w:val="0"/>
              <w:spacing w:before="0" w:after="283"/>
              <w:jc w:val="left"/>
              <w:rPr/>
            </w:pPr>
            <w:r>
              <w:rPr/>
              <w:t> </w:t>
            </w:r>
          </w:p>
        </w:tc>
        <w:tc>
          <w:tcPr>
            <w:tcW w:w="4099" w:type="dxa"/>
            <w:gridSpan w:val="3"/>
            <w:tcBorders/>
            <w:vAlign w:val="center"/>
          </w:tcPr>
          <w:p>
            <w:pPr>
              <w:pStyle w:val="TableHeading"/>
              <w:bidi w:val="0"/>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THE NORTHERN TRUST COMPANY,</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By:</w:t>
            </w:r>
          </w:p>
        </w:tc>
        <w:tc>
          <w:tcPr>
            <w:tcW w:w="3590" w:type="dxa"/>
            <w:gridSpan w:val="2"/>
            <w:tcBorders>
              <w:bottom w:val="single" w:sz="8" w:space="0" w:color="000000"/>
            </w:tcBorders>
            <w:tcMar>
              <w:bottom w:w="28" w:type="dxa"/>
            </w:tcMar>
            <w:vAlign w:val="center"/>
          </w:tcPr>
          <w:p>
            <w:pPr>
              <w:pStyle w:val="TableContents"/>
              <w:bidi w:val="0"/>
              <w:spacing w:before="0" w:after="283"/>
              <w:jc w:val="left"/>
              <w:rPr/>
            </w:pPr>
            <w:r>
              <w:rPr/>
              <w:t>/s/ Kimberly A. Crotty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Name:</w:t>
            </w:r>
          </w:p>
        </w:tc>
        <w:tc>
          <w:tcPr>
            <w:tcW w:w="2684" w:type="dxa"/>
            <w:tcBorders/>
            <w:vAlign w:val="center"/>
          </w:tcPr>
          <w:p>
            <w:pPr>
              <w:pStyle w:val="TableContents"/>
              <w:bidi w:val="0"/>
              <w:spacing w:before="0" w:after="283"/>
              <w:jc w:val="left"/>
              <w:rPr/>
            </w:pPr>
            <w:r>
              <w:rPr/>
              <w:t> </w:t>
            </w:r>
            <w:r>
              <w:rPr/>
              <w:t>Kimberly A. Crotty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pPr>
            <w:r>
              <w:rPr/>
              <w:t>Title:</w:t>
            </w:r>
          </w:p>
        </w:tc>
        <w:tc>
          <w:tcPr>
            <w:tcW w:w="2684"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44" w:type="dxa"/>
        <w:jc w:val="left"/>
        <w:tblInd w:w="0" w:type="dxa"/>
        <w:tblLayout w:type="fixed"/>
        <w:tblCellMar>
          <w:top w:w="0" w:type="dxa"/>
          <w:left w:w="0" w:type="dxa"/>
          <w:bottom w:w="0" w:type="dxa"/>
          <w:right w:w="0" w:type="dxa"/>
        </w:tblCellMar>
      </w:tblPr>
      <w:tblGrid>
        <w:gridCol w:w="75"/>
        <w:gridCol w:w="517"/>
        <w:gridCol w:w="920"/>
        <w:gridCol w:w="2557"/>
        <w:gridCol w:w="75"/>
      </w:tblGrid>
      <w:tr>
        <w:trPr/>
        <w:tc>
          <w:tcPr>
            <w:tcW w:w="75" w:type="dxa"/>
            <w:tcBorders/>
            <w:vAlign w:val="center"/>
          </w:tcPr>
          <w:p>
            <w:pPr>
              <w:pStyle w:val="TableHeading"/>
              <w:bidi w:val="0"/>
              <w:spacing w:before="0" w:after="283"/>
              <w:jc w:val="left"/>
              <w:rPr/>
            </w:pPr>
            <w:r>
              <w:rPr/>
              <w:t> </w:t>
            </w:r>
          </w:p>
        </w:tc>
        <w:tc>
          <w:tcPr>
            <w:tcW w:w="3994"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Fifth Third Bank, National Association</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25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3477" w:type="dxa"/>
            <w:gridSpan w:val="2"/>
            <w:tcBorders>
              <w:bottom w:val="single" w:sz="8" w:space="0" w:color="000000"/>
            </w:tcBorders>
            <w:tcMar>
              <w:bottom w:w="28" w:type="dxa"/>
            </w:tcMar>
            <w:vAlign w:val="center"/>
          </w:tcPr>
          <w:p>
            <w:pPr>
              <w:pStyle w:val="TableContents"/>
              <w:bidi w:val="0"/>
              <w:spacing w:before="0" w:after="283"/>
              <w:jc w:val="left"/>
              <w:rPr/>
            </w:pPr>
            <w:r>
              <w:rPr/>
              <w:t>/s/ Kyle Erickson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Name:</w:t>
            </w:r>
          </w:p>
        </w:tc>
        <w:tc>
          <w:tcPr>
            <w:tcW w:w="255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Kyle Erickson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Title:</w:t>
            </w:r>
          </w:p>
        </w:tc>
        <w:tc>
          <w:tcPr>
            <w:tcW w:w="2557"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75"/>
        <w:gridCol w:w="813"/>
        <w:gridCol w:w="1448"/>
        <w:gridCol w:w="2752"/>
        <w:gridCol w:w="75"/>
      </w:tblGrid>
      <w:tr>
        <w:trPr/>
        <w:tc>
          <w:tcPr>
            <w:tcW w:w="75" w:type="dxa"/>
            <w:tcBorders/>
            <w:vAlign w:val="center"/>
          </w:tcPr>
          <w:p>
            <w:pPr>
              <w:pStyle w:val="TableHeading"/>
              <w:bidi w:val="0"/>
              <w:spacing w:before="0" w:after="283"/>
              <w:jc w:val="left"/>
              <w:rPr/>
            </w:pPr>
            <w:r>
              <w:rPr/>
              <w:t> </w:t>
            </w:r>
          </w:p>
        </w:tc>
        <w:tc>
          <w:tcPr>
            <w:tcW w:w="5013" w:type="dxa"/>
            <w:gridSpan w:val="3"/>
            <w:tcBorders/>
            <w:vAlign w:val="center"/>
          </w:tcPr>
          <w:p>
            <w:pPr>
              <w:pStyle w:val="TableHeading"/>
              <w:bidi w:val="0"/>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MORGAN STANLEY SENIOR FUNDING, INC.</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 </w:t>
            </w:r>
          </w:p>
        </w:tc>
        <w:tc>
          <w:tcPr>
            <w:tcW w:w="275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By:</w:t>
            </w:r>
          </w:p>
        </w:tc>
        <w:tc>
          <w:tcPr>
            <w:tcW w:w="4200" w:type="dxa"/>
            <w:gridSpan w:val="2"/>
            <w:tcBorders>
              <w:bottom w:val="single" w:sz="8" w:space="0" w:color="000000"/>
            </w:tcBorders>
            <w:tcMar>
              <w:bottom w:w="28" w:type="dxa"/>
            </w:tcMar>
            <w:vAlign w:val="center"/>
          </w:tcPr>
          <w:p>
            <w:pPr>
              <w:pStyle w:val="TableContents"/>
              <w:bidi w:val="0"/>
              <w:spacing w:before="0" w:after="283"/>
              <w:jc w:val="left"/>
              <w:rPr/>
            </w:pPr>
            <w:r>
              <w:rPr/>
              <w:t>/s/ Michael King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Name:</w:t>
            </w:r>
          </w:p>
        </w:tc>
        <w:tc>
          <w:tcPr>
            <w:tcW w:w="2752"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Michael King</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left"/>
              <w:rPr/>
            </w:pPr>
            <w:r>
              <w:rPr/>
              <w:t>Title:</w:t>
            </w:r>
          </w:p>
        </w:tc>
        <w:tc>
          <w:tcPr>
            <w:tcW w:w="2752"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65"/>
        <w:gridCol w:w="650"/>
        <w:gridCol w:w="1820"/>
        <w:gridCol w:w="75"/>
      </w:tblGrid>
      <w:tr>
        <w:trPr/>
        <w:tc>
          <w:tcPr>
            <w:tcW w:w="75" w:type="dxa"/>
            <w:tcBorders/>
            <w:vAlign w:val="center"/>
          </w:tcPr>
          <w:p>
            <w:pPr>
              <w:pStyle w:val="TableHeading"/>
              <w:bidi w:val="0"/>
              <w:spacing w:before="0" w:after="283"/>
              <w:jc w:val="left"/>
              <w:rPr/>
            </w:pPr>
            <w:r>
              <w:rPr/>
              <w:t> </w:t>
            </w:r>
          </w:p>
        </w:tc>
        <w:tc>
          <w:tcPr>
            <w:tcW w:w="2835" w:type="dxa"/>
            <w:gridSpan w:val="3"/>
            <w:tcBorders/>
            <w:vAlign w:val="center"/>
          </w:tcPr>
          <w:p>
            <w:pPr>
              <w:pStyle w:val="TableHeading"/>
              <w:bidi w:val="0"/>
              <w:jc w:val="left"/>
              <w:rPr>
                <w:rFonts w:ascii="Times New Roman;Times;Serif" w:hAnsi="Times New Roman;Times;Serif"/>
                <w:b/>
                <w:i w:val="false"/>
                <w:caps w:val="false"/>
                <w:smallCaps w:val="false"/>
              </w:rPr>
            </w:pPr>
            <w:r>
              <w:rPr>
                <w:rFonts w:ascii="Times New Roman;Times;Serif" w:hAnsi="Times New Roman;Times;Serif"/>
                <w:b/>
                <w:i w:val="false"/>
                <w:caps w:val="false"/>
                <w:smallCaps w:val="false"/>
              </w:rPr>
              <w:t>Royal Bank of Canada</w:t>
            </w:r>
          </w:p>
          <w:p>
            <w:pPr>
              <w:pStyle w:val="TableHeading"/>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rPr>
              <w:t>as Lender</w:t>
            </w:r>
          </w:p>
        </w:tc>
        <w:tc>
          <w:tcPr>
            <w:tcW w:w="75" w:type="dxa"/>
            <w:tcBorders/>
            <w:vAlign w:val="center"/>
          </w:tcPr>
          <w:p>
            <w:pPr>
              <w:pStyle w:val="TableHeading"/>
              <w:suppressLineNumber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bottom w:w="28" w:type="dxa"/>
            </w:tcMar>
            <w:vAlign w:val="center"/>
          </w:tcPr>
          <w:p>
            <w:pPr>
              <w:pStyle w:val="TableContents"/>
              <w:bidi w:val="0"/>
              <w:spacing w:before="0" w:after="283"/>
              <w:jc w:val="left"/>
              <w:rPr/>
            </w:pPr>
            <w:r>
              <w:rPr/>
              <w:t>/s/ Brian Hueter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Brian Hueter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 – Signature Page to Term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 –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10" w:type="dxa"/>
        <w:tblLayout w:type="fixed"/>
        <w:tblCellMar>
          <w:top w:w="28" w:type="dxa"/>
          <w:left w:w="28" w:type="dxa"/>
          <w:bottom w:w="28" w:type="dxa"/>
          <w:right w:w="28" w:type="dxa"/>
        </w:tblCellMar>
      </w:tblPr>
      <w:tblGrid>
        <w:gridCol w:w="1385"/>
        <w:gridCol w:w="2000"/>
        <w:gridCol w:w="1625"/>
        <w:gridCol w:w="1625"/>
        <w:gridCol w:w="1445"/>
      </w:tblGrid>
      <w:tr>
        <w:trPr/>
        <w:tc>
          <w:tcPr>
            <w:tcW w:w="13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Pricing Level</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Debt Rating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(Moody’s/S&amp;P)</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Margin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Term SOFR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and RFR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(bps per annum)</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Margin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Base Rate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(bps per annum)</w:t>
            </w:r>
          </w:p>
        </w:tc>
        <w:tc>
          <w:tcPr>
            <w:tcW w:w="14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Ticking Fee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(bps per annum) </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1</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A2/A or higher</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87.5</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0.0</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7.0</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2</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A3/A-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100.0</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0.0</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9.0</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3</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Baa1/BBB+</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112.5</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10.0</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4</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Baa2/BBB</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125.0</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25.0</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r>
      <w:tr>
        <w:trPr/>
        <w:tc>
          <w:tcPr>
            <w:tcW w:w="13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5</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Baa3/BBB- or lower</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137.5</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37.5</w:t>
            </w:r>
          </w:p>
        </w:tc>
        <w:tc>
          <w:tcPr>
            <w:tcW w:w="14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Debt Rating</w:t>
      </w:r>
      <w:r>
        <w:rPr>
          <w:rFonts w:ascii="Times New Roman;Times;Serif" w:hAnsi="Times New Roman;Times;Serif"/>
          <w:b w:val="false"/>
          <w:i w:val="false"/>
          <w:caps w:val="false"/>
          <w:smallCaps w:val="false"/>
          <w:sz w:val="20"/>
        </w:rPr>
        <w:t>” means, as of any date with respect to any of Moody’s Investor Services,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and S&amp;P Global Inc.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the rating that has been most recently announced by Moody’s or S&amp;P, as the case may be, for any class of non-credit enhanced long-term senior unsecured debt of the Borrower or, if any such rating agency shall have issued more than one such rating, the lowest such rating issued by such rating agency.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either Moody’s or S&amp;P shall not have in effect a Public Debt Rating, the Applicable Margin and the Applicable Ticking Fee Rate shall be determined by reference to the remaining effective Public Debt Rating; (b) if neither Moody’s nor S&amp;P shall have in effect a Public Debt Rating (other than by reason of the circumstances referred to in the second succeeding paragraph), the Applicable Margin and the Applicable Ticking Fee Rate will be set in accordance with Pricing Level 5 above; and (c) if the Public Debt Ratings established by Moody’s and S&amp;P shall fall within different Pricing Levels, then the Applicable Margin and the Applicable Ticking Fee Rate will be set in accordance with the Pricing Level in which the higher of the Public Debt Ratings shall fall unless the Public Debt Ratings differ by two or more Pricing Levels, in which case the applicable Pricing Level shall be the Pricing Level one level below that corresponding to the higher Public Debt Rating.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change in the Applicable Margin and the Applicable Ticking Fee Rate resulting from a publicly announced change in the Public Debt Rating shall be effective, in the case of an upgrade or a downgrade, during the period commencing three Domestic Business Days after the effective date of such change and ending on the date immediately preceding the effective date of the next such change to the Applicable Margin or the Applicable Ticking Fee Rate, as applicable.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Rating in effect for any day is the Public Debt Rating in effect at the close of business on such day, and the Applicable Margin and the Applicable Ticking Fee Rate may change from time to time during any interest period as a result of changes in the Pricing Level during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rating system of Moody’s or S&amp;P shall change, or if any such rating agency shall cease to be in the business of rating corporate debt obligations, the Borrower and the Lenders shall negotiate in good faith to amend the Term Credit Agreement to reflect such changed rating system or the unavailability of ratings from such rating agency and, pending the effectiveness of any such amendment, the Applicable Margin and the Applicable Ticking Fee Rate shall be determined by reference to the rating of such rating agency most recently in effect prior to such change or cessation.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 – COMMITMENT SCHEDULE</w:t>
      </w:r>
    </w:p>
    <w:p>
      <w:pPr>
        <w:pStyle w:val="TextBody"/>
        <w:bidi w:val="0"/>
        <w:spacing w:before="0" w:after="0"/>
        <w:ind w:left="0" w:right="0" w:hanging="0"/>
        <w:jc w:val="left"/>
        <w:rPr>
          <w:caps w:val="false"/>
          <w:smallCaps w:val="false"/>
        </w:rPr>
      </w:pPr>
      <w:r>
        <w:rPr>
          <w:caps w:val="false"/>
          <w:smallCaps w:val="false"/>
        </w:rPr>
        <w:t> </w:t>
      </w:r>
    </w:p>
    <w:tbl>
      <w:tblPr>
        <w:tblW w:w="5835" w:type="dxa"/>
        <w:jc w:val="left"/>
        <w:tblInd w:w="0" w:type="dxa"/>
        <w:tblLayout w:type="fixed"/>
        <w:tblCellMar>
          <w:top w:w="0" w:type="dxa"/>
          <w:left w:w="0" w:type="dxa"/>
          <w:bottom w:w="28" w:type="dxa"/>
          <w:right w:w="0" w:type="dxa"/>
        </w:tblCellMar>
      </w:tblPr>
      <w:tblGrid>
        <w:gridCol w:w="3860"/>
        <w:gridCol w:w="60"/>
        <w:gridCol w:w="140"/>
        <w:gridCol w:w="1700"/>
        <w:gridCol w:w="75"/>
      </w:tblGrid>
      <w:tr>
        <w:trPr/>
        <w:tc>
          <w:tcPr>
            <w:tcW w:w="3860" w:type="dxa"/>
            <w:tcBorders>
              <w:bottom w:val="single" w:sz="8" w:space="0" w:color="000000"/>
            </w:tcBorders>
            <w:vAlign w:val="center"/>
          </w:tcPr>
          <w:p>
            <w:pPr>
              <w:pStyle w:val="TableContents"/>
              <w:bidi w:val="0"/>
              <w:spacing w:before="0" w:after="283"/>
              <w:jc w:val="left"/>
              <w:rPr>
                <w:b/>
              </w:rPr>
            </w:pPr>
            <w:r>
              <w:rPr>
                <w:b/>
              </w:rPr>
              <w:t>Lender</w:t>
            </w:r>
          </w:p>
        </w:tc>
        <w:tc>
          <w:tcPr>
            <w:tcW w:w="60" w:type="dxa"/>
            <w:tcBorders/>
            <w:tcMar>
              <w:bottom w:w="0" w:type="dxa"/>
            </w:tcMar>
            <w:vAlign w:val="center"/>
          </w:tcPr>
          <w:p>
            <w:pPr>
              <w:pStyle w:val="TableContents"/>
              <w:bidi w:val="0"/>
              <w:spacing w:before="0" w:after="283"/>
              <w:jc w:val="left"/>
              <w:rPr/>
            </w:pPr>
            <w:r>
              <w:rPr/>
              <w:t> </w:t>
            </w:r>
          </w:p>
        </w:tc>
        <w:tc>
          <w:tcPr>
            <w:tcW w:w="1915" w:type="dxa"/>
            <w:gridSpan w:val="3"/>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w:t>
            </w:r>
          </w:p>
        </w:tc>
      </w:tr>
      <w:tr>
        <w:trPr/>
        <w:tc>
          <w:tcPr>
            <w:tcW w:w="3860" w:type="dxa"/>
            <w:tcBorders/>
            <w:tcMar>
              <w:bottom w:w="0" w:type="dxa"/>
            </w:tcMar>
            <w:vAlign w:val="center"/>
          </w:tcPr>
          <w:p>
            <w:pPr>
              <w:pStyle w:val="TableContents"/>
              <w:bidi w:val="0"/>
              <w:spacing w:before="0" w:after="283"/>
              <w:jc w:val="left"/>
              <w:rPr/>
            </w:pPr>
            <w:r>
              <w:rPr/>
              <w:t>Goldman Sachs Bank USA</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153,375,000.00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JPMorgan Chase Bank, N.A.</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153,375,000.00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Deutsche Bank AG New York Branch</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153,375,000.00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Truist Bank</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153,375,000.00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Wells Fargo Bank, National Association</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147,375,000.00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PNC Bank, National Association</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147,375,000.00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Regions Bank</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128,625,000.00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First-Citizens Bank &amp; Trust Company</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128,625,000.00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The Northern Trust Company</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83,625,000.00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Fifth Third Bank, National Association</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83,625,000.00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Morgan Stanley Senior Funding, Inc.</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83,625,000.00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pPr>
            <w:r>
              <w:rPr/>
              <w:t>Royal Bank of Canada</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w:t>
            </w:r>
          </w:p>
        </w:tc>
        <w:tc>
          <w:tcPr>
            <w:tcW w:w="1700" w:type="dxa"/>
            <w:tcBorders/>
            <w:tcMar>
              <w:bottom w:w="0" w:type="dxa"/>
            </w:tcMar>
            <w:vAlign w:val="center"/>
          </w:tcPr>
          <w:p>
            <w:pPr>
              <w:pStyle w:val="TableContents"/>
              <w:bidi w:val="0"/>
              <w:spacing w:before="0" w:after="283"/>
              <w:jc w:val="right"/>
              <w:rPr/>
            </w:pPr>
            <w:r>
              <w:rPr/>
              <w:t>83,625,000.00</w:t>
            </w:r>
          </w:p>
        </w:tc>
        <w:tc>
          <w:tcPr>
            <w:tcW w:w="75" w:type="dxa"/>
            <w:tcBorders/>
            <w:tcMar>
              <w:bottom w:w="0" w:type="dxa"/>
            </w:tcMar>
            <w:vAlign w:val="center"/>
          </w:tcPr>
          <w:p>
            <w:pPr>
              <w:pStyle w:val="TableContents"/>
              <w:bidi w:val="0"/>
              <w:spacing w:before="0" w:after="283"/>
              <w:jc w:val="left"/>
              <w:rPr/>
            </w:pPr>
            <w:r>
              <w:rPr/>
              <w:t> </w:t>
            </w:r>
          </w:p>
        </w:tc>
      </w:tr>
      <w:tr>
        <w:trPr/>
        <w:tc>
          <w:tcPr>
            <w:tcW w:w="3860" w:type="dxa"/>
            <w:tcBorders/>
            <w:tcMar>
              <w:bottom w:w="0" w:type="dxa"/>
            </w:tcMar>
            <w:vAlign w:val="center"/>
          </w:tcPr>
          <w:p>
            <w:pPr>
              <w:pStyle w:val="TableContents"/>
              <w:bidi w:val="0"/>
              <w:spacing w:before="0" w:after="283"/>
              <w:jc w:val="left"/>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b/>
              </w:rPr>
            </w:pPr>
            <w:r>
              <w:rPr>
                <w:b/>
              </w:rPr>
              <w:t>$</w:t>
            </w:r>
          </w:p>
        </w:tc>
        <w:tc>
          <w:tcPr>
            <w:tcW w:w="1700" w:type="dxa"/>
            <w:tcBorders/>
            <w:tcMar>
              <w:bottom w:w="0" w:type="dxa"/>
            </w:tcMar>
            <w:vAlign w:val="center"/>
          </w:tcPr>
          <w:p>
            <w:pPr>
              <w:pStyle w:val="TableContents"/>
              <w:bidi w:val="0"/>
              <w:spacing w:before="0" w:after="283"/>
              <w:jc w:val="right"/>
              <w:rPr>
                <w:b/>
              </w:rPr>
            </w:pPr>
            <w:r>
              <w:rPr>
                <w:b/>
              </w:rPr>
              <w:t>1,500,000,000.00</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98475</Words>
  <Characters>516225</Characters>
  <CharactersWithSpaces>616735</CharactersWithSpaces>
  <Paragraphs>5313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