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1-12744</w:t>
      </w:r>
    </w:p>
    <w:p>
      <w:pPr>
        <w:spacing w:after="0" w:line="9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45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4"/>
              </w:rPr>
              <w:t>North Carolina</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89"/>
              </w:rPr>
              <w:t>56-1848578</w:t>
            </w:r>
          </w:p>
        </w:tc>
        <w:tc>
          <w:tcPr>
            <w:tcW w:w="960" w:type="dxa"/>
            <w:vAlign w:val="bottom"/>
          </w:tcPr>
          <w:p>
            <w:pPr>
              <w:spacing w:after="0"/>
              <w:rPr>
                <w:sz w:val="18"/>
                <w:szCs w:val="18"/>
                <w:color w:val="auto"/>
              </w:rPr>
            </w:pPr>
          </w:p>
        </w:tc>
      </w:tr>
      <w:tr>
        <w:trPr>
          <w:trHeight w:val="234"/>
        </w:trPr>
        <w:tc>
          <w:tcPr>
            <w:tcW w:w="624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38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46"/>
        </w:trPr>
        <w:tc>
          <w:tcPr>
            <w:tcW w:w="45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2710 Wycliff Road, Raleigh, NC</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89"/>
              </w:rPr>
              <w:t>27607-3033</w:t>
            </w:r>
          </w:p>
        </w:tc>
        <w:tc>
          <w:tcPr>
            <w:tcW w:w="960" w:type="dxa"/>
            <w:vAlign w:val="bottom"/>
          </w:tcPr>
          <w:p>
            <w:pPr>
              <w:spacing w:after="0"/>
              <w:rPr>
                <w:sz w:val="24"/>
                <w:szCs w:val="24"/>
                <w:color w:val="auto"/>
              </w:rPr>
            </w:pPr>
          </w:p>
        </w:tc>
      </w:tr>
      <w:tr>
        <w:trPr>
          <w:trHeight w:val="216"/>
        </w:trPr>
        <w:tc>
          <w:tcPr>
            <w:tcW w:w="45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2100" w:type="dxa"/>
            <w:vAlign w:val="bottom"/>
          </w:tcPr>
          <w:p>
            <w:pPr>
              <w:spacing w:after="0"/>
              <w:rPr>
                <w:sz w:val="20"/>
                <w:szCs w:val="20"/>
                <w:color w:val="auto"/>
              </w:rPr>
            </w:pPr>
          </w:p>
        </w:tc>
        <w:tc>
          <w:tcPr>
            <w:tcW w:w="7520" w:type="dxa"/>
            <w:vAlign w:val="bottom"/>
            <w:gridSpan w:val="9"/>
          </w:tcPr>
          <w:p>
            <w:pPr>
              <w:jc w:val="center"/>
              <w:ind w:right="1360"/>
              <w:spacing w:after="0"/>
              <w:rPr>
                <w:sz w:val="20"/>
                <w:szCs w:val="20"/>
                <w:color w:val="auto"/>
              </w:rPr>
            </w:pPr>
            <w:r>
              <w:rPr>
                <w:rFonts w:ascii="Arial" w:cs="Arial" w:eastAsia="Arial" w:hAnsi="Arial"/>
                <w:sz w:val="18"/>
                <w:szCs w:val="18"/>
                <w:b w:val="1"/>
                <w:bCs w:val="1"/>
                <w:color w:val="auto"/>
                <w:w w:val="89"/>
              </w:rPr>
              <w:t>Registrant’s telephone number, including area code 919-781-4550</w:t>
            </w:r>
          </w:p>
        </w:tc>
      </w:tr>
      <w:tr>
        <w:trPr>
          <w:trHeight w:val="270"/>
        </w:trPr>
        <w:tc>
          <w:tcPr>
            <w:tcW w:w="9620" w:type="dxa"/>
            <w:vAlign w:val="bottom"/>
            <w:gridSpan w:val="10"/>
          </w:tcPr>
          <w:p>
            <w:pPr>
              <w:jc w:val="center"/>
              <w:ind w:left="650"/>
              <w:spacing w:after="0"/>
              <w:rPr>
                <w:sz w:val="20"/>
                <w:szCs w:val="20"/>
                <w:color w:val="auto"/>
              </w:rPr>
            </w:pPr>
            <w:r>
              <w:rPr>
                <w:rFonts w:ascii="Arial" w:cs="Arial" w:eastAsia="Arial" w:hAnsi="Arial"/>
                <w:sz w:val="18"/>
                <w:szCs w:val="18"/>
                <w:b w:val="1"/>
                <w:bCs w:val="1"/>
                <w:color w:val="auto"/>
                <w:w w:val="89"/>
              </w:rPr>
              <w:t>Former name, former address and former fiscal year, if changes since last report: None</w:t>
            </w:r>
          </w:p>
        </w:tc>
      </w:tr>
      <w:tr>
        <w:trPr>
          <w:trHeight w:val="306"/>
        </w:trPr>
        <w:tc>
          <w:tcPr>
            <w:tcW w:w="2100" w:type="dxa"/>
            <w:vAlign w:val="bottom"/>
          </w:tcPr>
          <w:p>
            <w:pPr>
              <w:spacing w:after="0"/>
              <w:rPr>
                <w:sz w:val="24"/>
                <w:szCs w:val="24"/>
                <w:color w:val="auto"/>
              </w:rPr>
            </w:pPr>
          </w:p>
        </w:tc>
        <w:tc>
          <w:tcPr>
            <w:tcW w:w="7520" w:type="dxa"/>
            <w:vAlign w:val="bottom"/>
            <w:gridSpan w:val="9"/>
          </w:tcPr>
          <w:p>
            <w:pPr>
              <w:jc w:val="center"/>
              <w:ind w:right="13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2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right="40"/>
              <w:spacing w:after="0" w:line="194" w:lineRule="exact"/>
              <w:rPr>
                <w:sz w:val="20"/>
                <w:szCs w:val="20"/>
                <w:color w:val="auto"/>
              </w:rPr>
            </w:pPr>
            <w:r>
              <w:rPr>
                <w:rFonts w:ascii="Arial" w:cs="Arial" w:eastAsia="Arial" w:hAnsi="Arial"/>
                <w:sz w:val="18"/>
                <w:szCs w:val="18"/>
                <w:b w:val="1"/>
                <w:bCs w:val="1"/>
                <w:color w:val="auto"/>
                <w:w w:val="87"/>
              </w:rPr>
              <w:t>Name of each exchange on</w:t>
            </w:r>
          </w:p>
        </w:tc>
        <w:tc>
          <w:tcPr>
            <w:tcW w:w="960" w:type="dxa"/>
            <w:vAlign w:val="bottom"/>
          </w:tcPr>
          <w:p>
            <w:pPr>
              <w:spacing w:after="0"/>
              <w:rPr>
                <w:sz w:val="16"/>
                <w:szCs w:val="16"/>
                <w:color w:val="auto"/>
              </w:rPr>
            </w:pPr>
          </w:p>
        </w:tc>
      </w:tr>
      <w:tr>
        <w:trPr>
          <w:trHeight w:val="196"/>
        </w:trPr>
        <w:tc>
          <w:tcPr>
            <w:tcW w:w="2100" w:type="dxa"/>
            <w:vAlign w:val="bottom"/>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Title of Each Class</w:t>
            </w:r>
          </w:p>
        </w:tc>
        <w:tc>
          <w:tcPr>
            <w:tcW w:w="1000" w:type="dxa"/>
            <w:vAlign w:val="bottom"/>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Trading Symbol(s)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tcPr>
          <w:p>
            <w:pPr>
              <w:jc w:val="center"/>
              <w:ind w:right="960"/>
              <w:spacing w:after="0" w:line="196" w:lineRule="exact"/>
              <w:rPr>
                <w:sz w:val="20"/>
                <w:szCs w:val="20"/>
                <w:color w:val="auto"/>
              </w:rPr>
            </w:pPr>
            <w:r>
              <w:rPr>
                <w:rFonts w:ascii="Arial" w:cs="Arial" w:eastAsia="Arial" w:hAnsi="Arial"/>
                <w:sz w:val="18"/>
                <w:szCs w:val="18"/>
                <w:b w:val="1"/>
                <w:bCs w:val="1"/>
                <w:color w:val="auto"/>
                <w:w w:val="88"/>
              </w:rPr>
              <w:t>which registered</w:t>
            </w:r>
          </w:p>
        </w:tc>
      </w:tr>
      <w:tr>
        <w:trPr>
          <w:trHeight w:val="20"/>
        </w:trPr>
        <w:tc>
          <w:tcPr>
            <w:tcW w:w="2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4540" w:type="dxa"/>
            <w:vAlign w:val="bottom"/>
            <w:gridSpan w:val="3"/>
          </w:tcPr>
          <w:p>
            <w:pPr>
              <w:jc w:val="center"/>
              <w:ind w:left="1010"/>
              <w:spacing w:after="0"/>
              <w:rPr>
                <w:sz w:val="20"/>
                <w:szCs w:val="20"/>
                <w:color w:val="auto"/>
              </w:rPr>
            </w:pPr>
            <w:r>
              <w:rPr>
                <w:rFonts w:ascii="Arial" w:cs="Arial" w:eastAsia="Arial" w:hAnsi="Arial"/>
                <w:sz w:val="18"/>
                <w:szCs w:val="18"/>
                <w:color w:val="auto"/>
                <w:w w:val="90"/>
              </w:rPr>
              <w:t>Common Stock (Par Value $0.01)</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rPr>
              <w:t>MLM</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NYSE</w:t>
            </w:r>
          </w:p>
        </w:tc>
      </w:tr>
    </w:tbl>
    <w:p>
      <w:pPr>
        <w:spacing w:after="0" w:line="9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4"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50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20" w:type="dxa"/>
            <w:vAlign w:val="bottom"/>
            <w:gridSpan w:val="2"/>
          </w:tcPr>
          <w:p>
            <w:pPr>
              <w:jc w:val="right"/>
              <w:ind w:right="49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1240" w:type="dxa"/>
            <w:vAlign w:val="bottom"/>
            <w:gridSpan w:val="4"/>
          </w:tcPr>
          <w:p>
            <w:pPr>
              <w:jc w:val="right"/>
              <w:ind w:right="225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r>
      <w:tr>
        <w:trPr>
          <w:trHeight w:val="351"/>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24"/>
                <w:szCs w:val="24"/>
                <w:color w:val="auto"/>
              </w:rPr>
            </w:pPr>
          </w:p>
        </w:tc>
        <w:tc>
          <w:tcPr>
            <w:tcW w:w="5500" w:type="dxa"/>
            <w:vAlign w:val="bottom"/>
          </w:tcPr>
          <w:p>
            <w:pPr>
              <w:jc w:val="right"/>
              <w:ind w:right="1410"/>
              <w:spacing w:after="0"/>
              <w:rPr>
                <w:sz w:val="20"/>
                <w:szCs w:val="20"/>
                <w:color w:val="auto"/>
              </w:rPr>
            </w:pPr>
            <w:r>
              <w:rPr>
                <w:rFonts w:ascii="Arial" w:cs="Arial" w:eastAsia="Arial" w:hAnsi="Arial"/>
                <w:sz w:val="18"/>
                <w:szCs w:val="18"/>
                <w:b w:val="1"/>
                <w:bCs w:val="1"/>
                <w:color w:val="auto"/>
              </w:rPr>
              <w:t>Outstanding as of April 29, 2020</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62,241,366</w:t>
            </w:r>
          </w:p>
        </w:tc>
      </w:tr>
      <w:tr>
        <w:trPr>
          <w:trHeight w:val="161"/>
        </w:trPr>
        <w:tc>
          <w:tcPr>
            <w:tcW w:w="5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797"/>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80" w:type="dxa"/>
            <w:vAlign w:val="bottom"/>
            <w:gridSpan w:val="2"/>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227"/>
        </w:trPr>
        <w:tc>
          <w:tcPr>
            <w:tcW w:w="106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Consolidated Balance Sheets – March 31, 2020 and December 31,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w w:val="98"/>
              </w:rPr>
            </w:pPr>
            <w:hyperlink w:anchor="page4">
              <w:r>
                <w:rPr>
                  <w:rFonts w:ascii="Arial" w:cs="Arial" w:eastAsia="Arial" w:hAnsi="Arial"/>
                  <w:sz w:val="20"/>
                  <w:szCs w:val="20"/>
                  <w:u w:val="single" w:color="auto"/>
                  <w:color w:val="0000EE"/>
                  <w:w w:val="98"/>
                </w:rPr>
                <w:t>Consolidated Statements of Earnings and Comprehensive Earnings – Three Months Ended March 31,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Cash Flows – Three Months Ended March 31,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Consolidated Statement of Total Equity – Three Months Ended March 31,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20">
              <w:r>
                <w:rPr>
                  <w:rFonts w:ascii="Arial" w:cs="Arial" w:eastAsia="Arial" w:hAnsi="Arial"/>
                  <w:sz w:val="20"/>
                  <w:szCs w:val="20"/>
                  <w:u w:val="single" w:color="auto"/>
                  <w:color w:val="0000EE"/>
                </w:rPr>
                <w:t>Item 2.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36">
              <w:r>
                <w:rPr>
                  <w:rFonts w:ascii="Arial" w:cs="Arial" w:eastAsia="Arial" w:hAnsi="Arial"/>
                  <w:sz w:val="20"/>
                  <w:szCs w:val="20"/>
                  <w:u w:val="single" w:color="auto"/>
                  <w:color w:val="0000EE"/>
                </w:rPr>
                <w:t>Item 3. 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37">
              <w:r>
                <w:rPr>
                  <w:rFonts w:ascii="Arial" w:cs="Arial" w:eastAsia="Arial" w:hAnsi="Arial"/>
                  <w:sz w:val="20"/>
                  <w:szCs w:val="20"/>
                  <w:u w:val="single" w:color="auto"/>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351"/>
        </w:trPr>
        <w:tc>
          <w:tcPr>
            <w:tcW w:w="10680" w:type="dxa"/>
            <w:vAlign w:val="bottom"/>
            <w:gridSpan w:val="2"/>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38">
              <w:r>
                <w:rPr>
                  <w:rFonts w:ascii="Arial" w:cs="Arial" w:eastAsia="Arial" w:hAnsi="Arial"/>
                  <w:sz w:val="20"/>
                  <w:szCs w:val="20"/>
                  <w:u w:val="single" w:color="auto"/>
                  <w:color w:val="0000EE"/>
                  <w:w w:val="91"/>
                </w:rPr>
                <w:t>Item 1.</w:t>
              </w:r>
            </w:hyperlink>
          </w:p>
        </w:tc>
        <w:tc>
          <w:tcPr>
            <w:tcW w:w="9880" w:type="dxa"/>
            <w:vAlign w:val="bottom"/>
          </w:tcPr>
          <w:p>
            <w:pPr>
              <w:ind w:left="40"/>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Item 1A. Risk Factors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39">
              <w:r>
                <w:rPr>
                  <w:rFonts w:ascii="Arial" w:cs="Arial" w:eastAsia="Arial" w:hAnsi="Arial"/>
                  <w:sz w:val="20"/>
                  <w:szCs w:val="20"/>
                  <w:u w:val="single" w:color="auto"/>
                  <w:color w:val="0000EE"/>
                  <w:w w:val="91"/>
                </w:rPr>
                <w:t>Item 2.</w:t>
              </w:r>
            </w:hyperlink>
          </w:p>
        </w:tc>
        <w:tc>
          <w:tcPr>
            <w:tcW w:w="9880" w:type="dxa"/>
            <w:vAlign w:val="bottom"/>
          </w:tcPr>
          <w:p>
            <w:pPr>
              <w:ind w:left="40"/>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39">
              <w:r>
                <w:rPr>
                  <w:rFonts w:ascii="Arial" w:cs="Arial" w:eastAsia="Arial" w:hAnsi="Arial"/>
                  <w:sz w:val="20"/>
                  <w:szCs w:val="20"/>
                  <w:u w:val="single" w:color="auto"/>
                  <w:color w:val="0000EE"/>
                  <w:w w:val="91"/>
                </w:rPr>
                <w:t>Item 4.</w:t>
              </w:r>
            </w:hyperlink>
          </w:p>
        </w:tc>
        <w:tc>
          <w:tcPr>
            <w:tcW w:w="9880" w:type="dxa"/>
            <w:vAlign w:val="bottom"/>
          </w:tcPr>
          <w:p>
            <w:pPr>
              <w:ind w:left="40"/>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40">
              <w:r>
                <w:rPr>
                  <w:rFonts w:ascii="Arial" w:cs="Arial" w:eastAsia="Arial" w:hAnsi="Arial"/>
                  <w:sz w:val="20"/>
                  <w:szCs w:val="20"/>
                  <w:u w:val="single" w:color="auto"/>
                  <w:color w:val="0000EE"/>
                  <w:w w:val="91"/>
                </w:rPr>
                <w:t>Item 6.</w:t>
              </w:r>
            </w:hyperlink>
          </w:p>
        </w:tc>
        <w:tc>
          <w:tcPr>
            <w:tcW w:w="9880" w:type="dxa"/>
            <w:vAlign w:val="bottom"/>
          </w:tcPr>
          <w:p>
            <w:pPr>
              <w:ind w:left="40"/>
              <w:spacing w:after="0"/>
              <w:rPr>
                <w:rFonts w:ascii="Arial" w:cs="Arial" w:eastAsia="Arial" w:hAnsi="Arial"/>
                <w:sz w:val="20"/>
                <w:szCs w:val="20"/>
                <w:u w:val="single" w:color="auto"/>
                <w:color w:val="0000EE"/>
              </w:rPr>
            </w:pPr>
            <w:hyperlink w:anchor="page40">
              <w:r>
                <w:rPr>
                  <w:rFonts w:ascii="Arial" w:cs="Arial" w:eastAsia="Arial" w:hAnsi="Arial"/>
                  <w:sz w:val="20"/>
                  <w:szCs w:val="20"/>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51"/>
        </w:trPr>
        <w:tc>
          <w:tcPr>
            <w:tcW w:w="10680" w:type="dxa"/>
            <w:vAlign w:val="bottom"/>
            <w:gridSpan w:val="2"/>
          </w:tcPr>
          <w:p>
            <w:pPr>
              <w:spacing w:after="0"/>
              <w:rPr>
                <w:rFonts w:ascii="Arial" w:cs="Arial" w:eastAsia="Arial" w:hAnsi="Arial"/>
                <w:sz w:val="20"/>
                <w:szCs w:val="20"/>
                <w:u w:val="single" w:color="auto"/>
                <w:color w:val="0000EE"/>
              </w:rPr>
            </w:pPr>
            <w:hyperlink w:anchor="page41">
              <w:r>
                <w:rPr>
                  <w:rFonts w:ascii="Arial" w:cs="Arial" w:eastAsia="Arial" w:hAnsi="Arial"/>
                  <w:sz w:val="20"/>
                  <w:szCs w:val="20"/>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March 31,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December 31,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5080" w:type="dxa"/>
            <w:vAlign w:val="bottom"/>
          </w:tcPr>
          <w:p>
            <w:pPr>
              <w:spacing w:after="0"/>
              <w:rPr>
                <w:sz w:val="18"/>
                <w:szCs w:val="18"/>
                <w:color w:val="auto"/>
              </w:rPr>
            </w:pPr>
          </w:p>
        </w:tc>
        <w:tc>
          <w:tcPr>
            <w:tcW w:w="2740" w:type="dxa"/>
            <w:vAlign w:val="bottom"/>
            <w:gridSpan w:val="2"/>
          </w:tcPr>
          <w:p>
            <w:pPr>
              <w:jc w:val="right"/>
              <w:ind w:right="175"/>
              <w:spacing w:after="0"/>
              <w:rPr>
                <w:sz w:val="20"/>
                <w:szCs w:val="20"/>
                <w:color w:val="auto"/>
              </w:rPr>
            </w:pPr>
            <w:r>
              <w:rPr>
                <w:rFonts w:ascii="Arial" w:cs="Arial" w:eastAsia="Arial" w:hAnsi="Arial"/>
                <w:sz w:val="17"/>
                <w:szCs w:val="17"/>
                <w:color w:val="auto"/>
              </w:rPr>
              <w:t>2020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42"/>
              <w:spacing w:after="0"/>
              <w:rPr>
                <w:sz w:val="20"/>
                <w:szCs w:val="20"/>
                <w:color w:val="auto"/>
              </w:rPr>
            </w:pPr>
            <w:r>
              <w:rPr>
                <w:rFonts w:ascii="Arial" w:cs="Arial" w:eastAsia="Arial" w:hAnsi="Arial"/>
                <w:sz w:val="17"/>
                <w:szCs w:val="17"/>
                <w:color w:val="auto"/>
              </w:rPr>
              <w:t>2019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0" w:type="dxa"/>
            <w:vAlign w:val="bottom"/>
            <w:tcBorders>
              <w:top w:val="single" w:sz="8" w:color="auto"/>
            </w:tcBorders>
            <w:gridSpan w:val="5"/>
          </w:tcPr>
          <w:p>
            <w:pPr>
              <w:jc w:val="right"/>
              <w:ind w:right="162"/>
              <w:spacing w:after="0"/>
              <w:rPr>
                <w:sz w:val="20"/>
                <w:szCs w:val="20"/>
                <w:color w:val="auto"/>
              </w:rPr>
            </w:pPr>
            <w:r>
              <w:rPr>
                <w:rFonts w:ascii="Arial" w:cs="Arial" w:eastAsia="Arial" w:hAnsi="Arial"/>
                <w:sz w:val="17"/>
                <w:szCs w:val="17"/>
                <w:i w:val="1"/>
                <w:iCs w:val="1"/>
                <w:color w:val="auto"/>
              </w:rPr>
              <w:t>(Dollars in Millions, Except Par Value Data)</w:t>
            </w: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Current Assets:</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740" w:type="dxa"/>
            <w:vAlign w:val="bottom"/>
            <w:gridSpan w:val="2"/>
            <w:shd w:val="clear" w:color="auto" w:fill="CFF0FC"/>
          </w:tcPr>
          <w:p>
            <w:pPr>
              <w:jc w:val="right"/>
              <w:ind w:right="1355"/>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424.0</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44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573.7</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Inventories, net</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690.8</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current assets</w:t>
            </w:r>
          </w:p>
        </w:tc>
        <w:tc>
          <w:tcPr>
            <w:tcW w:w="12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w:t>
            </w:r>
          </w:p>
        </w:tc>
        <w:tc>
          <w:tcPr>
            <w:tcW w:w="120" w:type="dxa"/>
            <w:vAlign w:val="bottom"/>
            <w:tcBorders>
              <w:bottom w:val="single" w:sz="8" w:color="CFF0FC"/>
            </w:tcBorders>
          </w:tcPr>
          <w:p>
            <w:pPr>
              <w:spacing w:after="0"/>
              <w:rPr>
                <w:sz w:val="18"/>
                <w:szCs w:val="18"/>
                <w:color w:val="auto"/>
              </w:rPr>
            </w:pPr>
          </w:p>
        </w:tc>
      </w:tr>
      <w:tr>
        <w:trPr>
          <w:trHeight w:val="209"/>
        </w:trPr>
        <w:tc>
          <w:tcPr>
            <w:tcW w:w="5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Current Assets</w:t>
            </w:r>
          </w:p>
        </w:tc>
        <w:tc>
          <w:tcPr>
            <w:tcW w:w="120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1,426.7</w:t>
            </w:r>
          </w:p>
        </w:tc>
        <w:tc>
          <w:tcPr>
            <w:tcW w:w="120" w:type="dxa"/>
            <w:vAlign w:val="bottom"/>
            <w:shd w:val="clear" w:color="auto" w:fill="CFF0FC"/>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8,691.1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8,633.5</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Allowances for depreciation, depletion and amortization</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(3,505.7)</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(3,427.5)</w:t>
            </w:r>
          </w:p>
        </w:tc>
      </w:tr>
      <w:tr>
        <w:trPr>
          <w:trHeight w:val="209"/>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property, plant and equipment</w:t>
            </w:r>
          </w:p>
        </w:tc>
        <w:tc>
          <w:tcPr>
            <w:tcW w:w="120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5,185.4</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5,206.0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Goodwill</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2,397.1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2,396.8</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intangibles, net</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483.3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486.8</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Operating lease right-of-use assets, net</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481.9</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assets</w:t>
            </w:r>
          </w:p>
        </w:tc>
        <w:tc>
          <w:tcPr>
            <w:tcW w:w="120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126.7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133.4</w:t>
            </w:r>
          </w:p>
        </w:tc>
        <w:tc>
          <w:tcPr>
            <w:tcW w:w="120" w:type="dxa"/>
            <w:vAlign w:val="bottom"/>
            <w:shd w:val="clear" w:color="auto" w:fill="CFF0FC"/>
          </w:tcPr>
          <w:p>
            <w:pPr>
              <w:spacing w:after="0"/>
              <w:rPr>
                <w:sz w:val="18"/>
                <w:szCs w:val="18"/>
                <w:color w:val="auto"/>
              </w:rPr>
            </w:pPr>
          </w:p>
        </w:tc>
      </w:tr>
      <w:tr>
        <w:trPr>
          <w:trHeight w:val="24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Assets</w:t>
            </w:r>
          </w:p>
        </w:tc>
        <w:tc>
          <w:tcPr>
            <w:tcW w:w="120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13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10,503.4</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600" w:type="dxa"/>
            <w:vAlign w:val="bottom"/>
            <w:tcBorders>
              <w:bottom w:val="single" w:sz="8" w:color="auto"/>
            </w:tcBorders>
          </w:tcPr>
          <w:p>
            <w:pPr>
              <w:jc w:val="right"/>
              <w:ind w:right="1442"/>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10,131.6</w:t>
            </w:r>
          </w:p>
        </w:tc>
        <w:tc>
          <w:tcPr>
            <w:tcW w:w="120" w:type="dxa"/>
            <w:vAlign w:val="bottom"/>
            <w:tcBorders>
              <w:bottom w:val="single" w:sz="8" w:color="CFF0FC"/>
            </w:tcBorders>
          </w:tcPr>
          <w:p>
            <w:pPr>
              <w:spacing w:after="0"/>
              <w:rPr>
                <w:sz w:val="21"/>
                <w:szCs w:val="21"/>
                <w:color w:val="auto"/>
              </w:rPr>
            </w:pPr>
          </w:p>
        </w:tc>
      </w:tr>
      <w:tr>
        <w:trPr>
          <w:trHeight w:val="197"/>
        </w:trPr>
        <w:tc>
          <w:tcPr>
            <w:tcW w:w="50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Accounts payable</w:t>
            </w:r>
          </w:p>
        </w:tc>
        <w:tc>
          <w:tcPr>
            <w:tcW w:w="2740" w:type="dxa"/>
            <w:vAlign w:val="bottom"/>
            <w:gridSpan w:val="2"/>
          </w:tcPr>
          <w:p>
            <w:pPr>
              <w:jc w:val="right"/>
              <w:ind w:right="135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8"/>
                <w:szCs w:val="18"/>
                <w:color w:val="auto"/>
              </w:rPr>
            </w:pPr>
          </w:p>
        </w:tc>
        <w:tc>
          <w:tcPr>
            <w:tcW w:w="1760" w:type="dxa"/>
            <w:vAlign w:val="bottom"/>
            <w:gridSpan w:val="2"/>
          </w:tcPr>
          <w:p>
            <w:pPr>
              <w:jc w:val="right"/>
              <w:ind w:right="1442"/>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229.6</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Accrued salaries, benefits and payroll taxes</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Accrued insurance and other taxes</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63.1</w:t>
            </w:r>
          </w:p>
        </w:tc>
        <w:tc>
          <w:tcPr>
            <w:tcW w:w="120" w:type="dxa"/>
            <w:vAlign w:val="bottom"/>
          </w:tcPr>
          <w:p>
            <w:pPr>
              <w:spacing w:after="0"/>
              <w:rPr>
                <w:sz w:val="18"/>
                <w:szCs w:val="18"/>
                <w:color w:val="auto"/>
              </w:rPr>
            </w:pPr>
          </w:p>
        </w:tc>
      </w:tr>
      <w:tr>
        <w:trPr>
          <w:trHeight w:val="198"/>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Current maturities of long-term debt and short-term</w:t>
            </w:r>
          </w:p>
        </w:tc>
        <w:tc>
          <w:tcPr>
            <w:tcW w:w="1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50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facilities</w:t>
            </w:r>
          </w:p>
        </w:tc>
        <w:tc>
          <w:tcPr>
            <w:tcW w:w="1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639.9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340.0</w:t>
            </w:r>
          </w:p>
        </w:tc>
        <w:tc>
          <w:tcPr>
            <w:tcW w:w="120" w:type="dxa"/>
            <w:vAlign w:val="bottom"/>
            <w:shd w:val="clear" w:color="auto" w:fill="CFF0FC"/>
          </w:tcPr>
          <w:p>
            <w:pPr>
              <w:spacing w:after="0"/>
              <w:rPr>
                <w:sz w:val="19"/>
                <w:szCs w:val="19"/>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20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96.4</w:t>
            </w:r>
          </w:p>
        </w:tc>
        <w:tc>
          <w:tcPr>
            <w:tcW w:w="120" w:type="dxa"/>
            <w:vAlign w:val="bottom"/>
            <w:shd w:val="clear" w:color="auto" w:fill="CFF0FC"/>
          </w:tcPr>
          <w:p>
            <w:pPr>
              <w:spacing w:after="0"/>
              <w:rPr>
                <w:sz w:val="18"/>
                <w:szCs w:val="18"/>
                <w:color w:val="auto"/>
              </w:rPr>
            </w:pPr>
          </w:p>
        </w:tc>
      </w:tr>
      <w:tr>
        <w:trPr>
          <w:trHeight w:val="21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Liabilities</w:t>
            </w:r>
          </w:p>
        </w:tc>
        <w:tc>
          <w:tcPr>
            <w:tcW w:w="12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838.5</w:t>
            </w:r>
          </w:p>
        </w:tc>
        <w:tc>
          <w:tcPr>
            <w:tcW w:w="120" w:type="dxa"/>
            <w:vAlign w:val="bottom"/>
            <w:tcBorders>
              <w:bottom w:val="single" w:sz="8" w:color="CFF0FC"/>
            </w:tcBorders>
          </w:tcPr>
          <w:p>
            <w:pPr>
              <w:spacing w:after="0"/>
              <w:rPr>
                <w:sz w:val="18"/>
                <w:szCs w:val="18"/>
                <w:color w:val="auto"/>
              </w:rPr>
            </w:pPr>
          </w:p>
        </w:tc>
      </w:tr>
      <w:tr>
        <w:trPr>
          <w:trHeight w:val="210"/>
        </w:trPr>
        <w:tc>
          <w:tcPr>
            <w:tcW w:w="50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Long-term debt</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2,623.9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2,433.6</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 net</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733.0</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433.9</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20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338.3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339.3</w:t>
            </w:r>
          </w:p>
        </w:tc>
        <w:tc>
          <w:tcPr>
            <w:tcW w:w="120" w:type="dxa"/>
            <w:vAlign w:val="bottom"/>
            <w:shd w:val="clear" w:color="auto" w:fill="CFF0FC"/>
          </w:tcPr>
          <w:p>
            <w:pPr>
              <w:spacing w:after="0"/>
              <w:rPr>
                <w:sz w:val="18"/>
                <w:szCs w:val="18"/>
                <w:color w:val="auto"/>
              </w:rPr>
            </w:pPr>
          </w:p>
        </w:tc>
      </w:tr>
      <w:tr>
        <w:trPr>
          <w:trHeight w:val="21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Liabilities</w:t>
            </w:r>
          </w:p>
        </w:tc>
        <w:tc>
          <w:tcPr>
            <w:tcW w:w="12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5,204.0</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4,778.3</w:t>
            </w:r>
          </w:p>
        </w:tc>
        <w:tc>
          <w:tcPr>
            <w:tcW w:w="120" w:type="dxa"/>
            <w:vAlign w:val="bottom"/>
            <w:tcBorders>
              <w:bottom w:val="single" w:sz="8" w:color="CFF0FC"/>
            </w:tcBorders>
          </w:tcPr>
          <w:p>
            <w:pPr>
              <w:spacing w:after="0"/>
              <w:rPr>
                <w:sz w:val="18"/>
                <w:szCs w:val="18"/>
                <w:color w:val="auto"/>
              </w:rPr>
            </w:pPr>
          </w:p>
        </w:tc>
      </w:tr>
      <w:tr>
        <w:trPr>
          <w:trHeight w:val="209"/>
        </w:trPr>
        <w:tc>
          <w:tcPr>
            <w:tcW w:w="50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Equity:</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Common stock, par value $0.01 per share</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Preferred stock, par value $0.01 per share</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1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3,423.1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3,418.8</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(145.4)</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(145.8)</w:t>
            </w: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Retained earnings</w:t>
            </w:r>
          </w:p>
        </w:tc>
        <w:tc>
          <w:tcPr>
            <w:tcW w:w="120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2,018.6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2,077.2</w:t>
            </w:r>
          </w:p>
        </w:tc>
        <w:tc>
          <w:tcPr>
            <w:tcW w:w="120" w:type="dxa"/>
            <w:vAlign w:val="bottom"/>
            <w:shd w:val="clear" w:color="auto" w:fill="CFF0FC"/>
          </w:tcPr>
          <w:p>
            <w:pPr>
              <w:spacing w:after="0"/>
              <w:rPr>
                <w:sz w:val="18"/>
                <w:szCs w:val="18"/>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7"/>
                <w:szCs w:val="17"/>
                <w:color w:val="auto"/>
              </w:rPr>
              <w:t>Total Shareholders' Equity</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5,296.9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5,350.8</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120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FF0FC"/>
          </w:tcPr>
          <w:p>
            <w:pPr>
              <w:spacing w:after="0"/>
              <w:rPr>
                <w:sz w:val="18"/>
                <w:szCs w:val="18"/>
                <w:color w:val="auto"/>
              </w:rPr>
            </w:pPr>
          </w:p>
        </w:tc>
      </w:tr>
      <w:tr>
        <w:trPr>
          <w:trHeight w:val="20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Equity</w:t>
            </w:r>
          </w:p>
        </w:tc>
        <w:tc>
          <w:tcPr>
            <w:tcW w:w="12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5,299.4</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5,353.3</w:t>
            </w:r>
          </w:p>
        </w:tc>
        <w:tc>
          <w:tcPr>
            <w:tcW w:w="120" w:type="dxa"/>
            <w:vAlign w:val="bottom"/>
            <w:tcBorders>
              <w:bottom w:val="single" w:sz="8" w:color="CFF0FC"/>
            </w:tcBorders>
          </w:tcPr>
          <w:p>
            <w:pPr>
              <w:spacing w:after="0"/>
              <w:rPr>
                <w:sz w:val="18"/>
                <w:szCs w:val="18"/>
                <w:color w:val="auto"/>
              </w:rPr>
            </w:pPr>
          </w:p>
        </w:tc>
      </w:tr>
      <w:tr>
        <w:trPr>
          <w:trHeight w:val="210"/>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Liabilities and Equity</w:t>
            </w:r>
          </w:p>
        </w:tc>
        <w:tc>
          <w:tcPr>
            <w:tcW w:w="12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13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10,503.4</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442"/>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0"/>
              </w:rPr>
              <w:t>10,131.6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0" w:type="dxa"/>
            <w:vAlign w:val="bottom"/>
            <w:gridSpan w:val="3"/>
          </w:tcPr>
          <w:p>
            <w:pPr>
              <w:jc w:val="center"/>
              <w:ind w:right="527"/>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right="507"/>
              <w:spacing w:after="0"/>
              <w:rPr>
                <w:sz w:val="20"/>
                <w:szCs w:val="20"/>
                <w:color w:val="auto"/>
              </w:rPr>
            </w:pPr>
            <w:r>
              <w:rPr>
                <w:rFonts w:ascii="Arial" w:cs="Arial" w:eastAsia="Arial" w:hAnsi="Arial"/>
                <w:sz w:val="18"/>
                <w:szCs w:val="18"/>
                <w:color w:val="auto"/>
                <w:w w:val="92"/>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80" w:type="dxa"/>
            <w:vAlign w:val="bottom"/>
            <w:gridSpan w:val="4"/>
          </w:tcPr>
          <w:p>
            <w:pPr>
              <w:jc w:val="center"/>
              <w:ind w:left="410"/>
              <w:spacing w:after="0"/>
              <w:rPr>
                <w:sz w:val="20"/>
                <w:szCs w:val="20"/>
                <w:color w:val="auto"/>
              </w:rPr>
            </w:pPr>
            <w:r>
              <w:rPr>
                <w:rFonts w:ascii="Arial" w:cs="Arial" w:eastAsia="Arial" w:hAnsi="Arial"/>
                <w:sz w:val="18"/>
                <w:szCs w:val="18"/>
                <w:i w:val="1"/>
                <w:iCs w:val="1"/>
                <w:color w:val="auto"/>
                <w:w w:val="92"/>
              </w:rPr>
              <w:t>(In Millions, Except Per Share Data)</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260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891.0</w:t>
            </w:r>
          </w:p>
        </w:tc>
        <w:tc>
          <w:tcPr>
            <w:tcW w:w="1540" w:type="dxa"/>
            <w:vAlign w:val="bottom"/>
            <w:gridSpan w:val="2"/>
            <w:shd w:val="clear" w:color="auto" w:fill="CFF0FC"/>
          </w:tcPr>
          <w:p>
            <w:pPr>
              <w:jc w:val="right"/>
              <w:ind w:right="108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15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5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958.2</w:t>
            </w:r>
          </w:p>
        </w:tc>
        <w:tc>
          <w:tcPr>
            <w:tcW w:w="3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747.4</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15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 of Revenues</w:t>
            </w:r>
          </w:p>
        </w:tc>
        <w:tc>
          <w:tcPr>
            <w:tcW w:w="15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3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expenses and (income), net</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Earnings from Operations</w:t>
            </w:r>
          </w:p>
        </w:tc>
        <w:tc>
          <w:tcPr>
            <w:tcW w:w="15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expenses and (income), net</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Earnings before income tax expense (benefit)</w:t>
            </w:r>
          </w:p>
        </w:tc>
        <w:tc>
          <w:tcPr>
            <w:tcW w:w="15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15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w:t>
            </w:r>
          </w:p>
        </w:tc>
        <w:tc>
          <w:tcPr>
            <w:tcW w:w="1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interests</w:t>
            </w:r>
          </w:p>
        </w:tc>
        <w:tc>
          <w:tcPr>
            <w:tcW w:w="15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52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Borders>
              <w:bottom w:val="single" w:sz="8" w:color="CFF0FC"/>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attributable to Martin Marietta Materials, Inc.</w:t>
            </w:r>
          </w:p>
        </w:tc>
        <w:tc>
          <w:tcPr>
            <w:tcW w:w="260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540" w:type="dxa"/>
            <w:vAlign w:val="bottom"/>
            <w:gridSpan w:val="2"/>
            <w:shd w:val="clear" w:color="auto" w:fill="CFF0FC"/>
          </w:tcPr>
          <w:p>
            <w:pPr>
              <w:jc w:val="right"/>
              <w:ind w:right="108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Earnings attributable to noncontrolling interests</w:t>
            </w: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500"/>
              <w:spacing w:after="0"/>
              <w:rPr>
                <w:sz w:val="20"/>
                <w:szCs w:val="20"/>
                <w:color w:val="auto"/>
              </w:rPr>
            </w:pPr>
            <w:r>
              <w:rPr>
                <w:rFonts w:ascii="Arial" w:cs="Arial" w:eastAsia="Arial" w:hAnsi="Arial"/>
                <w:sz w:val="18"/>
                <w:szCs w:val="18"/>
                <w:color w:val="auto"/>
              </w:rPr>
              <w:t>Basic attributable to common shareholders</w:t>
            </w:r>
          </w:p>
        </w:tc>
        <w:tc>
          <w:tcPr>
            <w:tcW w:w="1520" w:type="dxa"/>
            <w:vAlign w:val="bottom"/>
          </w:tcPr>
          <w:p>
            <w:pPr>
              <w:spacing w:after="0"/>
              <w:rPr>
                <w:sz w:val="23"/>
                <w:szCs w:val="23"/>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0.42</w:t>
            </w:r>
          </w:p>
        </w:tc>
        <w:tc>
          <w:tcPr>
            <w:tcW w:w="1540" w:type="dxa"/>
            <w:vAlign w:val="bottom"/>
            <w:gridSpan w:val="2"/>
          </w:tcPr>
          <w:p>
            <w:pPr>
              <w:jc w:val="right"/>
              <w:ind w:right="108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attributable to common shareholders</w:t>
            </w:r>
          </w:p>
        </w:tc>
        <w:tc>
          <w:tcPr>
            <w:tcW w:w="152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520" w:type="dxa"/>
            <w:vAlign w:val="bottom"/>
            <w:tcBorders>
              <w:bottom w:val="single" w:sz="8" w:color="CFF0FC"/>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Borders>
              <w:bottom w:val="single" w:sz="8" w:color="CFF0FC"/>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5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March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i w:val="1"/>
                <w:iCs w:val="1"/>
                <w:color w:val="auto"/>
                <w:w w:val="98"/>
              </w:rPr>
              <w:t>(Dollars in Millions)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earnings</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jc w:val="right"/>
              <w:ind w:right="4910"/>
              <w:spacing w:after="0"/>
              <w:rPr>
                <w:sz w:val="20"/>
                <w:szCs w:val="20"/>
                <w:color w:val="auto"/>
              </w:rPr>
            </w:pPr>
            <w:r>
              <w:rPr>
                <w:rFonts w:ascii="Arial" w:cs="Arial" w:eastAsia="Arial" w:hAnsi="Arial"/>
                <w:sz w:val="18"/>
                <w:szCs w:val="18"/>
                <w:color w:val="auto"/>
                <w:w w:val="97"/>
              </w:rPr>
              <w:t>provided by operating activities: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divestitures and sales of assets</w:t>
            </w: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jc w:val="right"/>
              <w:ind w:right="4910"/>
              <w:spacing w:after="0"/>
              <w:rPr>
                <w:sz w:val="20"/>
                <w:szCs w:val="20"/>
                <w:color w:val="auto"/>
              </w:rPr>
            </w:pPr>
            <w:r>
              <w:rPr>
                <w:rFonts w:ascii="Arial" w:cs="Arial" w:eastAsia="Arial" w:hAnsi="Arial"/>
                <w:sz w:val="18"/>
                <w:szCs w:val="18"/>
                <w:color w:val="auto"/>
              </w:rPr>
              <w:t>acquisitions and divestitures: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Other assets and liabilities, net</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divestitures and sales of assets</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Investments in life insurance contracts, net</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 net</w:t>
            </w: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Cash Used for Investing Activities</w:t>
            </w: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of debt</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Repayments of debt</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financing leases</w:t>
            </w: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Shares withheld for employees' income tax obligations</w:t>
            </w:r>
          </w:p>
        </w:tc>
        <w:tc>
          <w:tcPr>
            <w:tcW w:w="10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8"/>
              </w:rPr>
              <w:t>Common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Paid-</w:t>
            </w:r>
          </w:p>
        </w:tc>
        <w:tc>
          <w:tcPr>
            <w:tcW w:w="1360" w:type="dxa"/>
            <w:vAlign w:val="bottom"/>
            <w:gridSpan w:val="4"/>
          </w:tcPr>
          <w:p>
            <w:pPr>
              <w:ind w:left="80"/>
              <w:spacing w:after="0"/>
              <w:rPr>
                <w:sz w:val="20"/>
                <w:szCs w:val="20"/>
                <w:color w:val="auto"/>
              </w:rPr>
            </w:pPr>
            <w:r>
              <w:rPr>
                <w:rFonts w:ascii="Arial" w:cs="Arial" w:eastAsia="Arial" w:hAnsi="Arial"/>
                <w:sz w:val="18"/>
                <w:szCs w:val="18"/>
                <w:color w:val="auto"/>
                <w:w w:val="99"/>
              </w:rPr>
              <w:t>Comprehensive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Retained</w:t>
            </w:r>
          </w:p>
        </w:tc>
        <w:tc>
          <w:tcPr>
            <w:tcW w:w="1180" w:type="dxa"/>
            <w:vAlign w:val="bottom"/>
            <w:gridSpan w:val="4"/>
          </w:tcPr>
          <w:p>
            <w:pPr>
              <w:ind w:left="60"/>
              <w:spacing w:after="0"/>
              <w:rPr>
                <w:sz w:val="20"/>
                <w:szCs w:val="20"/>
                <w:color w:val="auto"/>
              </w:rPr>
            </w:pPr>
            <w:r>
              <w:rPr>
                <w:rFonts w:ascii="Arial" w:cs="Arial" w:eastAsia="Arial" w:hAnsi="Arial"/>
                <w:sz w:val="18"/>
                <w:szCs w:val="18"/>
                <w:color w:val="auto"/>
                <w:w w:val="99"/>
              </w:rPr>
              <w:t>Shareholders'</w:t>
            </w: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18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in Capital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Earnings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Equity</w:t>
            </w:r>
          </w:p>
        </w:tc>
      </w:tr>
      <w:tr>
        <w:trPr>
          <w:trHeight w:val="209"/>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3,396.1</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$ 1,693.3</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4,946.4</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4,949.4</w:t>
            </w:r>
          </w:p>
        </w:tc>
        <w:tc>
          <w:tcPr>
            <w:tcW w:w="100" w:type="dxa"/>
            <w:vAlign w:val="bottom"/>
            <w:shd w:val="clear" w:color="auto" w:fill="CFF0FC"/>
          </w:tcPr>
          <w:p>
            <w:pPr>
              <w:spacing w:after="0"/>
              <w:rPr>
                <w:sz w:val="20"/>
                <w:szCs w:val="20"/>
                <w:color w:val="auto"/>
              </w:rPr>
            </w:pPr>
          </w:p>
        </w:tc>
      </w:tr>
      <w:tr>
        <w:trPr>
          <w:trHeight w:val="230"/>
        </w:trPr>
        <w:tc>
          <w:tcPr>
            <w:tcW w:w="2360" w:type="dxa"/>
            <w:vAlign w:val="bottom"/>
            <w:gridSpan w:val="2"/>
          </w:tcPr>
          <w:p>
            <w:pPr>
              <w:ind w:left="260"/>
              <w:spacing w:after="0"/>
              <w:rPr>
                <w:sz w:val="20"/>
                <w:szCs w:val="20"/>
                <w:color w:val="auto"/>
              </w:rPr>
            </w:pPr>
            <w:r>
              <w:rPr>
                <w:rFonts w:ascii="Arial" w:cs="Arial" w:eastAsia="Arial" w:hAnsi="Arial"/>
                <w:sz w:val="18"/>
                <w:szCs w:val="18"/>
                <w:color w:val="auto"/>
                <w:w w:val="99"/>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($0.48 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0"/>
                <w:szCs w:val="20"/>
                <w:color w:val="auto"/>
              </w:rPr>
            </w:pP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20"/>
                <w:szCs w:val="20"/>
                <w:color w:val="auto"/>
              </w:rPr>
            </w:pPr>
          </w:p>
        </w:tc>
      </w:tr>
      <w:tr>
        <w:trPr>
          <w:trHeight w:val="263"/>
        </w:trPr>
        <w:tc>
          <w:tcPr>
            <w:tcW w:w="2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at March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3,406.4</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$ 1,705.8</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tcBorders>
              <w:bottom w:val="single" w:sz="8" w:color="CFF0FC"/>
            </w:tcBorders>
          </w:tcPr>
          <w:p>
            <w:pPr>
              <w:spacing w:after="0"/>
              <w:rPr>
                <w:sz w:val="22"/>
                <w:szCs w:val="22"/>
                <w:color w:val="auto"/>
              </w:rPr>
            </w:pPr>
          </w:p>
        </w:tc>
      </w:tr>
      <w:tr>
        <w:trPr>
          <w:trHeight w:val="210"/>
        </w:trPr>
        <w:tc>
          <w:tcPr>
            <w:tcW w:w="2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3,418.8</w:t>
            </w:r>
          </w:p>
        </w:tc>
        <w:tc>
          <w:tcPr>
            <w:tcW w:w="12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$ 2,077.2</w:t>
            </w:r>
          </w:p>
        </w:tc>
        <w:tc>
          <w:tcPr>
            <w:tcW w:w="14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5,350.8</w:t>
            </w:r>
          </w:p>
        </w:tc>
        <w:tc>
          <w:tcPr>
            <w:tcW w:w="1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5,353.3</w:t>
            </w:r>
          </w:p>
        </w:tc>
        <w:tc>
          <w:tcPr>
            <w:tcW w:w="100" w:type="dxa"/>
            <w:vAlign w:val="bottom"/>
          </w:tcPr>
          <w:p>
            <w:pPr>
              <w:spacing w:after="0"/>
              <w:rPr>
                <w:sz w:val="20"/>
                <w:szCs w:val="20"/>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Consolidated net earnings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9"/>
                <w:szCs w:val="19"/>
                <w:color w:val="auto"/>
              </w:rPr>
            </w:pP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($0.55 per share)</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w:t>
            </w: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380"/>
              <w:spacing w:after="0"/>
              <w:rPr>
                <w:sz w:val="20"/>
                <w:szCs w:val="20"/>
                <w:color w:val="auto"/>
              </w:rPr>
            </w:pPr>
            <w:r>
              <w:rPr>
                <w:rFonts w:ascii="Arial" w:cs="Arial" w:eastAsia="Arial" w:hAnsi="Arial"/>
                <w:sz w:val="18"/>
                <w:szCs w:val="18"/>
                <w:color w:val="auto"/>
              </w:rPr>
              <w:t>award plans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withheld for</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Repurchases of common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20"/>
                <w:szCs w:val="20"/>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$ 2,018.6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5,299.4</w:t>
            </w:r>
          </w:p>
        </w:tc>
        <w:tc>
          <w:tcPr>
            <w:tcW w:w="10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380" w:right="8260" w:hanging="372"/>
        <w:spacing w:after="0" w:line="355" w:lineRule="auto"/>
        <w:tabs>
          <w:tab w:leader="none" w:pos="37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Martin Marietta Materials, Inc. (the Company or Martin Marietta) is a natural resource-based building materials company. The Company supplies aggregates (crushed stone, sand and gravel) through its network of approximately 300 quarries, mines and distribution yards in 27 states, Canada and the Bahamas. In the southwestern and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72"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Effective January 1, 2020, the Company moved the management of its one quarry in the state of Washington from the Mid-America Group to the West Group, resulting in an immaterial change to its reportable segments. The Company’s Building Materials business includes three reportable segments: the Mid-America Group, the Southeast Group and the West Group.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54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Reportable Segments</w:t>
            </w:r>
          </w:p>
        </w:tc>
        <w:tc>
          <w:tcPr>
            <w:tcW w:w="30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94"/>
              </w:rPr>
              <w:t>Mid-America Group</w:t>
            </w:r>
          </w:p>
        </w:tc>
        <w:tc>
          <w:tcPr>
            <w:tcW w:w="26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20"/>
                <w:szCs w:val="20"/>
                <w:color w:val="auto"/>
                <w:w w:val="87"/>
              </w:rPr>
              <w:t>Southeast Group</w:t>
            </w: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 w:type="dxa"/>
            <w:vAlign w:val="bottom"/>
          </w:tcPr>
          <w:p>
            <w:pPr>
              <w:spacing w:after="0"/>
              <w:rPr>
                <w:sz w:val="17"/>
                <w:szCs w:val="17"/>
                <w:color w:val="auto"/>
              </w:rPr>
            </w:pPr>
          </w:p>
        </w:tc>
        <w:tc>
          <w:tcPr>
            <w:tcW w:w="23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8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60" w:type="dxa"/>
            <w:vAlign w:val="bottom"/>
          </w:tcPr>
          <w:p>
            <w:pPr>
              <w:spacing w:after="0"/>
              <w:rPr>
                <w:sz w:val="17"/>
                <w:szCs w:val="17"/>
                <w:color w:val="auto"/>
              </w:rPr>
            </w:pPr>
          </w:p>
        </w:tc>
        <w:tc>
          <w:tcPr>
            <w:tcW w:w="24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Alabama, Florida, Georgia,</w:t>
            </w:r>
          </w:p>
        </w:tc>
        <w:tc>
          <w:tcPr>
            <w:tcW w:w="180" w:type="dxa"/>
            <w:vAlign w:val="bottom"/>
          </w:tcPr>
          <w:p>
            <w:pPr>
              <w:spacing w:after="0"/>
              <w:rPr>
                <w:sz w:val="17"/>
                <w:szCs w:val="17"/>
                <w:color w:val="auto"/>
              </w:rPr>
            </w:pPr>
          </w:p>
        </w:tc>
        <w:tc>
          <w:tcPr>
            <w:tcW w:w="30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20"/>
                <w:szCs w:val="20"/>
                <w:color w:val="auto"/>
                <w:w w:val="91"/>
              </w:rPr>
              <w:t>Kentucky, Maryland, Minnesota,</w:t>
            </w:r>
          </w:p>
        </w:tc>
        <w:tc>
          <w:tcPr>
            <w:tcW w:w="2600" w:type="dxa"/>
            <w:vAlign w:val="bottom"/>
            <w:gridSpan w:val="2"/>
          </w:tcPr>
          <w:p>
            <w:pPr>
              <w:jc w:val="center"/>
              <w:ind w:right="180"/>
              <w:spacing w:after="0"/>
              <w:rPr>
                <w:sz w:val="20"/>
                <w:szCs w:val="20"/>
                <w:color w:val="auto"/>
              </w:rPr>
            </w:pPr>
            <w:r>
              <w:rPr>
                <w:rFonts w:ascii="Arial" w:cs="Arial" w:eastAsia="Arial" w:hAnsi="Arial"/>
                <w:sz w:val="20"/>
                <w:szCs w:val="20"/>
                <w:color w:val="auto"/>
                <w:w w:val="89"/>
              </w:rPr>
              <w:t>southwestern South Carolina,</w:t>
            </w:r>
          </w:p>
        </w:tc>
        <w:tc>
          <w:tcPr>
            <w:tcW w:w="3040" w:type="dxa"/>
            <w:vAlign w:val="bottom"/>
          </w:tcPr>
          <w:p>
            <w:pPr>
              <w:jc w:val="center"/>
              <w:spacing w:after="0"/>
              <w:rPr>
                <w:sz w:val="20"/>
                <w:szCs w:val="20"/>
                <w:color w:val="auto"/>
              </w:rPr>
            </w:pPr>
            <w:r>
              <w:rPr>
                <w:rFonts w:ascii="Arial" w:cs="Arial" w:eastAsia="Arial" w:hAnsi="Arial"/>
                <w:sz w:val="20"/>
                <w:szCs w:val="20"/>
                <w:color w:val="auto"/>
                <w:w w:val="88"/>
              </w:rPr>
              <w:t>Louisiana, western Nebraska,</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Missouri, eastern Nebraska, North</w:t>
            </w:r>
          </w:p>
        </w:tc>
        <w:tc>
          <w:tcPr>
            <w:tcW w:w="2600" w:type="dxa"/>
            <w:vAlign w:val="bottom"/>
            <w:gridSpan w:val="2"/>
          </w:tcPr>
          <w:p>
            <w:pPr>
              <w:jc w:val="center"/>
              <w:ind w:right="180"/>
              <w:spacing w:after="0"/>
              <w:rPr>
                <w:sz w:val="20"/>
                <w:szCs w:val="20"/>
                <w:color w:val="auto"/>
              </w:rPr>
            </w:pPr>
            <w:r>
              <w:rPr>
                <w:rFonts w:ascii="Arial" w:cs="Arial" w:eastAsia="Arial" w:hAnsi="Arial"/>
                <w:sz w:val="20"/>
                <w:szCs w:val="20"/>
                <w:color w:val="auto"/>
                <w:w w:val="86"/>
              </w:rPr>
              <w:t>Tennessee, Nova Scotia and</w:t>
            </w:r>
          </w:p>
        </w:tc>
        <w:tc>
          <w:tcPr>
            <w:tcW w:w="3040" w:type="dxa"/>
            <w:vAlign w:val="bottom"/>
          </w:tcPr>
          <w:p>
            <w:pPr>
              <w:jc w:val="center"/>
              <w:spacing w:after="0"/>
              <w:rPr>
                <w:sz w:val="20"/>
                <w:szCs w:val="20"/>
                <w:color w:val="auto"/>
              </w:rPr>
            </w:pPr>
            <w:r>
              <w:rPr>
                <w:rFonts w:ascii="Arial" w:cs="Arial" w:eastAsia="Arial" w:hAnsi="Arial"/>
                <w:sz w:val="20"/>
                <w:szCs w:val="20"/>
                <w:color w:val="auto"/>
                <w:w w:val="88"/>
              </w:rPr>
              <w:t>Nevada, Oklahoma, Texas, Utah,</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Carolina, Ohio, Pennsylvania,</w:t>
            </w:r>
          </w:p>
        </w:tc>
        <w:tc>
          <w:tcPr>
            <w:tcW w:w="2600" w:type="dxa"/>
            <w:vAlign w:val="bottom"/>
            <w:gridSpan w:val="2"/>
          </w:tcPr>
          <w:p>
            <w:pPr>
              <w:jc w:val="center"/>
              <w:ind w:right="200"/>
              <w:spacing w:after="0"/>
              <w:rPr>
                <w:sz w:val="20"/>
                <w:szCs w:val="20"/>
                <w:color w:val="auto"/>
              </w:rPr>
            </w:pPr>
            <w:r>
              <w:rPr>
                <w:rFonts w:ascii="Arial" w:cs="Arial" w:eastAsia="Arial" w:hAnsi="Arial"/>
                <w:sz w:val="20"/>
                <w:szCs w:val="20"/>
                <w:color w:val="auto"/>
                <w:w w:val="86"/>
              </w:rPr>
              <w:t>The Bahamas</w:t>
            </w:r>
          </w:p>
        </w:tc>
        <w:tc>
          <w:tcPr>
            <w:tcW w:w="3040" w:type="dxa"/>
            <w:vAlign w:val="bottom"/>
          </w:tcPr>
          <w:p>
            <w:pPr>
              <w:ind w:left="1100"/>
              <w:spacing w:after="0"/>
              <w:rPr>
                <w:sz w:val="20"/>
                <w:szCs w:val="20"/>
                <w:color w:val="auto"/>
              </w:rPr>
            </w:pPr>
            <w:r>
              <w:rPr>
                <w:rFonts w:ascii="Arial" w:cs="Arial" w:eastAsia="Arial" w:hAnsi="Arial"/>
                <w:sz w:val="20"/>
                <w:szCs w:val="20"/>
                <w:color w:val="auto"/>
              </w:rPr>
              <w:t>Wyoming</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South Carolina, Virginia</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20"/>
                <w:szCs w:val="20"/>
                <w:color w:val="auto"/>
                <w:w w:val="88"/>
              </w:rPr>
              <w:t>and Washington</w:t>
            </w: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2"/>
          </w:tcPr>
          <w:p>
            <w:pPr>
              <w:jc w:val="center"/>
              <w:ind w:right="180"/>
              <w:spacing w:after="0"/>
              <w:rPr>
                <w:sz w:val="20"/>
                <w:szCs w:val="20"/>
                <w:color w:val="auto"/>
              </w:rPr>
            </w:pPr>
            <w:r>
              <w:rPr>
                <w:rFonts w:ascii="Arial" w:cs="Arial" w:eastAsia="Arial" w:hAnsi="Arial"/>
                <w:sz w:val="20"/>
                <w:szCs w:val="20"/>
                <w:color w:val="auto"/>
                <w:w w:val="90"/>
              </w:rPr>
              <w:t>and West Virginia</w:t>
            </w: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438"/>
        </w:trPr>
        <w:tc>
          <w:tcPr>
            <w:tcW w:w="2540" w:type="dxa"/>
            <w:vAlign w:val="bottom"/>
            <w:gridSpan w:val="3"/>
          </w:tcPr>
          <w:p>
            <w:pPr>
              <w:spacing w:after="0"/>
              <w:rPr>
                <w:sz w:val="20"/>
                <w:szCs w:val="20"/>
                <w:color w:val="auto"/>
              </w:rPr>
            </w:pPr>
            <w:r>
              <w:rPr>
                <w:rFonts w:ascii="Arial" w:cs="Arial" w:eastAsia="Arial" w:hAnsi="Arial"/>
                <w:sz w:val="20"/>
                <w:szCs w:val="20"/>
                <w:color w:val="auto"/>
              </w:rPr>
              <w:t>Product Lines</w:t>
            </w:r>
          </w:p>
        </w:tc>
        <w:tc>
          <w:tcPr>
            <w:tcW w:w="300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260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304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w:t>
            </w: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bl>
    <w:p>
      <w:pPr>
        <w:spacing w:after="0" w:line="195" w:lineRule="exact"/>
        <w:rPr>
          <w:sz w:val="20"/>
          <w:szCs w:val="20"/>
          <w:color w:val="auto"/>
        </w:rPr>
      </w:pPr>
    </w:p>
    <w:p>
      <w:pPr>
        <w:jc w:val="both"/>
        <w:ind w:left="380" w:right="20"/>
        <w:spacing w:after="0" w:line="250"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2019.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months ended March 31, 2020 are not indicative of the results expected for other interim periods or the full year. The consolidated balance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sheet at December 31, 2019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2019.</w:t>
      </w:r>
    </w:p>
    <w:p>
      <w:pPr>
        <w:spacing w:after="0" w:line="83" w:lineRule="exact"/>
        <w:rPr>
          <w:sz w:val="20"/>
          <w:szCs w:val="20"/>
          <w:color w:val="auto"/>
        </w:rPr>
      </w:pPr>
    </w:p>
    <w:p>
      <w:pPr>
        <w:jc w:val="both"/>
        <w:ind w:left="380"/>
        <w:spacing w:after="0" w:line="282" w:lineRule="auto"/>
        <w:rPr>
          <w:sz w:val="20"/>
          <w:szCs w:val="20"/>
          <w:color w:val="auto"/>
        </w:rPr>
      </w:pPr>
      <w:r>
        <w:rPr>
          <w:rFonts w:ascii="Arial" w:cs="Arial" w:eastAsia="Arial" w:hAnsi="Arial"/>
          <w:sz w:val="18"/>
          <w:szCs w:val="18"/>
          <w:color w:val="auto"/>
        </w:rPr>
        <w:t>The preparation of the Company’s consolidated financial statements requires management to make certain estimates and assumptions about future events. As future events and their effects, including the impact of the coronavirus (COVID-19) pandemic and the related societal response, cannot be fully determined with precision, actual results could differ significantly from estimates. Changes in estimates are reflected in the consolidated financial statements in the period in which the change in estimate occurs.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New Accounting Pronouncement</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i w:val="1"/>
          <w:iCs w:val="1"/>
          <w:u w:val="single" w:color="auto"/>
          <w:color w:val="auto"/>
        </w:rPr>
        <w:t>Credit Losses</w:t>
      </w:r>
    </w:p>
    <w:p>
      <w:pPr>
        <w:spacing w:after="0" w:line="108"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(ASU 2016-13), which includes a current expected credit loss (CECL) model that requires an entity to estimate credit losses expected over the life of an exposure or pool of exposures based on historical information, current information and reasonable and supportable forecasts at the time the asset is recognized and is remeasured at each reporting period. ASU 2016-13 primarily relates to the Company’s receivables, but the scope also includes retainage and contract assets related to its paving business. The adoption of ASU 2016-13 did not have a material impact on the Company’s financial position or statement of earnings and comprehensive earnings. The Company amended its allowance for credit losses policy, which follows, for the implementation of ASU 2016-13.</w:t>
      </w:r>
    </w:p>
    <w:p>
      <w:pPr>
        <w:spacing w:after="0" w:line="60"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The Company records an allowance for credit losses, which includes a provision for probable losses based on historical write-offs and a specific reserve for accounts deemed at risk. The allowance is the Company’s estimate for receivables as of the balance sheet date that ultimately will not be collected. Any changes in the allowance are reflected in earnings in the period in which the change occurs. The Company writes-off accounts receivable when it becomes probable, based upon customer facts and circumstances, that such amounts will not be collected.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Earnings/Loss and Accumulated Other Comprehensive Loss</w:t>
      </w:r>
    </w:p>
    <w:p>
      <w:pPr>
        <w:spacing w:after="0" w:line="114" w:lineRule="exact"/>
        <w:rPr>
          <w:sz w:val="20"/>
          <w:szCs w:val="20"/>
          <w:color w:val="auto"/>
        </w:rPr>
      </w:pPr>
    </w:p>
    <w:p>
      <w:pPr>
        <w:jc w:val="both"/>
        <w:ind w:left="380" w:right="20"/>
        <w:spacing w:after="0" w:line="269" w:lineRule="auto"/>
        <w:rPr>
          <w:sz w:val="20"/>
          <w:szCs w:val="20"/>
          <w:color w:val="auto"/>
        </w:rPr>
      </w:pPr>
      <w:r>
        <w:rPr>
          <w:rFonts w:ascii="Arial" w:cs="Arial" w:eastAsia="Arial" w:hAnsi="Arial"/>
          <w:sz w:val="19"/>
          <w:szCs w:val="19"/>
          <w:color w:val="auto"/>
        </w:rPr>
        <w:t>Consolidated comprehensive earnings/loss and accumulated other comprehensive loss consist of consolidated net earnings or loss; adjustments for the funded status of pension and postretirement benefit plans; and foreign currency translation adjustments; and are presented in the Company’s consolidated statements of earnings and comprehensive earnings.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5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5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9"/>
              </w:rPr>
              <w:t>2019</w:t>
            </w:r>
          </w:p>
        </w:tc>
        <w:tc>
          <w:tcPr>
            <w:tcW w:w="12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36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42.9</w:t>
            </w:r>
          </w:p>
        </w:tc>
        <w:tc>
          <w:tcPr>
            <w:tcW w:w="120" w:type="dxa"/>
            <w:vAlign w:val="bottom"/>
            <w:shd w:val="clear" w:color="auto" w:fill="CFF0FC"/>
          </w:tcPr>
          <w:p>
            <w:pPr>
              <w:spacing w:after="0"/>
              <w:rPr>
                <w:sz w:val="21"/>
                <w:szCs w:val="21"/>
                <w:color w:val="auto"/>
              </w:rPr>
            </w:pPr>
          </w:p>
        </w:tc>
      </w:tr>
      <w:tr>
        <w:trPr>
          <w:trHeight w:val="243"/>
        </w:trPr>
        <w:tc>
          <w:tcPr>
            <w:tcW w:w="5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22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30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120" w:type="dxa"/>
            <w:vAlign w:val="bottom"/>
            <w:tcBorders>
              <w:bottom w:val="single" w:sz="8" w:color="CFF0FC"/>
            </w:tcBorders>
          </w:tcPr>
          <w:p>
            <w:pPr>
              <w:spacing w:after="0"/>
              <w:rPr>
                <w:sz w:val="21"/>
                <w:szCs w:val="21"/>
                <w:color w:val="auto"/>
              </w:rPr>
            </w:pPr>
          </w:p>
        </w:tc>
      </w:tr>
      <w:tr>
        <w:trPr>
          <w:trHeight w:val="220"/>
        </w:trPr>
        <w:tc>
          <w:tcPr>
            <w:tcW w:w="59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attributable to Martin Marietta</w:t>
            </w: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59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36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46.1</w:t>
            </w:r>
          </w:p>
        </w:tc>
        <w:tc>
          <w:tcPr>
            <w:tcW w:w="120" w:type="dxa"/>
            <w:vAlign w:val="bottom"/>
            <w:shd w:val="clear" w:color="auto" w:fill="CFF0FC"/>
          </w:tcPr>
          <w:p>
            <w:pPr>
              <w:spacing w:after="0"/>
              <w:rPr>
                <w:sz w:val="21"/>
                <w:szCs w:val="2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9"/>
                <w:szCs w:val="19"/>
                <w:i w:val="1"/>
                <w:iCs w:val="1"/>
                <w:color w:val="auto"/>
                <w:w w:val="97"/>
              </w:rPr>
              <w:t>(Dollars in Millions)</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2"/>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w w:val="87"/>
              </w:rPr>
              <w:t>Pension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line="216" w:lineRule="exact"/>
              <w:rPr>
                <w:sz w:val="20"/>
                <w:szCs w:val="20"/>
                <w:color w:val="auto"/>
              </w:rPr>
            </w:pPr>
            <w:r>
              <w:rPr>
                <w:rFonts w:ascii="Arial" w:cs="Arial" w:eastAsia="Arial" w:hAnsi="Arial"/>
                <w:sz w:val="19"/>
                <w:szCs w:val="19"/>
                <w:color w:val="auto"/>
                <w:w w:val="88"/>
              </w:rPr>
              <w:t>Other</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9"/>
              </w:rPr>
              <w:t>Postretirement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line="216" w:lineRule="exact"/>
              <w:rPr>
                <w:sz w:val="20"/>
                <w:szCs w:val="20"/>
                <w:color w:val="auto"/>
              </w:rPr>
            </w:pPr>
            <w:r>
              <w:rPr>
                <w:rFonts w:ascii="Arial" w:cs="Arial" w:eastAsia="Arial" w:hAnsi="Arial"/>
                <w:sz w:val="19"/>
                <w:szCs w:val="19"/>
                <w:color w:val="auto"/>
                <w:w w:val="88"/>
              </w:rPr>
              <w:t>Comprehensive</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9"/>
                <w:szCs w:val="19"/>
                <w:color w:val="auto"/>
                <w:w w:val="91"/>
              </w:rPr>
              <w:t>Benefit Plans</w:t>
            </w:r>
          </w:p>
        </w:tc>
        <w:tc>
          <w:tcPr>
            <w:tcW w:w="120" w:type="dxa"/>
            <w:vAlign w:val="bottom"/>
          </w:tcPr>
          <w:p>
            <w:pPr>
              <w:spacing w:after="0"/>
              <w:rPr>
                <w:sz w:val="20"/>
                <w:szCs w:val="20"/>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9"/>
                <w:szCs w:val="19"/>
                <w:color w:val="auto"/>
                <w:w w:val="91"/>
              </w:rPr>
              <w:t>Foreign Currency</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9"/>
                <w:szCs w:val="19"/>
                <w:color w:val="auto"/>
                <w:w w:val="84"/>
              </w:rPr>
              <w:t>Loss</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60" w:type="dxa"/>
            <w:vAlign w:val="bottom"/>
            <w:tcBorders>
              <w:top w:val="single" w:sz="8" w:color="auto"/>
              <w:bottom w:val="single" w:sz="8" w:color="auto"/>
            </w:tcBorders>
            <w:gridSpan w:val="8"/>
          </w:tcPr>
          <w:p>
            <w:pPr>
              <w:jc w:val="center"/>
              <w:ind w:right="66"/>
              <w:spacing w:after="0"/>
              <w:rPr>
                <w:sz w:val="20"/>
                <w:szCs w:val="20"/>
                <w:color w:val="auto"/>
              </w:rPr>
            </w:pPr>
            <w:r>
              <w:rPr>
                <w:rFonts w:ascii="Arial" w:cs="Arial" w:eastAsia="Arial" w:hAnsi="Arial"/>
                <w:sz w:val="19"/>
                <w:szCs w:val="19"/>
                <w:color w:val="auto"/>
                <w:w w:val="90"/>
              </w:rPr>
              <w:t>Three Months Ended March 31,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100"/>
              <w:spacing w:after="0"/>
              <w:rPr>
                <w:sz w:val="20"/>
                <w:szCs w:val="20"/>
                <w:color w:val="auto"/>
              </w:rPr>
            </w:pPr>
            <w:r>
              <w:rPr>
                <w:rFonts w:ascii="Arial" w:cs="Arial" w:eastAsia="Arial" w:hAnsi="Arial"/>
                <w:sz w:val="19"/>
                <w:szCs w:val="19"/>
                <w:color w:val="auto"/>
              </w:rPr>
              <w:t>(144.9)</w:t>
            </w:r>
          </w:p>
        </w:tc>
        <w:tc>
          <w:tcPr>
            <w:tcW w:w="780" w:type="dxa"/>
            <w:vAlign w:val="bottom"/>
            <w:gridSpan w:val="2"/>
          </w:tcPr>
          <w:p>
            <w:pPr>
              <w:jc w:val="right"/>
              <w:ind w:right="466"/>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9"/>
                <w:szCs w:val="19"/>
                <w:color w:val="auto"/>
              </w:rPr>
              <w:t>(0.9)</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40"/>
              <w:spacing w:after="0"/>
              <w:rPr>
                <w:sz w:val="20"/>
                <w:szCs w:val="20"/>
                <w:color w:val="auto"/>
              </w:rPr>
            </w:pPr>
            <w:r>
              <w:rPr>
                <w:rFonts w:ascii="Arial" w:cs="Arial" w:eastAsia="Arial" w:hAnsi="Arial"/>
                <w:sz w:val="19"/>
                <w:szCs w:val="19"/>
                <w:color w:val="auto"/>
              </w:rPr>
              <w:t>(145.8)</w:t>
            </w:r>
          </w:p>
        </w:tc>
        <w:tc>
          <w:tcPr>
            <w:tcW w:w="0" w:type="dxa"/>
            <w:vAlign w:val="bottom"/>
          </w:tcPr>
          <w:p>
            <w:pPr>
              <w:spacing w:after="0"/>
              <w:rPr>
                <w:sz w:val="1"/>
                <w:szCs w:val="1"/>
                <w:color w:val="auto"/>
              </w:rPr>
            </w:pPr>
          </w:p>
        </w:tc>
      </w:tr>
      <w:tr>
        <w:trPr>
          <w:trHeight w:val="207"/>
        </w:trPr>
        <w:tc>
          <w:tcPr>
            <w:tcW w:w="51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Other comprehensive loss before reclassifications,</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net of tax</w:t>
            </w: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(2.1)</w:t>
            </w: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07"/>
        </w:trPr>
        <w:tc>
          <w:tcPr>
            <w:tcW w:w="510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comprehensive loss, net of tax</w:t>
            </w:r>
          </w:p>
        </w:tc>
        <w:tc>
          <w:tcPr>
            <w:tcW w:w="9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9"/>
                <w:szCs w:val="19"/>
                <w:color w:val="auto"/>
              </w:rPr>
              <w:t>Other comprehensive earnings (loss), net of tax</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(2.1)</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9"/>
                <w:szCs w:val="19"/>
                <w:color w:val="auto"/>
              </w:rPr>
              <w:t>Balance at end of period</w:t>
            </w:r>
          </w:p>
        </w:tc>
        <w:tc>
          <w:tcPr>
            <w:tcW w:w="9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100"/>
              <w:spacing w:after="0"/>
              <w:rPr>
                <w:sz w:val="20"/>
                <w:szCs w:val="20"/>
                <w:color w:val="auto"/>
              </w:rPr>
            </w:pPr>
            <w:r>
              <w:rPr>
                <w:rFonts w:ascii="Arial" w:cs="Arial" w:eastAsia="Arial" w:hAnsi="Arial"/>
                <w:sz w:val="19"/>
                <w:szCs w:val="19"/>
                <w:color w:val="auto"/>
              </w:rPr>
              <w:t>(142.4)</w:t>
            </w:r>
          </w:p>
        </w:tc>
        <w:tc>
          <w:tcPr>
            <w:tcW w:w="120" w:type="dxa"/>
            <w:vAlign w:val="bottom"/>
            <w:vMerge w:val="continue"/>
          </w:tcPr>
          <w:p>
            <w:pPr>
              <w:spacing w:after="0"/>
              <w:rPr>
                <w:sz w:val="19"/>
                <w:szCs w:val="19"/>
                <w:color w:val="auto"/>
              </w:rPr>
            </w:pPr>
          </w:p>
        </w:tc>
        <w:tc>
          <w:tcPr>
            <w:tcW w:w="660" w:type="dxa"/>
            <w:vAlign w:val="bottom"/>
          </w:tcPr>
          <w:p>
            <w:pPr>
              <w:jc w:val="right"/>
              <w:ind w:right="466"/>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220"/>
              <w:spacing w:after="0"/>
              <w:rPr>
                <w:sz w:val="20"/>
                <w:szCs w:val="20"/>
                <w:color w:val="auto"/>
              </w:rPr>
            </w:pPr>
            <w:r>
              <w:rPr>
                <w:rFonts w:ascii="Arial" w:cs="Arial" w:eastAsia="Arial" w:hAnsi="Arial"/>
                <w:sz w:val="19"/>
                <w:szCs w:val="19"/>
                <w:color w:val="auto"/>
              </w:rPr>
              <w:t>(3.0)</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40"/>
              <w:spacing w:after="0"/>
              <w:rPr>
                <w:sz w:val="20"/>
                <w:szCs w:val="20"/>
                <w:color w:val="auto"/>
              </w:rPr>
            </w:pPr>
            <w:r>
              <w:rPr>
                <w:rFonts w:ascii="Arial" w:cs="Arial" w:eastAsia="Arial" w:hAnsi="Arial"/>
                <w:sz w:val="19"/>
                <w:szCs w:val="19"/>
                <w:color w:val="auto"/>
              </w:rPr>
              <w:t>(145.4)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8"/>
          </w:tcPr>
          <w:p>
            <w:pPr>
              <w:jc w:val="center"/>
              <w:ind w:right="66"/>
              <w:spacing w:after="0"/>
              <w:rPr>
                <w:sz w:val="20"/>
                <w:szCs w:val="20"/>
                <w:color w:val="auto"/>
              </w:rPr>
            </w:pPr>
            <w:r>
              <w:rPr>
                <w:rFonts w:ascii="Arial" w:cs="Arial" w:eastAsia="Arial" w:hAnsi="Arial"/>
                <w:sz w:val="19"/>
                <w:szCs w:val="19"/>
                <w:color w:val="auto"/>
                <w:w w:val="90"/>
              </w:rPr>
              <w:t>Three Months Ended March 31, 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100"/>
              <w:spacing w:after="0"/>
              <w:rPr>
                <w:sz w:val="20"/>
                <w:szCs w:val="20"/>
                <w:color w:val="auto"/>
              </w:rPr>
            </w:pPr>
            <w:r>
              <w:rPr>
                <w:rFonts w:ascii="Arial" w:cs="Arial" w:eastAsia="Arial" w:hAnsi="Arial"/>
                <w:sz w:val="19"/>
                <w:szCs w:val="19"/>
                <w:color w:val="auto"/>
              </w:rPr>
              <w:t>(141.5)</w:t>
            </w:r>
          </w:p>
        </w:tc>
        <w:tc>
          <w:tcPr>
            <w:tcW w:w="780" w:type="dxa"/>
            <w:vAlign w:val="bottom"/>
            <w:gridSpan w:val="2"/>
          </w:tcPr>
          <w:p>
            <w:pPr>
              <w:jc w:val="right"/>
              <w:ind w:right="466"/>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9"/>
                <w:szCs w:val="19"/>
                <w:color w:val="auto"/>
              </w:rPr>
              <w:t>(2.1)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40"/>
              <w:spacing w:after="0"/>
              <w:rPr>
                <w:sz w:val="20"/>
                <w:szCs w:val="20"/>
                <w:color w:val="auto"/>
              </w:rPr>
            </w:pPr>
            <w:r>
              <w:rPr>
                <w:rFonts w:ascii="Arial" w:cs="Arial" w:eastAsia="Arial" w:hAnsi="Arial"/>
                <w:sz w:val="19"/>
                <w:szCs w:val="19"/>
                <w:color w:val="auto"/>
              </w:rPr>
              <w:t>(143.6)</w:t>
            </w:r>
          </w:p>
        </w:tc>
        <w:tc>
          <w:tcPr>
            <w:tcW w:w="0" w:type="dxa"/>
            <w:vAlign w:val="bottom"/>
          </w:tcPr>
          <w:p>
            <w:pPr>
              <w:spacing w:after="0"/>
              <w:rPr>
                <w:sz w:val="1"/>
                <w:szCs w:val="1"/>
                <w:color w:val="auto"/>
              </w:rPr>
            </w:pPr>
          </w:p>
        </w:tc>
      </w:tr>
      <w:tr>
        <w:trPr>
          <w:trHeight w:val="207"/>
        </w:trPr>
        <w:tc>
          <w:tcPr>
            <w:tcW w:w="510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94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36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66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4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FF2FA"/>
          </w:tcPr>
          <w:p>
            <w:pPr>
              <w:ind w:left="140"/>
              <w:spacing w:after="0"/>
              <w:rPr>
                <w:sz w:val="20"/>
                <w:szCs w:val="20"/>
                <w:color w:val="auto"/>
              </w:rPr>
            </w:pPr>
            <w:r>
              <w:rPr>
                <w:rFonts w:ascii="Arial" w:cs="Arial" w:eastAsia="Arial" w:hAnsi="Arial"/>
                <w:sz w:val="19"/>
                <w:szCs w:val="19"/>
                <w:color w:val="auto"/>
              </w:rPr>
              <w:t>net of tax</w:t>
            </w:r>
          </w:p>
        </w:tc>
        <w:tc>
          <w:tcPr>
            <w:tcW w:w="94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520" w:type="dxa"/>
            <w:vAlign w:val="bottom"/>
            <w:gridSpan w:val="2"/>
            <w:shd w:val="clear" w:color="auto" w:fill="CFF2FA"/>
          </w:tcPr>
          <w:p>
            <w:pPr>
              <w:jc w:val="right"/>
              <w:ind w:right="1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2FA"/>
          </w:tcPr>
          <w:p>
            <w:pPr>
              <w:spacing w:after="0"/>
              <w:rPr>
                <w:sz w:val="20"/>
                <w:szCs w:val="20"/>
                <w:color w:val="auto"/>
              </w:rPr>
            </w:pPr>
          </w:p>
        </w:tc>
        <w:tc>
          <w:tcPr>
            <w:tcW w:w="66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0.5</w:t>
            </w:r>
          </w:p>
        </w:tc>
        <w:tc>
          <w:tcPr>
            <w:tcW w:w="28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40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0.5</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10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tcPr>
          <w:p>
            <w:pPr>
              <w:ind w:left="140"/>
              <w:spacing w:after="0"/>
              <w:rPr>
                <w:sz w:val="20"/>
                <w:szCs w:val="20"/>
                <w:color w:val="auto"/>
              </w:rPr>
            </w:pPr>
            <w:r>
              <w:rPr>
                <w:rFonts w:ascii="Arial" w:cs="Arial" w:eastAsia="Arial" w:hAnsi="Arial"/>
                <w:sz w:val="19"/>
                <w:szCs w:val="19"/>
                <w:color w:val="auto"/>
              </w:rPr>
              <w:t>comprehensive loss, net of tax</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net of tax</w:t>
            </w:r>
          </w:p>
        </w:tc>
        <w:tc>
          <w:tcPr>
            <w:tcW w:w="94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3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2.7</w:t>
            </w:r>
          </w:p>
        </w:tc>
        <w:tc>
          <w:tcPr>
            <w:tcW w:w="16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CFF2FA"/>
            </w:tcBorders>
            <w:shd w:val="clear" w:color="auto" w:fill="CFF2FA"/>
          </w:tcPr>
          <w:p>
            <w:pPr>
              <w:spacing w:after="0"/>
              <w:rPr>
                <w:sz w:val="19"/>
                <w:szCs w:val="19"/>
                <w:color w:val="auto"/>
              </w:rPr>
            </w:pPr>
          </w:p>
        </w:tc>
        <w:tc>
          <w:tcPr>
            <w:tcW w:w="660" w:type="dxa"/>
            <w:vAlign w:val="bottom"/>
            <w:tcBorders>
              <w:top w:val="single" w:sz="8" w:color="auto"/>
              <w:bottom w:val="single" w:sz="8" w:color="auto"/>
            </w:tcBorders>
            <w:shd w:val="clear" w:color="auto" w:fill="CFF2FA"/>
          </w:tcPr>
          <w:p>
            <w:pPr>
              <w:spacing w:after="0"/>
              <w:rPr>
                <w:sz w:val="19"/>
                <w:szCs w:val="19"/>
                <w:color w:val="auto"/>
              </w:rPr>
            </w:pPr>
          </w:p>
        </w:tc>
        <w:tc>
          <w:tcPr>
            <w:tcW w:w="8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0.5</w:t>
            </w:r>
          </w:p>
        </w:tc>
        <w:tc>
          <w:tcPr>
            <w:tcW w:w="2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4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3.2</w:t>
            </w:r>
          </w:p>
        </w:tc>
        <w:tc>
          <w:tcPr>
            <w:tcW w:w="10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100"/>
              <w:spacing w:after="0"/>
              <w:rPr>
                <w:sz w:val="20"/>
                <w:szCs w:val="20"/>
                <w:color w:val="auto"/>
              </w:rPr>
            </w:pPr>
            <w:r>
              <w:rPr>
                <w:rFonts w:ascii="Arial" w:cs="Arial" w:eastAsia="Arial" w:hAnsi="Arial"/>
                <w:sz w:val="19"/>
                <w:szCs w:val="19"/>
                <w:color w:val="auto"/>
              </w:rPr>
              <w:t>(138.8)</w:t>
            </w:r>
          </w:p>
        </w:tc>
        <w:tc>
          <w:tcPr>
            <w:tcW w:w="120" w:type="dxa"/>
            <w:vAlign w:val="bottom"/>
          </w:tcPr>
          <w:p>
            <w:pPr>
              <w:spacing w:after="0"/>
              <w:rPr>
                <w:sz w:val="19"/>
                <w:szCs w:val="19"/>
                <w:color w:val="auto"/>
              </w:rPr>
            </w:pPr>
          </w:p>
        </w:tc>
        <w:tc>
          <w:tcPr>
            <w:tcW w:w="660" w:type="dxa"/>
            <w:vAlign w:val="bottom"/>
          </w:tcPr>
          <w:p>
            <w:pPr>
              <w:jc w:val="right"/>
              <w:ind w:right="466"/>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220"/>
              <w:spacing w:after="0"/>
              <w:rPr>
                <w:sz w:val="20"/>
                <w:szCs w:val="20"/>
                <w:color w:val="auto"/>
              </w:rPr>
            </w:pPr>
            <w:r>
              <w:rPr>
                <w:rFonts w:ascii="Arial" w:cs="Arial" w:eastAsia="Arial" w:hAnsi="Arial"/>
                <w:sz w:val="19"/>
                <w:szCs w:val="19"/>
                <w:color w:val="auto"/>
              </w:rPr>
              <w:t>(1.6)</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40"/>
              <w:spacing w:after="0"/>
              <w:rPr>
                <w:sz w:val="20"/>
                <w:szCs w:val="20"/>
                <w:color w:val="auto"/>
              </w:rPr>
            </w:pPr>
            <w:r>
              <w:rPr>
                <w:rFonts w:ascii="Arial" w:cs="Arial" w:eastAsia="Arial" w:hAnsi="Arial"/>
                <w:sz w:val="19"/>
                <w:szCs w:val="19"/>
                <w:color w:val="auto"/>
              </w:rPr>
              <w:t>(140.4)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recorded in accumulated other comprehensive loss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20"/>
                <w:szCs w:val="20"/>
                <w:i w:val="1"/>
                <w:iCs w:val="1"/>
                <w:color w:val="auto"/>
                <w:w w:val="98"/>
              </w:rPr>
              <w:t>(Dollars in Millions)</w:t>
            </w:r>
          </w:p>
        </w:tc>
      </w:tr>
      <w:tr>
        <w:trPr>
          <w:trHeight w:val="220"/>
        </w:trPr>
        <w:tc>
          <w:tcPr>
            <w:tcW w:w="4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center"/>
              <w:ind w:right="101"/>
              <w:spacing w:after="0" w:line="220" w:lineRule="exact"/>
              <w:rPr>
                <w:sz w:val="20"/>
                <w:szCs w:val="20"/>
                <w:color w:val="auto"/>
              </w:rPr>
            </w:pPr>
            <w:r>
              <w:rPr>
                <w:rFonts w:ascii="Arial" w:cs="Arial" w:eastAsia="Arial" w:hAnsi="Arial"/>
                <w:sz w:val="20"/>
                <w:szCs w:val="20"/>
                <w:color w:val="auto"/>
                <w:w w:val="86"/>
              </w:rPr>
              <w:t>Pension and</w:t>
            </w:r>
          </w:p>
        </w:tc>
        <w:tc>
          <w:tcPr>
            <w:tcW w:w="120" w:type="dxa"/>
            <w:vAlign w:val="bottom"/>
          </w:tcPr>
          <w:p>
            <w:pPr>
              <w:spacing w:after="0"/>
              <w:rPr>
                <w:sz w:val="19"/>
                <w:szCs w:val="19"/>
                <w:color w:val="auto"/>
              </w:rPr>
            </w:pPr>
          </w:p>
        </w:tc>
      </w:tr>
      <w:tr>
        <w:trPr>
          <w:trHeight w:val="229"/>
        </w:trPr>
        <w:tc>
          <w:tcPr>
            <w:tcW w:w="4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20"/>
                <w:szCs w:val="20"/>
                <w:color w:val="auto"/>
                <w:w w:val="87"/>
              </w:rPr>
              <w:t>Postretirement</w:t>
            </w:r>
          </w:p>
        </w:tc>
      </w:tr>
      <w:tr>
        <w:trPr>
          <w:trHeight w:val="246"/>
        </w:trPr>
        <w:tc>
          <w:tcPr>
            <w:tcW w:w="42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Benefit Plans</w:t>
            </w:r>
          </w:p>
        </w:tc>
        <w:tc>
          <w:tcPr>
            <w:tcW w:w="120" w:type="dxa"/>
            <w:vAlign w:val="bottom"/>
          </w:tcPr>
          <w:p>
            <w:pPr>
              <w:spacing w:after="0"/>
              <w:rPr>
                <w:sz w:val="21"/>
                <w:szCs w:val="21"/>
                <w:color w:val="auto"/>
              </w:rPr>
            </w:pPr>
          </w:p>
        </w:tc>
      </w:tr>
      <w:tr>
        <w:trPr>
          <w:trHeight w:val="463"/>
        </w:trPr>
        <w:tc>
          <w:tcPr>
            <w:tcW w:w="4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Three Months Ended</w:t>
            </w:r>
          </w:p>
        </w:tc>
      </w:tr>
      <w:tr>
        <w:trPr>
          <w:trHeight w:val="246"/>
        </w:trPr>
        <w:tc>
          <w:tcPr>
            <w:tcW w:w="42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20"/>
                <w:szCs w:val="20"/>
                <w:color w:val="auto"/>
                <w:w w:val="90"/>
              </w:rPr>
              <w:t>March 31, 2020</w:t>
            </w:r>
          </w:p>
        </w:tc>
      </w:tr>
      <w:tr>
        <w:trPr>
          <w:trHeight w:val="237"/>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45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85.2</w:t>
            </w: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60"/>
              <w:spacing w:after="0"/>
              <w:rPr>
                <w:sz w:val="20"/>
                <w:szCs w:val="20"/>
                <w:color w:val="auto"/>
              </w:rPr>
            </w:pPr>
            <w:r>
              <w:rPr>
                <w:rFonts w:ascii="Arial" w:cs="Arial" w:eastAsia="Arial" w:hAnsi="Arial"/>
                <w:sz w:val="20"/>
                <w:szCs w:val="20"/>
                <w:color w:val="auto"/>
              </w:rPr>
              <w:t>(0.8)</w:t>
            </w:r>
          </w:p>
        </w:tc>
      </w:tr>
      <w:tr>
        <w:trPr>
          <w:trHeight w:val="236"/>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45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0"/>
        </w:trPr>
        <w:tc>
          <w:tcPr>
            <w:tcW w:w="4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Three Months Ended</w:t>
            </w:r>
          </w:p>
        </w:tc>
      </w:tr>
      <w:tr>
        <w:trPr>
          <w:trHeight w:val="246"/>
        </w:trPr>
        <w:tc>
          <w:tcPr>
            <w:tcW w:w="42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20"/>
                <w:szCs w:val="20"/>
                <w:color w:val="auto"/>
                <w:w w:val="90"/>
              </w:rPr>
              <w:t>March 31, 2019</w:t>
            </w:r>
          </w:p>
        </w:tc>
      </w:tr>
      <w:tr>
        <w:trPr>
          <w:trHeight w:val="236"/>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45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84.2</w:t>
            </w: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60"/>
              <w:spacing w:after="0"/>
              <w:rPr>
                <w:sz w:val="20"/>
                <w:szCs w:val="20"/>
                <w:color w:val="auto"/>
              </w:rPr>
            </w:pPr>
            <w:r>
              <w:rPr>
                <w:rFonts w:ascii="Arial" w:cs="Arial" w:eastAsia="Arial" w:hAnsi="Arial"/>
                <w:sz w:val="20"/>
                <w:szCs w:val="20"/>
                <w:color w:val="auto"/>
              </w:rPr>
              <w:t>(0.9)</w:t>
            </w:r>
          </w:p>
        </w:tc>
      </w:tr>
      <w:tr>
        <w:trPr>
          <w:trHeight w:val="237"/>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45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73"/>
        </w:trPr>
        <w:tc>
          <w:tcPr>
            <w:tcW w:w="4280" w:type="dxa"/>
            <w:vAlign w:val="bottom"/>
          </w:tcPr>
          <w:p>
            <w:pPr>
              <w:spacing w:after="0"/>
              <w:rPr>
                <w:sz w:val="24"/>
                <w:szCs w:val="24"/>
                <w:color w:val="auto"/>
              </w:rPr>
            </w:pPr>
          </w:p>
        </w:tc>
        <w:tc>
          <w:tcPr>
            <w:tcW w:w="4760" w:type="dxa"/>
            <w:vAlign w:val="bottom"/>
            <w:gridSpan w:val="2"/>
          </w:tcPr>
          <w:p>
            <w:pPr>
              <w:jc w:val="right"/>
              <w:ind w:right="2821"/>
              <w:spacing w:after="0"/>
              <w:rPr>
                <w:sz w:val="20"/>
                <w:szCs w:val="20"/>
                <w:color w:val="auto"/>
              </w:rPr>
            </w:pPr>
            <w:r>
              <w:rPr>
                <w:rFonts w:ascii="Arial" w:cs="Arial" w:eastAsia="Arial" w:hAnsi="Arial"/>
                <w:sz w:val="20"/>
                <w:szCs w:val="20"/>
                <w:color w:val="auto"/>
              </w:rPr>
              <w:t>Page 9 of 41</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560" w:type="dxa"/>
            <w:vAlign w:val="bottom"/>
            <w:gridSpan w:val="4"/>
          </w:tcPr>
          <w:p>
            <w:pPr>
              <w:jc w:val="right"/>
              <w:ind w:right="166"/>
              <w:spacing w:after="0"/>
              <w:rPr>
                <w:sz w:val="20"/>
                <w:szCs w:val="20"/>
                <w:color w:val="auto"/>
              </w:rPr>
            </w:pPr>
            <w:r>
              <w:rPr>
                <w:rFonts w:ascii="Arial" w:cs="Arial" w:eastAsia="Arial" w:hAnsi="Arial"/>
                <w:sz w:val="20"/>
                <w:szCs w:val="20"/>
                <w:color w:val="auto"/>
              </w:rPr>
              <w:t>Three Months Ended</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Pr>
          <w:p>
            <w:pPr>
              <w:jc w:val="center"/>
              <w:ind w:left="26"/>
              <w:spacing w:after="0"/>
              <w:rPr>
                <w:sz w:val="20"/>
                <w:szCs w:val="20"/>
                <w:color w:val="auto"/>
              </w:rPr>
            </w:pPr>
            <w:r>
              <w:rPr>
                <w:rFonts w:ascii="Arial" w:cs="Arial" w:eastAsia="Arial" w:hAnsi="Arial"/>
                <w:sz w:val="19"/>
                <w:szCs w:val="19"/>
                <w:color w:val="auto"/>
                <w:w w:val="91"/>
              </w:rPr>
              <w:t>Affected line items in the consolidated</w:t>
            </w:r>
          </w:p>
        </w:tc>
      </w:tr>
      <w:tr>
        <w:trPr>
          <w:trHeight w:val="238"/>
        </w:trPr>
        <w:tc>
          <w:tcPr>
            <w:tcW w:w="4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6"/>
              <w:spacing w:after="0"/>
              <w:rPr>
                <w:sz w:val="20"/>
                <w:szCs w:val="20"/>
                <w:color w:val="auto"/>
              </w:rPr>
            </w:pPr>
            <w:r>
              <w:rPr>
                <w:rFonts w:ascii="Arial" w:cs="Arial" w:eastAsia="Arial" w:hAnsi="Arial"/>
                <w:sz w:val="19"/>
                <w:szCs w:val="19"/>
                <w:color w:val="auto"/>
              </w:rPr>
              <w:t>March 31,</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Pr>
          <w:p>
            <w:pPr>
              <w:jc w:val="center"/>
              <w:ind w:left="26"/>
              <w:spacing w:after="0"/>
              <w:rPr>
                <w:sz w:val="20"/>
                <w:szCs w:val="20"/>
                <w:color w:val="auto"/>
              </w:rPr>
            </w:pPr>
            <w:r>
              <w:rPr>
                <w:rFonts w:ascii="Arial" w:cs="Arial" w:eastAsia="Arial" w:hAnsi="Arial"/>
                <w:sz w:val="19"/>
                <w:szCs w:val="19"/>
                <w:color w:val="auto"/>
                <w:w w:val="87"/>
              </w:rPr>
              <w:t>statements of earnings and</w:t>
            </w:r>
          </w:p>
        </w:tc>
      </w:tr>
      <w:tr>
        <w:trPr>
          <w:trHeight w:val="223"/>
        </w:trPr>
        <w:tc>
          <w:tcPr>
            <w:tcW w:w="4000" w:type="dxa"/>
            <w:vAlign w:val="bottom"/>
          </w:tcPr>
          <w:p>
            <w:pPr>
              <w:spacing w:after="0"/>
              <w:rPr>
                <w:sz w:val="19"/>
                <w:szCs w:val="19"/>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2020</w:t>
            </w: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2019</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jc w:val="center"/>
              <w:ind w:left="26"/>
              <w:spacing w:after="0"/>
              <w:rPr>
                <w:sz w:val="20"/>
                <w:szCs w:val="20"/>
                <w:color w:val="auto"/>
              </w:rPr>
            </w:pPr>
            <w:r>
              <w:rPr>
                <w:rFonts w:ascii="Arial" w:cs="Arial" w:eastAsia="Arial" w:hAnsi="Arial"/>
                <w:sz w:val="19"/>
                <w:szCs w:val="19"/>
                <w:color w:val="auto"/>
                <w:w w:val="88"/>
              </w:rPr>
              <w:t>comprehensive earnings</w:t>
            </w:r>
          </w:p>
        </w:tc>
      </w:tr>
      <w:tr>
        <w:trPr>
          <w:trHeight w:val="223"/>
        </w:trPr>
        <w:tc>
          <w:tcPr>
            <w:tcW w:w="4000" w:type="dxa"/>
            <w:vAlign w:val="bottom"/>
          </w:tcPr>
          <w:p>
            <w:pPr>
              <w:spacing w:after="0"/>
              <w:rPr>
                <w:sz w:val="19"/>
                <w:szCs w:val="19"/>
                <w:color w:val="auto"/>
              </w:rPr>
            </w:pPr>
          </w:p>
        </w:tc>
        <w:tc>
          <w:tcPr>
            <w:tcW w:w="2560" w:type="dxa"/>
            <w:vAlign w:val="bottom"/>
            <w:gridSpan w:val="4"/>
          </w:tcPr>
          <w:p>
            <w:pPr>
              <w:jc w:val="right"/>
              <w:ind w:right="66"/>
              <w:spacing w:after="0"/>
              <w:rPr>
                <w:sz w:val="20"/>
                <w:szCs w:val="20"/>
                <w:color w:val="auto"/>
              </w:rPr>
            </w:pPr>
            <w:r>
              <w:rPr>
                <w:rFonts w:ascii="Arial" w:cs="Arial" w:eastAsia="Arial" w:hAnsi="Arial"/>
                <w:sz w:val="19"/>
                <w:szCs w:val="19"/>
                <w:i w:val="1"/>
                <w:iCs w:val="1"/>
                <w:color w:val="auto"/>
              </w:rPr>
              <w:t>(Dollars in Millions)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07"/>
        </w:trPr>
        <w:tc>
          <w:tcPr>
            <w:tcW w:w="40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Pension and postretirement benefit</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120" w:type="dxa"/>
            <w:vAlign w:val="bottom"/>
            <w:shd w:val="clear" w:color="auto" w:fill="CFF0FC"/>
          </w:tcPr>
          <w:p>
            <w:pPr>
              <w:spacing w:after="0"/>
              <w:rPr>
                <w:sz w:val="18"/>
                <w:szCs w:val="18"/>
                <w:color w:val="auto"/>
              </w:rPr>
            </w:pPr>
          </w:p>
        </w:tc>
      </w:tr>
      <w:tr>
        <w:trPr>
          <w:trHeight w:val="238"/>
        </w:trPr>
        <w:tc>
          <w:tcPr>
            <w:tcW w:w="40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plans</w:t>
            </w: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120" w:type="dxa"/>
            <w:vAlign w:val="bottom"/>
            <w:shd w:val="clear" w:color="auto" w:fill="CFF0FC"/>
          </w:tcPr>
          <w:p>
            <w:pPr>
              <w:spacing w:after="0"/>
              <w:rPr>
                <w:sz w:val="20"/>
                <w:szCs w:val="20"/>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9"/>
                <w:szCs w:val="19"/>
                <w:color w:val="auto"/>
              </w:rPr>
              <w:t>Amortization of:</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29"/>
        </w:trPr>
        <w:tc>
          <w:tcPr>
            <w:tcW w:w="4000" w:type="dxa"/>
            <w:vAlign w:val="bottom"/>
            <w:shd w:val="clear" w:color="auto" w:fill="CFF0FC"/>
          </w:tcPr>
          <w:p>
            <w:pPr>
              <w:ind w:left="500"/>
              <w:spacing w:after="0"/>
              <w:rPr>
                <w:sz w:val="20"/>
                <w:szCs w:val="20"/>
                <w:color w:val="auto"/>
              </w:rPr>
            </w:pPr>
            <w:r>
              <w:rPr>
                <w:rFonts w:ascii="Arial" w:cs="Arial" w:eastAsia="Arial" w:hAnsi="Arial"/>
                <w:sz w:val="19"/>
                <w:szCs w:val="19"/>
                <w:color w:val="auto"/>
              </w:rPr>
              <w:t>Prior service credit</w:t>
            </w:r>
          </w:p>
        </w:tc>
        <w:tc>
          <w:tcPr>
            <w:tcW w:w="940" w:type="dxa"/>
            <w:vAlign w:val="bottom"/>
            <w:shd w:val="clear" w:color="auto" w:fill="CFF0FC"/>
          </w:tcPr>
          <w:p>
            <w:pPr>
              <w:jc w:val="right"/>
              <w:ind w:right="745"/>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w:t>
            </w:r>
          </w:p>
        </w:tc>
        <w:tc>
          <w:tcPr>
            <w:tcW w:w="940" w:type="dxa"/>
            <w:vAlign w:val="bottom"/>
            <w:shd w:val="clear" w:color="auto" w:fill="CFF0FC"/>
          </w:tcPr>
          <w:p>
            <w:pPr>
              <w:jc w:val="right"/>
              <w:ind w:right="746"/>
              <w:spacing w:after="0"/>
              <w:rPr>
                <w:sz w:val="20"/>
                <w:szCs w:val="20"/>
                <w:color w:val="auto"/>
              </w:rPr>
            </w:pPr>
            <w:r>
              <w:rPr>
                <w:rFonts w:ascii="Arial" w:cs="Arial" w:eastAsia="Arial" w:hAnsi="Arial"/>
                <w:sz w:val="19"/>
                <w:szCs w:val="19"/>
                <w:color w:val="auto"/>
                <w:w w:val="75"/>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9"/>
                <w:szCs w:val="19"/>
                <w:color w:val="auto"/>
              </w:rPr>
              <w:t>(0.2)</w:t>
            </w:r>
          </w:p>
        </w:tc>
        <w:tc>
          <w:tcPr>
            <w:tcW w:w="4120" w:type="dxa"/>
            <w:vAlign w:val="bottom"/>
            <w:shd w:val="clear" w:color="auto" w:fill="CFF0FC"/>
          </w:tcPr>
          <w:p>
            <w:pPr>
              <w:spacing w:after="0"/>
              <w:rPr>
                <w:sz w:val="19"/>
                <w:szCs w:val="19"/>
                <w:color w:val="auto"/>
              </w:rPr>
            </w:pPr>
          </w:p>
        </w:tc>
      </w:tr>
      <w:tr>
        <w:trPr>
          <w:trHeight w:val="230"/>
        </w:trPr>
        <w:tc>
          <w:tcPr>
            <w:tcW w:w="4000" w:type="dxa"/>
            <w:vAlign w:val="bottom"/>
            <w:tcBorders>
              <w:bottom w:val="single" w:sz="8" w:color="CFF0FC"/>
            </w:tcBorders>
          </w:tcPr>
          <w:p>
            <w:pPr>
              <w:ind w:left="500"/>
              <w:spacing w:after="0"/>
              <w:rPr>
                <w:sz w:val="20"/>
                <w:szCs w:val="20"/>
                <w:color w:val="auto"/>
              </w:rPr>
            </w:pPr>
            <w:r>
              <w:rPr>
                <w:rFonts w:ascii="Arial" w:cs="Arial" w:eastAsia="Arial" w:hAnsi="Arial"/>
                <w:sz w:val="19"/>
                <w:szCs w:val="19"/>
                <w:color w:val="auto"/>
              </w:rPr>
              <w:t>Actuarial loss</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3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w:t>
            </w:r>
          </w:p>
        </w:tc>
        <w:tc>
          <w:tcPr>
            <w:tcW w:w="180" w:type="dxa"/>
            <w:vAlign w:val="bottom"/>
            <w:tcBorders>
              <w:bottom w:val="single" w:sz="8" w:color="CFF0FC"/>
            </w:tcBorders>
          </w:tcPr>
          <w:p>
            <w:pPr>
              <w:spacing w:after="0"/>
              <w:rPr>
                <w:sz w:val="19"/>
                <w:szCs w:val="19"/>
                <w:color w:val="auto"/>
              </w:rPr>
            </w:pPr>
          </w:p>
        </w:tc>
        <w:tc>
          <w:tcPr>
            <w:tcW w:w="4120" w:type="dxa"/>
            <w:vAlign w:val="bottom"/>
            <w:tcBorders>
              <w:bottom w:val="single" w:sz="8" w:color="CFF0FC"/>
            </w:tcBorders>
          </w:tcPr>
          <w:p>
            <w:pPr>
              <w:spacing w:after="0"/>
              <w:rPr>
                <w:sz w:val="19"/>
                <w:szCs w:val="19"/>
                <w:color w:val="auto"/>
              </w:rPr>
            </w:pPr>
          </w:p>
        </w:tc>
      </w:tr>
      <w:tr>
        <w:trPr>
          <w:trHeight w:val="201"/>
        </w:trPr>
        <w:tc>
          <w:tcPr>
            <w:tcW w:w="40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120" w:type="dxa"/>
            <w:vAlign w:val="bottom"/>
            <w:shd w:val="clear" w:color="auto" w:fill="CFF0FC"/>
          </w:tcPr>
          <w:p>
            <w:pPr>
              <w:ind w:left="120"/>
              <w:spacing w:after="0" w:line="201" w:lineRule="exact"/>
              <w:rPr>
                <w:sz w:val="20"/>
                <w:szCs w:val="20"/>
                <w:color w:val="auto"/>
              </w:rPr>
            </w:pPr>
            <w:r>
              <w:rPr>
                <w:rFonts w:ascii="Arial" w:cs="Arial" w:eastAsia="Arial" w:hAnsi="Arial"/>
                <w:sz w:val="19"/>
                <w:szCs w:val="19"/>
                <w:color w:val="auto"/>
              </w:rPr>
              <w:t>Other nonoperating expenses and (income),</w:t>
            </w:r>
          </w:p>
        </w:tc>
      </w:tr>
      <w:tr>
        <w:trPr>
          <w:trHeight w:val="238"/>
        </w:trPr>
        <w:tc>
          <w:tcPr>
            <w:tcW w:w="40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3.3</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w:t>
            </w:r>
          </w:p>
        </w:tc>
        <w:tc>
          <w:tcPr>
            <w:tcW w:w="180" w:type="dxa"/>
            <w:vAlign w:val="bottom"/>
            <w:shd w:val="clear" w:color="auto" w:fill="CFF0FC"/>
          </w:tcPr>
          <w:p>
            <w:pPr>
              <w:spacing w:after="0"/>
              <w:rPr>
                <w:sz w:val="20"/>
                <w:szCs w:val="20"/>
                <w:color w:val="auto"/>
              </w:rPr>
            </w:pPr>
          </w:p>
        </w:tc>
        <w:tc>
          <w:tcPr>
            <w:tcW w:w="4120" w:type="dxa"/>
            <w:vAlign w:val="bottom"/>
            <w:shd w:val="clear" w:color="auto" w:fill="CFF0FC"/>
          </w:tcPr>
          <w:p>
            <w:pPr>
              <w:ind w:left="260"/>
              <w:spacing w:after="0"/>
              <w:rPr>
                <w:sz w:val="20"/>
                <w:szCs w:val="20"/>
                <w:color w:val="auto"/>
              </w:rPr>
            </w:pPr>
            <w:r>
              <w:rPr>
                <w:rFonts w:ascii="Arial" w:cs="Arial" w:eastAsia="Arial" w:hAnsi="Arial"/>
                <w:sz w:val="19"/>
                <w:szCs w:val="19"/>
                <w:color w:val="auto"/>
              </w:rPr>
              <w:t>net</w:t>
            </w:r>
          </w:p>
        </w:tc>
      </w:tr>
      <w:tr>
        <w:trPr>
          <w:trHeight w:val="229"/>
        </w:trPr>
        <w:tc>
          <w:tcPr>
            <w:tcW w:w="4000" w:type="dxa"/>
            <w:vAlign w:val="bottom"/>
          </w:tcPr>
          <w:p>
            <w:pPr>
              <w:ind w:left="260"/>
              <w:spacing w:after="0"/>
              <w:rPr>
                <w:sz w:val="20"/>
                <w:szCs w:val="20"/>
                <w:color w:val="auto"/>
              </w:rPr>
            </w:pPr>
            <w:r>
              <w:rPr>
                <w:rFonts w:ascii="Arial" w:cs="Arial" w:eastAsia="Arial" w:hAnsi="Arial"/>
                <w:sz w:val="19"/>
                <w:szCs w:val="19"/>
                <w:color w:val="auto"/>
              </w:rPr>
              <w:t>Tax benefit</w:t>
            </w:r>
          </w:p>
        </w:tc>
        <w:tc>
          <w:tcPr>
            <w:tcW w:w="9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9"/>
                <w:szCs w:val="19"/>
                <w:color w:val="auto"/>
              </w:rPr>
              <w:t>(0.8)</w:t>
            </w:r>
          </w:p>
        </w:tc>
        <w:tc>
          <w:tcPr>
            <w:tcW w:w="940" w:type="dxa"/>
            <w:vAlign w:val="bottom"/>
          </w:tcPr>
          <w:p>
            <w:pPr>
              <w:spacing w:after="0"/>
              <w:rPr>
                <w:sz w:val="19"/>
                <w:szCs w:val="19"/>
                <w:color w:val="auto"/>
              </w:rPr>
            </w:pPr>
          </w:p>
        </w:tc>
        <w:tc>
          <w:tcPr>
            <w:tcW w:w="4680" w:type="dxa"/>
            <w:vAlign w:val="bottom"/>
            <w:gridSpan w:val="3"/>
          </w:tcPr>
          <w:p>
            <w:pPr>
              <w:ind w:left="80"/>
              <w:spacing w:after="0"/>
              <w:rPr>
                <w:sz w:val="20"/>
                <w:szCs w:val="20"/>
                <w:color w:val="auto"/>
              </w:rPr>
            </w:pPr>
            <w:r>
              <w:rPr>
                <w:rFonts w:ascii="Arial" w:cs="Arial" w:eastAsia="Arial" w:hAnsi="Arial"/>
                <w:sz w:val="19"/>
                <w:szCs w:val="19"/>
                <w:color w:val="auto"/>
              </w:rPr>
              <w:t>(0.9)   Income tax expense (benefit)</w:t>
            </w:r>
          </w:p>
        </w:tc>
      </w:tr>
      <w:tr>
        <w:trPr>
          <w:trHeight w:val="223"/>
        </w:trPr>
        <w:tc>
          <w:tcPr>
            <w:tcW w:w="40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46"/>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months ended March 31, 2020 and 2019, the diluted per-share computations reflect the number of common shares outstanding to include the number of additional shares that would have been outstanding if the potentially dilutive common shares had been issued.</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9"/>
              </w:rPr>
              <w:t>2019</w:t>
            </w:r>
          </w:p>
        </w:tc>
        <w:tc>
          <w:tcPr>
            <w:tcW w:w="100" w:type="dxa"/>
            <w:vAlign w:val="bottom"/>
          </w:tcPr>
          <w:p>
            <w:pPr>
              <w:spacing w:after="0"/>
              <w:rPr>
                <w:sz w:val="20"/>
                <w:szCs w:val="20"/>
                <w:color w:val="auto"/>
              </w:rPr>
            </w:pPr>
          </w:p>
        </w:tc>
      </w:tr>
      <w:tr>
        <w:trPr>
          <w:trHeight w:val="237"/>
        </w:trPr>
        <w:tc>
          <w:tcPr>
            <w:tcW w:w="5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i w:val="1"/>
                <w:iCs w:val="1"/>
                <w:color w:val="auto"/>
                <w:w w:val="99"/>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57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Net earnings attributable to Martin Marietta</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7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56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42.9</w:t>
            </w:r>
          </w:p>
        </w:tc>
        <w:tc>
          <w:tcPr>
            <w:tcW w:w="100" w:type="dxa"/>
            <w:vAlign w:val="bottom"/>
            <w:shd w:val="clear" w:color="auto" w:fill="CFF0FC"/>
          </w:tcPr>
          <w:p>
            <w:pPr>
              <w:spacing w:after="0"/>
              <w:rPr>
                <w:sz w:val="21"/>
                <w:szCs w:val="21"/>
                <w:color w:val="auto"/>
              </w:rPr>
            </w:pPr>
          </w:p>
        </w:tc>
      </w:tr>
      <w:tr>
        <w:trPr>
          <w:trHeight w:val="226"/>
        </w:trPr>
        <w:tc>
          <w:tcPr>
            <w:tcW w:w="574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740" w:type="dxa"/>
            <w:vAlign w:val="bottom"/>
            <w:tcBorders>
              <w:bottom w:val="single" w:sz="8" w:color="CFF0FC"/>
            </w:tcBorders>
          </w:tcPr>
          <w:p>
            <w:pPr>
              <w:ind w:left="160"/>
              <w:spacing w:after="0"/>
              <w:rPr>
                <w:sz w:val="20"/>
                <w:szCs w:val="20"/>
                <w:color w:val="auto"/>
              </w:rPr>
            </w:pPr>
            <w:r>
              <w:rPr>
                <w:rFonts w:ascii="Arial" w:cs="Arial" w:eastAsia="Arial" w:hAnsi="Arial"/>
                <w:sz w:val="20"/>
                <w:szCs w:val="20"/>
                <w:color w:val="auto"/>
              </w:rPr>
              <w:t>attributable to unvested awards</w:t>
            </w:r>
          </w:p>
        </w:tc>
        <w:tc>
          <w:tcPr>
            <w:tcW w:w="144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00" w:type="dxa"/>
            <w:vAlign w:val="bottom"/>
            <w:tcBorders>
              <w:bottom w:val="single" w:sz="8" w:color="CFF0FC"/>
            </w:tcBorders>
          </w:tcPr>
          <w:p>
            <w:pPr>
              <w:spacing w:after="0"/>
              <w:rPr>
                <w:sz w:val="21"/>
                <w:szCs w:val="21"/>
                <w:color w:val="auto"/>
              </w:rPr>
            </w:pPr>
          </w:p>
        </w:tc>
      </w:tr>
      <w:tr>
        <w:trPr>
          <w:trHeight w:val="220"/>
        </w:trPr>
        <w:tc>
          <w:tcPr>
            <w:tcW w:w="574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shareholders attributable to Martin Marietta</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7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56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42.8</w:t>
            </w:r>
          </w:p>
        </w:tc>
        <w:tc>
          <w:tcPr>
            <w:tcW w:w="100" w:type="dxa"/>
            <w:vAlign w:val="bottom"/>
            <w:shd w:val="clear" w:color="auto" w:fill="CFF0FC"/>
          </w:tcPr>
          <w:p>
            <w:pPr>
              <w:spacing w:after="0"/>
              <w:rPr>
                <w:sz w:val="21"/>
                <w:szCs w:val="2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4"/>
        </w:trPr>
        <w:tc>
          <w:tcPr>
            <w:tcW w:w="5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74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1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62.6</w:t>
            </w:r>
          </w:p>
        </w:tc>
        <w:tc>
          <w:tcPr>
            <w:tcW w:w="100" w:type="dxa"/>
            <w:vAlign w:val="bottom"/>
            <w:shd w:val="clear" w:color="auto" w:fill="CFF0FC"/>
          </w:tcPr>
          <w:p>
            <w:pPr>
              <w:spacing w:after="0"/>
              <w:rPr>
                <w:sz w:val="21"/>
                <w:szCs w:val="21"/>
                <w:color w:val="auto"/>
              </w:rPr>
            </w:pPr>
          </w:p>
        </w:tc>
      </w:tr>
      <w:tr>
        <w:trPr>
          <w:trHeight w:val="243"/>
        </w:trPr>
        <w:tc>
          <w:tcPr>
            <w:tcW w:w="5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144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30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100" w:type="dxa"/>
            <w:vAlign w:val="bottom"/>
            <w:tcBorders>
              <w:bottom w:val="single" w:sz="8" w:color="CFF0FC"/>
            </w:tcBorders>
          </w:tcPr>
          <w:p>
            <w:pPr>
              <w:spacing w:after="0"/>
              <w:rPr>
                <w:sz w:val="21"/>
                <w:szCs w:val="21"/>
                <w:color w:val="auto"/>
              </w:rPr>
            </w:pPr>
          </w:p>
        </w:tc>
      </w:tr>
      <w:tr>
        <w:trPr>
          <w:trHeight w:val="23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14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3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revenue-cost approach. Freight revenues reflect delivery arranged by the Company using a third party on behalf of the customer and are recognized consistently with the timing of the product revenues.</w:t>
      </w:r>
    </w:p>
    <w:p>
      <w:pPr>
        <w:spacing w:after="0" w:line="56"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21 months.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ind w:left="380" w:right="2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Future revenues from unsatisfied performance obligations at March 31, 2020 and 2019 were $212.7 million and $149.4 million, respectively, where the remaining periods to complete these obligations ranged from one month to 21 months for both periods.</w:t>
      </w:r>
    </w:p>
    <w:p>
      <w:pPr>
        <w:spacing w:after="0" w:line="44" w:lineRule="exact"/>
        <w:rPr>
          <w:rFonts w:ascii="Arial" w:cs="Arial" w:eastAsia="Arial" w:hAnsi="Arial"/>
          <w:sz w:val="20"/>
          <w:szCs w:val="20"/>
          <w:b w:val="1"/>
          <w:bCs w:val="1"/>
          <w:color w:val="auto"/>
        </w:rPr>
      </w:pPr>
    </w:p>
    <w:p>
      <w:pPr>
        <w:ind w:left="380"/>
        <w:spacing w:after="0" w:line="287"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 Prior-year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segment information has been reclassified to conform to the reporting structure change described in Note 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20"/>
                <w:szCs w:val="20"/>
                <w:color w:val="auto"/>
                <w:w w:val="90"/>
              </w:rPr>
              <w:t>March 31, 2020</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4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81"/>
              <w:spacing w:after="0"/>
              <w:rPr>
                <w:sz w:val="20"/>
                <w:szCs w:val="20"/>
                <w:color w:val="auto"/>
              </w:rPr>
            </w:pPr>
            <w:r>
              <w:rPr>
                <w:rFonts w:ascii="Arial" w:cs="Arial" w:eastAsia="Arial" w:hAnsi="Arial"/>
                <w:sz w:val="20"/>
                <w:szCs w:val="20"/>
                <w:color w:val="auto"/>
                <w:w w:val="88"/>
              </w:rPr>
              <w:t>Services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20"/>
                <w:szCs w:val="20"/>
                <w:color w:val="auto"/>
              </w:rPr>
              <w:t>Total</w:t>
            </w:r>
          </w:p>
        </w:tc>
      </w:tr>
      <w:tr>
        <w:trPr>
          <w:trHeight w:val="233"/>
        </w:trPr>
        <w:tc>
          <w:tcPr>
            <w:tcW w:w="4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4380" w:type="dxa"/>
            <w:vAlign w:val="bottom"/>
          </w:tcPr>
          <w:p>
            <w:pPr>
              <w:spacing w:after="0"/>
              <w:rPr>
                <w:sz w:val="20"/>
                <w:szCs w:val="20"/>
                <w:color w:val="auto"/>
              </w:rPr>
            </w:pPr>
            <w:r>
              <w:rPr>
                <w:rFonts w:ascii="Arial" w:cs="Arial" w:eastAsia="Arial" w:hAnsi="Arial"/>
                <w:sz w:val="20"/>
                <w:szCs w:val="20"/>
                <w:color w:val="auto"/>
              </w:rPr>
              <w:t>Mid-America Group</w:t>
            </w:r>
          </w:p>
        </w:tc>
        <w:tc>
          <w:tcPr>
            <w:tcW w:w="18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241.0</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19.8</w:t>
            </w:r>
          </w:p>
        </w:tc>
        <w:tc>
          <w:tcPr>
            <w:tcW w:w="280" w:type="dxa"/>
            <w:vAlign w:val="bottom"/>
          </w:tcPr>
          <w:p>
            <w:pPr>
              <w:spacing w:after="0"/>
              <w:rPr>
                <w:sz w:val="21"/>
                <w:szCs w:val="21"/>
                <w:color w:val="auto"/>
              </w:rPr>
            </w:pPr>
          </w:p>
        </w:tc>
        <w:tc>
          <w:tcPr>
            <w:tcW w:w="320" w:type="dxa"/>
            <w:vAlign w:val="bottom"/>
            <w:gridSpan w:val="2"/>
          </w:tcPr>
          <w:p>
            <w:pPr>
              <w:jc w:val="right"/>
              <w:ind w:right="143"/>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260.8</w:t>
            </w:r>
          </w:p>
        </w:tc>
        <w:tc>
          <w:tcPr>
            <w:tcW w:w="120" w:type="dxa"/>
            <w:vAlign w:val="bottom"/>
          </w:tcPr>
          <w:p>
            <w:pPr>
              <w:spacing w:after="0"/>
              <w:rPr>
                <w:sz w:val="21"/>
                <w:szCs w:val="21"/>
                <w:color w:val="auto"/>
              </w:rPr>
            </w:pP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121.1</w:t>
            </w:r>
          </w:p>
        </w:tc>
        <w:tc>
          <w:tcPr>
            <w:tcW w:w="120" w:type="dxa"/>
            <w:vAlign w:val="bottom"/>
            <w:shd w:val="clear" w:color="auto" w:fill="CFF0FC"/>
          </w:tcPr>
          <w:p>
            <w:pPr>
              <w:spacing w:after="0"/>
              <w:rPr>
                <w:sz w:val="21"/>
                <w:szCs w:val="21"/>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473.2</w:t>
            </w: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37.4</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510.6</w:t>
            </w:r>
          </w:p>
        </w:tc>
        <w:tc>
          <w:tcPr>
            <w:tcW w:w="120" w:type="dxa"/>
            <w:vAlign w:val="bottom"/>
            <w:tcBorders>
              <w:bottom w:val="single" w:sz="8" w:color="CFF0FC"/>
            </w:tcBorders>
          </w:tcPr>
          <w:p>
            <w:pPr>
              <w:spacing w:after="0"/>
              <w:rPr>
                <w:sz w:val="21"/>
                <w:szCs w:val="21"/>
                <w:color w:val="auto"/>
              </w:rPr>
            </w:pPr>
          </w:p>
        </w:tc>
      </w:tr>
      <w:tr>
        <w:trPr>
          <w:trHeight w:val="236"/>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892.5</w:t>
            </w:r>
          </w:p>
        </w:tc>
        <w:tc>
          <w:tcPr>
            <w:tcW w:w="120" w:type="dxa"/>
            <w:vAlign w:val="bottom"/>
            <w:shd w:val="clear" w:color="auto" w:fill="CFF0FC"/>
          </w:tcPr>
          <w:p>
            <w:pPr>
              <w:spacing w:after="0"/>
              <w:rPr>
                <w:sz w:val="20"/>
                <w:szCs w:val="20"/>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w:t>
            </w: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65.7</w:t>
            </w:r>
          </w:p>
        </w:tc>
        <w:tc>
          <w:tcPr>
            <w:tcW w:w="120" w:type="dxa"/>
            <w:vAlign w:val="bottom"/>
            <w:tcBorders>
              <w:bottom w:val="single" w:sz="8" w:color="CFF0FC"/>
            </w:tcBorders>
          </w:tcPr>
          <w:p>
            <w:pPr>
              <w:spacing w:after="0"/>
              <w:rPr>
                <w:sz w:val="21"/>
                <w:szCs w:val="21"/>
                <w:color w:val="auto"/>
              </w:rPr>
            </w:pPr>
          </w:p>
        </w:tc>
      </w:tr>
      <w:tr>
        <w:trPr>
          <w:trHeight w:val="237"/>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8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891.0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67.2</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958.2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3"/>
        </w:trPr>
        <w:tc>
          <w:tcPr>
            <w:tcW w:w="4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20"/>
                <w:szCs w:val="20"/>
                <w:color w:val="auto"/>
                <w:w w:val="90"/>
              </w:rPr>
              <w:t>March 31, 2019</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4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81"/>
              <w:spacing w:after="0"/>
              <w:rPr>
                <w:sz w:val="20"/>
                <w:szCs w:val="20"/>
                <w:color w:val="auto"/>
              </w:rPr>
            </w:pPr>
            <w:r>
              <w:rPr>
                <w:rFonts w:ascii="Arial" w:cs="Arial" w:eastAsia="Arial" w:hAnsi="Arial"/>
                <w:sz w:val="20"/>
                <w:szCs w:val="20"/>
                <w:color w:val="auto"/>
                <w:w w:val="88"/>
              </w:rPr>
              <w:t>Services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20"/>
                <w:szCs w:val="20"/>
                <w:color w:val="auto"/>
              </w:rPr>
              <w:t>Total</w:t>
            </w:r>
          </w:p>
        </w:tc>
      </w:tr>
      <w:tr>
        <w:trPr>
          <w:trHeight w:val="236"/>
        </w:trPr>
        <w:tc>
          <w:tcPr>
            <w:tcW w:w="4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w:t>
            </w:r>
          </w:p>
        </w:tc>
        <w:tc>
          <w:tcPr>
            <w:tcW w:w="2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3"/>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248.1</w:t>
            </w:r>
          </w:p>
        </w:tc>
        <w:tc>
          <w:tcPr>
            <w:tcW w:w="120" w:type="dxa"/>
            <w:vAlign w:val="bottom"/>
            <w:shd w:val="clear" w:color="auto" w:fill="CFF0FC"/>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20"/>
                <w:szCs w:val="20"/>
                <w:color w:val="auto"/>
              </w:rPr>
              <w:t>Southeast Group</w:t>
            </w: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115.3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119.2</w:t>
            </w:r>
          </w:p>
        </w:tc>
        <w:tc>
          <w:tcPr>
            <w:tcW w:w="120" w:type="dxa"/>
            <w:vAlign w:val="bottom"/>
          </w:tcPr>
          <w:p>
            <w:pPr>
              <w:spacing w:after="0"/>
              <w:rPr>
                <w:sz w:val="21"/>
                <w:szCs w:val="21"/>
                <w:color w:val="auto"/>
              </w:rPr>
            </w:pPr>
          </w:p>
        </w:tc>
      </w:tr>
      <w:tr>
        <w:trPr>
          <w:trHeight w:val="243"/>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464.2</w:t>
            </w:r>
          </w:p>
        </w:tc>
        <w:tc>
          <w:tcPr>
            <w:tcW w:w="2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497.6</w:t>
            </w:r>
          </w:p>
        </w:tc>
        <w:tc>
          <w:tcPr>
            <w:tcW w:w="120" w:type="dxa"/>
            <w:vAlign w:val="bottom"/>
            <w:shd w:val="clear" w:color="auto" w:fill="CFF0FC"/>
          </w:tcPr>
          <w:p>
            <w:pPr>
              <w:spacing w:after="0"/>
              <w:rPr>
                <w:sz w:val="21"/>
                <w:szCs w:val="21"/>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809.1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55.8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864.9</w:t>
            </w:r>
          </w:p>
        </w:tc>
        <w:tc>
          <w:tcPr>
            <w:tcW w:w="120" w:type="dxa"/>
            <w:vAlign w:val="bottom"/>
          </w:tcPr>
          <w:p>
            <w:pPr>
              <w:spacing w:after="0"/>
              <w:rPr>
                <w:sz w:val="20"/>
                <w:szCs w:val="20"/>
                <w:color w:val="auto"/>
              </w:rPr>
            </w:pPr>
          </w:p>
        </w:tc>
      </w:tr>
      <w:tr>
        <w:trPr>
          <w:trHeight w:val="243"/>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69.2</w:t>
            </w:r>
          </w:p>
        </w:tc>
        <w:tc>
          <w:tcPr>
            <w:tcW w:w="2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74.1</w:t>
            </w:r>
          </w:p>
        </w:tc>
        <w:tc>
          <w:tcPr>
            <w:tcW w:w="120" w:type="dxa"/>
            <w:vAlign w:val="bottom"/>
            <w:shd w:val="clear" w:color="auto" w:fill="CFF0FC"/>
          </w:tcPr>
          <w:p>
            <w:pPr>
              <w:spacing w:after="0"/>
              <w:rPr>
                <w:sz w:val="21"/>
                <w:szCs w:val="21"/>
                <w:color w:val="auto"/>
              </w:rPr>
            </w:pPr>
          </w:p>
        </w:tc>
      </w:tr>
      <w:tr>
        <w:trPr>
          <w:trHeight w:val="236"/>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878.3</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60.7</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939.0</w:t>
            </w:r>
          </w:p>
        </w:tc>
        <w:tc>
          <w:tcPr>
            <w:tcW w:w="120" w:type="dxa"/>
            <w:vAlign w:val="bottom"/>
          </w:tcPr>
          <w:p>
            <w:pPr>
              <w:spacing w:after="0"/>
              <w:rPr>
                <w:sz w:val="20"/>
                <w:szCs w:val="20"/>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$14.5 million and $9.9 million for the three months ended March 31, 2020 and 2019, respectively.</w:t>
      </w:r>
    </w:p>
    <w:p>
      <w:pPr>
        <w:spacing w:after="0" w:line="6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2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740" w:type="dxa"/>
            <w:vAlign w:val="bottom"/>
          </w:tcPr>
          <w:p>
            <w:pPr>
              <w:spacing w:after="0"/>
              <w:rPr>
                <w:sz w:val="21"/>
                <w:szCs w:val="21"/>
                <w:color w:val="auto"/>
              </w:rPr>
            </w:pPr>
          </w:p>
        </w:tc>
        <w:tc>
          <w:tcPr>
            <w:tcW w:w="1740" w:type="dxa"/>
            <w:vAlign w:val="bottom"/>
            <w:gridSpan w:val="2"/>
          </w:tcPr>
          <w:p>
            <w:pPr>
              <w:ind w:left="80"/>
              <w:spacing w:after="0"/>
              <w:rPr>
                <w:sz w:val="20"/>
                <w:szCs w:val="20"/>
                <w:color w:val="auto"/>
              </w:rPr>
            </w:pPr>
            <w:r>
              <w:rPr>
                <w:rFonts w:ascii="Arial" w:cs="Arial" w:eastAsia="Arial" w:hAnsi="Arial"/>
                <w:sz w:val="20"/>
                <w:szCs w:val="20"/>
                <w:color w:val="auto"/>
              </w:rPr>
              <w:t>March 31, 2020</w:t>
            </w:r>
          </w:p>
        </w:tc>
        <w:tc>
          <w:tcPr>
            <w:tcW w:w="30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20"/>
                <w:szCs w:val="20"/>
                <w:color w:val="auto"/>
              </w:rPr>
              <w:t>December 31, 2019</w:t>
            </w:r>
          </w:p>
        </w:tc>
      </w:tr>
      <w:tr>
        <w:trPr>
          <w:trHeight w:val="237"/>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2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12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120" w:type="dxa"/>
            <w:vAlign w:val="bottom"/>
            <w:tcBorders>
              <w:top w:val="single" w:sz="8" w:color="CFF0FC"/>
            </w:tcBorders>
            <w:shd w:val="clear" w:color="auto" w:fill="CFF0FC"/>
          </w:tcPr>
          <w:p>
            <w:pPr>
              <w:spacing w:after="0"/>
              <w:rPr>
                <w:sz w:val="20"/>
                <w:szCs w:val="20"/>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2740" w:type="dxa"/>
            <w:vAlign w:val="bottom"/>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5.4</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7.8</w:t>
            </w:r>
          </w:p>
        </w:tc>
        <w:tc>
          <w:tcPr>
            <w:tcW w:w="120" w:type="dxa"/>
            <w:vAlign w:val="bottom"/>
          </w:tcPr>
          <w:p>
            <w:pPr>
              <w:spacing w:after="0"/>
              <w:rPr>
                <w:sz w:val="21"/>
                <w:szCs w:val="21"/>
                <w:color w:val="auto"/>
              </w:rPr>
            </w:pPr>
          </w:p>
        </w:tc>
      </w:tr>
    </w:tbl>
    <w:p>
      <w:pPr>
        <w:spacing w:after="0" w:line="205"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Revenues recognized from the beginning balance of contract liabilities for the three months ended March 31, 2020 and 2019 were $4.4 million and $3.8 million, respectively.</w:t>
      </w:r>
    </w:p>
    <w:p>
      <w:pPr>
        <w:spacing w:after="0" w:line="69"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by the customer of the performance obligation. Included in other current assets on the Company’s consolidated balance sheets, retainage was $8.5 million and $10.2 million at March 31, 2020 and December 31, 2019, respectively.</w:t>
      </w:r>
    </w:p>
    <w:p>
      <w:pPr>
        <w:spacing w:after="0" w:line="44"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b w:val="1"/>
          <w:bCs w:val="1"/>
          <w:i w:val="1"/>
          <w:iCs w:val="1"/>
          <w:color w:val="auto"/>
        </w:rPr>
        <w:t xml:space="preserve">Warranties. </w:t>
      </w:r>
      <w:r>
        <w:rPr>
          <w:rFonts w:ascii="Arial" w:cs="Arial" w:eastAsia="Arial" w:hAnsi="Arial"/>
          <w:sz w:val="20"/>
          <w:szCs w:val="20"/>
          <w:color w:val="auto"/>
        </w:rPr>
        <w:t>The Company’s construction contracts generally contain warranty provisions typically for a period of nine months to one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year after project completion and cover materials, design or workmanship defects. Historically, the Company has not experienced material costs for warranties. The ready mixed concrete product line carries longer warranty periods, for which the Company has accrued an estimate of warranty cost based on experience with the type of work and any known risks relative to the project. In total, warranty costs were not material to the Company’s consolidated results of operations for the three months ended March 31, 2020 and 2019.</w:t>
      </w:r>
    </w:p>
    <w:p>
      <w:pPr>
        <w:spacing w:after="0" w:line="88" w:lineRule="exact"/>
        <w:rPr>
          <w:sz w:val="20"/>
          <w:szCs w:val="20"/>
          <w:color w:val="auto"/>
        </w:rPr>
      </w:pPr>
    </w:p>
    <w:p>
      <w:pPr>
        <w:jc w:val="both"/>
        <w:ind w:left="380" w:right="20"/>
        <w:spacing w:after="0" w:line="246"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00" w:type="dxa"/>
            <w:vAlign w:val="bottom"/>
          </w:tcPr>
          <w:p>
            <w:pPr>
              <w:spacing w:after="0"/>
              <w:rPr>
                <w:sz w:val="20"/>
                <w:szCs w:val="20"/>
                <w:color w:val="auto"/>
              </w:rPr>
            </w:pPr>
            <w:r>
              <w:rPr>
                <w:rFonts w:ascii="Arial" w:cs="Arial" w:eastAsia="Arial" w:hAnsi="Arial"/>
                <w:sz w:val="20"/>
                <w:szCs w:val="20"/>
                <w:b w:val="1"/>
                <w:bCs w:val="1"/>
                <w:color w:val="auto"/>
              </w:rPr>
              <w:t>3.  Inventories, Net</w:t>
            </w:r>
          </w:p>
        </w:tc>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0"/>
        </w:trPr>
        <w:tc>
          <w:tcPr>
            <w:tcW w:w="4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20"/>
                <w:szCs w:val="20"/>
                <w:color w:val="auto"/>
              </w:rPr>
              <w:t>March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20"/>
                <w:szCs w:val="20"/>
                <w:color w:val="auto"/>
                <w:w w:val="95"/>
              </w:rPr>
              <w:t>December 31,</w:t>
            </w:r>
          </w:p>
        </w:tc>
      </w:tr>
      <w:tr>
        <w:trPr>
          <w:trHeight w:val="246"/>
        </w:trPr>
        <w:tc>
          <w:tcPr>
            <w:tcW w:w="48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2020</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2019</w:t>
            </w:r>
          </w:p>
        </w:tc>
        <w:tc>
          <w:tcPr>
            <w:tcW w:w="100" w:type="dxa"/>
            <w:vAlign w:val="bottom"/>
          </w:tcPr>
          <w:p>
            <w:pPr>
              <w:spacing w:after="0"/>
              <w:rPr>
                <w:sz w:val="21"/>
                <w:szCs w:val="21"/>
                <w:color w:val="auto"/>
              </w:rPr>
            </w:pPr>
          </w:p>
        </w:tc>
      </w:tr>
      <w:tr>
        <w:trPr>
          <w:trHeight w:val="236"/>
        </w:trPr>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60" w:type="dxa"/>
            <w:vAlign w:val="bottom"/>
            <w:gridSpan w:val="5"/>
          </w:tcPr>
          <w:p>
            <w:pPr>
              <w:jc w:val="right"/>
              <w:ind w:right="1061"/>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r>
      <w:tr>
        <w:trPr>
          <w:trHeight w:val="243"/>
        </w:trPr>
        <w:tc>
          <w:tcPr>
            <w:tcW w:w="480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68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657.1</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643.6</w:t>
            </w:r>
          </w:p>
        </w:tc>
        <w:tc>
          <w:tcPr>
            <w:tcW w:w="100" w:type="dxa"/>
            <w:vAlign w:val="bottom"/>
            <w:shd w:val="clear" w:color="auto" w:fill="CFF0FC"/>
          </w:tcPr>
          <w:p>
            <w:pPr>
              <w:spacing w:after="0"/>
              <w:rPr>
                <w:sz w:val="21"/>
                <w:szCs w:val="2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20"/>
                <w:szCs w:val="20"/>
                <w:color w:val="auto"/>
              </w:rPr>
              <w:t>Products in process</w:t>
            </w:r>
          </w:p>
        </w:tc>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40.2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41.9</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spacing w:after="0"/>
              <w:rPr>
                <w:sz w:val="20"/>
                <w:szCs w:val="20"/>
                <w:color w:val="auto"/>
              </w:rPr>
            </w:pPr>
            <w:r>
              <w:rPr>
                <w:rFonts w:ascii="Arial" w:cs="Arial" w:eastAsia="Arial" w:hAnsi="Arial"/>
                <w:sz w:val="20"/>
                <w:szCs w:val="20"/>
                <w:color w:val="auto"/>
              </w:rPr>
              <w:t>Raw materials</w:t>
            </w:r>
          </w:p>
        </w:tc>
        <w:tc>
          <w:tcPr>
            <w:tcW w:w="2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36.7</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w:t>
            </w:r>
          </w:p>
        </w:tc>
        <w:tc>
          <w:tcPr>
            <w:tcW w:w="100" w:type="dxa"/>
            <w:vAlign w:val="bottom"/>
            <w:shd w:val="clear" w:color="auto" w:fill="CFF0FC"/>
          </w:tcPr>
          <w:p>
            <w:pPr>
              <w:spacing w:after="0"/>
              <w:rPr>
                <w:sz w:val="21"/>
                <w:szCs w:val="21"/>
                <w:color w:val="auto"/>
              </w:rPr>
            </w:pPr>
          </w:p>
        </w:tc>
      </w:tr>
      <w:tr>
        <w:trPr>
          <w:trHeight w:val="243"/>
        </w:trPr>
        <w:tc>
          <w:tcPr>
            <w:tcW w:w="48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Supplies and expendable parts</w:t>
            </w:r>
          </w:p>
        </w:tc>
        <w:tc>
          <w:tcPr>
            <w:tcW w:w="23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140.5</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141.5</w:t>
            </w:r>
          </w:p>
        </w:tc>
        <w:tc>
          <w:tcPr>
            <w:tcW w:w="100" w:type="dxa"/>
            <w:vAlign w:val="bottom"/>
            <w:tcBorders>
              <w:bottom w:val="single" w:sz="8" w:color="CFF0FC"/>
            </w:tcBorders>
          </w:tcPr>
          <w:p>
            <w:pPr>
              <w:spacing w:after="0"/>
              <w:rPr>
                <w:sz w:val="21"/>
                <w:szCs w:val="21"/>
                <w:color w:val="auto"/>
              </w:rPr>
            </w:pPr>
          </w:p>
        </w:tc>
      </w:tr>
      <w:tr>
        <w:trPr>
          <w:trHeight w:val="237"/>
        </w:trPr>
        <w:tc>
          <w:tcPr>
            <w:tcW w:w="480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874.5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859.4</w:t>
            </w:r>
          </w:p>
        </w:tc>
        <w:tc>
          <w:tcPr>
            <w:tcW w:w="100" w:type="dxa"/>
            <w:vAlign w:val="bottom"/>
            <w:shd w:val="clear" w:color="auto" w:fill="CFF0FC"/>
          </w:tcPr>
          <w:p>
            <w:pPr>
              <w:spacing w:after="0"/>
              <w:rPr>
                <w:sz w:val="20"/>
                <w:szCs w:val="20"/>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20"/>
                <w:szCs w:val="20"/>
                <w:color w:val="auto"/>
              </w:rPr>
              <w:t>Less: Allowances</w:t>
            </w:r>
          </w:p>
        </w:tc>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20"/>
                <w:szCs w:val="20"/>
                <w:color w:val="auto"/>
              </w:rPr>
              <w:t>(174.0)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20"/>
                <w:szCs w:val="20"/>
                <w:color w:val="auto"/>
              </w:rPr>
              <w:t>(168.6)</w:t>
            </w:r>
          </w:p>
        </w:tc>
      </w:tr>
      <w:tr>
        <w:trPr>
          <w:trHeight w:val="236"/>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38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690.8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4.</w:t>
        <w:tab/>
        <w:t>Long-Term Debt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9"/>
                <w:szCs w:val="19"/>
                <w:color w:val="auto"/>
              </w:rPr>
              <w:t>March 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9"/>
                <w:szCs w:val="19"/>
                <w:color w:val="auto"/>
                <w:w w:val="98"/>
              </w:rPr>
              <w:t>December 31,</w:t>
            </w:r>
          </w:p>
        </w:tc>
      </w:tr>
      <w:tr>
        <w:trPr>
          <w:trHeight w:val="238"/>
        </w:trPr>
        <w:tc>
          <w:tcPr>
            <w:tcW w:w="7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06"/>
              <w:spacing w:after="0"/>
              <w:rPr>
                <w:sz w:val="20"/>
                <w:szCs w:val="20"/>
                <w:color w:val="auto"/>
              </w:rPr>
            </w:pPr>
            <w:r>
              <w:rPr>
                <w:rFonts w:ascii="Arial" w:cs="Arial" w:eastAsia="Arial" w:hAnsi="Arial"/>
                <w:sz w:val="19"/>
                <w:szCs w:val="19"/>
                <w:color w:val="auto"/>
              </w:rPr>
              <w:t>2020</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26"/>
              <w:spacing w:after="0"/>
              <w:rPr>
                <w:sz w:val="20"/>
                <w:szCs w:val="20"/>
                <w:color w:val="auto"/>
              </w:rPr>
            </w:pPr>
            <w:r>
              <w:rPr>
                <w:rFonts w:ascii="Arial" w:cs="Arial" w:eastAsia="Arial" w:hAnsi="Arial"/>
                <w:sz w:val="19"/>
                <w:szCs w:val="19"/>
                <w:color w:val="auto"/>
              </w:rPr>
              <w:t>2019</w:t>
            </w:r>
          </w:p>
        </w:tc>
        <w:tc>
          <w:tcPr>
            <w:tcW w:w="120" w:type="dxa"/>
            <w:vAlign w:val="bottom"/>
          </w:tcPr>
          <w:p>
            <w:pPr>
              <w:spacing w:after="0"/>
              <w:rPr>
                <w:sz w:val="20"/>
                <w:szCs w:val="20"/>
                <w:color w:val="auto"/>
              </w:rPr>
            </w:pPr>
          </w:p>
        </w:tc>
      </w:tr>
      <w:tr>
        <w:trPr>
          <w:trHeight w:val="223"/>
        </w:trPr>
        <w:tc>
          <w:tcPr>
            <w:tcW w:w="7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80" w:type="dxa"/>
            <w:vAlign w:val="bottom"/>
            <w:gridSpan w:val="5"/>
          </w:tcPr>
          <w:p>
            <w:pPr>
              <w:jc w:val="right"/>
              <w:ind w:right="1066"/>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4.25% Senior Notes, due 2024</w:t>
            </w:r>
          </w:p>
        </w:tc>
        <w:tc>
          <w:tcPr>
            <w:tcW w:w="300" w:type="dxa"/>
            <w:vAlign w:val="bottom"/>
            <w:shd w:val="clear" w:color="auto" w:fill="CFF0FC"/>
          </w:tcPr>
          <w:p>
            <w:pPr>
              <w:jc w:val="right"/>
              <w:ind w:right="106"/>
              <w:spacing w:after="0"/>
              <w:rPr>
                <w:sz w:val="20"/>
                <w:szCs w:val="20"/>
                <w:color w:val="auto"/>
              </w:rPr>
            </w:pPr>
            <w:r>
              <w:rPr>
                <w:rFonts w:ascii="Arial" w:cs="Arial" w:eastAsia="Arial" w:hAnsi="Arial"/>
                <w:sz w:val="19"/>
                <w:szCs w:val="19"/>
                <w:color w:val="auto"/>
                <w:w w:val="75"/>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397.2</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6"/>
              <w:spacing w:after="0"/>
              <w:rPr>
                <w:sz w:val="20"/>
                <w:szCs w:val="20"/>
                <w:color w:val="auto"/>
              </w:rPr>
            </w:pPr>
            <w:r>
              <w:rPr>
                <w:rFonts w:ascii="Arial" w:cs="Arial" w:eastAsia="Arial" w:hAnsi="Arial"/>
                <w:sz w:val="19"/>
                <w:szCs w:val="19"/>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397.0</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9"/>
                <w:szCs w:val="19"/>
                <w:color w:val="auto"/>
              </w:rPr>
              <w:t>7% Debentures, due 2025</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124.4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124.4</w:t>
            </w: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297.3</w:t>
            </w:r>
          </w:p>
        </w:tc>
        <w:tc>
          <w:tcPr>
            <w:tcW w:w="120" w:type="dxa"/>
            <w:vAlign w:val="bottom"/>
            <w:shd w:val="clear" w:color="auto" w:fill="CFF0FC"/>
          </w:tcPr>
          <w:p>
            <w:pPr>
              <w:spacing w:after="0"/>
              <w:rPr>
                <w:sz w:val="19"/>
                <w:szCs w:val="19"/>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495.4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495.3</w:t>
            </w:r>
          </w:p>
        </w:tc>
        <w:tc>
          <w:tcPr>
            <w:tcW w:w="12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2.500% Senior Notes, due 2030</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489.5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r>
      <w:tr>
        <w:trPr>
          <w:trHeight w:val="229"/>
        </w:trPr>
        <w:tc>
          <w:tcPr>
            <w:tcW w:w="7240" w:type="dxa"/>
            <w:vAlign w:val="bottom"/>
          </w:tcPr>
          <w:p>
            <w:pPr>
              <w:spacing w:after="0"/>
              <w:rPr>
                <w:sz w:val="20"/>
                <w:szCs w:val="20"/>
                <w:color w:val="auto"/>
              </w:rPr>
            </w:pPr>
            <w:r>
              <w:rPr>
                <w:rFonts w:ascii="Arial" w:cs="Arial" w:eastAsia="Arial" w:hAnsi="Arial"/>
                <w:sz w:val="19"/>
                <w:szCs w:val="19"/>
                <w:color w:val="auto"/>
              </w:rPr>
              <w:t>6.25% Senior Notes, due 2037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228.2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228.1</w:t>
            </w: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591.7</w:t>
            </w:r>
          </w:p>
        </w:tc>
        <w:tc>
          <w:tcPr>
            <w:tcW w:w="120" w:type="dxa"/>
            <w:vAlign w:val="bottom"/>
            <w:shd w:val="clear" w:color="auto" w:fill="CFF0FC"/>
          </w:tcPr>
          <w:p>
            <w:pPr>
              <w:spacing w:after="0"/>
              <w:rPr>
                <w:sz w:val="19"/>
                <w:szCs w:val="19"/>
                <w:color w:val="auto"/>
              </w:rPr>
            </w:pPr>
          </w:p>
        </w:tc>
      </w:tr>
      <w:tr>
        <w:trPr>
          <w:trHeight w:val="207"/>
        </w:trPr>
        <w:tc>
          <w:tcPr>
            <w:tcW w:w="7240" w:type="dxa"/>
            <w:vAlign w:val="bottom"/>
          </w:tcPr>
          <w:p>
            <w:pPr>
              <w:spacing w:after="0" w:line="207" w:lineRule="exact"/>
              <w:rPr>
                <w:sz w:val="20"/>
                <w:szCs w:val="20"/>
                <w:color w:val="auto"/>
              </w:rPr>
            </w:pPr>
            <w:r>
              <w:rPr>
                <w:rFonts w:ascii="Arial" w:cs="Arial" w:eastAsia="Arial" w:hAnsi="Arial"/>
                <w:sz w:val="19"/>
                <w:szCs w:val="19"/>
                <w:color w:val="auto"/>
              </w:rPr>
              <w:t>Floating Rate Senior Notes, due 2020, interest rate of 2.33% and 2.55%</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7240" w:type="dxa"/>
            <w:vAlign w:val="bottom"/>
          </w:tcPr>
          <w:p>
            <w:pPr>
              <w:ind w:left="140"/>
              <w:spacing w:after="0"/>
              <w:rPr>
                <w:sz w:val="20"/>
                <w:szCs w:val="20"/>
                <w:color w:val="auto"/>
              </w:rPr>
            </w:pPr>
            <w:r>
              <w:rPr>
                <w:rFonts w:ascii="Arial" w:cs="Arial" w:eastAsia="Arial" w:hAnsi="Arial"/>
                <w:sz w:val="19"/>
                <w:szCs w:val="19"/>
                <w:color w:val="auto"/>
              </w:rPr>
              <w:t>at March 31, 2020 and December 31, 2019, respectively</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299.9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299.7</w:t>
            </w:r>
          </w:p>
        </w:tc>
        <w:tc>
          <w:tcPr>
            <w:tcW w:w="120" w:type="dxa"/>
            <w:vAlign w:val="bottom"/>
          </w:tcPr>
          <w:p>
            <w:pPr>
              <w:spacing w:after="0"/>
              <w:rPr>
                <w:sz w:val="20"/>
                <w:szCs w:val="20"/>
                <w:color w:val="auto"/>
              </w:rPr>
            </w:pPr>
          </w:p>
        </w:tc>
      </w:tr>
      <w:tr>
        <w:trPr>
          <w:trHeight w:val="207"/>
        </w:trPr>
        <w:tc>
          <w:tcPr>
            <w:tcW w:w="724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Trade Receivable Facility, interest rate of 2.31% and 2.42% at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8"/>
        </w:trPr>
        <w:tc>
          <w:tcPr>
            <w:tcW w:w="72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March 31, 2020 and December 31, 2019, respectively</w:t>
            </w:r>
          </w:p>
        </w:tc>
        <w:tc>
          <w:tcPr>
            <w:tcW w:w="3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340.0</w:t>
            </w:r>
          </w:p>
        </w:tc>
        <w:tc>
          <w:tcPr>
            <w:tcW w:w="120" w:type="dxa"/>
            <w:vAlign w:val="bottom"/>
            <w:shd w:val="clear" w:color="auto" w:fill="CFF0FC"/>
          </w:tcPr>
          <w:p>
            <w:pPr>
              <w:spacing w:after="0"/>
              <w:rPr>
                <w:sz w:val="20"/>
                <w:szCs w:val="20"/>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w:t>
            </w:r>
          </w:p>
        </w:tc>
        <w:tc>
          <w:tcPr>
            <w:tcW w:w="120" w:type="dxa"/>
            <w:vAlign w:val="bottom"/>
            <w:tcBorders>
              <w:bottom w:val="single" w:sz="8" w:color="CFF0FC"/>
            </w:tcBorders>
          </w:tcPr>
          <w:p>
            <w:pPr>
              <w:spacing w:after="0"/>
              <w:rPr>
                <w:sz w:val="19"/>
                <w:szCs w:val="19"/>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3,263.8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2,773.6</w:t>
            </w:r>
          </w:p>
        </w:tc>
        <w:tc>
          <w:tcPr>
            <w:tcW w:w="120" w:type="dxa"/>
            <w:vAlign w:val="bottom"/>
            <w:shd w:val="clear" w:color="auto" w:fill="CFF0FC"/>
          </w:tcPr>
          <w:p>
            <w:pPr>
              <w:spacing w:after="0"/>
              <w:rPr>
                <w:sz w:val="19"/>
                <w:szCs w:val="19"/>
                <w:color w:val="auto"/>
              </w:rPr>
            </w:pPr>
          </w:p>
        </w:tc>
      </w:tr>
      <w:tr>
        <w:trPr>
          <w:trHeight w:val="207"/>
        </w:trPr>
        <w:tc>
          <w:tcPr>
            <w:tcW w:w="7240" w:type="dxa"/>
            <w:vAlign w:val="bottom"/>
          </w:tcPr>
          <w:p>
            <w:pPr>
              <w:spacing w:after="0" w:line="207" w:lineRule="exact"/>
              <w:rPr>
                <w:sz w:val="20"/>
                <w:szCs w:val="20"/>
                <w:color w:val="auto"/>
              </w:rPr>
            </w:pPr>
            <w:r>
              <w:rPr>
                <w:rFonts w:ascii="Arial" w:cs="Arial" w:eastAsia="Arial" w:hAnsi="Arial"/>
                <w:sz w:val="19"/>
                <w:szCs w:val="19"/>
                <w:color w:val="auto"/>
              </w:rPr>
              <w:t>Less: Current maturities of long-term debt and short-term</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7240" w:type="dxa"/>
            <w:vAlign w:val="bottom"/>
          </w:tcPr>
          <w:p>
            <w:pPr>
              <w:ind w:left="140"/>
              <w:spacing w:after="0"/>
              <w:rPr>
                <w:sz w:val="20"/>
                <w:szCs w:val="20"/>
                <w:color w:val="auto"/>
              </w:rPr>
            </w:pPr>
            <w:r>
              <w:rPr>
                <w:rFonts w:ascii="Arial" w:cs="Arial" w:eastAsia="Arial" w:hAnsi="Arial"/>
                <w:sz w:val="19"/>
                <w:szCs w:val="19"/>
                <w:color w:val="auto"/>
              </w:rPr>
              <w:t>facilities</w:t>
            </w:r>
          </w:p>
        </w:tc>
        <w:tc>
          <w:tcPr>
            <w:tcW w:w="3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9"/>
                <w:szCs w:val="19"/>
                <w:color w:val="auto"/>
              </w:rPr>
              <w:t>(639.9)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9"/>
                <w:szCs w:val="19"/>
                <w:color w:val="auto"/>
              </w:rPr>
              <w:t>(340.0)</w:t>
            </w:r>
          </w:p>
        </w:tc>
      </w:tr>
      <w:tr>
        <w:trPr>
          <w:trHeight w:val="223"/>
        </w:trPr>
        <w:tc>
          <w:tcPr>
            <w:tcW w:w="7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30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Arial" w:cs="Arial" w:eastAsia="Arial" w:hAnsi="Arial"/>
                <w:sz w:val="19"/>
                <w:szCs w:val="19"/>
                <w:color w:val="auto"/>
                <w:w w:val="75"/>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2,623.9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9"/>
                <w:szCs w:val="19"/>
                <w:color w:val="auto"/>
                <w:w w:val="75"/>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On March 5, 2020, the Company issued $500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intends to use the net proceeds for general corporate purposes, including the repayment at maturity of $300 million of existing Floating Rate Notes due May 2020, which was classified as current long-term debt on the consolidated balance sheet at March 31, 2020. At December 31, 2019, the Floating Rate Senior Notes due May 2020 were classified as noncurrent long-term debt on the consolidated balance sheet as the Company had the intent and ability to refinance the notes on a long-term basis.</w:t>
      </w:r>
    </w:p>
    <w:p>
      <w:pPr>
        <w:spacing w:after="0" w:line="76" w:lineRule="exact"/>
        <w:rPr>
          <w:sz w:val="20"/>
          <w:szCs w:val="20"/>
          <w:color w:val="auto"/>
        </w:rPr>
      </w:pPr>
    </w:p>
    <w:p>
      <w:pPr>
        <w:jc w:val="both"/>
        <w:ind w:left="380"/>
        <w:spacing w:after="0" w:line="272"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which matures on September 23, 2020. The Trade Receivable Facility, with Truist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The Trade Receivable Facility contains a cross-default provision to the Company’s other debt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The Company has a $700 million five-year senior unsecured revolving facility (the Revolving Facility) with JPMorgan Chase Bank, N.A., as Administrative Agent, Truist Bank, Deutsche Bank Securities, Inc.,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under the Revolving Facility at March 31, 2020 or December 31, 2019.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covenant at March 31, 2020.</w:t>
      </w:r>
    </w:p>
    <w:p>
      <w:pPr>
        <w:spacing w:after="0" w:line="7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Revolving Facility expires on December 5, 2024, with any outstanding principal amounts, together with interest accrued thereon, due in full on that date. Available borrowings under the Revolving Facility are reduced by any outstanding letters of credit issued by the Company under the Revolving Facility. The Company had $2.3 million of outstanding letters of credit issued under the Revolving Facility at March 31, 2020 and December 31, 2019.</w:t>
      </w:r>
    </w:p>
    <w:p>
      <w:pPr>
        <w:spacing w:after="0" w:line="29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7"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Accounts receivable are due from a large number of customers, primarily in the construction industry, and are dispersed across wide geographic and economic regions. No single customer accounted for 10% or more of consolidated total revenues. The estimated fair values of accounts receivable approximate their carrying amounts due to the short-term nature of the receivables.</w:t>
      </w:r>
    </w:p>
    <w:p>
      <w:pPr>
        <w:spacing w:after="0" w:line="6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the carrying amount due to the short-term nature of the payables.</w:t>
      </w:r>
    </w:p>
    <w:p>
      <w:pPr>
        <w:spacing w:after="0" w:line="68"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carrying values and fair values of the Company’s long-term debt were $3.26 billion and $3.23 billion, respectively, at March 31, 2020 and $2.77 billion and $2.94 billion, respectively, at December 31, 2019. The estimated fair value of the publicly-registered long-term notes was estimated based on Level 2 of the fair value hierarchy using quoted market prices. The estimated fair value of other borrowings approximate their carrying amounts as the interest rates reset periodically.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76" w:lineRule="auto"/>
        <w:rPr>
          <w:rFonts w:ascii="Arial" w:cs="Arial" w:eastAsia="Arial" w:hAnsi="Arial"/>
          <w:sz w:val="20"/>
          <w:szCs w:val="20"/>
          <w:b w:val="1"/>
          <w:bCs w:val="1"/>
          <w:color w:val="auto"/>
        </w:rPr>
      </w:pPr>
      <w:r>
        <w:rPr>
          <w:rFonts w:ascii="Arial" w:cs="Arial" w:eastAsia="Arial" w:hAnsi="Arial"/>
          <w:sz w:val="18"/>
          <w:szCs w:val="18"/>
          <w:color w:val="auto"/>
        </w:rPr>
        <w:t>The effective income tax rate reflects the effect of federal and state income taxes on earnings and the impact of differences in book and tax accounting arising from the permanent tax benefits associated with the statutory depletion deduction for mineral reserves. For the three months ended March 31, 2020, the low effective income tax rate of 0.6% was primarily attributable to a $6.9 million discrete benefit from financing third-party railroad maintenance. In exchange, the Company received a federal income tax credit and deduction. For the three months ended March 31, 2019, the effective income tax rate included a $13.2 million discrete benefit from a change in the tax status of a subsidiary from a partnership to a corporation, contributing to an overall income tax benefit of $5.0 million.</w:t>
      </w:r>
    </w:p>
    <w:p>
      <w:pPr>
        <w:spacing w:after="0" w:line="56"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24" w:lineRule="exact"/>
        <w:rPr>
          <w:rFonts w:ascii="Arial" w:cs="Arial" w:eastAsia="Arial" w:hAnsi="Arial"/>
          <w:sz w:val="20"/>
          <w:szCs w:val="20"/>
          <w:b w:val="1"/>
          <w:bCs w:val="1"/>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estimated components of the recorded net periodic benefit cost (credit) for pension and postretirement benefits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4"/>
          </w:tcPr>
          <w:p>
            <w:pPr>
              <w:jc w:val="right"/>
              <w:ind w:right="41"/>
              <w:spacing w:after="0"/>
              <w:rPr>
                <w:sz w:val="20"/>
                <w:szCs w:val="20"/>
                <w:color w:val="auto"/>
              </w:rPr>
            </w:pPr>
            <w:r>
              <w:rPr>
                <w:rFonts w:ascii="Arial" w:cs="Arial" w:eastAsia="Arial" w:hAnsi="Arial"/>
                <w:sz w:val="20"/>
                <w:szCs w:val="20"/>
                <w:color w:val="auto"/>
              </w:rPr>
              <w:t>Pension</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440" w:type="dxa"/>
            <w:vAlign w:val="bottom"/>
            <w:tcBorders>
              <w:top w:val="single" w:sz="8" w:color="auto"/>
              <w:bottom w:val="single" w:sz="8" w:color="auto"/>
            </w:tcBorders>
            <w:gridSpan w:val="5"/>
          </w:tcPr>
          <w:p>
            <w:pPr>
              <w:jc w:val="right"/>
              <w:ind w:right="760"/>
              <w:spacing w:after="0"/>
              <w:rPr>
                <w:sz w:val="20"/>
                <w:szCs w:val="20"/>
                <w:color w:val="auto"/>
              </w:rPr>
            </w:pPr>
            <w:r>
              <w:rPr>
                <w:rFonts w:ascii="Arial" w:cs="Arial" w:eastAsia="Arial" w:hAnsi="Arial"/>
                <w:sz w:val="20"/>
                <w:szCs w:val="20"/>
                <w:color w:val="auto"/>
                <w:w w:val="94"/>
              </w:rPr>
              <w:t>Three Months Ended March 31,</w:t>
            </w:r>
          </w:p>
        </w:tc>
        <w:tc>
          <w:tcPr>
            <w:tcW w:w="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gridSpan w:val="5"/>
          </w:tcPr>
          <w:p>
            <w:pPr>
              <w:jc w:val="right"/>
              <w:ind w:right="120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0"/>
                <w:szCs w:val="20"/>
                <w:color w:val="auto"/>
              </w:rPr>
            </w:pPr>
            <w:r>
              <w:rPr>
                <w:rFonts w:ascii="Arial" w:cs="Arial" w:eastAsia="Arial" w:hAnsi="Arial"/>
                <w:sz w:val="20"/>
                <w:szCs w:val="20"/>
                <w:color w:val="auto"/>
              </w:rPr>
              <w:t>Service cost</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9.7</w:t>
            </w:r>
          </w:p>
        </w:tc>
        <w:tc>
          <w:tcPr>
            <w:tcW w:w="180" w:type="dxa"/>
            <w:vAlign w:val="bottom"/>
          </w:tcPr>
          <w:p>
            <w:pPr>
              <w:spacing w:after="0"/>
              <w:rPr>
                <w:sz w:val="21"/>
                <w:szCs w:val="21"/>
                <w:color w:val="auto"/>
              </w:rPr>
            </w:pPr>
          </w:p>
        </w:tc>
        <w:tc>
          <w:tcPr>
            <w:tcW w:w="42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7.9</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83"/>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20"/>
                <w:szCs w:val="20"/>
                <w:color w:val="auto"/>
              </w:rPr>
              <w:t>(12.0)</w:t>
            </w:r>
          </w:p>
        </w:tc>
        <w:tc>
          <w:tcPr>
            <w:tcW w:w="36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(0.2)</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7.8</w:t>
            </w:r>
          </w:p>
        </w:tc>
        <w:tc>
          <w:tcPr>
            <w:tcW w:w="1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9.2</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(0.1)</w:t>
            </w:r>
          </w:p>
        </w:tc>
        <w:tc>
          <w:tcPr>
            <w:tcW w:w="20" w:type="dxa"/>
            <w:vAlign w:val="bottom"/>
            <w:vMerge w:val="continue"/>
          </w:tcPr>
          <w:p>
            <w:pPr>
              <w:spacing w:after="0"/>
              <w:rPr>
                <w:sz w:val="20"/>
                <w:szCs w:val="20"/>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All other components are included in other nonoperating expenses and (income), net, in the consolidated statements of earnings and comprehensive earnings.</w:t>
      </w:r>
    </w:p>
    <w:p>
      <w:pPr>
        <w:spacing w:after="0" w:line="234" w:lineRule="exact"/>
        <w:rPr>
          <w:sz w:val="20"/>
          <w:szCs w:val="20"/>
          <w:color w:val="auto"/>
        </w:rPr>
      </w:pPr>
    </w:p>
    <w:p>
      <w:pPr>
        <w:ind w:left="380" w:right="7820" w:hanging="372"/>
        <w:spacing w:after="0" w:line="394" w:lineRule="auto"/>
        <w:tabs>
          <w:tab w:leader="none" w:pos="3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9"/>
          <w:szCs w:val="19"/>
          <w:color w:val="auto"/>
        </w:rPr>
        <w:t>The Company is engaged in certain legal and administrative proceedings incidental to its normal business activities, including matters relating to the protection of the environment. The Company considers various factors in assessing the probable outcome of each matter, including but not limited to the nature of existing legal proceedings and claims, the asserted or possible damages, which court the case is in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Borrowing Arrangements with Affiliate</w:t>
      </w:r>
    </w:p>
    <w:p>
      <w:pPr>
        <w:spacing w:after="0" w:line="108" w:lineRule="exact"/>
        <w:rPr>
          <w:sz w:val="20"/>
          <w:szCs w:val="20"/>
          <w:color w:val="auto"/>
        </w:rPr>
      </w:pPr>
    </w:p>
    <w:p>
      <w:pPr>
        <w:jc w:val="both"/>
        <w:ind w:left="380"/>
        <w:spacing w:after="0" w:line="282" w:lineRule="auto"/>
        <w:rPr>
          <w:sz w:val="20"/>
          <w:szCs w:val="20"/>
          <w:color w:val="auto"/>
        </w:rPr>
      </w:pPr>
      <w:r>
        <w:rPr>
          <w:rFonts w:ascii="Arial" w:cs="Arial" w:eastAsia="Arial" w:hAnsi="Arial"/>
          <w:sz w:val="18"/>
          <w:szCs w:val="18"/>
          <w:color w:val="auto"/>
        </w:rPr>
        <w:t>The Company is a co-borrower with an unconsolidated affiliate for a $12.5 million revolving line of credit agreement with Truist Bank, of which $11.2 million was outstanding as of March 31, 2020 and has a maturity date of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3" w:lineRule="exact"/>
        <w:rPr>
          <w:sz w:val="20"/>
          <w:szCs w:val="20"/>
          <w:color w:val="auto"/>
        </w:rPr>
      </w:pPr>
    </w:p>
    <w:p>
      <w:pPr>
        <w:jc w:val="both"/>
        <w:ind w:left="380" w:right="20"/>
        <w:spacing w:after="0" w:line="287" w:lineRule="auto"/>
        <w:rPr>
          <w:sz w:val="20"/>
          <w:szCs w:val="20"/>
          <w:color w:val="auto"/>
        </w:rPr>
      </w:pPr>
      <w:r>
        <w:rPr>
          <w:rFonts w:ascii="Arial" w:cs="Arial" w:eastAsia="Arial" w:hAnsi="Arial"/>
          <w:sz w:val="19"/>
          <w:szCs w:val="19"/>
          <w:color w:val="auto"/>
        </w:rPr>
        <w:t>In addition, the Company has a $6.0 million interest-only loan, due December 31, 2022, outstanding from this unconsolidated affiliate as of March 31, 2020 and December 31, 2019. The interest rate is one-month LIBOR plus a current spread of 1.75%.</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Letters of Credit</w:t>
      </w:r>
    </w:p>
    <w:p>
      <w:pPr>
        <w:spacing w:after="0" w:line="108"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In the normal course of business, the Company provides certain third parties with standby letter of credit agreements guaranteeing its payment for certain insurance claims, contract performance and permit requirements. At March 31, 2020, the Company was contingently liable for $32.9 million in letters of credit, of which $2.3 million were issued under the Company’s Revolving Facility.</w:t>
      </w:r>
    </w:p>
    <w:p>
      <w:pPr>
        <w:spacing w:after="0" w:line="25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59" w:lineRule="exact"/>
        <w:rPr>
          <w:rFonts w:ascii="Arial" w:cs="Arial" w:eastAsia="Arial" w:hAnsi="Arial"/>
          <w:sz w:val="20"/>
          <w:szCs w:val="20"/>
          <w:b w:val="1"/>
          <w:bCs w:val="1"/>
          <w:color w:val="auto"/>
        </w:rPr>
      </w:pPr>
    </w:p>
    <w:p>
      <w:pPr>
        <w:jc w:val="both"/>
        <w:ind w:left="38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taxes on income.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 All debt and related interest expense are held at Corporate.</w:t>
      </w:r>
    </w:p>
    <w:p>
      <w:pPr>
        <w:spacing w:after="0" w:line="60"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following table displays selected financial data for the Company’s reportable business segments. Total revenues, as presented on the consolidated statements of earnings and comprehensive earnings, exclude intersegment revenues which represent sales from one segment to another segment, which are eliminated. Prior-year segment information has been reclassified to conform to the reporting structure change described in Note 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8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2"/>
              </w:rPr>
              <w:t>March 31,</w:t>
            </w:r>
          </w:p>
        </w:tc>
        <w:tc>
          <w:tcPr>
            <w:tcW w:w="1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2020</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80" w:type="dxa"/>
            <w:vAlign w:val="bottom"/>
            <w:gridSpan w:val="4"/>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3"/>
        </w:trPr>
        <w:tc>
          <w:tcPr>
            <w:tcW w:w="442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Total revenues:</w:t>
            </w:r>
          </w:p>
        </w:tc>
        <w:tc>
          <w:tcPr>
            <w:tcW w:w="17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
        </w:trPr>
        <w:tc>
          <w:tcPr>
            <w:tcW w:w="1160" w:type="dxa"/>
            <w:vAlign w:val="bottom"/>
            <w:tcBorders>
              <w:top w:val="single" w:sz="8" w:color="auto"/>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43"/>
        </w:trPr>
        <w:tc>
          <w:tcPr>
            <w:tcW w:w="4420" w:type="dxa"/>
            <w:vAlign w:val="bottom"/>
            <w:gridSpan w:val="4"/>
          </w:tcPr>
          <w:p>
            <w:pPr>
              <w:spacing w:after="0"/>
              <w:rPr>
                <w:sz w:val="20"/>
                <w:szCs w:val="20"/>
                <w:color w:val="auto"/>
              </w:rPr>
            </w:pPr>
            <w:r>
              <w:rPr>
                <w:rFonts w:ascii="Arial" w:cs="Arial" w:eastAsia="Arial" w:hAnsi="Arial"/>
                <w:sz w:val="20"/>
                <w:szCs w:val="20"/>
                <w:color w:val="auto"/>
              </w:rPr>
              <w:t>Mid-America Group</w:t>
            </w:r>
          </w:p>
        </w:tc>
        <w:tc>
          <w:tcPr>
            <w:tcW w:w="3200" w:type="dxa"/>
            <w:vAlign w:val="bottom"/>
            <w:gridSpan w:val="2"/>
          </w:tcPr>
          <w:p>
            <w:pPr>
              <w:jc w:val="right"/>
              <w:ind w:right="13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260.8</w:t>
            </w:r>
          </w:p>
        </w:tc>
        <w:tc>
          <w:tcPr>
            <w:tcW w:w="360" w:type="dxa"/>
            <w:vAlign w:val="bottom"/>
          </w:tcPr>
          <w:p>
            <w:pPr>
              <w:spacing w:after="0"/>
              <w:rPr>
                <w:sz w:val="21"/>
                <w:szCs w:val="21"/>
                <w:color w:val="auto"/>
              </w:rPr>
            </w:pPr>
          </w:p>
        </w:tc>
        <w:tc>
          <w:tcPr>
            <w:tcW w:w="800" w:type="dxa"/>
            <w:vAlign w:val="bottom"/>
            <w:gridSpan w:val="2"/>
          </w:tcPr>
          <w:p>
            <w:pPr>
              <w:jc w:val="right"/>
              <w:ind w:right="623"/>
              <w:spacing w:after="0"/>
              <w:rPr>
                <w:sz w:val="20"/>
                <w:szCs w:val="20"/>
                <w:color w:val="auto"/>
              </w:rPr>
            </w:pPr>
            <w:r>
              <w:rPr>
                <w:rFonts w:ascii="Arial" w:cs="Arial" w:eastAsia="Arial" w:hAnsi="Arial"/>
                <w:sz w:val="20"/>
                <w:szCs w:val="20"/>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248.1</w:t>
            </w:r>
          </w:p>
        </w:tc>
        <w:tc>
          <w:tcPr>
            <w:tcW w:w="120" w:type="dxa"/>
            <w:vAlign w:val="bottom"/>
          </w:tcPr>
          <w:p>
            <w:pPr>
              <w:spacing w:after="0"/>
              <w:rPr>
                <w:sz w:val="21"/>
                <w:szCs w:val="21"/>
                <w:color w:val="auto"/>
              </w:rPr>
            </w:pPr>
          </w:p>
        </w:tc>
      </w:tr>
      <w:tr>
        <w:trPr>
          <w:trHeight w:val="243"/>
        </w:trPr>
        <w:tc>
          <w:tcPr>
            <w:tcW w:w="4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121.1</w:t>
            </w:r>
          </w:p>
        </w:tc>
        <w:tc>
          <w:tcPr>
            <w:tcW w:w="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119.2</w:t>
            </w:r>
          </w:p>
        </w:tc>
        <w:tc>
          <w:tcPr>
            <w:tcW w:w="120" w:type="dxa"/>
            <w:vAlign w:val="bottom"/>
            <w:shd w:val="clear" w:color="auto" w:fill="CFF0FC"/>
          </w:tcPr>
          <w:p>
            <w:pPr>
              <w:spacing w:after="0"/>
              <w:rPr>
                <w:sz w:val="21"/>
                <w:szCs w:val="21"/>
                <w:color w:val="auto"/>
              </w:rPr>
            </w:pPr>
          </w:p>
        </w:tc>
      </w:tr>
      <w:tr>
        <w:trPr>
          <w:trHeight w:val="243"/>
        </w:trPr>
        <w:tc>
          <w:tcPr>
            <w:tcW w:w="4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510.6</w:t>
            </w:r>
          </w:p>
        </w:tc>
        <w:tc>
          <w:tcPr>
            <w:tcW w:w="3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497.6</w:t>
            </w:r>
          </w:p>
        </w:tc>
        <w:tc>
          <w:tcPr>
            <w:tcW w:w="120" w:type="dxa"/>
            <w:vAlign w:val="bottom"/>
            <w:tcBorders>
              <w:bottom w:val="single" w:sz="8" w:color="CFF0FC"/>
            </w:tcBorders>
          </w:tcPr>
          <w:p>
            <w:pPr>
              <w:spacing w:after="0"/>
              <w:rPr>
                <w:sz w:val="21"/>
                <w:szCs w:val="21"/>
                <w:color w:val="auto"/>
              </w:rPr>
            </w:pPr>
          </w:p>
        </w:tc>
      </w:tr>
      <w:tr>
        <w:trPr>
          <w:trHeight w:val="237"/>
        </w:trPr>
        <w:tc>
          <w:tcPr>
            <w:tcW w:w="4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892.5</w:t>
            </w: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864.9</w:t>
            </w:r>
          </w:p>
        </w:tc>
        <w:tc>
          <w:tcPr>
            <w:tcW w:w="120" w:type="dxa"/>
            <w:vAlign w:val="bottom"/>
            <w:shd w:val="clear" w:color="auto" w:fill="CFF0FC"/>
          </w:tcPr>
          <w:p>
            <w:pPr>
              <w:spacing w:after="0"/>
              <w:rPr>
                <w:sz w:val="20"/>
                <w:szCs w:val="20"/>
                <w:color w:val="auto"/>
              </w:rPr>
            </w:pPr>
          </w:p>
        </w:tc>
      </w:tr>
      <w:tr>
        <w:trPr>
          <w:trHeight w:val="243"/>
        </w:trPr>
        <w:tc>
          <w:tcPr>
            <w:tcW w:w="4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65.7</w:t>
            </w:r>
          </w:p>
        </w:tc>
        <w:tc>
          <w:tcPr>
            <w:tcW w:w="3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74.1</w:t>
            </w:r>
          </w:p>
        </w:tc>
        <w:tc>
          <w:tcPr>
            <w:tcW w:w="120" w:type="dxa"/>
            <w:vAlign w:val="bottom"/>
            <w:tcBorders>
              <w:bottom w:val="single" w:sz="8" w:color="CFF0FC"/>
            </w:tcBorders>
          </w:tcPr>
          <w:p>
            <w:pPr>
              <w:spacing w:after="0"/>
              <w:rPr>
                <w:sz w:val="21"/>
                <w:szCs w:val="21"/>
                <w:color w:val="auto"/>
              </w:rPr>
            </w:pPr>
          </w:p>
        </w:tc>
      </w:tr>
      <w:tr>
        <w:trPr>
          <w:trHeight w:val="236"/>
        </w:trPr>
        <w:tc>
          <w:tcPr>
            <w:tcW w:w="44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7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301"/>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958.2</w:t>
            </w:r>
          </w:p>
        </w:tc>
        <w:tc>
          <w:tcPr>
            <w:tcW w:w="3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623"/>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939.0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42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Products and services revenues:</w:t>
            </w:r>
          </w:p>
        </w:tc>
        <w:tc>
          <w:tcPr>
            <w:tcW w:w="17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5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CFF0FC"/>
            </w:tcBorders>
            <w:gridSpan w:val="2"/>
          </w:tcPr>
          <w:p>
            <w:pPr>
              <w:spacing w:after="0"/>
              <w:rPr>
                <w:sz w:val="21"/>
                <w:szCs w:val="21"/>
                <w:color w:val="auto"/>
              </w:rPr>
            </w:pPr>
          </w:p>
        </w:tc>
        <w:tc>
          <w:tcPr>
            <w:tcW w:w="3200" w:type="dxa"/>
            <w:vAlign w:val="bottom"/>
            <w:tcBorders>
              <w:top w:val="single" w:sz="8" w:color="CFF0FC"/>
            </w:tcBorders>
            <w:gridSpan w:val="2"/>
          </w:tcPr>
          <w:p>
            <w:pPr>
              <w:jc w:val="right"/>
              <w:ind w:right="1301"/>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241.0</w:t>
            </w:r>
          </w:p>
        </w:tc>
        <w:tc>
          <w:tcPr>
            <w:tcW w:w="360" w:type="dxa"/>
            <w:vAlign w:val="bottom"/>
            <w:tcBorders>
              <w:top w:val="single" w:sz="8" w:color="CFF0FC"/>
            </w:tcBorders>
          </w:tcPr>
          <w:p>
            <w:pPr>
              <w:spacing w:after="0"/>
              <w:rPr>
                <w:sz w:val="21"/>
                <w:szCs w:val="21"/>
                <w:color w:val="auto"/>
              </w:rPr>
            </w:pPr>
          </w:p>
        </w:tc>
        <w:tc>
          <w:tcPr>
            <w:tcW w:w="800" w:type="dxa"/>
            <w:vAlign w:val="bottom"/>
            <w:tcBorders>
              <w:top w:val="single" w:sz="8" w:color="CFF0FC"/>
            </w:tcBorders>
            <w:gridSpan w:val="2"/>
          </w:tcPr>
          <w:p>
            <w:pPr>
              <w:jc w:val="right"/>
              <w:ind w:right="623"/>
              <w:spacing w:after="0"/>
              <w:rPr>
                <w:sz w:val="20"/>
                <w:szCs w:val="20"/>
                <w:color w:val="auto"/>
              </w:rPr>
            </w:pPr>
            <w:r>
              <w:rPr>
                <w:rFonts w:ascii="Arial" w:cs="Arial" w:eastAsia="Arial" w:hAnsi="Arial"/>
                <w:sz w:val="20"/>
                <w:szCs w:val="20"/>
                <w:color w:val="auto"/>
                <w:w w:val="71"/>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229.6</w:t>
            </w:r>
          </w:p>
        </w:tc>
        <w:tc>
          <w:tcPr>
            <w:tcW w:w="120" w:type="dxa"/>
            <w:vAlign w:val="bottom"/>
            <w:tcBorders>
              <w:top w:val="single" w:sz="8" w:color="CFF0FC"/>
            </w:tcBorders>
          </w:tcPr>
          <w:p>
            <w:pPr>
              <w:spacing w:after="0"/>
              <w:rPr>
                <w:sz w:val="21"/>
                <w:szCs w:val="21"/>
                <w:color w:val="auto"/>
              </w:rPr>
            </w:pPr>
          </w:p>
        </w:tc>
      </w:tr>
      <w:tr>
        <w:trPr>
          <w:trHeight w:val="243"/>
        </w:trPr>
        <w:tc>
          <w:tcPr>
            <w:tcW w:w="4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116.9</w:t>
            </w:r>
          </w:p>
        </w:tc>
        <w:tc>
          <w:tcPr>
            <w:tcW w:w="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115.3</w:t>
            </w:r>
          </w:p>
        </w:tc>
        <w:tc>
          <w:tcPr>
            <w:tcW w:w="120" w:type="dxa"/>
            <w:vAlign w:val="bottom"/>
            <w:shd w:val="clear" w:color="auto" w:fill="CFF0FC"/>
          </w:tcPr>
          <w:p>
            <w:pPr>
              <w:spacing w:after="0"/>
              <w:rPr>
                <w:sz w:val="21"/>
                <w:szCs w:val="21"/>
                <w:color w:val="auto"/>
              </w:rPr>
            </w:pPr>
          </w:p>
        </w:tc>
      </w:tr>
      <w:tr>
        <w:trPr>
          <w:trHeight w:val="243"/>
        </w:trPr>
        <w:tc>
          <w:tcPr>
            <w:tcW w:w="4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473.2</w:t>
            </w:r>
          </w:p>
        </w:tc>
        <w:tc>
          <w:tcPr>
            <w:tcW w:w="3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464.2</w:t>
            </w:r>
          </w:p>
        </w:tc>
        <w:tc>
          <w:tcPr>
            <w:tcW w:w="120" w:type="dxa"/>
            <w:vAlign w:val="bottom"/>
            <w:tcBorders>
              <w:bottom w:val="single" w:sz="8" w:color="CFF0FC"/>
            </w:tcBorders>
          </w:tcPr>
          <w:p>
            <w:pPr>
              <w:spacing w:after="0"/>
              <w:rPr>
                <w:sz w:val="21"/>
                <w:szCs w:val="21"/>
                <w:color w:val="auto"/>
              </w:rPr>
            </w:pPr>
          </w:p>
        </w:tc>
      </w:tr>
      <w:tr>
        <w:trPr>
          <w:trHeight w:val="237"/>
        </w:trPr>
        <w:tc>
          <w:tcPr>
            <w:tcW w:w="4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831.1</w:t>
            </w: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809.1</w:t>
            </w:r>
          </w:p>
        </w:tc>
        <w:tc>
          <w:tcPr>
            <w:tcW w:w="120" w:type="dxa"/>
            <w:vAlign w:val="bottom"/>
            <w:shd w:val="clear" w:color="auto" w:fill="CFF0FC"/>
          </w:tcPr>
          <w:p>
            <w:pPr>
              <w:spacing w:after="0"/>
              <w:rPr>
                <w:sz w:val="20"/>
                <w:szCs w:val="20"/>
                <w:color w:val="auto"/>
              </w:rPr>
            </w:pPr>
          </w:p>
        </w:tc>
      </w:tr>
      <w:tr>
        <w:trPr>
          <w:trHeight w:val="243"/>
        </w:trPr>
        <w:tc>
          <w:tcPr>
            <w:tcW w:w="4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w:t>
            </w:r>
          </w:p>
        </w:tc>
        <w:tc>
          <w:tcPr>
            <w:tcW w:w="3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w:t>
            </w:r>
          </w:p>
        </w:tc>
        <w:tc>
          <w:tcPr>
            <w:tcW w:w="120" w:type="dxa"/>
            <w:vAlign w:val="bottom"/>
            <w:tcBorders>
              <w:bottom w:val="single" w:sz="8" w:color="CFF0FC"/>
            </w:tcBorders>
          </w:tcPr>
          <w:p>
            <w:pPr>
              <w:spacing w:after="0"/>
              <w:rPr>
                <w:sz w:val="21"/>
                <w:szCs w:val="21"/>
                <w:color w:val="auto"/>
              </w:rPr>
            </w:pPr>
          </w:p>
        </w:tc>
      </w:tr>
      <w:tr>
        <w:trPr>
          <w:trHeight w:val="237"/>
        </w:trPr>
        <w:tc>
          <w:tcPr>
            <w:tcW w:w="44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7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301"/>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891.0</w:t>
            </w:r>
          </w:p>
        </w:tc>
        <w:tc>
          <w:tcPr>
            <w:tcW w:w="3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623"/>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878.3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42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17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5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Mid-America Group</w:t>
            </w:r>
          </w:p>
        </w:tc>
        <w:tc>
          <w:tcPr>
            <w:tcW w:w="1840" w:type="dxa"/>
            <w:vAlign w:val="bottom"/>
            <w:tcBorders>
              <w:top w:val="single" w:sz="8" w:color="CFF0FC"/>
            </w:tcBorders>
          </w:tcPr>
          <w:p>
            <w:pPr>
              <w:spacing w:after="0"/>
              <w:rPr>
                <w:sz w:val="21"/>
                <w:szCs w:val="21"/>
                <w:color w:val="auto"/>
              </w:rPr>
            </w:pPr>
          </w:p>
        </w:tc>
        <w:tc>
          <w:tcPr>
            <w:tcW w:w="3200" w:type="dxa"/>
            <w:vAlign w:val="bottom"/>
            <w:tcBorders>
              <w:top w:val="single" w:sz="8" w:color="CFF0FC"/>
            </w:tcBorders>
            <w:gridSpan w:val="2"/>
          </w:tcPr>
          <w:p>
            <w:pPr>
              <w:jc w:val="right"/>
              <w:ind w:right="1301"/>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20.8</w:t>
            </w:r>
          </w:p>
        </w:tc>
        <w:tc>
          <w:tcPr>
            <w:tcW w:w="360" w:type="dxa"/>
            <w:vAlign w:val="bottom"/>
            <w:tcBorders>
              <w:top w:val="single" w:sz="8" w:color="CFF0FC"/>
            </w:tcBorders>
          </w:tcPr>
          <w:p>
            <w:pPr>
              <w:spacing w:after="0"/>
              <w:rPr>
                <w:sz w:val="21"/>
                <w:szCs w:val="21"/>
                <w:color w:val="auto"/>
              </w:rPr>
            </w:pPr>
          </w:p>
        </w:tc>
        <w:tc>
          <w:tcPr>
            <w:tcW w:w="800" w:type="dxa"/>
            <w:vAlign w:val="bottom"/>
            <w:tcBorders>
              <w:top w:val="single" w:sz="8" w:color="CFF0FC"/>
            </w:tcBorders>
            <w:gridSpan w:val="2"/>
          </w:tcPr>
          <w:p>
            <w:pPr>
              <w:jc w:val="right"/>
              <w:ind w:right="623"/>
              <w:spacing w:after="0"/>
              <w:rPr>
                <w:sz w:val="20"/>
                <w:szCs w:val="20"/>
                <w:color w:val="auto"/>
              </w:rPr>
            </w:pPr>
            <w:r>
              <w:rPr>
                <w:rFonts w:ascii="Arial" w:cs="Arial" w:eastAsia="Arial" w:hAnsi="Arial"/>
                <w:sz w:val="20"/>
                <w:szCs w:val="20"/>
                <w:color w:val="auto"/>
                <w:w w:val="71"/>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30.6</w:t>
            </w:r>
          </w:p>
        </w:tc>
        <w:tc>
          <w:tcPr>
            <w:tcW w:w="120" w:type="dxa"/>
            <w:vAlign w:val="bottom"/>
            <w:tcBorders>
              <w:top w:val="single" w:sz="8" w:color="CFF0FC"/>
            </w:tcBorders>
          </w:tcPr>
          <w:p>
            <w:pPr>
              <w:spacing w:after="0"/>
              <w:rPr>
                <w:sz w:val="21"/>
                <w:szCs w:val="21"/>
                <w:color w:val="auto"/>
              </w:rPr>
            </w:pPr>
          </w:p>
        </w:tc>
      </w:tr>
      <w:tr>
        <w:trPr>
          <w:trHeight w:val="243"/>
        </w:trPr>
        <w:tc>
          <w:tcPr>
            <w:tcW w:w="4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w:t>
            </w:r>
          </w:p>
        </w:tc>
        <w:tc>
          <w:tcPr>
            <w:tcW w:w="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w:t>
            </w:r>
          </w:p>
        </w:tc>
        <w:tc>
          <w:tcPr>
            <w:tcW w:w="120" w:type="dxa"/>
            <w:vAlign w:val="bottom"/>
            <w:shd w:val="clear" w:color="auto" w:fill="CFF0FC"/>
          </w:tcPr>
          <w:p>
            <w:pPr>
              <w:spacing w:after="0"/>
              <w:rPr>
                <w:sz w:val="21"/>
                <w:szCs w:val="21"/>
                <w:color w:val="auto"/>
              </w:rPr>
            </w:pPr>
          </w:p>
        </w:tc>
      </w:tr>
      <w:tr>
        <w:trPr>
          <w:trHeight w:val="243"/>
        </w:trPr>
        <w:tc>
          <w:tcPr>
            <w:tcW w:w="4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w:t>
            </w:r>
          </w:p>
        </w:tc>
        <w:tc>
          <w:tcPr>
            <w:tcW w:w="3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w:t>
            </w:r>
          </w:p>
        </w:tc>
        <w:tc>
          <w:tcPr>
            <w:tcW w:w="120" w:type="dxa"/>
            <w:vAlign w:val="bottom"/>
            <w:tcBorders>
              <w:bottom w:val="single" w:sz="8" w:color="CFF0FC"/>
            </w:tcBorders>
          </w:tcPr>
          <w:p>
            <w:pPr>
              <w:spacing w:after="0"/>
              <w:rPr>
                <w:sz w:val="21"/>
                <w:szCs w:val="21"/>
                <w:color w:val="auto"/>
              </w:rPr>
            </w:pPr>
          </w:p>
        </w:tc>
      </w:tr>
      <w:tr>
        <w:trPr>
          <w:trHeight w:val="236"/>
        </w:trPr>
        <w:tc>
          <w:tcPr>
            <w:tcW w:w="4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57.5</w:t>
            </w: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w:t>
            </w:r>
          </w:p>
        </w:tc>
        <w:tc>
          <w:tcPr>
            <w:tcW w:w="120" w:type="dxa"/>
            <w:vAlign w:val="bottom"/>
            <w:shd w:val="clear" w:color="auto" w:fill="CFF0FC"/>
          </w:tcPr>
          <w:p>
            <w:pPr>
              <w:spacing w:after="0"/>
              <w:rPr>
                <w:sz w:val="20"/>
                <w:szCs w:val="20"/>
                <w:color w:val="auto"/>
              </w:rPr>
            </w:pPr>
          </w:p>
        </w:tc>
      </w:tr>
      <w:tr>
        <w:trPr>
          <w:trHeight w:val="243"/>
        </w:trPr>
        <w:tc>
          <w:tcPr>
            <w:tcW w:w="4420" w:type="dxa"/>
            <w:vAlign w:val="bottom"/>
            <w:gridSpan w:val="4"/>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21.7</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22.6</w:t>
            </w:r>
          </w:p>
        </w:tc>
        <w:tc>
          <w:tcPr>
            <w:tcW w:w="120" w:type="dxa"/>
            <w:vAlign w:val="bottom"/>
          </w:tcPr>
          <w:p>
            <w:pPr>
              <w:spacing w:after="0"/>
              <w:rPr>
                <w:sz w:val="21"/>
                <w:szCs w:val="21"/>
                <w:color w:val="auto"/>
              </w:rPr>
            </w:pPr>
          </w:p>
        </w:tc>
      </w:tr>
      <w:tr>
        <w:trPr>
          <w:trHeight w:val="243"/>
        </w:trPr>
        <w:tc>
          <w:tcPr>
            <w:tcW w:w="4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Corporate</w:t>
            </w:r>
          </w:p>
        </w:tc>
        <w:tc>
          <w:tcPr>
            <w:tcW w:w="17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(21.4)</w:t>
            </w:r>
          </w:p>
        </w:tc>
        <w:tc>
          <w:tcPr>
            <w:tcW w:w="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(25.4)</w:t>
            </w:r>
          </w:p>
        </w:tc>
      </w:tr>
      <w:tr>
        <w:trPr>
          <w:trHeight w:val="236"/>
        </w:trPr>
        <w:tc>
          <w:tcPr>
            <w:tcW w:w="4420" w:type="dxa"/>
            <w:vAlign w:val="bottom"/>
            <w:gridSpan w:val="4"/>
          </w:tcPr>
          <w:p>
            <w:pPr>
              <w:spacing w:after="0"/>
              <w:rPr>
                <w:sz w:val="20"/>
                <w:szCs w:val="20"/>
                <w:color w:val="auto"/>
              </w:rPr>
            </w:pPr>
            <w:r>
              <w:rPr>
                <w:rFonts w:ascii="Arial" w:cs="Arial" w:eastAsia="Arial" w:hAnsi="Arial"/>
                <w:sz w:val="20"/>
                <w:szCs w:val="20"/>
                <w:color w:val="auto"/>
              </w:rPr>
              <w:t>Total</w:t>
            </w:r>
          </w:p>
        </w:tc>
        <w:tc>
          <w:tcPr>
            <w:tcW w:w="170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1301"/>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57.8</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69.2</w:t>
            </w:r>
          </w:p>
        </w:tc>
        <w:tc>
          <w:tcPr>
            <w:tcW w:w="12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59"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 The Company’s two cold mix asphalt plants have been reclassified from the asphalt and paving product line to the aggregates product line. These operations did not represent a material amount of product revenues and gross profit. Prior-year information has been reclassified to conform to the presentation of the Company’s current reportable product lines.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80" w:type="dxa"/>
            <w:vAlign w:val="bottom"/>
            <w:gridSpan w:val="4"/>
          </w:tcPr>
          <w:p>
            <w:pPr>
              <w:jc w:val="center"/>
              <w:spacing w:after="0"/>
              <w:rPr>
                <w:sz w:val="20"/>
                <w:szCs w:val="20"/>
                <w:color w:val="auto"/>
              </w:rPr>
            </w:pPr>
            <w:r>
              <w:rPr>
                <w:rFonts w:ascii="Arial" w:cs="Arial" w:eastAsia="Arial" w:hAnsi="Arial"/>
                <w:sz w:val="19"/>
                <w:szCs w:val="19"/>
                <w:color w:val="auto"/>
                <w:w w:val="90"/>
              </w:rPr>
              <w:t>Three Months Ended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2"/>
              </w:rPr>
              <w:t>March 31,</w:t>
            </w: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2020</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80" w:type="dxa"/>
            <w:vAlign w:val="bottom"/>
            <w:gridSpan w:val="4"/>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00" w:type="dxa"/>
            <w:vAlign w:val="bottom"/>
            <w:gridSpan w:val="3"/>
            <w:shd w:val="clear" w:color="auto" w:fill="CFF0FC"/>
          </w:tcPr>
          <w:p>
            <w:pPr>
              <w:spacing w:after="0" w:line="189" w:lineRule="exact"/>
              <w:rPr>
                <w:sz w:val="20"/>
                <w:szCs w:val="20"/>
                <w:color w:val="auto"/>
              </w:rPr>
            </w:pPr>
            <w:r>
              <w:rPr>
                <w:rFonts w:ascii="Arial" w:cs="Arial" w:eastAsia="Arial" w:hAnsi="Arial"/>
                <w:sz w:val="19"/>
                <w:szCs w:val="19"/>
                <w:color w:val="auto"/>
              </w:rPr>
              <w:t>Total revenues:</w:t>
            </w:r>
          </w:p>
        </w:tc>
        <w:tc>
          <w:tcPr>
            <w:tcW w:w="16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9"/>
                <w:szCs w:val="19"/>
                <w:color w:val="auto"/>
              </w:rPr>
              <w:t>Building Materials Business:</w:t>
            </w: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Products and services:</w:t>
            </w:r>
          </w:p>
        </w:tc>
        <w:tc>
          <w:tcPr>
            <w:tcW w:w="16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ind w:left="260"/>
              <w:spacing w:after="0"/>
              <w:rPr>
                <w:sz w:val="20"/>
                <w:szCs w:val="20"/>
                <w:color w:val="auto"/>
              </w:rPr>
            </w:pPr>
            <w:r>
              <w:rPr>
                <w:rFonts w:ascii="Arial" w:cs="Arial" w:eastAsia="Arial" w:hAnsi="Arial"/>
                <w:sz w:val="19"/>
                <w:szCs w:val="19"/>
                <w:color w:val="auto"/>
              </w:rPr>
              <w:t>Aggregates</w:t>
            </w:r>
          </w:p>
        </w:tc>
        <w:tc>
          <w:tcPr>
            <w:tcW w:w="1660" w:type="dxa"/>
            <w:vAlign w:val="bottom"/>
          </w:tcPr>
          <w:p>
            <w:pPr>
              <w:jc w:val="right"/>
              <w:ind w:right="146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570.3</w:t>
            </w:r>
          </w:p>
        </w:tc>
        <w:tc>
          <w:tcPr>
            <w:tcW w:w="220" w:type="dxa"/>
            <w:vAlign w:val="bottom"/>
          </w:tcPr>
          <w:p>
            <w:pPr>
              <w:spacing w:after="0"/>
              <w:rPr>
                <w:sz w:val="21"/>
                <w:szCs w:val="21"/>
                <w:color w:val="auto"/>
              </w:rPr>
            </w:pPr>
          </w:p>
        </w:tc>
        <w:tc>
          <w:tcPr>
            <w:tcW w:w="1000" w:type="dxa"/>
            <w:vAlign w:val="bottom"/>
            <w:gridSpan w:val="2"/>
          </w:tcPr>
          <w:p>
            <w:pPr>
              <w:jc w:val="right"/>
              <w:ind w:right="641"/>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544.9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Cement</w:t>
            </w:r>
          </w:p>
        </w:tc>
        <w:tc>
          <w:tcPr>
            <w:tcW w:w="16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ind w:left="260"/>
              <w:spacing w:after="0"/>
              <w:rPr>
                <w:sz w:val="20"/>
                <w:szCs w:val="20"/>
                <w:color w:val="auto"/>
              </w:rPr>
            </w:pPr>
            <w:r>
              <w:rPr>
                <w:rFonts w:ascii="Arial" w:cs="Arial" w:eastAsia="Arial" w:hAnsi="Arial"/>
                <w:sz w:val="19"/>
                <w:szCs w:val="19"/>
                <w:color w:val="auto"/>
              </w:rPr>
              <w:t>Ready mixed concrete</w:t>
            </w:r>
          </w:p>
        </w:tc>
        <w:tc>
          <w:tcPr>
            <w:tcW w:w="1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189.7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211.2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Asphalt and paving services</w:t>
            </w:r>
          </w:p>
        </w:tc>
        <w:tc>
          <w:tcPr>
            <w:tcW w:w="16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ind w:left="260"/>
              <w:spacing w:after="0"/>
              <w:rPr>
                <w:sz w:val="20"/>
                <w:szCs w:val="20"/>
                <w:color w:val="auto"/>
              </w:rPr>
            </w:pPr>
            <w:r>
              <w:rPr>
                <w:rFonts w:ascii="Arial" w:cs="Arial" w:eastAsia="Arial" w:hAnsi="Arial"/>
                <w:sz w:val="19"/>
                <w:szCs w:val="19"/>
                <w:color w:val="auto"/>
              </w:rPr>
              <w:t>Less: interproduct revenues</w:t>
            </w:r>
          </w:p>
        </w:tc>
        <w:tc>
          <w:tcPr>
            <w:tcW w:w="16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(53.6)</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20"/>
                <w:szCs w:val="20"/>
                <w:color w:val="auto"/>
              </w:rPr>
              <w:t>(58.4)</w:t>
            </w:r>
          </w:p>
        </w:tc>
        <w:tc>
          <w:tcPr>
            <w:tcW w:w="0" w:type="dxa"/>
            <w:vAlign w:val="bottom"/>
          </w:tcPr>
          <w:p>
            <w:pPr>
              <w:spacing w:after="0"/>
              <w:rPr>
                <w:sz w:val="1"/>
                <w:szCs w:val="1"/>
                <w:color w:val="auto"/>
              </w:rPr>
            </w:pPr>
          </w:p>
        </w:tc>
      </w:tr>
      <w:tr>
        <w:trPr>
          <w:trHeight w:val="237"/>
        </w:trPr>
        <w:tc>
          <w:tcPr>
            <w:tcW w:w="570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6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831.1</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809.1</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gridSpan w:val="3"/>
          </w:tcPr>
          <w:p>
            <w:pPr>
              <w:ind w:left="140"/>
              <w:spacing w:after="0"/>
              <w:rPr>
                <w:sz w:val="20"/>
                <w:szCs w:val="20"/>
                <w:color w:val="auto"/>
              </w:rPr>
            </w:pPr>
            <w:r>
              <w:rPr>
                <w:rFonts w:ascii="Arial" w:cs="Arial" w:eastAsia="Arial" w:hAnsi="Arial"/>
                <w:sz w:val="19"/>
                <w:szCs w:val="19"/>
                <w:color w:val="auto"/>
              </w:rPr>
              <w:t>Freight</w:t>
            </w:r>
          </w:p>
        </w:tc>
        <w:tc>
          <w:tcPr>
            <w:tcW w:w="16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6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892.5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9"/>
                <w:szCs w:val="19"/>
                <w:color w:val="auto"/>
              </w:rPr>
              <w:t>Magnesia Specialties:</w:t>
            </w: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6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gridSpan w:val="3"/>
          </w:tcPr>
          <w:p>
            <w:pPr>
              <w:ind w:left="140"/>
              <w:spacing w:after="0"/>
              <w:rPr>
                <w:sz w:val="20"/>
                <w:szCs w:val="20"/>
                <w:color w:val="auto"/>
              </w:rPr>
            </w:pPr>
            <w:r>
              <w:rPr>
                <w:rFonts w:ascii="Arial" w:cs="Arial" w:eastAsia="Arial" w:hAnsi="Arial"/>
                <w:sz w:val="19"/>
                <w:szCs w:val="19"/>
                <w:color w:val="auto"/>
              </w:rPr>
              <w:t>Freight</w:t>
            </w:r>
          </w:p>
        </w:tc>
        <w:tc>
          <w:tcPr>
            <w:tcW w:w="16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Total Magnesia Specialties</w:t>
            </w:r>
          </w:p>
        </w:tc>
        <w:tc>
          <w:tcPr>
            <w:tcW w:w="16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gridSpan w:val="3"/>
          </w:tcPr>
          <w:p>
            <w:pPr>
              <w:spacing w:after="0"/>
              <w:rPr>
                <w:sz w:val="20"/>
                <w:szCs w:val="20"/>
                <w:color w:val="auto"/>
              </w:rPr>
            </w:pPr>
            <w:r>
              <w:rPr>
                <w:rFonts w:ascii="Arial" w:cs="Arial" w:eastAsia="Arial" w:hAnsi="Arial"/>
                <w:sz w:val="19"/>
                <w:szCs w:val="19"/>
                <w:color w:val="auto"/>
              </w:rPr>
              <w:t>Total</w:t>
            </w:r>
          </w:p>
        </w:tc>
        <w:tc>
          <w:tcPr>
            <w:tcW w:w="1660" w:type="dxa"/>
            <w:vAlign w:val="bottom"/>
            <w:tcBorders>
              <w:bottom w:val="single" w:sz="8" w:color="auto"/>
            </w:tcBorders>
          </w:tcPr>
          <w:p>
            <w:pPr>
              <w:jc w:val="right"/>
              <w:ind w:right="146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9"/>
                <w:szCs w:val="19"/>
                <w:color w:val="auto"/>
              </w:rPr>
              <w:t>Gross profit (loss):</w:t>
            </w:r>
          </w:p>
        </w:tc>
        <w:tc>
          <w:tcPr>
            <w:tcW w:w="1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00" w:type="dxa"/>
            <w:vAlign w:val="bottom"/>
            <w:gridSpan w:val="3"/>
            <w:vMerge w:val="continue"/>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Building Materials Business:</w:t>
            </w:r>
          </w:p>
        </w:tc>
        <w:tc>
          <w:tcPr>
            <w:tcW w:w="16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9"/>
                <w:szCs w:val="19"/>
                <w:color w:val="auto"/>
              </w:rPr>
              <w:t>Products and services:</w:t>
            </w: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Aggregates</w:t>
            </w:r>
          </w:p>
        </w:tc>
        <w:tc>
          <w:tcPr>
            <w:tcW w:w="1660" w:type="dxa"/>
            <w:vAlign w:val="bottom"/>
            <w:shd w:val="clear" w:color="auto" w:fill="CFF0FC"/>
          </w:tcPr>
          <w:p>
            <w:pPr>
              <w:jc w:val="right"/>
              <w:ind w:right="146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93.4</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641"/>
              <w:spacing w:after="0"/>
              <w:rPr>
                <w:sz w:val="20"/>
                <w:szCs w:val="20"/>
                <w:color w:val="auto"/>
              </w:rPr>
            </w:pPr>
            <w:r>
              <w:rPr>
                <w:rFonts w:ascii="Arial" w:cs="Arial" w:eastAsia="Arial" w:hAnsi="Arial"/>
                <w:sz w:val="20"/>
                <w:szCs w:val="20"/>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ind w:left="260"/>
              <w:spacing w:after="0"/>
              <w:rPr>
                <w:sz w:val="20"/>
                <w:szCs w:val="20"/>
                <w:color w:val="auto"/>
              </w:rPr>
            </w:pPr>
            <w:r>
              <w:rPr>
                <w:rFonts w:ascii="Arial" w:cs="Arial" w:eastAsia="Arial" w:hAnsi="Arial"/>
                <w:sz w:val="19"/>
                <w:szCs w:val="19"/>
                <w:color w:val="auto"/>
              </w:rPr>
              <w:t>Cement</w:t>
            </w:r>
          </w:p>
        </w:tc>
        <w:tc>
          <w:tcPr>
            <w:tcW w:w="1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13.8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Ready mixed concrete</w:t>
            </w:r>
          </w:p>
        </w:tc>
        <w:tc>
          <w:tcPr>
            <w:tcW w:w="16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ind w:left="260"/>
              <w:spacing w:after="0"/>
              <w:rPr>
                <w:sz w:val="20"/>
                <w:szCs w:val="20"/>
                <w:color w:val="auto"/>
              </w:rPr>
            </w:pPr>
            <w:r>
              <w:rPr>
                <w:rFonts w:ascii="Arial" w:cs="Arial" w:eastAsia="Arial" w:hAnsi="Arial"/>
                <w:sz w:val="19"/>
                <w:szCs w:val="19"/>
                <w:color w:val="auto"/>
              </w:rPr>
              <w:t>Asphalt and paving services</w:t>
            </w:r>
          </w:p>
        </w:tc>
        <w:tc>
          <w:tcPr>
            <w:tcW w:w="16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(8.1)</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37"/>
        </w:trPr>
        <w:tc>
          <w:tcPr>
            <w:tcW w:w="570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6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118.5</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118.0</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ind w:left="140"/>
              <w:spacing w:after="0"/>
              <w:rPr>
                <w:sz w:val="20"/>
                <w:szCs w:val="20"/>
                <w:color w:val="auto"/>
              </w:rPr>
            </w:pPr>
            <w:r>
              <w:rPr>
                <w:rFonts w:ascii="Arial" w:cs="Arial" w:eastAsia="Arial" w:hAnsi="Arial"/>
                <w:sz w:val="19"/>
                <w:szCs w:val="19"/>
                <w:color w:val="auto"/>
              </w:rPr>
              <w:t>Freight</w:t>
            </w:r>
          </w:p>
        </w:tc>
        <w:tc>
          <w:tcPr>
            <w:tcW w:w="16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(0.3)</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37"/>
        </w:trPr>
        <w:tc>
          <w:tcPr>
            <w:tcW w:w="57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6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118.2</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117.8</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00" w:type="dxa"/>
            <w:vAlign w:val="bottom"/>
            <w:gridSpan w:val="3"/>
          </w:tcPr>
          <w:p>
            <w:pPr>
              <w:spacing w:after="0"/>
              <w:rPr>
                <w:sz w:val="20"/>
                <w:szCs w:val="20"/>
                <w:color w:val="auto"/>
              </w:rPr>
            </w:pPr>
            <w:r>
              <w:rPr>
                <w:rFonts w:ascii="Arial" w:cs="Arial" w:eastAsia="Arial" w:hAnsi="Arial"/>
                <w:sz w:val="19"/>
                <w:szCs w:val="19"/>
                <w:color w:val="auto"/>
              </w:rPr>
              <w:t>Magnesia Specialties:</w:t>
            </w: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6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ind w:left="140"/>
              <w:spacing w:after="0"/>
              <w:rPr>
                <w:sz w:val="20"/>
                <w:szCs w:val="20"/>
                <w:color w:val="auto"/>
              </w:rPr>
            </w:pPr>
            <w:r>
              <w:rPr>
                <w:rFonts w:ascii="Arial" w:cs="Arial" w:eastAsia="Arial" w:hAnsi="Arial"/>
                <w:sz w:val="19"/>
                <w:szCs w:val="19"/>
                <w:color w:val="auto"/>
              </w:rPr>
              <w:t>Freight</w:t>
            </w:r>
          </w:p>
        </w:tc>
        <w:tc>
          <w:tcPr>
            <w:tcW w:w="16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(0.9)</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36"/>
        </w:trPr>
        <w:tc>
          <w:tcPr>
            <w:tcW w:w="57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 Magnesia Specialties</w:t>
            </w:r>
          </w:p>
        </w:tc>
        <w:tc>
          <w:tcPr>
            <w:tcW w:w="16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25.2</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25.5</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spacing w:after="0"/>
              <w:rPr>
                <w:sz w:val="20"/>
                <w:szCs w:val="20"/>
                <w:color w:val="auto"/>
              </w:rPr>
            </w:pPr>
            <w:r>
              <w:rPr>
                <w:rFonts w:ascii="Arial" w:cs="Arial" w:eastAsia="Arial" w:hAnsi="Arial"/>
                <w:sz w:val="19"/>
                <w:szCs w:val="19"/>
                <w:color w:val="auto"/>
              </w:rPr>
              <w:t>Corporate</w:t>
            </w:r>
          </w:p>
        </w:tc>
        <w:tc>
          <w:tcPr>
            <w:tcW w:w="16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(1.0)</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36"/>
        </w:trPr>
        <w:tc>
          <w:tcPr>
            <w:tcW w:w="57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w:t>
            </w:r>
          </w:p>
        </w:tc>
        <w:tc>
          <w:tcPr>
            <w:tcW w:w="1660" w:type="dxa"/>
            <w:vAlign w:val="bottom"/>
            <w:tcBorders>
              <w:top w:val="single" w:sz="8" w:color="auto"/>
              <w:bottom w:val="single" w:sz="8" w:color="auto"/>
            </w:tcBorders>
            <w:shd w:val="clear" w:color="auto" w:fill="CFF0FC"/>
          </w:tcPr>
          <w:p>
            <w:pPr>
              <w:jc w:val="right"/>
              <w:ind w:right="1461"/>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41"/>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20" w:type="dxa"/>
            <w:vAlign w:val="bottom"/>
          </w:tcPr>
          <w:p>
            <w:pPr>
              <w:spacing w:after="0"/>
              <w:rPr>
                <w:sz w:val="20"/>
                <w:szCs w:val="20"/>
                <w:color w:val="auto"/>
              </w:rPr>
            </w:pPr>
            <w:r>
              <w:rPr>
                <w:rFonts w:ascii="Arial" w:cs="Arial" w:eastAsia="Arial" w:hAnsi="Arial"/>
                <w:sz w:val="20"/>
                <w:szCs w:val="20"/>
                <w:b w:val="1"/>
                <w:bCs w:val="1"/>
                <w:color w:val="auto"/>
              </w:rPr>
              <w:t>11. Supplemental Cash Flow Information</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8"/>
        </w:trPr>
        <w:tc>
          <w:tcPr>
            <w:tcW w:w="722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7"/>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861"/>
              <w:spacing w:after="0"/>
              <w:rPr>
                <w:sz w:val="20"/>
                <w:szCs w:val="20"/>
                <w:color w:val="auto"/>
              </w:rPr>
            </w:pPr>
            <w:r>
              <w:rPr>
                <w:rFonts w:ascii="Arial" w:cs="Arial" w:eastAsia="Arial" w:hAnsi="Arial"/>
                <w:sz w:val="20"/>
                <w:szCs w:val="20"/>
                <w:color w:val="auto"/>
              </w:rPr>
              <w:t>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2019</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0" w:type="dxa"/>
            <w:vAlign w:val="bottom"/>
            <w:gridSpan w:val="2"/>
          </w:tcPr>
          <w:p>
            <w:pPr>
              <w:jc w:val="right"/>
              <w:ind w:right="441"/>
              <w:spacing w:after="0"/>
              <w:rPr>
                <w:sz w:val="20"/>
                <w:szCs w:val="20"/>
                <w:color w:val="auto"/>
              </w:rPr>
            </w:pPr>
            <w:r>
              <w:rPr>
                <w:rFonts w:ascii="Arial" w:cs="Arial" w:eastAsia="Arial" w:hAnsi="Arial"/>
                <w:sz w:val="20"/>
                <w:szCs w:val="20"/>
                <w:i w:val="1"/>
                <w:iCs w:val="1"/>
                <w:color w:val="auto"/>
                <w:w w:val="97"/>
              </w:rPr>
              <w:t>(Dollars 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22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1"/>
              <w:spacing w:after="0"/>
              <w:rPr>
                <w:sz w:val="20"/>
                <w:szCs w:val="20"/>
                <w:color w:val="auto"/>
              </w:rPr>
            </w:pPr>
            <w:r>
              <w:rPr>
                <w:rFonts w:ascii="Arial" w:cs="Arial" w:eastAsia="Arial" w:hAnsi="Arial"/>
                <w:sz w:val="20"/>
                <w:szCs w:val="20"/>
                <w:color w:val="auto"/>
              </w:rPr>
              <w:t>21.4</w:t>
            </w:r>
          </w:p>
        </w:tc>
        <w:tc>
          <w:tcPr>
            <w:tcW w:w="142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20.6</w:t>
            </w:r>
          </w:p>
        </w:tc>
        <w:tc>
          <w:tcPr>
            <w:tcW w:w="100" w:type="dxa"/>
            <w:vAlign w:val="bottom"/>
          </w:tcPr>
          <w:p>
            <w:pPr>
              <w:spacing w:after="0"/>
              <w:rPr>
                <w:sz w:val="21"/>
                <w:szCs w:val="21"/>
                <w:color w:val="auto"/>
              </w:rPr>
            </w:pPr>
          </w:p>
        </w:tc>
      </w:tr>
      <w:tr>
        <w:trPr>
          <w:trHeight w:val="243"/>
        </w:trPr>
        <w:tc>
          <w:tcPr>
            <w:tcW w:w="72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Accrued proceeds from company-owned life insurance benefits</w:t>
            </w:r>
          </w:p>
        </w:tc>
        <w:tc>
          <w:tcPr>
            <w:tcW w:w="1180" w:type="dxa"/>
            <w:vAlign w:val="bottom"/>
            <w:gridSpan w:val="2"/>
            <w:shd w:val="clear" w:color="auto" w:fill="CFF0FC"/>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0.8</w:t>
            </w:r>
          </w:p>
        </w:tc>
        <w:tc>
          <w:tcPr>
            <w:tcW w:w="142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7220" w:type="dxa"/>
            <w:vAlign w:val="bottom"/>
          </w:tcPr>
          <w:p>
            <w:pPr>
              <w:ind w:left="260"/>
              <w:spacing w:after="0"/>
              <w:rPr>
                <w:sz w:val="20"/>
                <w:szCs w:val="20"/>
                <w:color w:val="auto"/>
              </w:rPr>
            </w:pPr>
            <w:r>
              <w:rPr>
                <w:rFonts w:ascii="Arial" w:cs="Arial" w:eastAsia="Arial" w:hAnsi="Arial"/>
                <w:sz w:val="20"/>
                <w:szCs w:val="20"/>
                <w:color w:val="auto"/>
              </w:rPr>
              <w:t>Acquisition of assets through swap</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1"/>
                <w:szCs w:val="21"/>
                <w:color w:val="auto"/>
              </w:rPr>
            </w:pPr>
          </w:p>
        </w:tc>
      </w:tr>
      <w:tr>
        <w:trPr>
          <w:trHeight w:val="226"/>
        </w:trPr>
        <w:tc>
          <w:tcPr>
            <w:tcW w:w="722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Receivable issued in connection with sale of property, plant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and equipment</w:t>
            </w:r>
          </w:p>
        </w:tc>
        <w:tc>
          <w:tcPr>
            <w:tcW w:w="1180" w:type="dxa"/>
            <w:vAlign w:val="bottom"/>
            <w:gridSpan w:val="2"/>
            <w:shd w:val="clear" w:color="auto" w:fill="CFF0FC"/>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100" w:type="dxa"/>
            <w:vAlign w:val="bottom"/>
            <w:shd w:val="clear" w:color="auto" w:fill="CFF0FC"/>
          </w:tcPr>
          <w:p>
            <w:pPr>
              <w:spacing w:after="0"/>
              <w:rPr>
                <w:sz w:val="21"/>
                <w:szCs w:val="21"/>
                <w:color w:val="auto"/>
              </w:rPr>
            </w:pPr>
          </w:p>
        </w:tc>
      </w:tr>
      <w:tr>
        <w:trPr>
          <w:trHeight w:val="226"/>
        </w:trPr>
        <w:tc>
          <w:tcPr>
            <w:tcW w:w="7220" w:type="dxa"/>
            <w:vAlign w:val="bottom"/>
          </w:tcPr>
          <w:p>
            <w:pPr>
              <w:ind w:left="260"/>
              <w:spacing w:after="0" w:line="227" w:lineRule="exact"/>
              <w:rPr>
                <w:sz w:val="20"/>
                <w:szCs w:val="20"/>
                <w:color w:val="auto"/>
              </w:rPr>
            </w:pPr>
            <w:r>
              <w:rPr>
                <w:rFonts w:ascii="Arial" w:cs="Arial" w:eastAsia="Arial" w:hAnsi="Arial"/>
                <w:sz w:val="20"/>
                <w:szCs w:val="20"/>
                <w:color w:val="auto"/>
              </w:rPr>
              <w:t>Right-of-use assets obtained in exchange for new</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7220" w:type="dxa"/>
            <w:vAlign w:val="bottom"/>
          </w:tcPr>
          <w:p>
            <w:pPr>
              <w:ind w:left="400"/>
              <w:spacing w:after="0"/>
              <w:rPr>
                <w:sz w:val="20"/>
                <w:szCs w:val="20"/>
                <w:color w:val="auto"/>
              </w:rPr>
            </w:pPr>
            <w:r>
              <w:rPr>
                <w:rFonts w:ascii="Arial" w:cs="Arial" w:eastAsia="Arial" w:hAnsi="Arial"/>
                <w:sz w:val="20"/>
                <w:szCs w:val="20"/>
                <w:color w:val="auto"/>
              </w:rPr>
              <w:t>operating lease liabilities</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1"/>
              <w:spacing w:after="0"/>
              <w:rPr>
                <w:sz w:val="20"/>
                <w:szCs w:val="20"/>
                <w:color w:val="auto"/>
              </w:rPr>
            </w:pPr>
            <w:r>
              <w:rPr>
                <w:rFonts w:ascii="Arial" w:cs="Arial" w:eastAsia="Arial" w:hAnsi="Arial"/>
                <w:sz w:val="20"/>
                <w:szCs w:val="20"/>
                <w:color w:val="auto"/>
              </w:rPr>
              <w:t>12.7</w:t>
            </w:r>
          </w:p>
        </w:tc>
        <w:tc>
          <w:tcPr>
            <w:tcW w:w="142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16.9</w:t>
            </w:r>
          </w:p>
        </w:tc>
        <w:tc>
          <w:tcPr>
            <w:tcW w:w="100" w:type="dxa"/>
            <w:vAlign w:val="bottom"/>
          </w:tcPr>
          <w:p>
            <w:pPr>
              <w:spacing w:after="0"/>
              <w:rPr>
                <w:sz w:val="21"/>
                <w:szCs w:val="21"/>
                <w:color w:val="auto"/>
              </w:rPr>
            </w:pPr>
          </w:p>
        </w:tc>
      </w:tr>
      <w:tr>
        <w:trPr>
          <w:trHeight w:val="226"/>
        </w:trPr>
        <w:tc>
          <w:tcPr>
            <w:tcW w:w="722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Right-of-use assets obtained in exchange for</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new finance lease liabilities</w:t>
            </w:r>
          </w:p>
        </w:tc>
        <w:tc>
          <w:tcPr>
            <w:tcW w:w="1180" w:type="dxa"/>
            <w:vAlign w:val="bottom"/>
            <w:gridSpan w:val="2"/>
            <w:shd w:val="clear" w:color="auto" w:fill="CFF0FC"/>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100" w:type="dxa"/>
            <w:vAlign w:val="bottom"/>
            <w:shd w:val="clear" w:color="auto" w:fill="CFF0FC"/>
          </w:tcPr>
          <w:p>
            <w:pPr>
              <w:spacing w:after="0"/>
              <w:rPr>
                <w:sz w:val="21"/>
                <w:szCs w:val="21"/>
                <w:color w:val="auto"/>
              </w:rPr>
            </w:pPr>
          </w:p>
        </w:tc>
      </w:tr>
      <w:tr>
        <w:trPr>
          <w:trHeight w:val="463"/>
        </w:trPr>
        <w:tc>
          <w:tcPr>
            <w:tcW w:w="722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7"/>
        </w:trPr>
        <w:tc>
          <w:tcPr>
            <w:tcW w:w="7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921"/>
              <w:spacing w:after="0"/>
              <w:rPr>
                <w:sz w:val="20"/>
                <w:szCs w:val="20"/>
                <w:color w:val="auto"/>
              </w:rPr>
            </w:pPr>
            <w:r>
              <w:rPr>
                <w:rFonts w:ascii="Arial" w:cs="Arial" w:eastAsia="Arial" w:hAnsi="Arial"/>
                <w:sz w:val="20"/>
                <w:szCs w:val="20"/>
                <w:color w:val="auto"/>
              </w:rPr>
              <w:t>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22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20"/>
                <w:szCs w:val="20"/>
                <w:color w:val="auto"/>
              </w:rPr>
              <w:t>2020</w:t>
            </w: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2019</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3"/>
          </w:tcPr>
          <w:p>
            <w:pPr>
              <w:jc w:val="right"/>
              <w:ind w:right="501"/>
              <w:spacing w:after="0"/>
              <w:rPr>
                <w:sz w:val="20"/>
                <w:szCs w:val="20"/>
                <w:color w:val="auto"/>
              </w:rPr>
            </w:pPr>
            <w:r>
              <w:rPr>
                <w:rFonts w:ascii="Arial" w:cs="Arial" w:eastAsia="Arial" w:hAnsi="Arial"/>
                <w:sz w:val="20"/>
                <w:szCs w:val="20"/>
                <w:i w:val="1"/>
                <w:iCs w:val="1"/>
                <w:color w:val="auto"/>
              </w:rPr>
              <w:t>(Dollars 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11.9</w:t>
            </w:r>
          </w:p>
        </w:tc>
        <w:tc>
          <w:tcPr>
            <w:tcW w:w="1420" w:type="dxa"/>
            <w:vAlign w:val="bottom"/>
            <w:shd w:val="clear" w:color="auto" w:fill="CFF0FC"/>
          </w:tcPr>
          <w:p>
            <w:pPr>
              <w:jc w:val="right"/>
              <w:ind w:right="10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100" w:type="dxa"/>
            <w:vAlign w:val="bottom"/>
            <w:shd w:val="clear" w:color="auto" w:fill="CFF0FC"/>
          </w:tcPr>
          <w:p>
            <w:pPr>
              <w:spacing w:after="0"/>
              <w:rPr>
                <w:sz w:val="21"/>
                <w:szCs w:val="21"/>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20"/>
                <w:szCs w:val="20"/>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spacing w:after="0"/>
              <w:rPr>
                <w:sz w:val="21"/>
                <w:szCs w:val="21"/>
                <w:color w:val="auto"/>
              </w:rPr>
            </w:pPr>
          </w:p>
        </w:tc>
        <w:tc>
          <w:tcPr>
            <w:tcW w:w="780" w:type="dxa"/>
            <w:vAlign w:val="bottom"/>
          </w:tcPr>
          <w:p>
            <w:pPr>
              <w:jc w:val="right"/>
              <w:ind w:right="161"/>
              <w:spacing w:after="0"/>
              <w:rPr>
                <w:sz w:val="20"/>
                <w:szCs w:val="20"/>
                <w:color w:val="auto"/>
              </w:rPr>
            </w:pPr>
            <w:r>
              <w:rPr>
                <w:rFonts w:ascii="Arial" w:cs="Arial" w:eastAsia="Arial" w:hAnsi="Arial"/>
                <w:sz w:val="20"/>
                <w:szCs w:val="20"/>
                <w:color w:val="auto"/>
              </w:rPr>
              <w:t>1.4</w:t>
            </w:r>
          </w:p>
        </w:tc>
        <w:tc>
          <w:tcPr>
            <w:tcW w:w="1420" w:type="dxa"/>
            <w:vAlign w:val="bottom"/>
          </w:tcPr>
          <w:p>
            <w:pPr>
              <w:jc w:val="right"/>
              <w:ind w:right="108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1"/>
                <w:szCs w:val="21"/>
                <w:color w:val="auto"/>
              </w:rPr>
            </w:pPr>
          </w:p>
        </w:tc>
      </w:tr>
    </w:tbl>
    <w:p>
      <w:pPr>
        <w:spacing w:after="0" w:line="192"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the quarter ended March 31, 2020, the Company repaid $7.2 million of loans related to its company-owned life insurance policies. The repayment is included in the ‘Investments in life insurance contracts, net’ in the investing activities of the consolidated statement of cash flows.</w:t>
      </w:r>
    </w:p>
    <w:p>
      <w:pPr>
        <w:spacing w:after="0" w:line="288"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Expenses and (Income), Net</w:t>
      </w:r>
    </w:p>
    <w:p>
      <w:pPr>
        <w:spacing w:after="0" w:line="113"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Other operating expenses and (income), net, for the quarter ended March 31, 2020, reflects higher bad debt expense and lower gains on sales of assets compared with the prior-year period. Additionally, other operating expenses and (income), net, for the three months ended March 31, 2019, reflects the reversal of $4.2 million of accruals for unclaimed property contingencies.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approximately 300 quarries, mines and distribution yards in 27 states, Canada and the Bahamas. In the southwestern and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Effective January 1, 2020, the Company moved the management of its one quarry in the state of Washington from the Mid-America Group to the West Group, resulting in an immaterial change to its reportable segments. The Company conducts its Building Materials business through three reportable business segments: Mid-America Group, Southeast Group and West Group.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6"/>
              </w:rPr>
              <w:t>Reportable Segments</w:t>
            </w:r>
          </w:p>
        </w:tc>
        <w:tc>
          <w:tcPr>
            <w:tcW w:w="30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4"/>
              </w:rPr>
              <w:t>Mid-America Group</w:t>
            </w:r>
          </w:p>
        </w:tc>
        <w:tc>
          <w:tcPr>
            <w:tcW w:w="27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87"/>
              </w:rPr>
              <w:t>Southeast Group</w:t>
            </w: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20" w:type="dxa"/>
            <w:vAlign w:val="bottom"/>
          </w:tcPr>
          <w:p>
            <w:pPr>
              <w:spacing w:after="0"/>
              <w:rPr>
                <w:sz w:val="17"/>
                <w:szCs w:val="17"/>
                <w:color w:val="auto"/>
              </w:rPr>
            </w:pPr>
          </w:p>
        </w:tc>
        <w:tc>
          <w:tcPr>
            <w:tcW w:w="28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40" w:type="dxa"/>
            <w:vAlign w:val="bottom"/>
          </w:tcPr>
          <w:p>
            <w:pPr>
              <w:spacing w:after="0"/>
              <w:rPr>
                <w:sz w:val="17"/>
                <w:szCs w:val="17"/>
                <w:color w:val="auto"/>
              </w:rPr>
            </w:pPr>
          </w:p>
        </w:tc>
        <w:tc>
          <w:tcPr>
            <w:tcW w:w="25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Alabama, Florida,</w:t>
            </w:r>
          </w:p>
        </w:tc>
        <w:tc>
          <w:tcPr>
            <w:tcW w:w="120" w:type="dxa"/>
            <w:vAlign w:val="bottom"/>
          </w:tcPr>
          <w:p>
            <w:pPr>
              <w:spacing w:after="0"/>
              <w:rPr>
                <w:sz w:val="17"/>
                <w:szCs w:val="17"/>
                <w:color w:val="auto"/>
              </w:rPr>
            </w:pPr>
          </w:p>
        </w:tc>
        <w:tc>
          <w:tcPr>
            <w:tcW w:w="33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29"/>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Kentucky, Maryland, Minnesota,</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Georgia, southwestern South</w:t>
            </w:r>
          </w:p>
        </w:tc>
        <w:tc>
          <w:tcPr>
            <w:tcW w:w="3380" w:type="dxa"/>
            <w:vAlign w:val="bottom"/>
          </w:tcPr>
          <w:p>
            <w:pPr>
              <w:jc w:val="center"/>
              <w:spacing w:after="0"/>
              <w:rPr>
                <w:sz w:val="20"/>
                <w:szCs w:val="20"/>
                <w:color w:val="auto"/>
              </w:rPr>
            </w:pPr>
            <w:r>
              <w:rPr>
                <w:rFonts w:ascii="Arial" w:cs="Arial" w:eastAsia="Arial" w:hAnsi="Arial"/>
                <w:sz w:val="20"/>
                <w:szCs w:val="20"/>
                <w:color w:val="auto"/>
                <w:w w:val="88"/>
              </w:rPr>
              <w:t>Louisiana, western Nebraska, Nevada,</w:t>
            </w:r>
          </w:p>
        </w:tc>
      </w:tr>
      <w:tr>
        <w:trPr>
          <w:trHeight w:val="230"/>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jc w:val="center"/>
              <w:ind w:right="140"/>
              <w:spacing w:after="0"/>
              <w:rPr>
                <w:sz w:val="20"/>
                <w:szCs w:val="20"/>
                <w:color w:val="auto"/>
              </w:rPr>
            </w:pPr>
            <w:r>
              <w:rPr>
                <w:rFonts w:ascii="Arial" w:cs="Arial" w:eastAsia="Arial" w:hAnsi="Arial"/>
                <w:sz w:val="20"/>
                <w:szCs w:val="20"/>
                <w:color w:val="auto"/>
                <w:w w:val="89"/>
              </w:rPr>
              <w:t>Missouri, eastern Nebraska, North</w:t>
            </w:r>
          </w:p>
        </w:tc>
        <w:tc>
          <w:tcPr>
            <w:tcW w:w="2700" w:type="dxa"/>
            <w:vAlign w:val="bottom"/>
            <w:gridSpan w:val="2"/>
          </w:tcPr>
          <w:p>
            <w:pPr>
              <w:jc w:val="center"/>
              <w:ind w:right="140"/>
              <w:spacing w:after="0"/>
              <w:rPr>
                <w:sz w:val="20"/>
                <w:szCs w:val="20"/>
                <w:color w:val="auto"/>
              </w:rPr>
            </w:pPr>
            <w:r>
              <w:rPr>
                <w:rFonts w:ascii="Arial" w:cs="Arial" w:eastAsia="Arial" w:hAnsi="Arial"/>
                <w:sz w:val="20"/>
                <w:szCs w:val="20"/>
                <w:color w:val="auto"/>
                <w:w w:val="86"/>
              </w:rPr>
              <w:t>Carolina, Tennessee,</w:t>
            </w:r>
          </w:p>
        </w:tc>
        <w:tc>
          <w:tcPr>
            <w:tcW w:w="3380" w:type="dxa"/>
            <w:vAlign w:val="bottom"/>
          </w:tcPr>
          <w:p>
            <w:pPr>
              <w:jc w:val="center"/>
              <w:spacing w:after="0"/>
              <w:rPr>
                <w:sz w:val="20"/>
                <w:szCs w:val="20"/>
                <w:color w:val="auto"/>
              </w:rPr>
            </w:pPr>
            <w:r>
              <w:rPr>
                <w:rFonts w:ascii="Arial" w:cs="Arial" w:eastAsia="Arial" w:hAnsi="Arial"/>
                <w:sz w:val="20"/>
                <w:szCs w:val="20"/>
                <w:color w:val="auto"/>
                <w:w w:val="89"/>
              </w:rPr>
              <w:t>Oklahoma, Texas, Utah, Wyoming and</w:t>
            </w:r>
          </w:p>
        </w:tc>
      </w:tr>
      <w:tr>
        <w:trPr>
          <w:trHeight w:val="229"/>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Carolina, Ohio, Pennsylvania,</w:t>
            </w:r>
          </w:p>
        </w:tc>
        <w:tc>
          <w:tcPr>
            <w:tcW w:w="270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Nova Scotia and The Bahamas</w:t>
            </w:r>
          </w:p>
        </w:tc>
        <w:tc>
          <w:tcPr>
            <w:tcW w:w="3380" w:type="dxa"/>
            <w:vAlign w:val="bottom"/>
          </w:tcPr>
          <w:p>
            <w:pPr>
              <w:jc w:val="center"/>
              <w:spacing w:after="0"/>
              <w:rPr>
                <w:sz w:val="20"/>
                <w:szCs w:val="20"/>
                <w:color w:val="auto"/>
              </w:rPr>
            </w:pPr>
            <w:r>
              <w:rPr>
                <w:rFonts w:ascii="Arial" w:cs="Arial" w:eastAsia="Arial" w:hAnsi="Arial"/>
                <w:sz w:val="20"/>
                <w:szCs w:val="20"/>
                <w:color w:val="auto"/>
                <w:w w:val="88"/>
              </w:rPr>
              <w:t>Washington</w:t>
            </w:r>
          </w:p>
        </w:tc>
      </w:tr>
      <w:tr>
        <w:trPr>
          <w:trHeight w:val="230"/>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ind w:left="460"/>
              <w:spacing w:after="0"/>
              <w:rPr>
                <w:sz w:val="20"/>
                <w:szCs w:val="20"/>
                <w:color w:val="auto"/>
              </w:rPr>
            </w:pPr>
            <w:r>
              <w:rPr>
                <w:rFonts w:ascii="Arial" w:cs="Arial" w:eastAsia="Arial" w:hAnsi="Arial"/>
                <w:sz w:val="20"/>
                <w:szCs w:val="20"/>
                <w:color w:val="auto"/>
              </w:rPr>
              <w:t>South Carolina, Virginia</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50"/>
        </w:trPr>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and West Virginia</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357"/>
        </w:trPr>
        <w:tc>
          <w:tcPr>
            <w:tcW w:w="214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Product Lines</w:t>
            </w: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Aggregates</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Aggregates</w:t>
            </w:r>
          </w:p>
        </w:tc>
        <w:tc>
          <w:tcPr>
            <w:tcW w:w="338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30"/>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20"/>
                <w:szCs w:val="20"/>
                <w:color w:val="auto"/>
                <w:w w:val="91"/>
              </w:rPr>
              <w:t>Mixed Concrete, Asphalt and</w:t>
            </w:r>
          </w:p>
        </w:tc>
      </w:tr>
      <w:tr>
        <w:trPr>
          <w:trHeight w:val="250"/>
        </w:trPr>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jc w:val="center"/>
              <w:spacing w:after="0"/>
              <w:rPr>
                <w:sz w:val="20"/>
                <w:szCs w:val="20"/>
                <w:color w:val="auto"/>
              </w:rPr>
            </w:pPr>
            <w:r>
              <w:rPr>
                <w:rFonts w:ascii="Arial" w:cs="Arial" w:eastAsia="Arial" w:hAnsi="Arial"/>
                <w:sz w:val="20"/>
                <w:szCs w:val="20"/>
                <w:color w:val="auto"/>
                <w:w w:val="88"/>
              </w:rPr>
              <w:t>Paving</w:t>
            </w:r>
          </w:p>
        </w:tc>
      </w:tr>
      <w:tr>
        <w:trPr>
          <w:trHeight w:val="357"/>
        </w:trPr>
        <w:tc>
          <w:tcPr>
            <w:tcW w:w="214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Plant Types</w:t>
            </w: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Quarries, Mines and</w:t>
            </w:r>
          </w:p>
        </w:tc>
        <w:tc>
          <w:tcPr>
            <w:tcW w:w="338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2"/>
          </w:tcPr>
          <w:p>
            <w:pPr>
              <w:jc w:val="center"/>
              <w:ind w:right="140"/>
              <w:spacing w:after="0"/>
              <w:rPr>
                <w:sz w:val="20"/>
                <w:szCs w:val="20"/>
                <w:color w:val="auto"/>
              </w:rPr>
            </w:pPr>
            <w:r>
              <w:rPr>
                <w:rFonts w:ascii="Arial" w:cs="Arial" w:eastAsia="Arial" w:hAnsi="Arial"/>
                <w:sz w:val="20"/>
                <w:szCs w:val="20"/>
                <w:color w:val="auto"/>
                <w:w w:val="92"/>
              </w:rPr>
              <w:t>Facilities</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94"/>
              </w:rPr>
              <w:t>Distribution Facilities</w:t>
            </w:r>
          </w:p>
        </w:tc>
        <w:tc>
          <w:tcPr>
            <w:tcW w:w="3380" w:type="dxa"/>
            <w:vAlign w:val="bottom"/>
          </w:tcPr>
          <w:p>
            <w:pPr>
              <w:jc w:val="center"/>
              <w:spacing w:after="0"/>
              <w:rPr>
                <w:sz w:val="20"/>
                <w:szCs w:val="20"/>
                <w:color w:val="auto"/>
              </w:rPr>
            </w:pPr>
            <w:r>
              <w:rPr>
                <w:rFonts w:ascii="Arial" w:cs="Arial" w:eastAsia="Arial" w:hAnsi="Arial"/>
                <w:sz w:val="20"/>
                <w:szCs w:val="20"/>
                <w:color w:val="auto"/>
                <w:w w:val="94"/>
              </w:rPr>
              <w:t>Distribution Facilities</w:t>
            </w:r>
          </w:p>
        </w:tc>
      </w:tr>
      <w:tr>
        <w:trPr>
          <w:trHeight w:val="371"/>
        </w:trPr>
        <w:tc>
          <w:tcPr>
            <w:tcW w:w="21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Modes of</w:t>
            </w: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and Railcar</w:t>
            </w:r>
          </w:p>
        </w:tc>
        <w:tc>
          <w:tcPr>
            <w:tcW w:w="270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Truck, Railcar and Ship</w:t>
            </w:r>
          </w:p>
        </w:tc>
        <w:tc>
          <w:tcPr>
            <w:tcW w:w="3380" w:type="dxa"/>
            <w:vAlign w:val="bottom"/>
          </w:tcPr>
          <w:p>
            <w:pPr>
              <w:jc w:val="center"/>
              <w:spacing w:after="0"/>
              <w:rPr>
                <w:sz w:val="20"/>
                <w:szCs w:val="20"/>
                <w:color w:val="auto"/>
              </w:rPr>
            </w:pPr>
            <w:r>
              <w:rPr>
                <w:rFonts w:ascii="Arial" w:cs="Arial" w:eastAsia="Arial" w:hAnsi="Arial"/>
                <w:sz w:val="20"/>
                <w:szCs w:val="20"/>
                <w:color w:val="auto"/>
                <w:w w:val="90"/>
              </w:rPr>
              <w:t>Truck and Railcar</w:t>
            </w:r>
          </w:p>
        </w:tc>
      </w:tr>
      <w:tr>
        <w:trPr>
          <w:trHeight w:val="250"/>
        </w:trPr>
        <w:tc>
          <w:tcPr>
            <w:tcW w:w="214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Transportation</w:t>
            </w: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spacing w:after="0"/>
              <w:rPr>
                <w:sz w:val="21"/>
                <w:szCs w:val="21"/>
                <w:color w:val="auto"/>
              </w:rPr>
            </w:pPr>
          </w:p>
        </w:tc>
      </w:tr>
    </w:tbl>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2019. There were no changes to the Company’s critical accounting policies during the three months ended March 31, 2020.</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on the Company’s operations of weather and the coronavirus (COVID-19) pandemic, including governmental responses to prevent further outbreak of COVID-19 and other matters, current period results are not indicative of expected performance for other interim periods or the full year.</w:t>
      </w:r>
    </w:p>
    <w:p>
      <w:pPr>
        <w:spacing w:after="0" w:line="72"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Earnings before interest; income taxes; depreciation, depletion and amortization; and the earnings/loss from nonconsolidated equity affiliates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operating earnings or operating cash flow.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Adjusted EBITDA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60" w:type="dxa"/>
            <w:vAlign w:val="bottom"/>
            <w:gridSpan w:val="4"/>
          </w:tcPr>
          <w:p>
            <w:pPr>
              <w:jc w:val="center"/>
              <w:ind w:right="503"/>
              <w:spacing w:after="0"/>
              <w:rPr>
                <w:sz w:val="20"/>
                <w:szCs w:val="20"/>
                <w:color w:val="auto"/>
              </w:rPr>
            </w:pPr>
            <w:r>
              <w:rPr>
                <w:rFonts w:ascii="Arial" w:cs="Arial" w:eastAsia="Arial" w:hAnsi="Arial"/>
                <w:sz w:val="20"/>
                <w:szCs w:val="20"/>
                <w:color w:val="auto"/>
                <w:w w:val="89"/>
              </w:rPr>
              <w:t>Three Months Ended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72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center"/>
              <w:ind w:right="503"/>
              <w:spacing w:after="0"/>
              <w:rPr>
                <w:sz w:val="20"/>
                <w:szCs w:val="20"/>
                <w:color w:val="auto"/>
              </w:rPr>
            </w:pPr>
            <w:r>
              <w:rPr>
                <w:rFonts w:ascii="Arial" w:cs="Arial" w:eastAsia="Arial" w:hAnsi="Arial"/>
                <w:sz w:val="20"/>
                <w:szCs w:val="20"/>
                <w:color w:val="auto"/>
                <w:w w:val="89"/>
              </w:rPr>
              <w:t>March 31,</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20"/>
                <w:szCs w:val="20"/>
                <w:color w:val="auto"/>
              </w:rPr>
              <w:t>2019</w:t>
            </w:r>
            <w:r>
              <w:rPr>
                <w:rFonts w:ascii="Arial" w:cs="Arial" w:eastAsia="Arial" w:hAnsi="Arial"/>
                <w:sz w:val="16"/>
                <w:szCs w:val="16"/>
                <w:color w:val="auto"/>
              </w:rPr>
              <w:t>(1)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60" w:type="dxa"/>
            <w:vAlign w:val="bottom"/>
            <w:gridSpan w:val="4"/>
          </w:tcPr>
          <w:p>
            <w:pPr>
              <w:jc w:val="center"/>
              <w:ind w:right="503"/>
              <w:spacing w:after="0"/>
              <w:rPr>
                <w:sz w:val="20"/>
                <w:szCs w:val="20"/>
                <w:color w:val="auto"/>
              </w:rPr>
            </w:pPr>
            <w:r>
              <w:rPr>
                <w:rFonts w:ascii="Arial" w:cs="Arial" w:eastAsia="Arial" w:hAnsi="Arial"/>
                <w:sz w:val="20"/>
                <w:szCs w:val="20"/>
                <w:i w:val="1"/>
                <w:iCs w:val="1"/>
                <w:color w:val="auto"/>
                <w:w w:val="97"/>
              </w:rPr>
              <w:t>(Dollars 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72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Net Earnings Attributable to Martin Marietta</w:t>
            </w: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83"/>
              <w:spacing w:after="0"/>
              <w:rPr>
                <w:sz w:val="20"/>
                <w:szCs w:val="20"/>
                <w:color w:val="auto"/>
              </w:rPr>
            </w:pPr>
            <w:r>
              <w:rPr>
                <w:rFonts w:ascii="Arial" w:cs="Arial" w:eastAsia="Arial" w:hAnsi="Arial"/>
                <w:sz w:val="20"/>
                <w:szCs w:val="2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42.9</w:t>
            </w:r>
          </w:p>
        </w:tc>
        <w:tc>
          <w:tcPr>
            <w:tcW w:w="100" w:type="dxa"/>
            <w:vAlign w:val="bottom"/>
            <w:shd w:val="clear" w:color="auto" w:fill="CFF0FC"/>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20"/>
                <w:szCs w:val="20"/>
                <w:color w:val="auto"/>
              </w:rPr>
              <w:t>Add back (deduct):</w:t>
            </w: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2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 net of interest income</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32.8</w:t>
            </w:r>
          </w:p>
        </w:tc>
        <w:tc>
          <w:tcPr>
            <w:tcW w:w="100" w:type="dxa"/>
            <w:vAlign w:val="bottom"/>
            <w:shd w:val="clear" w:color="auto" w:fill="CFF0FC"/>
          </w:tcPr>
          <w:p>
            <w:pPr>
              <w:spacing w:after="0"/>
              <w:rPr>
                <w:sz w:val="21"/>
                <w:szCs w:val="21"/>
                <w:color w:val="auto"/>
              </w:rPr>
            </w:pPr>
          </w:p>
        </w:tc>
      </w:tr>
      <w:tr>
        <w:trPr>
          <w:trHeight w:val="243"/>
        </w:trPr>
        <w:tc>
          <w:tcPr>
            <w:tcW w:w="7240" w:type="dxa"/>
            <w:vAlign w:val="bottom"/>
          </w:tcPr>
          <w:p>
            <w:pPr>
              <w:ind w:left="260"/>
              <w:spacing w:after="0"/>
              <w:rPr>
                <w:sz w:val="20"/>
                <w:szCs w:val="20"/>
                <w:color w:val="auto"/>
              </w:rPr>
            </w:pPr>
            <w:r>
              <w:rPr>
                <w:rFonts w:ascii="Arial" w:cs="Arial" w:eastAsia="Arial" w:hAnsi="Arial"/>
                <w:sz w:val="20"/>
                <w:szCs w:val="20"/>
                <w:color w:val="auto"/>
              </w:rPr>
              <w:t>Income tax expense (benefit) for controlling interests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0.1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20"/>
                <w:szCs w:val="20"/>
                <w:color w:val="auto"/>
              </w:rPr>
              <w:t>(5.0)</w:t>
            </w:r>
          </w:p>
        </w:tc>
      </w:tr>
      <w:tr>
        <w:trPr>
          <w:trHeight w:val="226"/>
        </w:trPr>
        <w:tc>
          <w:tcPr>
            <w:tcW w:w="724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and earnings/loss</w:t>
            </w: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from nonconsolidated equity affiliates</w:t>
            </w:r>
          </w:p>
        </w:tc>
        <w:tc>
          <w:tcPr>
            <w:tcW w:w="1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93.4</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87.5</w:t>
            </w:r>
          </w:p>
        </w:tc>
        <w:tc>
          <w:tcPr>
            <w:tcW w:w="100" w:type="dxa"/>
            <w:vAlign w:val="bottom"/>
            <w:shd w:val="clear" w:color="auto" w:fill="CFF0FC"/>
          </w:tcPr>
          <w:p>
            <w:pPr>
              <w:spacing w:after="0"/>
              <w:rPr>
                <w:sz w:val="21"/>
                <w:szCs w:val="21"/>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20"/>
                <w:szCs w:val="20"/>
                <w:color w:val="auto"/>
              </w:rPr>
              <w:t>Consolidated Adjusted EBITDA</w:t>
            </w: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149.0</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8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158.2</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left="200" w:hanging="189"/>
        <w:spacing w:after="0" w:line="277" w:lineRule="auto"/>
        <w:tabs>
          <w:tab w:leader="none" w:pos="272" w:val="left"/>
        </w:tabs>
        <w:numPr>
          <w:ilvl w:val="0"/>
          <w:numId w:val="11"/>
        </w:numPr>
        <w:rPr>
          <w:rFonts w:ascii="Arial" w:cs="Arial" w:eastAsia="Arial" w:hAnsi="Arial"/>
          <w:sz w:val="15"/>
          <w:szCs w:val="15"/>
          <w:i w:val="1"/>
          <w:iCs w:val="1"/>
          <w:color w:val="auto"/>
        </w:rPr>
      </w:pPr>
      <w:r>
        <w:rPr>
          <w:rFonts w:ascii="Arial" w:cs="Arial" w:eastAsia="Arial" w:hAnsi="Arial"/>
          <w:sz w:val="18"/>
          <w:szCs w:val="18"/>
          <w:i w:val="1"/>
          <w:iCs w:val="1"/>
          <w:color w:val="auto"/>
        </w:rPr>
        <w:t>2019 EBITDA, when compared with the amount presented in the first quarter 2019 earnings release, has been restated to conform to the 2020 calculation methodology.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for the quarter ended March 31, 2020 (unless noted, all comparisons are versus the prior-year quarter):</w:t>
      </w:r>
    </w:p>
    <w:p>
      <w:pPr>
        <w:spacing w:after="0" w:line="108"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total revenues of $958.2 million compared with $939.0 million, an increase of 2%</w:t>
      </w:r>
    </w:p>
    <w:p>
      <w:pPr>
        <w:spacing w:after="0" w:line="15" w:lineRule="exact"/>
        <w:rPr>
          <w:rFonts w:ascii="Arial" w:cs="Arial" w:eastAsia="Arial" w:hAnsi="Arial"/>
          <w:sz w:val="20"/>
          <w:szCs w:val="20"/>
          <w:color w:val="007DC6"/>
        </w:rPr>
      </w:pPr>
    </w:p>
    <w:p>
      <w:pPr>
        <w:ind w:left="740" w:right="20" w:hanging="368"/>
        <w:spacing w:after="0" w:line="239" w:lineRule="auto"/>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$831.1 million compared with $809.1 million, and Magnesia Specialties products revenues of $59.9 million compared with $69.2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gross profit of $142.4 million compared with $142.9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earnings from operations of $57.8 million compared with $69.2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$25.9 million compared with $42.9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Adjusted EBITDA of $149.0 million compared with $158.2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Earnings per diluted share of $0.41 compared with $0.68</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following tables present total revenues, gross profit (loss), selling, general and administrative (SG&amp;A) expenses and earnings (loss) from operations data for the Company and its reportable segments by product line for the three months ended March 31, 2020 and 2019. In each case, the data is stated as a percentage of revenues of the Company or the relevant segment or product line, as the case may be. The Company’s two cold mix asphalt plants have been reclassified from the asphalt and paving product line to the aggregates product line. These operations did not represent a material amount of product revenues and gross profit. Prior-year information has been reclassified to conform to the presentation of the Company’s current reportable product lines. Additionally, prior-year segment information has been reclassified to conform to the operations and management reporting structure change effective January 1, 2020 (see Note 1 to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20"/>
                <w:szCs w:val="20"/>
                <w:color w:val="auto"/>
                <w:w w:val="94"/>
              </w:rPr>
              <w:t>Three Months Ended March 31,</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2019</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2"/>
              </w:rPr>
              <w:t>% of Revenues</w:t>
            </w:r>
          </w:p>
        </w:tc>
        <w:tc>
          <w:tcPr>
            <w:tcW w:w="28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2"/>
              </w:rPr>
              <w:t>% of Revenues</w:t>
            </w:r>
          </w:p>
        </w:tc>
        <w:tc>
          <w:tcPr>
            <w:tcW w:w="100" w:type="dxa"/>
            <w:vAlign w:val="bottom"/>
          </w:tcPr>
          <w:p>
            <w:pPr>
              <w:spacing w:after="0"/>
              <w:rPr>
                <w:sz w:val="20"/>
                <w:szCs w:val="20"/>
                <w:color w:val="auto"/>
              </w:rPr>
            </w:pPr>
          </w:p>
        </w:tc>
      </w:tr>
      <w:tr>
        <w:trPr>
          <w:trHeight w:val="236"/>
        </w:trPr>
        <w:tc>
          <w:tcPr>
            <w:tcW w:w="3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jc w:val="right"/>
              <w:ind w:right="1020"/>
              <w:spacing w:after="0"/>
              <w:rPr>
                <w:sz w:val="20"/>
                <w:szCs w:val="20"/>
                <w:color w:val="auto"/>
              </w:rPr>
            </w:pPr>
            <w:r>
              <w:rPr>
                <w:rFonts w:ascii="Arial" w:cs="Arial" w:eastAsia="Arial" w:hAnsi="Arial"/>
                <w:sz w:val="20"/>
                <w:szCs w:val="20"/>
                <w:i w:val="1"/>
                <w:iCs w:val="1"/>
                <w:color w:val="auto"/>
              </w:rPr>
              <w:t>(Dollars in Millions)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2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241.0</w:t>
            </w:r>
          </w:p>
        </w:tc>
        <w:tc>
          <w:tcPr>
            <w:tcW w:w="340" w:type="dxa"/>
            <w:vAlign w:val="bottom"/>
            <w:shd w:val="clear" w:color="auto" w:fill="CFF0FC"/>
          </w:tcPr>
          <w:p>
            <w:pPr>
              <w:spacing w:after="0"/>
              <w:rPr>
                <w:sz w:val="21"/>
                <w:szCs w:val="21"/>
                <w:color w:val="auto"/>
              </w:rPr>
            </w:pPr>
          </w:p>
        </w:tc>
        <w:tc>
          <w:tcPr>
            <w:tcW w:w="1800" w:type="dxa"/>
            <w:vAlign w:val="bottom"/>
            <w:gridSpan w:val="4"/>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229.6</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116.9</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115.3</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212.4</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200.0</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Pr>
          <w:p>
            <w:pPr>
              <w:ind w:left="620"/>
              <w:spacing w:after="0"/>
              <w:rPr>
                <w:sz w:val="20"/>
                <w:szCs w:val="20"/>
                <w:color w:val="auto"/>
              </w:rPr>
            </w:pPr>
            <w:r>
              <w:rPr>
                <w:rFonts w:ascii="Arial" w:cs="Arial" w:eastAsia="Arial" w:hAnsi="Arial"/>
                <w:sz w:val="20"/>
                <w:szCs w:val="20"/>
                <w:color w:val="auto"/>
              </w:rPr>
              <w:t>Cement</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106.6</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99.0</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189.7</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211.2</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18.1</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12.4</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(53.6)</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(58.4)</w:t>
            </w: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88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10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473.2</w:t>
            </w:r>
          </w:p>
        </w:tc>
        <w:tc>
          <w:tcPr>
            <w:tcW w:w="3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464.2</w:t>
            </w:r>
          </w:p>
        </w:tc>
        <w:tc>
          <w:tcPr>
            <w:tcW w:w="32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6"/>
        </w:trPr>
        <w:tc>
          <w:tcPr>
            <w:tcW w:w="38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831.1</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809.1</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88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10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w:t>
            </w:r>
          </w:p>
        </w:tc>
        <w:tc>
          <w:tcPr>
            <w:tcW w:w="34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55.8</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7"/>
        </w:trPr>
        <w:tc>
          <w:tcPr>
            <w:tcW w:w="38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0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892.5</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864.9</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3880" w:type="dxa"/>
            <w:vAlign w:val="bottom"/>
          </w:tcPr>
          <w:p>
            <w:pPr>
              <w:spacing w:after="0"/>
              <w:rPr>
                <w:sz w:val="20"/>
                <w:szCs w:val="20"/>
                <w:color w:val="auto"/>
              </w:rPr>
            </w:pPr>
            <w:r>
              <w:rPr>
                <w:rFonts w:ascii="Arial" w:cs="Arial" w:eastAsia="Arial" w:hAnsi="Arial"/>
                <w:sz w:val="20"/>
                <w:szCs w:val="20"/>
                <w:color w:val="auto"/>
              </w:rPr>
              <w:t>Magnesia Specialties Business: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59.9</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69.2</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10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34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6"/>
        </w:trPr>
        <w:tc>
          <w:tcPr>
            <w:tcW w:w="3880" w:type="dxa"/>
            <w:vAlign w:val="bottom"/>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10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65.7</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74.1</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20"/>
                <w:szCs w:val="20"/>
                <w:color w:val="auto"/>
              </w:rPr>
              <w:t>Total</w:t>
            </w:r>
          </w:p>
        </w:tc>
        <w:tc>
          <w:tcPr>
            <w:tcW w:w="10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958.2</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939.0</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20"/>
                <w:szCs w:val="20"/>
                <w:color w:val="auto"/>
                <w:w w:val="94"/>
              </w:rPr>
              <w:t>Three Months Ended March 31,</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2019</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6"/>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8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jc w:val="right"/>
              <w:ind w:right="1020"/>
              <w:spacing w:after="0"/>
              <w:rPr>
                <w:sz w:val="20"/>
                <w:szCs w:val="20"/>
                <w:color w:val="auto"/>
              </w:rPr>
            </w:pPr>
            <w:r>
              <w:rPr>
                <w:rFonts w:ascii="Arial" w:cs="Arial" w:eastAsia="Arial" w:hAnsi="Arial"/>
                <w:sz w:val="20"/>
                <w:szCs w:val="20"/>
                <w:i w:val="1"/>
                <w:iCs w:val="1"/>
                <w:color w:val="auto"/>
              </w:rPr>
              <w:t>(Dollars 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28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2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88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38.0</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15.8</w:t>
            </w:r>
          </w:p>
        </w:tc>
        <w:tc>
          <w:tcPr>
            <w:tcW w:w="5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45.0</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26.5</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33.5</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26.5</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620"/>
              <w:spacing w:after="0"/>
              <w:rPr>
                <w:sz w:val="20"/>
                <w:szCs w:val="20"/>
                <w:color w:val="auto"/>
              </w:rPr>
            </w:pPr>
            <w:r>
              <w:rPr>
                <w:rFonts w:ascii="Arial" w:cs="Arial" w:eastAsia="Arial" w:hAnsi="Arial"/>
                <w:sz w:val="20"/>
                <w:szCs w:val="20"/>
                <w:color w:val="auto"/>
              </w:rPr>
              <w:t>Cement</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27.3</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13.8</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14.5</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20"/>
                <w:szCs w:val="20"/>
                <w:color w:val="auto"/>
              </w:rPr>
              <w:t>(8.1)</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20"/>
                <w:szCs w:val="20"/>
                <w:color w:val="auto"/>
              </w:rPr>
              <w:t>(8.3)</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60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58.6</w:t>
            </w:r>
          </w:p>
        </w:tc>
        <w:tc>
          <w:tcPr>
            <w:tcW w:w="34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46.5</w:t>
            </w:r>
          </w:p>
        </w:tc>
        <w:tc>
          <w:tcPr>
            <w:tcW w:w="32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118.5</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118.0</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(0.3)</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(0.2)</w:t>
            </w: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118.2</w:t>
            </w:r>
          </w:p>
        </w:tc>
        <w:tc>
          <w:tcPr>
            <w:tcW w:w="3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13.2</w:t>
            </w:r>
          </w:p>
        </w:tc>
        <w:tc>
          <w:tcPr>
            <w:tcW w:w="2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117.8</w:t>
            </w:r>
          </w:p>
        </w:tc>
        <w:tc>
          <w:tcPr>
            <w:tcW w:w="32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13.6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40"/>
              <w:spacing w:after="0"/>
              <w:rPr>
                <w:sz w:val="20"/>
                <w:szCs w:val="20"/>
                <w:color w:val="auto"/>
              </w:rPr>
            </w:pPr>
            <w:r>
              <w:rPr>
                <w:rFonts w:ascii="Arial" w:cs="Arial" w:eastAsia="Arial" w:hAnsi="Arial"/>
                <w:sz w:val="20"/>
                <w:szCs w:val="20"/>
                <w:color w:val="auto"/>
              </w:rPr>
              <w:t>Products</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26.1</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43.5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26.5</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(0.9)</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(1.0)</w:t>
            </w: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60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25.2</w:t>
            </w:r>
          </w:p>
        </w:tc>
        <w:tc>
          <w:tcPr>
            <w:tcW w:w="3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38.4</w:t>
            </w:r>
          </w:p>
        </w:tc>
        <w:tc>
          <w:tcPr>
            <w:tcW w:w="2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25.5</w:t>
            </w:r>
          </w:p>
        </w:tc>
        <w:tc>
          <w:tcPr>
            <w:tcW w:w="32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34.5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(0.4)</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20"/>
                <w:szCs w:val="20"/>
                <w:color w:val="auto"/>
              </w:rPr>
              <w:t>Total</w:t>
            </w:r>
          </w:p>
        </w:tc>
        <w:tc>
          <w:tcPr>
            <w:tcW w:w="60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142.4</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14.9</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142.9</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80" w:type="dxa"/>
            <w:vAlign w:val="bottom"/>
            <w:gridSpan w:val="6"/>
          </w:tcPr>
          <w:p>
            <w:pPr>
              <w:spacing w:after="0"/>
              <w:rPr>
                <w:sz w:val="20"/>
                <w:szCs w:val="20"/>
                <w:color w:val="auto"/>
              </w:rPr>
            </w:pPr>
            <w:r>
              <w:rPr>
                <w:rFonts w:ascii="Arial" w:cs="Arial" w:eastAsia="Arial" w:hAnsi="Arial"/>
                <w:sz w:val="20"/>
                <w:szCs w:val="20"/>
                <w:color w:val="auto"/>
                <w:w w:val="97"/>
              </w:rPr>
              <w:t>The following presents a rollforward of aggregates products gross profit (dollars in millions):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160" w:type="dxa"/>
            <w:vAlign w:val="bottom"/>
            <w:gridSpan w:val="3"/>
          </w:tcPr>
          <w:p>
            <w:pPr>
              <w:spacing w:after="0"/>
              <w:rPr>
                <w:sz w:val="5"/>
                <w:szCs w:val="5"/>
                <w:color w:val="auto"/>
              </w:rPr>
            </w:pP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FF0FC"/>
          </w:tcPr>
          <w:p>
            <w:pPr>
              <w:spacing w:after="0"/>
              <w:rPr>
                <w:sz w:val="20"/>
                <w:szCs w:val="20"/>
                <w:color w:val="auto"/>
              </w:rPr>
            </w:pPr>
            <w:r>
              <w:rPr>
                <w:rFonts w:ascii="Arial" w:cs="Arial" w:eastAsia="Arial" w:hAnsi="Arial"/>
                <w:sz w:val="20"/>
                <w:szCs w:val="20"/>
                <w:color w:val="auto"/>
                <w:w w:val="90"/>
              </w:rPr>
              <w:t>Aggregates products gross profit, quarter ended March 31, 2019</w:t>
            </w: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1"/>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60"/>
              <w:spacing w:after="0"/>
              <w:rPr>
                <w:sz w:val="20"/>
                <w:szCs w:val="20"/>
                <w:color w:val="auto"/>
              </w:rPr>
            </w:pPr>
            <w:r>
              <w:rPr>
                <w:rFonts w:ascii="Arial" w:cs="Arial" w:eastAsia="Arial" w:hAnsi="Arial"/>
                <w:sz w:val="20"/>
                <w:szCs w:val="20"/>
                <w:color w:val="auto"/>
              </w:rPr>
              <w:t>Volume</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6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vMerge w:val="continue"/>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20"/>
                <w:szCs w:val="20"/>
                <w:color w:val="auto"/>
                <w:w w:val="90"/>
              </w:rPr>
              <w:t>Aggregates products gross profit, quarter ended March 31, 2020</w:t>
            </w:r>
          </w:p>
        </w:tc>
        <w:tc>
          <w:tcPr>
            <w:tcW w:w="10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Borders>
              <w:bottom w:val="single" w:sz="8" w:color="auto"/>
            </w:tcBorders>
          </w:tcPr>
          <w:p>
            <w:pPr>
              <w:jc w:val="right"/>
              <w:ind w:right="221"/>
              <w:spacing w:after="0" w:line="224" w:lineRule="exact"/>
              <w:rPr>
                <w:sz w:val="20"/>
                <w:szCs w:val="20"/>
                <w:color w:val="auto"/>
              </w:rPr>
            </w:pPr>
            <w:r>
              <w:rPr>
                <w:rFonts w:ascii="Arial" w:cs="Arial" w:eastAsia="Arial" w:hAnsi="Arial"/>
                <w:sz w:val="20"/>
                <w:szCs w:val="20"/>
                <w:color w:val="auto"/>
                <w:w w:val="71"/>
              </w:rPr>
              <w: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00" w:lineRule="exact"/>
        <w:rPr>
          <w:rFonts w:ascii="Arial" w:cs="Arial" w:eastAsia="Arial" w:hAnsi="Arial"/>
          <w:sz w:val="15"/>
          <w:szCs w:val="15"/>
          <w:i w:val="1"/>
          <w:iCs w:val="1"/>
          <w:color w:val="auto"/>
        </w:rPr>
      </w:pPr>
    </w:p>
    <w:p>
      <w:pPr>
        <w:spacing w:after="0" w:line="360"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24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20"/>
                <w:szCs w:val="20"/>
                <w:color w:val="auto"/>
                <w:w w:val="91"/>
              </w:rPr>
              <w:t>Three Months Ended March 31,</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2020</w:t>
            </w: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2019</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4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center"/>
              <w:ind w:left="41"/>
              <w:spacing w:after="0" w:line="220" w:lineRule="exact"/>
              <w:rPr>
                <w:sz w:val="20"/>
                <w:szCs w:val="20"/>
                <w:color w:val="auto"/>
              </w:rPr>
            </w:pPr>
            <w:r>
              <w:rPr>
                <w:rFonts w:ascii="Arial" w:cs="Arial" w:eastAsia="Arial" w:hAnsi="Arial"/>
                <w:sz w:val="20"/>
                <w:szCs w:val="20"/>
                <w:color w:val="auto"/>
                <w:w w:val="94"/>
              </w:rPr>
              <w:t>% of</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9"/>
                <w:szCs w:val="19"/>
                <w:color w:val="auto"/>
              </w:rPr>
            </w:pPr>
          </w:p>
        </w:tc>
      </w:tr>
      <w:tr>
        <w:trPr>
          <w:trHeight w:val="246"/>
        </w:trPr>
        <w:tc>
          <w:tcPr>
            <w:tcW w:w="4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20"/>
                <w:szCs w:val="20"/>
                <w:color w:val="auto"/>
              </w:rPr>
              <w:t>Amount</w:t>
            </w:r>
          </w:p>
        </w:tc>
        <w:tc>
          <w:tcPr>
            <w:tcW w:w="960" w:type="dxa"/>
            <w:vAlign w:val="bottom"/>
          </w:tcPr>
          <w:p>
            <w:pPr>
              <w:jc w:val="center"/>
              <w:ind w:left="41"/>
              <w:spacing w:after="0"/>
              <w:rPr>
                <w:sz w:val="20"/>
                <w:szCs w:val="20"/>
                <w:color w:val="auto"/>
              </w:rPr>
            </w:pPr>
            <w:r>
              <w:rPr>
                <w:rFonts w:ascii="Arial" w:cs="Arial" w:eastAsia="Arial" w:hAnsi="Arial"/>
                <w:sz w:val="20"/>
                <w:szCs w:val="20"/>
                <w:color w:val="auto"/>
                <w:w w:val="86"/>
              </w:rPr>
              <w:t>Revenues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Amount</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Revenues</w:t>
            </w:r>
          </w:p>
        </w:tc>
      </w:tr>
      <w:tr>
        <w:trPr>
          <w:trHeight w:val="237"/>
        </w:trPr>
        <w:tc>
          <w:tcPr>
            <w:tcW w:w="426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500" w:type="dxa"/>
            <w:vAlign w:val="bottom"/>
            <w:tcBorders>
              <w:top w:val="single" w:sz="8" w:color="auto"/>
            </w:tcBorders>
            <w:gridSpan w:val="5"/>
            <w:shd w:val="clear" w:color="auto" w:fill="CFF0FC"/>
          </w:tcPr>
          <w:p>
            <w:pPr>
              <w:jc w:val="right"/>
              <w:ind w:right="256"/>
              <w:spacing w:after="0"/>
              <w:rPr>
                <w:sz w:val="20"/>
                <w:szCs w:val="20"/>
                <w:color w:val="auto"/>
              </w:rPr>
            </w:pPr>
            <w:r>
              <w:rPr>
                <w:rFonts w:ascii="Arial" w:cs="Arial" w:eastAsia="Arial" w:hAnsi="Arial"/>
                <w:sz w:val="20"/>
                <w:szCs w:val="20"/>
                <w:i w:val="1"/>
                <w:iCs w:val="1"/>
                <w:color w:val="auto"/>
              </w:rPr>
              <w:t>(Dollars in Millions)</w:t>
            </w:r>
          </w:p>
        </w:tc>
        <w:tc>
          <w:tcPr>
            <w:tcW w:w="3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84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17.8</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836"/>
              <w:spacing w:after="0"/>
              <w:rPr>
                <w:sz w:val="20"/>
                <w:szCs w:val="20"/>
                <w:color w:val="auto"/>
              </w:rPr>
            </w:pPr>
            <w:r>
              <w:rPr>
                <w:rFonts w:ascii="Arial" w:cs="Arial" w:eastAsia="Arial" w:hAnsi="Arial"/>
                <w:sz w:val="20"/>
                <w:szCs w:val="20"/>
                <w:color w:val="auto"/>
                <w:w w:val="71"/>
              </w:rPr>
              <w:t>$</w:t>
            </w:r>
          </w:p>
        </w:tc>
        <w:tc>
          <w:tcPr>
            <w:tcW w:w="360" w:type="dxa"/>
            <w:vAlign w:val="bottom"/>
          </w:tcPr>
          <w:p>
            <w:pPr>
              <w:jc w:val="right"/>
              <w:spacing w:after="0"/>
              <w:rPr>
                <w:sz w:val="20"/>
                <w:szCs w:val="20"/>
                <w:color w:val="auto"/>
              </w:rPr>
            </w:pPr>
            <w:r>
              <w:rPr>
                <w:rFonts w:ascii="Arial" w:cs="Arial" w:eastAsia="Arial" w:hAnsi="Arial"/>
                <w:sz w:val="20"/>
                <w:szCs w:val="20"/>
                <w:color w:val="auto"/>
                <w:w w:val="82"/>
              </w:rPr>
              <w:t>15.6</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w:t>
            </w: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6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2"/>
              </w:rPr>
              <w:t>29.3</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58.1</w:t>
            </w: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50.2</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color w:val="auto"/>
              </w:rPr>
              <w:t>Magnesia Specialties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3.5</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2.9</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17.1</w:t>
            </w: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2"/>
              </w:rPr>
              <w:t>25.2</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77"/>
        </w:trPr>
        <w:tc>
          <w:tcPr>
            <w:tcW w:w="42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78.7</w:t>
            </w:r>
          </w:p>
        </w:tc>
        <w:tc>
          <w:tcPr>
            <w:tcW w:w="4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w w:val="86"/>
              </w:rPr>
              <w:t>8.2</w:t>
            </w:r>
          </w:p>
        </w:tc>
        <w:tc>
          <w:tcPr>
            <w:tcW w:w="2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jc w:val="right"/>
              <w:ind w:right="83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2"/>
              </w:rPr>
              <w:t>78.3</w:t>
            </w:r>
          </w:p>
        </w:tc>
        <w:tc>
          <w:tcPr>
            <w:tcW w:w="420" w:type="dxa"/>
            <w:vAlign w:val="bottom"/>
            <w:tcBorders>
              <w:bottom w:val="single" w:sz="8" w:color="CFF0FC"/>
            </w:tcBorders>
          </w:tcPr>
          <w:p>
            <w:pPr>
              <w:spacing w:after="0"/>
              <w:rPr>
                <w:sz w:val="24"/>
                <w:szCs w:val="24"/>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8.3</w:t>
            </w:r>
          </w:p>
        </w:tc>
        <w:tc>
          <w:tcPr>
            <w:tcW w:w="120" w:type="dxa"/>
            <w:vAlign w:val="bottom"/>
            <w:tcBorders>
              <w:bottom w:val="single" w:sz="8" w:color="CFF0FC"/>
            </w:tcBorders>
          </w:tcPr>
          <w:p>
            <w:pPr>
              <w:spacing w:after="0"/>
              <w:rPr>
                <w:sz w:val="24"/>
                <w:szCs w:val="24"/>
                <w:color w:val="auto"/>
              </w:rPr>
            </w:pPr>
          </w:p>
        </w:tc>
      </w:tr>
      <w:tr>
        <w:trPr>
          <w:trHeight w:val="223"/>
        </w:trPr>
        <w:tc>
          <w:tcPr>
            <w:tcW w:w="4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84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20.8</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836"/>
              <w:spacing w:after="0"/>
              <w:rPr>
                <w:sz w:val="20"/>
                <w:szCs w:val="20"/>
                <w:color w:val="auto"/>
              </w:rPr>
            </w:pPr>
            <w:r>
              <w:rPr>
                <w:rFonts w:ascii="Arial" w:cs="Arial" w:eastAsia="Arial" w:hAnsi="Arial"/>
                <w:sz w:val="20"/>
                <w:szCs w:val="20"/>
                <w:color w:val="auto"/>
                <w:w w:val="71"/>
              </w:rPr>
              <w:t>$</w:t>
            </w:r>
          </w:p>
        </w:tc>
        <w:tc>
          <w:tcPr>
            <w:tcW w:w="360" w:type="dxa"/>
            <w:vAlign w:val="bottom"/>
          </w:tcPr>
          <w:p>
            <w:pPr>
              <w:jc w:val="right"/>
              <w:spacing w:after="0"/>
              <w:rPr>
                <w:sz w:val="20"/>
                <w:szCs w:val="20"/>
                <w:color w:val="auto"/>
              </w:rPr>
            </w:pPr>
            <w:r>
              <w:rPr>
                <w:rFonts w:ascii="Arial" w:cs="Arial" w:eastAsia="Arial" w:hAnsi="Arial"/>
                <w:sz w:val="20"/>
                <w:szCs w:val="20"/>
                <w:color w:val="auto"/>
                <w:w w:val="82"/>
              </w:rPr>
              <w:t>30.6</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w:t>
            </w: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21.1</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6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2"/>
              </w:rPr>
              <w:t>20.3</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57.5</w:t>
            </w: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72.0</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color w:val="auto"/>
              </w:rPr>
              <w:t>Magnesia Specialties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21.7</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2"/>
              </w:rPr>
              <w:t>22.6</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(21.4)</w:t>
            </w: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gridSpan w:val="4"/>
            <w:shd w:val="clear" w:color="auto" w:fill="CFF0FC"/>
          </w:tcPr>
          <w:p>
            <w:pPr>
              <w:jc w:val="right"/>
              <w:ind w:right="360"/>
              <w:spacing w:after="0"/>
              <w:rPr>
                <w:sz w:val="20"/>
                <w:szCs w:val="20"/>
                <w:color w:val="auto"/>
              </w:rPr>
            </w:pPr>
            <w:r>
              <w:rPr>
                <w:rFonts w:ascii="Arial" w:cs="Arial" w:eastAsia="Arial" w:hAnsi="Arial"/>
                <w:sz w:val="20"/>
                <w:szCs w:val="20"/>
                <w:color w:val="auto"/>
              </w:rPr>
              <w:t>(25.4)</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20"/>
                <w:szCs w:val="20"/>
                <w:color w:val="auto"/>
              </w:rPr>
              <w:t>Total</w:t>
            </w: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57.8</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6.0</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2"/>
              </w:rPr>
              <w:t>69.2</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7.4</w:t>
            </w:r>
          </w:p>
        </w:tc>
        <w:tc>
          <w:tcPr>
            <w:tcW w:w="12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243" w:lineRule="exact"/>
        <w:rPr>
          <w:sz w:val="20"/>
          <w:szCs w:val="20"/>
          <w:color w:val="auto"/>
        </w:rPr>
      </w:pPr>
    </w:p>
    <w:p>
      <w:pPr>
        <w:jc w:val="center"/>
        <w:ind w:left="662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6620"/>
        <w:spacing w:after="0"/>
        <w:rPr>
          <w:sz w:val="20"/>
          <w:szCs w:val="20"/>
          <w:color w:val="auto"/>
        </w:rPr>
      </w:pPr>
      <w:r>
        <w:rPr>
          <w:rFonts w:ascii="Arial" w:cs="Arial" w:eastAsia="Arial" w:hAnsi="Arial"/>
          <w:sz w:val="20"/>
          <w:szCs w:val="20"/>
          <w:color w:val="auto"/>
        </w:rPr>
        <w:t>March 31,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Volume</w:t>
            </w:r>
          </w:p>
        </w:tc>
        <w:tc>
          <w:tcPr>
            <w:tcW w:w="7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Pricing</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tcPr>
          <w:p>
            <w:pPr>
              <w:jc w:val="right"/>
              <w:spacing w:after="0"/>
              <w:rPr>
                <w:sz w:val="20"/>
                <w:szCs w:val="20"/>
                <w:color w:val="auto"/>
              </w:rPr>
            </w:pPr>
            <w:r>
              <w:rPr>
                <w:rFonts w:ascii="Arial" w:cs="Arial" w:eastAsia="Arial" w:hAnsi="Arial"/>
                <w:sz w:val="20"/>
                <w:szCs w:val="20"/>
                <w:color w:val="auto"/>
              </w:rPr>
              <w:t>4.3%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43"/>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tcPr>
          <w:p>
            <w:pPr>
              <w:jc w:val="right"/>
              <w:spacing w:after="0"/>
              <w:rPr>
                <w:sz w:val="20"/>
                <w:szCs w:val="20"/>
                <w:color w:val="auto"/>
              </w:rPr>
            </w:pPr>
            <w:r>
              <w:rPr>
                <w:rFonts w:ascii="Arial" w:cs="Arial" w:eastAsia="Arial" w:hAnsi="Arial"/>
                <w:sz w:val="20"/>
                <w:szCs w:val="20"/>
                <w:color w:val="auto"/>
              </w:rPr>
              <w:t>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456"/>
        </w:trPr>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gridSpan w:val="5"/>
          </w:tcPr>
          <w:p>
            <w:pPr>
              <w:jc w:val="center"/>
              <w:ind w:right="501"/>
              <w:spacing w:after="0"/>
              <w:rPr>
                <w:sz w:val="20"/>
                <w:szCs w:val="20"/>
                <w:color w:val="auto"/>
              </w:rPr>
            </w:pPr>
            <w:r>
              <w:rPr>
                <w:rFonts w:ascii="Arial" w:cs="Arial" w:eastAsia="Arial" w:hAnsi="Arial"/>
                <w:sz w:val="20"/>
                <w:szCs w:val="20"/>
                <w:color w:val="auto"/>
                <w:w w:val="88"/>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jc w:val="center"/>
              <w:ind w:right="501"/>
              <w:spacing w:after="0"/>
              <w:rPr>
                <w:sz w:val="20"/>
                <w:szCs w:val="20"/>
                <w:color w:val="auto"/>
              </w:rPr>
            </w:pPr>
            <w:r>
              <w:rPr>
                <w:rFonts w:ascii="Arial" w:cs="Arial" w:eastAsia="Arial" w:hAnsi="Arial"/>
                <w:sz w:val="20"/>
                <w:szCs w:val="20"/>
                <w:color w:val="auto"/>
                <w:w w:val="92"/>
              </w:rPr>
              <w:t>March 31,</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gridSpan w:val="2"/>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234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20"/>
                <w:szCs w:val="20"/>
                <w:color w:val="auto"/>
              </w:rPr>
              <w:t>2019</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2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2340" w:type="dxa"/>
            <w:vAlign w:val="bottom"/>
            <w:gridSpan w:val="5"/>
          </w:tcPr>
          <w:p>
            <w:pPr>
              <w:jc w:val="center"/>
              <w:ind w:right="501"/>
              <w:spacing w:after="0"/>
              <w:rPr>
                <w:sz w:val="20"/>
                <w:szCs w:val="20"/>
                <w:color w:val="auto"/>
              </w:rPr>
            </w:pPr>
            <w:r>
              <w:rPr>
                <w:rFonts w:ascii="Arial" w:cs="Arial" w:eastAsia="Arial" w:hAnsi="Arial"/>
                <w:sz w:val="20"/>
                <w:szCs w:val="20"/>
                <w:i w:val="1"/>
                <w:iCs w:val="1"/>
                <w:color w:val="auto"/>
                <w:w w:val="93"/>
              </w:rPr>
              <w:t>(Tons 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24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tcPr>
          <w:p>
            <w:pPr>
              <w:jc w:val="right"/>
              <w:spacing w:after="0"/>
              <w:rPr>
                <w:sz w:val="20"/>
                <w:szCs w:val="20"/>
                <w:color w:val="auto"/>
              </w:rPr>
            </w:pPr>
            <w:r>
              <w:rPr>
                <w:rFonts w:ascii="Arial" w:cs="Arial" w:eastAsia="Arial" w:hAnsi="Arial"/>
                <w:sz w:val="20"/>
                <w:szCs w:val="20"/>
                <w:color w:val="auto"/>
              </w:rPr>
              <w:t>16.5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tcPr>
          <w:p>
            <w:pPr>
              <w:jc w:val="right"/>
              <w:spacing w:after="0"/>
              <w:rPr>
                <w:sz w:val="20"/>
                <w:szCs w:val="20"/>
                <w:color w:val="auto"/>
              </w:rPr>
            </w:pPr>
            <w:r>
              <w:rPr>
                <w:rFonts w:ascii="Arial" w:cs="Arial" w:eastAsia="Arial" w:hAnsi="Arial"/>
                <w:sz w:val="20"/>
                <w:szCs w:val="20"/>
                <w:color w:val="auto"/>
              </w:rPr>
              <w:t>15.6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38.3</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4"/>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4"/>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Shipments for the Mid-America Group increased 4.3%. Robust warehouse and data center construction activity in Iowa and Indiana more than offset the anticipated lower infrastructure shipments in North Carolina. Geographic mix limited pricing growth to 1.4%. Shipments for the Southeast Group decreased 3.2% as significant rainfall hindered otherwise robust construction activity. Pricing growth of 4.7% reflected the underlying strength of the North Georgia and Florida markets. West Group shipments increased 2.5%, with double-digit growth in Colorado partially offset by weather-impacted construction delays in Texas. Pricing improved 3.7%.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9" w:lineRule="exact"/>
        <w:rPr>
          <w:sz w:val="20"/>
          <w:szCs w:val="20"/>
          <w:color w:val="auto"/>
        </w:rPr>
      </w:pPr>
    </w:p>
    <w:p>
      <w:pPr>
        <w:jc w:val="center"/>
        <w:ind w:left="758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580"/>
        <w:spacing w:after="0"/>
        <w:rPr>
          <w:sz w:val="20"/>
          <w:szCs w:val="20"/>
          <w:color w:val="auto"/>
        </w:rPr>
      </w:pPr>
      <w:r>
        <w:rPr>
          <w:rFonts w:ascii="Arial" w:cs="Arial" w:eastAsia="Arial" w:hAnsi="Arial"/>
          <w:sz w:val="20"/>
          <w:szCs w:val="20"/>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2020</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millions):</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380"/>
              <w:spacing w:after="0"/>
              <w:rPr>
                <w:sz w:val="20"/>
                <w:szCs w:val="20"/>
                <w:color w:val="auto"/>
              </w:rPr>
            </w:pPr>
            <w:r>
              <w:rPr>
                <w:rFonts w:ascii="Arial" w:cs="Arial" w:eastAsia="Arial" w:hAnsi="Arial"/>
                <w:sz w:val="20"/>
                <w:szCs w:val="20"/>
                <w:color w:val="auto"/>
              </w:rPr>
              <w:t>Tons to external customers</w:t>
            </w:r>
          </w:p>
        </w:tc>
        <w:tc>
          <w:tcPr>
            <w:tcW w:w="460" w:type="dxa"/>
            <w:vAlign w:val="bottom"/>
          </w:tcPr>
          <w:p>
            <w:pPr>
              <w:jc w:val="right"/>
              <w:spacing w:after="0"/>
              <w:rPr>
                <w:sz w:val="20"/>
                <w:szCs w:val="20"/>
                <w:color w:val="auto"/>
              </w:rPr>
            </w:pPr>
            <w:r>
              <w:rPr>
                <w:rFonts w:ascii="Arial" w:cs="Arial" w:eastAsia="Arial" w:hAnsi="Arial"/>
                <w:sz w:val="20"/>
                <w:szCs w:val="20"/>
                <w:color w:val="auto"/>
              </w:rPr>
              <w:t>36.0</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35.4</w:t>
            </w:r>
          </w:p>
        </w:tc>
        <w:tc>
          <w:tcPr>
            <w:tcW w:w="12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380"/>
              <w:spacing w:after="0"/>
              <w:rPr>
                <w:sz w:val="20"/>
                <w:szCs w:val="20"/>
                <w:color w:val="auto"/>
              </w:rPr>
            </w:pPr>
            <w:r>
              <w:rPr>
                <w:rFonts w:ascii="Arial" w:cs="Arial" w:eastAsia="Arial" w:hAnsi="Arial"/>
                <w:sz w:val="20"/>
                <w:szCs w:val="20"/>
                <w:color w:val="auto"/>
              </w:rPr>
              <w:t>Internal tons used in other product lines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120" w:type="dxa"/>
            <w:vAlign w:val="bottom"/>
            <w:shd w:val="clear" w:color="auto" w:fill="CFF0FC"/>
          </w:tcPr>
          <w:p>
            <w:pPr>
              <w:spacing w:after="0"/>
              <w:rPr>
                <w:sz w:val="21"/>
                <w:szCs w:val="21"/>
                <w:color w:val="auto"/>
              </w:rPr>
            </w:pPr>
          </w:p>
        </w:tc>
      </w:tr>
      <w:tr>
        <w:trPr>
          <w:trHeight w:val="277"/>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Total aggregates tons</w:t>
            </w:r>
          </w:p>
        </w:tc>
        <w:tc>
          <w:tcPr>
            <w:tcW w:w="1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38.3</w:t>
            </w:r>
          </w:p>
        </w:tc>
        <w:tc>
          <w:tcPr>
            <w:tcW w:w="280" w:type="dxa"/>
            <w:vAlign w:val="bottom"/>
            <w:tcBorders>
              <w:bottom w:val="single" w:sz="8" w:color="CFF0FC"/>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37.4</w:t>
            </w:r>
          </w:p>
        </w:tc>
        <w:tc>
          <w:tcPr>
            <w:tcW w:w="120" w:type="dxa"/>
            <w:vAlign w:val="bottom"/>
            <w:tcBorders>
              <w:bottom w:val="single" w:sz="8" w:color="CFF0FC"/>
            </w:tcBorders>
          </w:tcPr>
          <w:p>
            <w:pPr>
              <w:spacing w:after="0"/>
              <w:rPr>
                <w:sz w:val="24"/>
                <w:szCs w:val="24"/>
                <w:color w:val="auto"/>
              </w:rPr>
            </w:pPr>
          </w:p>
        </w:tc>
      </w:tr>
      <w:tr>
        <w:trPr>
          <w:trHeight w:val="223"/>
        </w:trPr>
        <w:tc>
          <w:tcPr>
            <w:tcW w:w="7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Cement (in millions):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Tons to external customers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12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460" w:type="dxa"/>
            <w:vAlign w:val="bottom"/>
          </w:tcPr>
          <w:p>
            <w:pPr>
              <w:jc w:val="right"/>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1"/>
                <w:szCs w:val="21"/>
                <w:color w:val="auto"/>
              </w:rPr>
            </w:pPr>
          </w:p>
        </w:tc>
      </w:tr>
      <w:tr>
        <w:trPr>
          <w:trHeight w:val="236"/>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8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millions of cubic yards)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120" w:type="dxa"/>
            <w:vAlign w:val="bottom"/>
            <w:shd w:val="clear" w:color="auto" w:fill="CFF0FC"/>
          </w:tcPr>
          <w:p>
            <w:pPr>
              <w:spacing w:after="0"/>
              <w:rPr>
                <w:sz w:val="21"/>
                <w:szCs w:val="21"/>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24"/>
        </w:trPr>
        <w:tc>
          <w:tcPr>
            <w:tcW w:w="7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8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millions):</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260"/>
              <w:spacing w:after="0"/>
              <w:rPr>
                <w:sz w:val="20"/>
                <w:szCs w:val="20"/>
                <w:color w:val="auto"/>
              </w:rPr>
            </w:pPr>
            <w:r>
              <w:rPr>
                <w:rFonts w:ascii="Arial" w:cs="Arial" w:eastAsia="Arial" w:hAnsi="Arial"/>
                <w:sz w:val="20"/>
                <w:szCs w:val="20"/>
                <w:color w:val="auto"/>
              </w:rPr>
              <w:t>Tons to external customers</w:t>
            </w:r>
          </w:p>
        </w:tc>
        <w:tc>
          <w:tcPr>
            <w:tcW w:w="460" w:type="dxa"/>
            <w:vAlign w:val="bottom"/>
          </w:tcPr>
          <w:p>
            <w:pPr>
              <w:jc w:val="right"/>
              <w:spacing w:after="0"/>
              <w:rPr>
                <w:sz w:val="20"/>
                <w:szCs w:val="20"/>
                <w:color w:val="auto"/>
              </w:rPr>
            </w:pPr>
            <w:r>
              <w:rPr>
                <w:rFonts w:ascii="Arial" w:cs="Arial" w:eastAsia="Arial" w:hAnsi="Arial"/>
                <w:sz w:val="20"/>
                <w:szCs w:val="20"/>
                <w:color w:val="auto"/>
              </w:rPr>
              <w:t>0.1</w:t>
            </w:r>
          </w:p>
        </w:tc>
        <w:tc>
          <w:tcPr>
            <w:tcW w:w="28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88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Internal tons used in paving business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20"/>
                <w:szCs w:val="20"/>
                <w:color w:val="auto"/>
              </w:rPr>
              <w:t>Total asphalt tons</w:t>
            </w:r>
          </w:p>
        </w:tc>
        <w:tc>
          <w:tcPr>
            <w:tcW w:w="1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60" w:type="dxa"/>
            <w:vAlign w:val="bottom"/>
            <w:gridSpan w:val="4"/>
          </w:tcPr>
          <w:p>
            <w:pPr>
              <w:jc w:val="center"/>
              <w:ind w:right="440"/>
              <w:spacing w:after="0"/>
              <w:rPr>
                <w:sz w:val="20"/>
                <w:szCs w:val="20"/>
                <w:color w:val="auto"/>
              </w:rPr>
            </w:pPr>
            <w:r>
              <w:rPr>
                <w:rFonts w:ascii="Arial" w:cs="Arial" w:eastAsia="Arial" w:hAnsi="Arial"/>
                <w:sz w:val="20"/>
                <w:szCs w:val="20"/>
                <w:color w:val="auto"/>
                <w:w w:val="89"/>
              </w:rPr>
              <w:t>Three Months Ended</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6"/>
        </w:trPr>
        <w:tc>
          <w:tcPr>
            <w:tcW w:w="56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20"/>
                <w:szCs w:val="20"/>
                <w:color w:val="auto"/>
                <w:w w:val="92"/>
              </w:rPr>
              <w:t>March 31,</w:t>
            </w:r>
          </w:p>
        </w:tc>
        <w:tc>
          <w:tcPr>
            <w:tcW w:w="13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6"/>
        </w:trPr>
        <w:tc>
          <w:tcPr>
            <w:tcW w:w="560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2019</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7"/>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14.42</w:t>
            </w:r>
          </w:p>
        </w:tc>
        <w:tc>
          <w:tcPr>
            <w:tcW w:w="3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2.7%</w:t>
            </w:r>
          </w:p>
        </w:tc>
      </w:tr>
      <w:tr>
        <w:trPr>
          <w:trHeight w:val="243"/>
        </w:trPr>
        <w:tc>
          <w:tcPr>
            <w:tcW w:w="5600" w:type="dxa"/>
            <w:vAlign w:val="bottom"/>
          </w:tcPr>
          <w:p>
            <w:pPr>
              <w:spacing w:after="0"/>
              <w:rPr>
                <w:sz w:val="20"/>
                <w:szCs w:val="20"/>
                <w:color w:val="auto"/>
              </w:rPr>
            </w:pPr>
            <w:r>
              <w:rPr>
                <w:rFonts w:ascii="Arial" w:cs="Arial" w:eastAsia="Arial" w:hAnsi="Arial"/>
                <w:sz w:val="20"/>
                <w:szCs w:val="20"/>
                <w:color w:val="auto"/>
              </w:rPr>
              <w:t>Cement (per ton)</w:t>
            </w:r>
          </w:p>
        </w:tc>
        <w:tc>
          <w:tcPr>
            <w:tcW w:w="1100" w:type="dxa"/>
            <w:vAlign w:val="bottom"/>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113.77</w:t>
            </w:r>
          </w:p>
        </w:tc>
        <w:tc>
          <w:tcPr>
            <w:tcW w:w="4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110.93</w:t>
            </w:r>
          </w:p>
        </w:tc>
        <w:tc>
          <w:tcPr>
            <w:tcW w:w="36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0"/>
                <w:szCs w:val="20"/>
                <w:color w:val="auto"/>
              </w:rPr>
              <w:t>2.6%</w:t>
            </w: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114.35</w:t>
            </w:r>
          </w:p>
        </w:tc>
        <w:tc>
          <w:tcPr>
            <w:tcW w:w="4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109.28</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4.6%</w:t>
            </w:r>
          </w:p>
        </w:tc>
      </w:tr>
      <w:tr>
        <w:trPr>
          <w:trHeight w:val="250"/>
        </w:trPr>
        <w:tc>
          <w:tcPr>
            <w:tcW w:w="5600" w:type="dxa"/>
            <w:vAlign w:val="bottom"/>
          </w:tcPr>
          <w:p>
            <w:pPr>
              <w:spacing w:after="0"/>
              <w:rPr>
                <w:sz w:val="20"/>
                <w:szCs w:val="20"/>
                <w:color w:val="auto"/>
              </w:rPr>
            </w:pPr>
            <w:r>
              <w:rPr>
                <w:rFonts w:ascii="Arial" w:cs="Arial" w:eastAsia="Arial" w:hAnsi="Arial"/>
                <w:sz w:val="20"/>
                <w:szCs w:val="20"/>
                <w:color w:val="auto"/>
              </w:rPr>
              <w:t>Asphalt (per ton)</w:t>
            </w:r>
          </w:p>
        </w:tc>
        <w:tc>
          <w:tcPr>
            <w:tcW w:w="1100" w:type="dxa"/>
            <w:vAlign w:val="bottom"/>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45.43</w:t>
            </w:r>
          </w:p>
        </w:tc>
        <w:tc>
          <w:tcPr>
            <w:tcW w:w="4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45.92</w:t>
            </w:r>
          </w:p>
        </w:tc>
        <w:tc>
          <w:tcPr>
            <w:tcW w:w="36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(1.1)%</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infrastructure market increased, driven by large projects in Texas, Colorado, Iowa and Indiana. The infrastructure market accounted for 32% of first-quarter aggregates shipments, which is below the Company’s most recent ten-year annual average of 45% but consistent with historical first-quarter trends.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Aggregates shipments to the nonresidential market increased modestly following double-digit growth in commercial and heavy industrial construction activity in the prior-year quarter. The Company continued to benefit from distribution center, warehouse and data center projects in key geographies, including Texas, Colorado, Georgia, Florida and Iowa, as well as the early phases of several large energy-sector projects along the Gulf Coast. The nonresidential market represented 36% of first-quarter aggregates shipments.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residential market declined slightly when compared with the robust growth in homebuilding activity in the prior-year quarter. Ongoing homebuilding activity in Texas and Georgia was hindered by significant rainfall during first-quarter 2020. The residential market accounted for 25% of first-quarter aggregates shipments.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7% of first-quarter aggregates shipments. Volumes to this end use increased, driven by improved ballast shipments to the Class I western railroads and higher agricultural lime shipments.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First-quarter aggregates shipments and pricing increased 2.3% and 2.7%, respectively, compared with the prior-year period. Aggregates product gross margin declined 160 basis points to 16.4%, despite improved operating leverage, largely driven by a $15.2 million, or 260 basis points, year-over-year impact of lower unit production costs on aggregates inventory standards.</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First-quarter cement shipments increased 5.2% and pricing improved 2.6% compared with the prior-year period. Pricing gains and production efficiencies from increased shipment and production levels, coupled with lower maintenance costs, contributed to the 1,170-basis-point expansion in cement product gross margin to 25.6%.</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Ready mixed concrete pricing improved 4.6% while shipments declined 14.1% in the first quarter as compared with the prior-year period, primarily attributable to weather-impacted project delays in Texas that more than offset double-digit growth in Colorado. Asphalt volume increased 80.6% attributable to favorable weather compared with the prior-year period. Asphalt pricing decreased 1.1% due to unfavorable product mix.</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Magnesia Specialties product revenues decreased 13.4% to $59.9 million, consistent with expectations and driven by continued declines in chemicals products as international customers rationalize inventory levels. Lime shipments to the steel industry were flat. Product gross profit was $26.1 million compared with $26.6 million. Product gross margin improved 500 basis points to 43.5% due to lower energy costs and effective cost control measures. Earnings from operations were $21.7 million compared with $22.6 million.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SG&amp;A was 8.2% of total revenues compared with 8.3% in the prior-year quarter. Earnings from operations for the quarter were $57.8 million in 2020 compared with $69.2 million in 2019.</w:t>
      </w:r>
    </w:p>
    <w:p>
      <w:pPr>
        <w:spacing w:after="0" w:line="6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first quarter, consolidated other operating expenses and income, net, was an expense of $5.6 million in 2020 and income of $4.7 million in 2019. The expense in 2020 included higher bad debt expense and lower gains on sales of assets compared with the prior year. The income in 2019 reflected the reversal of $4.2 million of accruals for unclaimed property contingencies.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Other nonoperating income and expenses, net, includes interest income; pension and postretirement benefit cost, excluding service cost; foreign currency transaction gains and losses; equity in earnings or losses of nonconsolidated affiliates and other miscellaneous income and expenses. For the first quarter, other nonoperating expenses and income, net, was expense of $2.0 million and income of $1.6 million in 2020 and 2019, respectively. The 2020 expense included $5.6 million to finance third-party railroad maintenance.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 (Benefit)</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three months ended March 31, 2020, the effective income tax rate included a $6.9 million discrete benefit from financing third-party railroad maintenance. In exchange, the Company received a federal income tax credit and deduction. For the three months ended March 31, 2019, the effective income tax rate included a $13.2 million discrete benefit from a change in the tax status of a subsidiary from a partnership to a corporation, contributing to an overall income tax benefit of $5.0 million.</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three months ended March 31, cash provided by operating activities was $106.7 million in 2020 compared with $117.9 million in 2019. Operating cash flow is primarily derived from consolidated net earnings before deducting depreciation, depletion and amortization, and the impact of changes in working capital. Depreciation, depletion and amortization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spacing w:after="0"/>
              <w:rPr>
                <w:sz w:val="21"/>
                <w:szCs w:val="21"/>
                <w:color w:val="auto"/>
              </w:rPr>
            </w:pPr>
          </w:p>
        </w:tc>
        <w:tc>
          <w:tcPr>
            <w:tcW w:w="2940" w:type="dxa"/>
            <w:vAlign w:val="bottom"/>
            <w:gridSpan w:val="5"/>
          </w:tcPr>
          <w:p>
            <w:pPr>
              <w:jc w:val="center"/>
              <w:ind w:left="361"/>
              <w:spacing w:after="0"/>
              <w:rPr>
                <w:sz w:val="20"/>
                <w:szCs w:val="20"/>
                <w:color w:val="auto"/>
              </w:rPr>
            </w:pPr>
            <w:r>
              <w:rPr>
                <w:rFonts w:ascii="Arial" w:cs="Arial" w:eastAsia="Arial" w:hAnsi="Arial"/>
                <w:sz w:val="20"/>
                <w:szCs w:val="20"/>
                <w:color w:val="auto"/>
                <w:w w:val="89"/>
              </w:rPr>
              <w:t>Three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7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ind w:right="543"/>
              <w:spacing w:after="0"/>
              <w:rPr>
                <w:sz w:val="20"/>
                <w:szCs w:val="20"/>
                <w:color w:val="auto"/>
              </w:rPr>
            </w:pPr>
            <w:r>
              <w:rPr>
                <w:rFonts w:ascii="Arial" w:cs="Arial" w:eastAsia="Arial" w:hAnsi="Arial"/>
                <w:sz w:val="20"/>
                <w:szCs w:val="20"/>
                <w:color w:val="auto"/>
                <w:w w:val="92"/>
              </w:rPr>
              <w:t>March 31,</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7700" w:type="dxa"/>
            <w:vAlign w:val="bottom"/>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2020</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20"/>
                <w:szCs w:val="20"/>
                <w:color w:val="auto"/>
              </w:rPr>
              <w:t>2019</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700" w:type="dxa"/>
            <w:vAlign w:val="bottom"/>
          </w:tcPr>
          <w:p>
            <w:pPr>
              <w:spacing w:after="0"/>
              <w:rPr>
                <w:sz w:val="20"/>
                <w:szCs w:val="20"/>
                <w:color w:val="auto"/>
              </w:rPr>
            </w:pPr>
          </w:p>
        </w:tc>
        <w:tc>
          <w:tcPr>
            <w:tcW w:w="2940" w:type="dxa"/>
            <w:vAlign w:val="bottom"/>
            <w:gridSpan w:val="5"/>
          </w:tcPr>
          <w:p>
            <w:pPr>
              <w:jc w:val="center"/>
              <w:ind w:left="361"/>
              <w:spacing w:after="0"/>
              <w:rPr>
                <w:sz w:val="20"/>
                <w:szCs w:val="20"/>
                <w:color w:val="auto"/>
              </w:rPr>
            </w:pPr>
            <w:r>
              <w:rPr>
                <w:rFonts w:ascii="Arial" w:cs="Arial" w:eastAsia="Arial" w:hAnsi="Arial"/>
                <w:sz w:val="20"/>
                <w:szCs w:val="20"/>
                <w:i w:val="1"/>
                <w:iCs w:val="1"/>
                <w:color w:val="auto"/>
                <w:w w:val="97"/>
              </w:rPr>
              <w:t>(Dollars in Millions)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903"/>
              <w:spacing w:after="0"/>
              <w:rPr>
                <w:sz w:val="20"/>
                <w:szCs w:val="20"/>
                <w:color w:val="auto"/>
              </w:rPr>
            </w:pPr>
            <w:r>
              <w:rPr>
                <w:rFonts w:ascii="Arial" w:cs="Arial" w:eastAsia="Arial" w:hAnsi="Arial"/>
                <w:sz w:val="20"/>
                <w:szCs w:val="2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78.1</w:t>
            </w:r>
          </w:p>
        </w:tc>
        <w:tc>
          <w:tcPr>
            <w:tcW w:w="12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Depletion</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7.0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5.9</w:t>
            </w:r>
          </w:p>
        </w:tc>
        <w:tc>
          <w:tcPr>
            <w:tcW w:w="120" w:type="dxa"/>
            <w:vAlign w:val="bottom"/>
          </w:tcPr>
          <w:p>
            <w:pPr>
              <w:spacing w:after="0"/>
              <w:rPr>
                <w:sz w:val="21"/>
                <w:szCs w:val="2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11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w:t>
            </w:r>
          </w:p>
        </w:tc>
        <w:tc>
          <w:tcPr>
            <w:tcW w:w="120" w:type="dxa"/>
            <w:vAlign w:val="bottom"/>
            <w:shd w:val="clear" w:color="auto" w:fill="CFF0FC"/>
          </w:tcPr>
          <w:p>
            <w:pPr>
              <w:spacing w:after="0"/>
              <w:rPr>
                <w:sz w:val="21"/>
                <w:szCs w:val="2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20"/>
                <w:szCs w:val="20"/>
                <w:color w:val="auto"/>
              </w:rPr>
              <w:t>Total</w:t>
            </w: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89.2</w:t>
            </w:r>
          </w:p>
        </w:tc>
        <w:tc>
          <w:tcPr>
            <w:tcW w:w="12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2019 net cash provided by operating activities was $966.1 million.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During the three months ended March 31, 2020, the Company paid $104.1 million for capital investments.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repurchased 210,616 shares of common stock during the first three months of 2020, at an aggregate cost of $50.0 million. At March 31, 2020, 13,520,952 shares of common stock were remaining under the Company’s repurchase authorization. Future share repurchases are at the discretion of management and have been temporarily suspended as of March 2020 in light of the COVID-19 pandemic subject to management’s determination to resume repurchases.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March 5, 2020, the Company issued $500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intends to use the net proceeds for general corporate purposes, including the repayment at maturity of $300 million of existing floating rate notes due May 2020.</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 has a $700 million five-year senior unsecured revolving facility (the Revolving Facility), which expires on December 5, 2024. The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$400 million trade receivable securitization facility (the Trade Receivable Facility) held by the Company’s wholly-owned special-purpose subsidiary,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March 31, 2020, the Company’s ratio of consolidated debt-to-consolidated EBITDA, as defined by the Company’s Revolving Facility, for the trailing-twelve months was 2.56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20"/>
                <w:szCs w:val="20"/>
                <w:color w:val="auto"/>
                <w:w w:val="93"/>
              </w:rPr>
              <w:t>April 1, 2019 to</w:t>
            </w:r>
          </w:p>
        </w:tc>
        <w:tc>
          <w:tcPr>
            <w:tcW w:w="0" w:type="dxa"/>
            <w:vAlign w:val="bottom"/>
          </w:tcPr>
          <w:p>
            <w:pPr>
              <w:spacing w:after="0"/>
              <w:rPr>
                <w:sz w:val="1"/>
                <w:szCs w:val="1"/>
                <w:color w:val="auto"/>
              </w:rPr>
            </w:pPr>
          </w:p>
        </w:tc>
      </w:tr>
      <w:tr>
        <w:trPr>
          <w:trHeight w:val="246"/>
        </w:trPr>
        <w:tc>
          <w:tcPr>
            <w:tcW w:w="7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20"/>
                <w:szCs w:val="20"/>
                <w:color w:val="auto"/>
                <w:w w:val="90"/>
              </w:rPr>
              <w:t>March 31, 2020</w:t>
            </w: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center"/>
              <w:ind w:right="121"/>
              <w:spacing w:after="0"/>
              <w:rPr>
                <w:sz w:val="20"/>
                <w:szCs w:val="20"/>
                <w:color w:val="auto"/>
              </w:rPr>
            </w:pPr>
            <w:r>
              <w:rPr>
                <w:rFonts w:ascii="Arial" w:cs="Arial" w:eastAsia="Arial" w:hAnsi="Arial"/>
                <w:sz w:val="20"/>
                <w:szCs w:val="20"/>
                <w:i w:val="1"/>
                <w:iCs w:val="1"/>
                <w:color w:val="auto"/>
                <w:w w:val="97"/>
              </w:rPr>
              <w:t>(Dollars in Millions)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240" w:type="dxa"/>
            <w:vAlign w:val="bottom"/>
            <w:gridSpan w:val="2"/>
            <w:shd w:val="clear" w:color="auto" w:fill="CFF0FC"/>
          </w:tcPr>
          <w:p>
            <w:pPr>
              <w:jc w:val="right"/>
              <w:ind w:right="43"/>
              <w:spacing w:after="0"/>
              <w:rPr>
                <w:sz w:val="20"/>
                <w:szCs w:val="20"/>
                <w:color w:val="auto"/>
              </w:rPr>
            </w:pPr>
            <w:r>
              <w:rPr>
                <w:rFonts w:ascii="Arial" w:cs="Arial" w:eastAsia="Arial" w:hAnsi="Arial"/>
                <w:sz w:val="20"/>
                <w:szCs w:val="20"/>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595.0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0"/>
                <w:szCs w:val="20"/>
                <w:color w:val="auto"/>
              </w:rPr>
            </w:pPr>
            <w:r>
              <w:rPr>
                <w:rFonts w:ascii="Arial" w:cs="Arial" w:eastAsia="Arial" w:hAnsi="Arial"/>
                <w:sz w:val="20"/>
                <w:szCs w:val="20"/>
                <w:color w:val="auto"/>
              </w:rPr>
              <w:t>Add back:</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w:t>
            </w: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141.4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126.2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expense and noncash</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8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nonconsolidated equity affiliate adjustment</w:t>
            </w: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389.2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60"/>
              <w:spacing w:after="0"/>
              <w:rPr>
                <w:sz w:val="20"/>
                <w:szCs w:val="20"/>
                <w:color w:val="auto"/>
              </w:rPr>
            </w:pPr>
            <w:r>
              <w:rPr>
                <w:rFonts w:ascii="Arial" w:cs="Arial" w:eastAsia="Arial" w:hAnsi="Arial"/>
                <w:sz w:val="20"/>
                <w:szCs w:val="20"/>
                <w:color w:val="auto"/>
              </w:rPr>
              <w:t>Stock-based compensation expense</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33.1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0"/>
                <w:szCs w:val="20"/>
                <w:color w:val="auto"/>
              </w:rPr>
            </w:pPr>
            <w:r>
              <w:rPr>
                <w:rFonts w:ascii="Arial" w:cs="Arial" w:eastAsia="Arial" w:hAnsi="Arial"/>
                <w:sz w:val="20"/>
                <w:szCs w:val="20"/>
                <w:color w:val="auto"/>
              </w:rPr>
              <w:t>Deduct: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income</w:t>
            </w: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77"/>
        </w:trPr>
        <w:tc>
          <w:tcPr>
            <w:tcW w:w="78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1040" w:type="dxa"/>
            <w:vAlign w:val="bottom"/>
            <w:tcBorders>
              <w:bottom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1,284.4</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82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net debt, as defined and including debt for which the Company</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8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is a co-borrower, at March 31, 2020</w:t>
            </w:r>
          </w:p>
        </w:tc>
        <w:tc>
          <w:tcPr>
            <w:tcW w:w="1240" w:type="dxa"/>
            <w:vAlign w:val="bottom"/>
            <w:gridSpan w:val="2"/>
            <w:shd w:val="clear" w:color="auto" w:fill="CFF0FC"/>
          </w:tcPr>
          <w:p>
            <w:pPr>
              <w:jc w:val="right"/>
              <w:ind w:right="43"/>
              <w:spacing w:after="0"/>
              <w:rPr>
                <w:sz w:val="20"/>
                <w:szCs w:val="20"/>
                <w:color w:val="auto"/>
              </w:rPr>
            </w:pPr>
            <w:r>
              <w:rPr>
                <w:rFonts w:ascii="Arial" w:cs="Arial" w:eastAsia="Arial" w:hAnsi="Arial"/>
                <w:sz w:val="20"/>
                <w:szCs w:val="20"/>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3,283.0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Consolidated debt-to-consolidated EBITDA, as defined by the Company’s Revolving</w:t>
            </w:r>
          </w:p>
        </w:tc>
        <w:tc>
          <w:tcPr>
            <w:tcW w:w="1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820" w:type="dxa"/>
            <w:vAlign w:val="bottom"/>
          </w:tcPr>
          <w:p>
            <w:pPr>
              <w:ind w:left="200"/>
              <w:spacing w:after="0"/>
              <w:rPr>
                <w:sz w:val="20"/>
                <w:szCs w:val="20"/>
                <w:color w:val="auto"/>
              </w:rPr>
            </w:pPr>
            <w:r>
              <w:rPr>
                <w:rFonts w:ascii="Arial" w:cs="Arial" w:eastAsia="Arial" w:hAnsi="Arial"/>
                <w:sz w:val="20"/>
                <w:szCs w:val="20"/>
                <w:color w:val="auto"/>
              </w:rPr>
              <w:t>Facility, at March 31, 2020 for the trailing-twelve months EBITDA</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right"/>
              <w:ind w:right="140"/>
              <w:spacing w:after="0"/>
              <w:rPr>
                <w:sz w:val="20"/>
                <w:szCs w:val="20"/>
                <w:color w:val="auto"/>
              </w:rPr>
            </w:pPr>
            <w:r>
              <w:rPr>
                <w:rFonts w:ascii="Arial" w:cs="Arial" w:eastAsia="Arial" w:hAnsi="Arial"/>
                <w:sz w:val="20"/>
                <w:szCs w:val="20"/>
                <w:color w:val="auto"/>
              </w:rPr>
              <w:t>2.56 times</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when the repurchase program is resumed and allow for payment of dividends for the foreseeable future. Any future significant strategic acquisition for cash would likely require an appropriate balance of newly-issued equity with debt in order to maintain a composite investment-grade credit rating. At March 31, 2020, the Company had $757.7 million of unused borrowing capacity under its Revolving Facility and Trade Receivable Facility, subject to complying with the related leverage covenant. The Revolving Facility matures on December 5, 2024 and the Trade Receivable Facility expires September 23, 2020. The Company has $300 million of floating rate senior notes due in May 2020. Historically, the Company has successfully extended the maturity dates of these credit facilities. Further, other than the $300 million Floating Rate Senior Notes that mature in May 2020, for which the Company issued new 10-year notes in March 2020 to fund their repayment, the Company does not have any publicly-traded debt that matures prior to 2024. While the future impact of the COVID-19 pandemic is not currently quantifiable, management believes the Company’s liquidity is sufficient to meet its cash flow needs through the foreseeable future.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Coronavirus Aid, Relief and Economic Security Act (CARES Act) was signed into law in March 2020 and provides liquidity support for businesses. The CARES Act allows the Company to defer the payment of the 6.2% employer share of Social Security taxes for the period from March 27, 2020 through December 31, 2020. Half of the deferred obligation will be due December 31, 2021 and the remaining half will be due December 31, 2022. There will be no interest assessed on amounts deferred. The Company estimates it will defer payment of approximately $25 million under this provision.</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CARES Act also provides a quarterly refundable employee retention credit if companies suspend operations due to government restrictions or experience a 50% or more decline in quarterly revenues compared with the prior-year quarter. The credit is equal to 50% of qualified wages, up to $10,000 per employee who is not performing services to the Company. While the Company has had minimal short-term shutdowns related to the COVID-19 pandemic such that the Company has not utilized this aid, if future shutdowns are mandated and more extensive, the Company would be eligible to claim this credit.</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CARES Act also includes other provisions, including increasing the interest expense deduction limitation to 50% of adjusted taxable income and providing a credit facility for investment-grade companies. The Company does not currently expect the interest expense deduction provision to result in a change in its ability to take a full income tax deduction. The Company also believes it has adequate liquidity and does not currently expect to utilize the credit facility.</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Additionally, the Internal Revenue Service and many of the state revenue departments have issued guidance allowing companies to defer tax payments normally due on or after April 1, 2020 but before July 15, 2020 to July 15, 2020. As such, the Company has elected to defer the majority of its 2020 estimated income tax payments that were due April 15, 2020 until July 15, 2020, and plans to defer its second quarter 2020 estimated tax payments from June 15, 2020 to July 15, 2020.</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The Company outlined the risks associated with its business in its Annual Report on Form 10-K for the year ended December 31, 2019. Management continues to evaluate its exposure to all operating risks on an ongoing basis. A discussion of risks and uncertainties related to the COVID-19 pandemic are included in </w:t>
      </w:r>
      <w:hyperlink w:anchor="page38">
        <w:r>
          <w:rPr>
            <w:rFonts w:ascii="Arial" w:cs="Arial" w:eastAsia="Arial" w:hAnsi="Arial"/>
            <w:sz w:val="20"/>
            <w:szCs w:val="20"/>
            <w:u w:val="single" w:color="auto"/>
            <w:color w:val="0000EE"/>
          </w:rPr>
          <w:t>Part II, Item 1A Risk Factors</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of this report.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Of the Company’s three primary end uses, the outlook for infrastructure construction, particularly for aggregates-intensive highways and streets, is expected to be the most near-term resilient. While the majority of the United States has currently been ordered to shelter in place, most state Departments of Transportation (DOTs) are currently operational and continue to advance current and planned transportation projects, capitalizing on the reduction of vehicles on the road and related traffic congestion. Florida, for example, recently announced plans to accelerate $2.1 billion of critical transportation projects. That said, state DOTs are experiencing lower tax revenue collections and states may have other short-term funding needs relating to the COVID-19 impact that may impact decrease the scale and/or postpone the timing of future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-612140</wp:posOffset>
            </wp:positionV>
            <wp:extent cx="482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ability of the Company to face challenges, including those posed by the COVID-19 pandemic and implementation of any such related response plans; 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 the duration, impact and severity of the impact of the COVID-19 pandemic on the Company, including the markets in which the Company does business, its suppliers, customers or other business partners as well as the Company’s employees; the economic impact of government responses to the pandemic; the performance of the United States economy, including the impact on the economy of the COVID-19 pandemic and governmental orders restricting activities imposed to prevent further outbreak of COVID-19;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public construction; the level and timing of federal, state or local transportation or infrastructure or public projects funding, most particularly in Texas, Colorado, North Carolina, Georgia, Iowa and Maryland; the impact of governmental orders restricting activities imposed to prevent further outbreak of COVID-19 on travel, potentially reducing state fuel tax revenues used to fund highway projects;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including a decline resulting from economic distress related to the COVID-19 pandemic; a decline in energy-related construction activity resulting from a sustained period of low global oil prices or changes in oil production patterns or capital spending in response to this decline, particularly in Texas; increasing residential mortgage rates and other factors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that could result in a slowdown in residential construction; 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 whether the Company’s operations will 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Carolinas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2019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March 31, 2020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First Quarter Ended March 31, 2020</w:t>
      </w:r>
    </w:p>
    <w:p>
      <w:pPr>
        <w:jc w:val="center"/>
        <w:ind w:right="-19"/>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fiscal year ended December 31, 2019, by writing to:</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impact of the COVID-19 pandemic on the global and domestic economy is currently not fully known. The Company’s operations have to date been considered “essential” operations under applicable governmental orders that restrict activities in an effort to prevent further outbreak of COVID-19. As such, the Company is conducting business with certain modifications, including having non-operational personnel working remotely; limiting site access to necessary employees and critical third parties; engaging medical experts to screen those who may have had COVID-19 exposure before allowing access to sites; enhancing the cleaning and disinfection of equipment and common areas, including engaging third-party specialists to disinfect work spaces; and issuing a quarantine policy requiring employees with COVID-19 symptoms to stay home for at least 14 days, among other things. The Company continues to actively monitor the situation and may take further actions that alter its business operations including any that may be required by federal, state or local authorities or that the Company determines are in the best interests of its employees, customers, suppliers, vendors, communities and other stakeholders.</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Demand for aggregates products, particularly in the infrastructure construction market, is affected by federal, state and local budget and deficit issues. Remote working and stay-at-home orders and other guidelines are reducing miles driven, which is having a negative impact on various revenue streams that fund roadway projects. Further, delays or cancellations of projects in the nonresidential and residential construction markets could occur if companies and consumers are unable to obtain financing for construction projects or if consumer confidence continues to be eroded by economic uncertainty. Additionally, homebuilders may be reluctant to commence new housing development projects until there is greater clarity on the overall economic impact of COVID-19. The residential construction market accounted for 22% of the Company’s aggregates shipments in 2019 and 25% in the first quarter of 2020.</w:t>
      </w:r>
    </w:p>
    <w:p>
      <w:pPr>
        <w:spacing w:after="0" w:line="6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Variable-Rate Borrowing Facilities. </w:t>
      </w:r>
      <w:r>
        <w:rPr>
          <w:rFonts w:ascii="Arial" w:cs="Arial" w:eastAsia="Arial" w:hAnsi="Arial"/>
          <w:sz w:val="18"/>
          <w:szCs w:val="18"/>
          <w:color w:val="auto"/>
        </w:rPr>
        <w:t>At March 31, 2020, the Company had a $700 million Revolving Facility and a $400 million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Facility. The Company also has $300 million variable-rate senior notes which matures May 2020. Borrowings under these facilities bear interest at a variable interest rate. A hypothetical 100-basis-point increase in interest rates on borrowings of $640 million, which was the collective outstanding balance at March 31, 2020, would increase interest expense by $6.4 million on an annual basis.</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Pension Expense. </w:t>
      </w:r>
      <w:r>
        <w:rPr>
          <w:rFonts w:ascii="Arial" w:cs="Arial" w:eastAsia="Arial" w:hAnsi="Arial"/>
          <w:sz w:val="16"/>
          <w:szCs w:val="16"/>
          <w:color w:val="auto"/>
        </w:rPr>
        <w:t>The Company’s results of operations are affected by its pension expense. Assumptions that affect pension expense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2019. While U.S Treasury yields declined in March 2020 due to the economic impact of COVID-19, high-quality corporate bond yields did not fluctuate as significantly as U.S. Treasury yields during the quarter ended March 31, 2020. However, the fair value of the Company’s pension assets has declined during the first quarter. Unless an event requires an interim remeasurement, the Company will next remeasure its pension obligation and funded status as of December 31, 2020. Any decrease in pension asset values will negatively impact 2021 pension expense.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a majority of its 2020 coal requirements. Energy costs for the three months ended March 31, 2020 decreased approximately 2.9% compared with the prior-year period due to the devaluation of crude oil starting in 2020; however, any future energy prices cannot be reliably predicted. A hypothetical 2.9% change in the Company’s energy prices for the full year 2020 as compared with 2019, assuming constant volumes, would change full year 2020 energy expense by $8.1 million.</w:t>
      </w:r>
    </w:p>
    <w:p>
      <w:pPr>
        <w:spacing w:after="0" w:line="8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full year 2019 total product revenues for cement of $439 million, a hypothetical 10% change in sales price would impact total revenues by $43.9 million.</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March 31, 2020, an evaluation was performed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March 31, 2020.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Certain legal proceedings in which the Company is involved are discussed in Note O to the consolidated financial statements and Part I, Item 3 of the Company’s Annual Report on Form 10-K for the year ended December 31, 2019. See also </w:t>
      </w:r>
      <w:r>
        <w:rPr>
          <w:rFonts w:ascii="Arial" w:cs="Arial" w:eastAsia="Arial" w:hAnsi="Arial"/>
          <w:sz w:val="20"/>
          <w:szCs w:val="20"/>
          <w:i w:val="1"/>
          <w:iCs w:val="1"/>
          <w:color w:val="auto"/>
        </w:rPr>
        <w:t>Note 8 Commitments and Contingencies,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Legal and Administrative Proceedings, </w:t>
      </w:r>
      <w:r>
        <w:rPr>
          <w:rFonts w:ascii="Arial" w:cs="Arial" w:eastAsia="Arial" w:hAnsi="Arial"/>
          <w:sz w:val="20"/>
          <w:szCs w:val="20"/>
          <w:color w:val="auto"/>
        </w:rPr>
        <w:t>of this Form 10-Q.</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The Company’s businesses could be adversely affected by the ongoing COVID-19 pandemic, or any other outbreak of disease, epidemic or pandemic, or similar public health threat, or fear of such an event and its related economic and societal response.</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could be negatively impacted by the widespread outbreak of an illness or any other communicable disease, or any other public health crisis that results in economic and trade disruptions. In or around December 2019, a novel strain of coronavirus (COVID-19) was initially reported and in March 2020, the World Health Organization declared COVID-19 a global pandemic. The spreading of COVID-19 and the related governmental orders limiting individuals’ movements and social gatherings as well as requiring many businesses to close for an undetermined period of time are negatively impacting economic activity, consumer confidence and discretionary spending, and market conditions. Further, COVID-19 could continue to negatively affect the health of the Company’s employees, employee productivity, customer purchasing patterns and fulfillment of purchase orders, availability of supplies, pricing for raw materials, and the ability to transport materials via the Company’s distribution network. While the Company’s operations have been treated as “essential” operations under applicable government orders restricting business activities imposed to prevent further outbreak of COVID-19, and accordingly have been permitted to continue to operate, it is possible that they may not continue to be so treated under future government orders, or, even if so treated, site-specific health and safety concerns might otherwise require certain of the Company’s operations to be halted for some period of time. The Company is monitoring the impact of COVID-19 on its operations and on the demand for its products. Due to economic uncertainty related to COVID-19, contractors and customers may delay advancing, or ultimately cancel, building projects. In addition, reduced travel due to remote working and stay-at-home practices, including as a result of governmental orders restricting activity, may continue to negatively impact fuel tax revenues that fund highway projects. While the Company does not currently expect that the virus will have a material adverse effect on its liquidity, it is unable to accurately and fully predict the impact that the COVID-19 will have on its results of operations due to various uncertainties, including the ultimate geographic spread of the virus, the severity of the disease, the duration of the outbreak, actions that may be taken by governmental authorities and other third-parties in response to COVID-19 and the timing and pace of any economic recovery as COVID-19 impacts ultimately abate.</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Other than the item listed above, there have been no material changes in the risk factors disclosed in </w:t>
      </w:r>
      <w:r>
        <w:rPr>
          <w:rFonts w:ascii="Arial" w:cs="Arial" w:eastAsia="Arial" w:hAnsi="Arial"/>
          <w:sz w:val="19"/>
          <w:szCs w:val="19"/>
          <w:i w:val="1"/>
          <w:iCs w:val="1"/>
          <w:color w:val="auto"/>
        </w:rPr>
        <w:t>Part I. Item 1A. Risk Factors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Forward-Looking Statements </w:t>
      </w:r>
      <w:r>
        <w:rPr>
          <w:rFonts w:ascii="Arial" w:cs="Arial" w:eastAsia="Arial" w:hAnsi="Arial"/>
          <w:sz w:val="19"/>
          <w:szCs w:val="19"/>
          <w:color w:val="auto"/>
        </w:rPr>
        <w:t>of the Martin Marietta Annual Report on Form 10-K for the year ended December 31, 2019.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60" w:type="dxa"/>
            <w:vAlign w:val="bottom"/>
            <w:gridSpan w:val="2"/>
          </w:tcPr>
          <w:p>
            <w:pPr>
              <w:jc w:val="center"/>
              <w:ind w:left="141"/>
              <w:spacing w:after="0"/>
              <w:rPr>
                <w:sz w:val="20"/>
                <w:szCs w:val="20"/>
                <w:color w:val="auto"/>
              </w:rPr>
            </w:pPr>
            <w:r>
              <w:rPr>
                <w:rFonts w:ascii="Arial" w:cs="Arial" w:eastAsia="Arial" w:hAnsi="Arial"/>
                <w:sz w:val="20"/>
                <w:szCs w:val="20"/>
                <w:color w:val="auto"/>
                <w:w w:val="88"/>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3"/>
        </w:trPr>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5"/>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3"/>
        </w:trPr>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w w:val="96"/>
              </w:rPr>
              <w:t>Total Number of</w:t>
            </w: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w w:val="89"/>
              </w:rPr>
              <w:t>Average Price</w:t>
            </w: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91"/>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6"/>
        </w:trPr>
        <w:tc>
          <w:tcPr>
            <w:tcW w:w="4040" w:type="dxa"/>
            <w:vAlign w:val="bottom"/>
            <w:gridSpan w:val="2"/>
          </w:tcPr>
          <w:p>
            <w:pPr>
              <w:ind w:left="1680"/>
              <w:spacing w:after="0"/>
              <w:rPr>
                <w:sz w:val="20"/>
                <w:szCs w:val="20"/>
                <w:color w:val="auto"/>
              </w:rPr>
            </w:pPr>
            <w:r>
              <w:rPr>
                <w:rFonts w:ascii="Arial" w:cs="Arial" w:eastAsia="Arial" w:hAnsi="Arial"/>
                <w:sz w:val="20"/>
                <w:szCs w:val="20"/>
                <w:color w:val="auto"/>
              </w:rPr>
              <w:t>Period</w:t>
            </w:r>
          </w:p>
        </w:tc>
        <w:tc>
          <w:tcPr>
            <w:tcW w:w="1480" w:type="dxa"/>
            <w:vAlign w:val="bottom"/>
          </w:tcPr>
          <w:p>
            <w:pPr>
              <w:jc w:val="right"/>
              <w:spacing w:after="0"/>
              <w:rPr>
                <w:sz w:val="20"/>
                <w:szCs w:val="20"/>
                <w:color w:val="auto"/>
              </w:rPr>
            </w:pPr>
            <w:r>
              <w:rPr>
                <w:rFonts w:ascii="Arial" w:cs="Arial" w:eastAsia="Arial" w:hAnsi="Arial"/>
                <w:sz w:val="20"/>
                <w:szCs w:val="20"/>
                <w:color w:val="auto"/>
                <w:w w:val="85"/>
              </w:rPr>
              <w:t>Shares Purchased</w:t>
            </w: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w w:val="86"/>
              </w:rPr>
              <w:t>Paid per Share</w:t>
            </w: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Plans or Programs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86"/>
              </w:rPr>
              <w:t>the Plans or Programs</w:t>
            </w:r>
          </w:p>
        </w:tc>
      </w:tr>
      <w:tr>
        <w:trPr>
          <w:trHeight w:val="237"/>
        </w:trPr>
        <w:tc>
          <w:tcPr>
            <w:tcW w:w="39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January 1, 2020 - January 31, 2020</w:t>
            </w:r>
          </w:p>
        </w:tc>
        <w:tc>
          <w:tcPr>
            <w:tcW w:w="14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38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13,731,568</w:t>
            </w:r>
          </w:p>
        </w:tc>
        <w:tc>
          <w:tcPr>
            <w:tcW w:w="100" w:type="dxa"/>
            <w:vAlign w:val="bottom"/>
          </w:tcPr>
          <w:p>
            <w:pPr>
              <w:spacing w:after="0"/>
              <w:rPr>
                <w:sz w:val="20"/>
                <w:szCs w:val="20"/>
                <w:color w:val="auto"/>
              </w:rPr>
            </w:pPr>
          </w:p>
        </w:tc>
      </w:tr>
      <w:tr>
        <w:trPr>
          <w:trHeight w:val="243"/>
        </w:trPr>
        <w:tc>
          <w:tcPr>
            <w:tcW w:w="40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February 1, 2020 - February 28, 2020</w:t>
            </w: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88,600</w:t>
            </w:r>
          </w:p>
        </w:tc>
        <w:tc>
          <w:tcPr>
            <w:tcW w:w="640" w:type="dxa"/>
            <w:vAlign w:val="bottom"/>
            <w:gridSpan w:val="2"/>
            <w:shd w:val="clear" w:color="auto" w:fill="CFF0FC"/>
          </w:tcPr>
          <w:p>
            <w:pPr>
              <w:jc w:val="right"/>
              <w:ind w:right="1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234.48</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88,600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13,642,968</w:t>
            </w:r>
          </w:p>
        </w:tc>
        <w:tc>
          <w:tcPr>
            <w:tcW w:w="100" w:type="dxa"/>
            <w:vAlign w:val="bottom"/>
            <w:shd w:val="clear" w:color="auto" w:fill="CFF0FC"/>
          </w:tcPr>
          <w:p>
            <w:pPr>
              <w:spacing w:after="0"/>
              <w:rPr>
                <w:sz w:val="21"/>
                <w:szCs w:val="2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20"/>
                <w:szCs w:val="20"/>
                <w:color w:val="auto"/>
              </w:rPr>
              <w:t>March 1, 2020 - March 31, 2020</w:t>
            </w:r>
          </w:p>
        </w:tc>
        <w:tc>
          <w:tcPr>
            <w:tcW w:w="1480" w:type="dxa"/>
            <w:vAlign w:val="bottom"/>
          </w:tcPr>
          <w:p>
            <w:pPr>
              <w:jc w:val="right"/>
              <w:spacing w:after="0"/>
              <w:rPr>
                <w:sz w:val="20"/>
                <w:szCs w:val="20"/>
                <w:color w:val="auto"/>
              </w:rPr>
            </w:pPr>
            <w:r>
              <w:rPr>
                <w:rFonts w:ascii="Arial" w:cs="Arial" w:eastAsia="Arial" w:hAnsi="Arial"/>
                <w:sz w:val="20"/>
                <w:szCs w:val="20"/>
                <w:color w:val="auto"/>
              </w:rPr>
              <w:t>122,016</w:t>
            </w:r>
          </w:p>
        </w:tc>
        <w:tc>
          <w:tcPr>
            <w:tcW w:w="64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239.52</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122,016</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Pr>
          <w:p>
            <w:pPr>
              <w:spacing w:after="0"/>
              <w:rPr>
                <w:sz w:val="21"/>
                <w:szCs w:val="21"/>
                <w:color w:val="auto"/>
              </w:rPr>
            </w:pPr>
          </w:p>
        </w:tc>
      </w:tr>
      <w:tr>
        <w:trPr>
          <w:trHeight w:val="236"/>
        </w:trPr>
        <w:tc>
          <w:tcPr>
            <w:tcW w:w="4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210,616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CFF0FC"/>
              <w:bottom w:val="single" w:sz="8" w:color="CFF0FC"/>
            </w:tcBorders>
            <w:shd w:val="clear" w:color="auto" w:fill="CFF0FC"/>
          </w:tcPr>
          <w:p>
            <w:pPr>
              <w:spacing w:after="0"/>
              <w:rPr>
                <w:sz w:val="20"/>
                <w:szCs w:val="20"/>
                <w:color w:val="auto"/>
              </w:rPr>
            </w:pPr>
          </w:p>
        </w:tc>
        <w:tc>
          <w:tcPr>
            <w:tcW w:w="8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210,616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7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 but has been temporarily suspended in light of the COVID-19 pandemic.</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30"/>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3"/>
              </w:rPr>
              <w:t>FORM 10-Q</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89"/>
              </w:rPr>
              <w:t>For the Quarter Ended March 31, 2020</w:t>
            </w:r>
          </w:p>
        </w:tc>
      </w:tr>
      <w:tr>
        <w:trPr>
          <w:trHeight w:val="4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5"/>
              </w:rPr>
              <w:t>PART II- OTHER INFORMATION</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1"/>
              </w:rPr>
              <w:t>(Continued)</w:t>
            </w:r>
          </w:p>
        </w:tc>
      </w:tr>
      <w:tr>
        <w:trPr>
          <w:trHeight w:val="333"/>
        </w:trPr>
        <w:tc>
          <w:tcPr>
            <w:tcW w:w="11240" w:type="dxa"/>
            <w:vAlign w:val="bottom"/>
            <w:gridSpan w:val="4"/>
          </w:tcPr>
          <w:p>
            <w:pPr>
              <w:spacing w:after="0"/>
              <w:rPr>
                <w:sz w:val="20"/>
                <w:szCs w:val="20"/>
                <w:color w:val="auto"/>
              </w:rPr>
            </w:pPr>
            <w:r>
              <w:rPr>
                <w:rFonts w:ascii="Arial" w:cs="Arial" w:eastAsia="Arial" w:hAnsi="Arial"/>
                <w:sz w:val="20"/>
                <w:szCs w:val="20"/>
                <w:color w:val="auto"/>
              </w:rPr>
              <w:t>Item 6. Exhibits.</w:t>
            </w:r>
          </w:p>
        </w:tc>
      </w:tr>
      <w:tr>
        <w:trPr>
          <w:trHeight w:val="480"/>
        </w:trPr>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20"/>
                <w:szCs w:val="20"/>
                <w:color w:val="auto"/>
              </w:rPr>
              <w:t>Exhibit No.</w:t>
            </w:r>
          </w:p>
        </w:tc>
        <w:tc>
          <w:tcPr>
            <w:tcW w:w="160" w:type="dxa"/>
            <w:vAlign w:val="bottom"/>
            <w:tcBorders>
              <w:top w:val="single" w:sz="8" w:color="auto"/>
            </w:tcBorders>
          </w:tcPr>
          <w:p>
            <w:pPr>
              <w:spacing w:after="0"/>
              <w:rPr>
                <w:sz w:val="24"/>
                <w:szCs w:val="24"/>
                <w:color w:val="auto"/>
              </w:rPr>
            </w:pPr>
          </w:p>
        </w:tc>
        <w:tc>
          <w:tcPr>
            <w:tcW w:w="9920" w:type="dxa"/>
            <w:vAlign w:val="bottom"/>
          </w:tcPr>
          <w:p>
            <w:pPr>
              <w:ind w:left="4480"/>
              <w:spacing w:after="0"/>
              <w:rPr>
                <w:sz w:val="20"/>
                <w:szCs w:val="20"/>
                <w:color w:val="auto"/>
              </w:rPr>
            </w:pPr>
            <w:r>
              <w:rPr>
                <w:rFonts w:ascii="Arial" w:cs="Arial" w:eastAsia="Arial" w:hAnsi="Arial"/>
                <w:sz w:val="20"/>
                <w:szCs w:val="20"/>
                <w:color w:val="auto"/>
              </w:rPr>
              <w:t>Document</w:t>
            </w:r>
          </w:p>
        </w:tc>
      </w:tr>
      <w:tr>
        <w:trPr>
          <w:trHeight w:val="328"/>
        </w:trPr>
        <w:tc>
          <w:tcPr>
            <w:tcW w:w="1040" w:type="dxa"/>
            <w:vAlign w:val="bottom"/>
            <w:tcBorders>
              <w:top w:val="single" w:sz="8" w:color="auto"/>
            </w:tcBorders>
          </w:tcPr>
          <w:p>
            <w:pPr>
              <w:spacing w:after="0"/>
              <w:rPr>
                <w:rFonts w:ascii="Arial" w:cs="Arial" w:eastAsia="Arial" w:hAnsi="Arial"/>
                <w:sz w:val="20"/>
                <w:szCs w:val="20"/>
                <w:u w:val="single" w:color="auto"/>
                <w:color w:val="0000EE"/>
              </w:rPr>
            </w:pPr>
            <w:hyperlink r:id="rId56">
              <w:r>
                <w:rPr>
                  <w:rFonts w:ascii="Arial" w:cs="Arial" w:eastAsia="Arial" w:hAnsi="Arial"/>
                  <w:sz w:val="20"/>
                  <w:szCs w:val="20"/>
                  <w:u w:val="single" w:color="auto"/>
                  <w:color w:val="0000EE"/>
                </w:rPr>
                <w:t>4.1</w:t>
              </w:r>
            </w:hyperlink>
          </w:p>
        </w:tc>
        <w:tc>
          <w:tcPr>
            <w:tcW w:w="120" w:type="dxa"/>
            <w:vAlign w:val="bottom"/>
          </w:tcPr>
          <w:p>
            <w:pPr>
              <w:spacing w:after="0"/>
              <w:rPr>
                <w:sz w:val="24"/>
                <w:szCs w:val="24"/>
                <w:color w:val="auto"/>
              </w:rPr>
            </w:pPr>
          </w:p>
        </w:tc>
        <w:tc>
          <w:tcPr>
            <w:tcW w:w="100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3"/>
              </w:rPr>
              <w:t>Third Supplemental Indenture, dated as of March 16, 2020, between Martin Marietta Materials, Inc. and Regions Bank, as</w:t>
            </w:r>
          </w:p>
        </w:tc>
      </w:tr>
      <w:tr>
        <w:trPr>
          <w:trHeight w:val="229"/>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6"/>
              </w:rPr>
              <w:t>trustee, governing the Senior Notes issued by the Company on March 16, 2020, in the form of $500 million aggregate</w:t>
            </w:r>
          </w:p>
        </w:tc>
      </w:tr>
      <w:tr>
        <w:trPr>
          <w:trHeight w:val="230"/>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1"/>
              </w:rPr>
              <w:t>principal amount of 2.500% Senior Notes due 2030 (incorporated by reference to Exhibit 4.2 to the Martin Marietta Materials,</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Inc. Current Report on Form 8-K, filed on March 16, 2020 (Commission File No. 1-12744))</w:t>
            </w:r>
          </w:p>
        </w:tc>
      </w:tr>
      <w:tr>
        <w:trPr>
          <w:trHeight w:val="351"/>
        </w:trPr>
        <w:tc>
          <w:tcPr>
            <w:tcW w:w="1040" w:type="dxa"/>
            <w:vAlign w:val="bottom"/>
          </w:tcPr>
          <w:p>
            <w:pPr>
              <w:spacing w:after="0"/>
              <w:rPr>
                <w:rFonts w:ascii="Arial" w:cs="Arial" w:eastAsia="Arial" w:hAnsi="Arial"/>
                <w:sz w:val="20"/>
                <w:szCs w:val="20"/>
                <w:u w:val="single" w:color="auto"/>
                <w:color w:val="0000EE"/>
              </w:rPr>
            </w:pPr>
            <w:hyperlink r:id="rId56">
              <w:r>
                <w:rPr>
                  <w:rFonts w:ascii="Arial" w:cs="Arial" w:eastAsia="Arial" w:hAnsi="Arial"/>
                  <w:sz w:val="20"/>
                  <w:szCs w:val="20"/>
                  <w:u w:val="single" w:color="auto"/>
                  <w:color w:val="0000EE"/>
                </w:rPr>
                <w:t>4.2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Form of 2.500% Senior Notes due 2030 (contained in Exhibit 4.1)</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31.01</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3"/>
              </w:rPr>
              <w:t>Certification dated May 5, 2020 of Chief Executive Officer pursuant to Securities and Exchange Act of 1934 rule 13a-14 as</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44">
              <w:r>
                <w:rPr>
                  <w:rFonts w:ascii="Arial" w:cs="Arial" w:eastAsia="Arial" w:hAnsi="Arial"/>
                  <w:sz w:val="20"/>
                  <w:szCs w:val="20"/>
                  <w:u w:val="single" w:color="auto"/>
                  <w:color w:val="0000EE"/>
                </w:rPr>
                <w:t>31.02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3"/>
              </w:rPr>
              <w:t>Certification dated May 5, 2020 of Chief Financial Officer pursuant to Securities and Exchange Act of 1934 rule 13a-14 as</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46">
              <w:r>
                <w:rPr>
                  <w:rFonts w:ascii="Arial" w:cs="Arial" w:eastAsia="Arial" w:hAnsi="Arial"/>
                  <w:sz w:val="20"/>
                  <w:szCs w:val="20"/>
                  <w:u w:val="single" w:color="auto"/>
                  <w:color w:val="0000EE"/>
                </w:rPr>
                <w:t>32.01</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8"/>
              </w:rPr>
              <w:t>Written Statement dated May 5, 2020 of Chief Executive Officer required by 18 U.S.C. 1350, as adopted pursuant to</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47">
              <w:r>
                <w:rPr>
                  <w:rFonts w:ascii="Arial" w:cs="Arial" w:eastAsia="Arial" w:hAnsi="Arial"/>
                  <w:sz w:val="20"/>
                  <w:szCs w:val="20"/>
                  <w:u w:val="single" w:color="auto"/>
                  <w:color w:val="0000EE"/>
                </w:rPr>
                <w:t>32.02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8"/>
              </w:rPr>
              <w:t>Written Statement dated May 5, 2020 of Chief Financial Officer required by 18 U.S.C. 1350, as adopted pursuant to</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160" w:hanging="1152"/>
        <w:spacing w:after="0"/>
        <w:tabs>
          <w:tab w:leader="none" w:pos="1160" w:val="left"/>
        </w:tabs>
        <w:numPr>
          <w:ilvl w:val="0"/>
          <w:numId w:val="15"/>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10280" w:type="dxa"/>
            <w:vAlign w:val="bottom"/>
          </w:tcPr>
          <w:p>
            <w:pPr>
              <w:ind w:left="200"/>
              <w:spacing w:after="0"/>
              <w:rPr>
                <w:sz w:val="20"/>
                <w:szCs w:val="20"/>
                <w:color w:val="auto"/>
              </w:rPr>
            </w:pPr>
            <w:r>
              <w:rPr>
                <w:rFonts w:ascii="Arial" w:cs="Arial" w:eastAsia="Arial" w:hAnsi="Arial"/>
                <w:sz w:val="20"/>
                <w:szCs w:val="20"/>
                <w:color w:val="auto"/>
                <w:w w:val="90"/>
              </w:rPr>
              <w:t>Inline XBRL Instance Document – The instance document does not appear in the Interactive Data File because its XBRL tags</w:t>
            </w:r>
          </w:p>
        </w:tc>
      </w:tr>
      <w:tr>
        <w:trPr>
          <w:trHeight w:val="250"/>
        </w:trPr>
        <w:tc>
          <w:tcPr>
            <w:tcW w:w="960" w:type="dxa"/>
            <w:vAlign w:val="bottom"/>
          </w:tcPr>
          <w:p>
            <w:pPr>
              <w:spacing w:after="0"/>
              <w:rPr>
                <w:sz w:val="21"/>
                <w:szCs w:val="21"/>
                <w:color w:val="auto"/>
              </w:rPr>
            </w:pPr>
          </w:p>
        </w:tc>
        <w:tc>
          <w:tcPr>
            <w:tcW w:w="10280" w:type="dxa"/>
            <w:vAlign w:val="bottom"/>
          </w:tcPr>
          <w:p>
            <w:pPr>
              <w:ind w:left="200"/>
              <w:spacing w:after="0"/>
              <w:rPr>
                <w:sz w:val="20"/>
                <w:szCs w:val="20"/>
                <w:color w:val="auto"/>
              </w:rPr>
            </w:pPr>
            <w:r>
              <w:rPr>
                <w:rFonts w:ascii="Arial" w:cs="Arial" w:eastAsia="Arial" w:hAnsi="Arial"/>
                <w:sz w:val="20"/>
                <w:szCs w:val="20"/>
                <w:color w:val="auto"/>
              </w:rPr>
              <w:t>are embedded within the Inline XBRL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Schema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101" w:lineRule="exact"/>
        <w:rPr>
          <w:sz w:val="20"/>
          <w:szCs w:val="20"/>
          <w:color w:val="auto"/>
        </w:rPr>
      </w:pPr>
    </w:p>
    <w:p>
      <w:pPr>
        <w:ind w:left="1160" w:hanging="1152"/>
        <w:spacing w:after="0"/>
        <w:tabs>
          <w:tab w:leader="none" w:pos="11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2"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40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3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140" w:type="dxa"/>
            <w:vAlign w:val="bottom"/>
          </w:tcPr>
          <w:p>
            <w:pPr>
              <w:jc w:val="center"/>
              <w:ind w:right="1901"/>
              <w:spacing w:after="0"/>
              <w:rPr>
                <w:sz w:val="20"/>
                <w:szCs w:val="20"/>
                <w:color w:val="auto"/>
              </w:rPr>
            </w:pPr>
            <w:r>
              <w:rPr>
                <w:rFonts w:ascii="Arial" w:cs="Arial" w:eastAsia="Arial" w:hAnsi="Arial"/>
                <w:sz w:val="20"/>
                <w:szCs w:val="20"/>
                <w:color w:val="auto"/>
                <w:w w:val="89"/>
              </w:rPr>
              <w:t>(Registrant)</w:t>
            </w:r>
          </w:p>
        </w:tc>
      </w:tr>
      <w:tr>
        <w:trPr>
          <w:trHeight w:val="455"/>
        </w:trPr>
        <w:tc>
          <w:tcPr>
            <w:tcW w:w="3280" w:type="dxa"/>
            <w:vAlign w:val="bottom"/>
          </w:tcPr>
          <w:p>
            <w:pPr>
              <w:spacing w:after="0"/>
              <w:rPr>
                <w:sz w:val="20"/>
                <w:szCs w:val="20"/>
                <w:color w:val="auto"/>
              </w:rPr>
            </w:pPr>
            <w:r>
              <w:rPr>
                <w:rFonts w:ascii="Arial" w:cs="Arial" w:eastAsia="Arial" w:hAnsi="Arial"/>
                <w:sz w:val="20"/>
                <w:szCs w:val="20"/>
                <w:color w:val="auto"/>
              </w:rPr>
              <w:t>Date: May 5, 2020</w:t>
            </w:r>
          </w:p>
        </w:tc>
        <w:tc>
          <w:tcPr>
            <w:tcW w:w="7960" w:type="dxa"/>
            <w:vAlign w:val="bottom"/>
            <w:gridSpan w:val="2"/>
          </w:tcPr>
          <w:p>
            <w:pPr>
              <w:ind w:left="3420"/>
              <w:spacing w:after="0"/>
              <w:rPr>
                <w:sz w:val="20"/>
                <w:szCs w:val="20"/>
                <w:color w:val="auto"/>
              </w:rPr>
            </w:pPr>
            <w:r>
              <w:rPr>
                <w:rFonts w:ascii="Arial" w:cs="Arial" w:eastAsia="Arial" w:hAnsi="Arial"/>
                <w:sz w:val="20"/>
                <w:szCs w:val="20"/>
                <w:color w:val="auto"/>
              </w:rPr>
              <w:t>By: /s/ James A. J. Nickolas</w:t>
            </w:r>
          </w:p>
        </w:tc>
      </w:tr>
      <w:tr>
        <w:trPr>
          <w:trHeight w:val="206"/>
        </w:trPr>
        <w:tc>
          <w:tcPr>
            <w:tcW w:w="3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1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29"/>
        </w:trPr>
        <w:tc>
          <w:tcPr>
            <w:tcW w:w="3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3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140" w:type="dxa"/>
            <w:vAlign w:val="bottom"/>
          </w:tcPr>
          <w:p>
            <w:pPr>
              <w:jc w:val="center"/>
              <w:ind w:right="1881"/>
              <w:spacing w:after="0"/>
              <w:rPr>
                <w:sz w:val="20"/>
                <w:szCs w:val="20"/>
                <w:color w:val="auto"/>
              </w:rPr>
            </w:pPr>
            <w:r>
              <w:rPr>
                <w:rFonts w:ascii="Arial" w:cs="Arial" w:eastAsia="Arial" w:hAnsi="Arial"/>
                <w:sz w:val="20"/>
                <w:szCs w:val="20"/>
                <w:color w:val="auto"/>
                <w:w w:val="93"/>
              </w:rPr>
              <w:t>Chief Financial Officer</w:t>
            </w:r>
          </w:p>
        </w:tc>
      </w:tr>
      <w:tr>
        <w:trPr>
          <w:trHeight w:val="905"/>
        </w:trPr>
        <w:tc>
          <w:tcPr>
            <w:tcW w:w="3280" w:type="dxa"/>
            <w:vAlign w:val="bottom"/>
          </w:tcPr>
          <w:p>
            <w:pPr>
              <w:spacing w:after="0"/>
              <w:rPr>
                <w:sz w:val="24"/>
                <w:szCs w:val="24"/>
                <w:color w:val="auto"/>
              </w:rPr>
            </w:pPr>
          </w:p>
        </w:tc>
        <w:tc>
          <w:tcPr>
            <w:tcW w:w="7960" w:type="dxa"/>
            <w:vAlign w:val="bottom"/>
            <w:gridSpan w:val="2"/>
          </w:tcPr>
          <w:p>
            <w:pPr>
              <w:ind w:left="1800"/>
              <w:spacing w:after="0"/>
              <w:rPr>
                <w:sz w:val="20"/>
                <w:szCs w:val="20"/>
                <w:color w:val="auto"/>
              </w:rPr>
            </w:pPr>
            <w:r>
              <w:rPr>
                <w:rFonts w:ascii="Arial" w:cs="Arial" w:eastAsia="Arial" w:hAnsi="Arial"/>
                <w:sz w:val="20"/>
                <w:szCs w:val="20"/>
                <w:color w:val="auto"/>
              </w:rPr>
              <w:t>Page 41 of 41</w:t>
            </w:r>
          </w:p>
        </w:tc>
      </w:tr>
    </w:tbl>
    <w:p>
      <w:pPr>
        <w:sectPr>
          <w:pgSz w:w="11900" w:h="16838" w:orient="portrait"/>
          <w:cols w:equalWidth="0" w:num="1">
            <w:col w:w="11240"/>
          </w:cols>
          <w:pgMar w:left="320" w:top="35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42"/>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2" w:name="page43"/>
    <w:bookmarkEnd w:id="42"/>
    <w:p>
      <w:pPr>
        <w:spacing w:after="0" w:line="47" w:lineRule="exact"/>
        <w:rPr>
          <w:sz w:val="20"/>
          <w:szCs w:val="20"/>
          <w:color w:val="auto"/>
        </w:rPr>
      </w:pPr>
    </w:p>
    <w:p>
      <w:pPr>
        <w:jc w:val="both"/>
        <w:ind w:left="1300" w:hanging="442"/>
        <w:spacing w:after="0" w:line="250" w:lineRule="auto"/>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tcPr>
          <w:p>
            <w:pPr>
              <w:spacing w:after="0"/>
              <w:rPr>
                <w:sz w:val="20"/>
                <w:szCs w:val="20"/>
                <w:color w:val="auto"/>
              </w:rPr>
            </w:pPr>
            <w:r>
              <w:rPr>
                <w:rFonts w:ascii="Arial" w:cs="Arial" w:eastAsia="Arial" w:hAnsi="Arial"/>
                <w:sz w:val="20"/>
                <w:szCs w:val="20"/>
                <w:color w:val="auto"/>
              </w:rPr>
              <w:t>Date: May 5, 2020</w:t>
            </w:r>
          </w:p>
        </w:tc>
        <w:tc>
          <w:tcPr>
            <w:tcW w:w="7100" w:type="dxa"/>
            <w:vAlign w:val="bottom"/>
            <w:gridSpan w:val="2"/>
          </w:tcPr>
          <w:p>
            <w:pPr>
              <w:ind w:left="2620"/>
              <w:spacing w:after="0"/>
              <w:rPr>
                <w:sz w:val="20"/>
                <w:szCs w:val="20"/>
                <w:color w:val="auto"/>
              </w:rPr>
            </w:pPr>
            <w:r>
              <w:rPr>
                <w:rFonts w:ascii="Arial" w:cs="Arial" w:eastAsia="Arial" w:hAnsi="Arial"/>
                <w:sz w:val="20"/>
                <w:szCs w:val="20"/>
                <w:color w:val="auto"/>
              </w:rPr>
              <w:t>By:  /s/ C. Howard Nye</w:t>
            </w:r>
          </w:p>
        </w:tc>
      </w:tr>
      <w:tr>
        <w:trPr>
          <w:trHeight w:val="206"/>
        </w:trPr>
        <w:tc>
          <w:tcPr>
            <w:tcW w:w="4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29"/>
        </w:trPr>
        <w:tc>
          <w:tcPr>
            <w:tcW w:w="41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1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4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42"/>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4" w:name="page45"/>
    <w:bookmarkEnd w:id="44"/>
    <w:p>
      <w:pPr>
        <w:spacing w:after="0" w:line="47" w:lineRule="exact"/>
        <w:rPr>
          <w:sz w:val="20"/>
          <w:szCs w:val="20"/>
          <w:color w:val="auto"/>
        </w:rPr>
      </w:pPr>
    </w:p>
    <w:p>
      <w:pPr>
        <w:jc w:val="both"/>
        <w:ind w:left="1300" w:hanging="442"/>
        <w:spacing w:after="0" w:line="25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00" w:type="dxa"/>
            <w:vAlign w:val="bottom"/>
          </w:tcPr>
          <w:p>
            <w:pPr>
              <w:spacing w:after="0"/>
              <w:rPr>
                <w:sz w:val="20"/>
                <w:szCs w:val="20"/>
                <w:color w:val="auto"/>
              </w:rPr>
            </w:pPr>
            <w:r>
              <w:rPr>
                <w:rFonts w:ascii="Arial" w:cs="Arial" w:eastAsia="Arial" w:hAnsi="Arial"/>
                <w:sz w:val="20"/>
                <w:szCs w:val="20"/>
                <w:color w:val="auto"/>
              </w:rPr>
              <w:t>Date: May 5, 2020</w:t>
            </w:r>
          </w:p>
        </w:tc>
        <w:tc>
          <w:tcPr>
            <w:tcW w:w="7140" w:type="dxa"/>
            <w:vAlign w:val="bottom"/>
            <w:gridSpan w:val="2"/>
          </w:tcPr>
          <w:p>
            <w:pPr>
              <w:ind w:left="2640"/>
              <w:spacing w:after="0"/>
              <w:rPr>
                <w:sz w:val="20"/>
                <w:szCs w:val="20"/>
                <w:color w:val="auto"/>
              </w:rPr>
            </w:pPr>
            <w:r>
              <w:rPr>
                <w:rFonts w:ascii="Arial" w:cs="Arial" w:eastAsia="Arial" w:hAnsi="Arial"/>
                <w:sz w:val="20"/>
                <w:szCs w:val="20"/>
                <w:color w:val="auto"/>
              </w:rPr>
              <w:t>By:  /s/ James A. J. Nickolas</w:t>
            </w:r>
          </w:p>
        </w:tc>
      </w:tr>
      <w:tr>
        <w:trPr>
          <w:trHeight w:val="206"/>
        </w:trPr>
        <w:tc>
          <w:tcPr>
            <w:tcW w:w="4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29"/>
        </w:trPr>
        <w:tc>
          <w:tcPr>
            <w:tcW w:w="4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2020 (the “Report”) of Martin Marietta Materials, Inc. (the “Registrant”), as filed with the Securities and Exchange Commission on the date hereof, I, C. Howard Nye, the Chief Executive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ind w:left="69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May 5, 2020</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2020 (the “Report”) of Martin Marietta Materials, Inc. (the “Registrant”), as filed with the Securities and Exchange Commission on the date hereof, I, James A. J. Nickolas, the Chief Financial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ind w:left="69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May 5, 2020</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March 31, 2020:</w:t>
      </w:r>
    </w:p>
    <w:p>
      <w:pPr>
        <w:spacing w:after="0" w:line="252" w:lineRule="exact"/>
        <w:rPr>
          <w:sz w:val="20"/>
          <w:szCs w:val="20"/>
          <w:color w:val="auto"/>
        </w:rPr>
      </w:pPr>
    </w:p>
    <w:p>
      <w:pPr>
        <w:jc w:val="both"/>
        <w:ind w:left="440" w:hanging="432"/>
        <w:spacing w:after="0" w:line="259" w:lineRule="auto"/>
        <w:tabs>
          <w:tab w:leader="none" w:pos="44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64" w:lineRule="exact"/>
        <w:rPr>
          <w:rFonts w:ascii="Arial" w:cs="Arial" w:eastAsia="Arial" w:hAnsi="Arial"/>
          <w:sz w:val="19"/>
          <w:szCs w:val="19"/>
          <w:b w:val="1"/>
          <w:bCs w:val="1"/>
          <w:color w:val="auto"/>
        </w:rPr>
      </w:pPr>
    </w:p>
    <w:p>
      <w:pPr>
        <w:jc w:val="both"/>
        <w:ind w:left="440" w:hanging="432"/>
        <w:spacing w:after="0" w:line="246" w:lineRule="auto"/>
        <w:tabs>
          <w:tab w:leader="none" w:pos="44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4" w:lineRule="exact"/>
        <w:rPr>
          <w:rFonts w:ascii="Arial" w:cs="Arial" w:eastAsia="Arial" w:hAnsi="Arial"/>
          <w:sz w:val="20"/>
          <w:szCs w:val="20"/>
          <w:b w:val="1"/>
          <w:bCs w:val="1"/>
          <w:color w:val="auto"/>
        </w:rPr>
      </w:pPr>
    </w:p>
    <w:p>
      <w:pPr>
        <w:jc w:val="both"/>
        <w:ind w:left="440" w:hanging="432"/>
        <w:spacing w:after="0" w:line="291" w:lineRule="auto"/>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ind w:left="440"/>
        <w:spacing w:after="0" w:line="261"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89" w:lineRule="exact"/>
        <w:rPr>
          <w:sz w:val="20"/>
          <w:szCs w:val="20"/>
          <w:color w:val="auto"/>
        </w:rPr>
      </w:pPr>
    </w:p>
    <w:p>
      <w:pPr>
        <w:jc w:val="both"/>
        <w:ind w:left="440" w:hanging="432"/>
        <w:spacing w:after="0" w:line="244" w:lineRule="auto"/>
        <w:tabs>
          <w:tab w:leader="none" w:pos="44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7" w:lineRule="exact"/>
        <w:rPr>
          <w:rFonts w:ascii="Arial" w:cs="Arial" w:eastAsia="Arial" w:hAnsi="Arial"/>
          <w:sz w:val="20"/>
          <w:szCs w:val="20"/>
          <w:b w:val="1"/>
          <w:bCs w:val="1"/>
          <w:color w:val="auto"/>
        </w:rPr>
      </w:pPr>
    </w:p>
    <w:p>
      <w:pPr>
        <w:jc w:val="both"/>
        <w:ind w:left="440" w:hanging="432"/>
        <w:spacing w:after="0" w:line="263" w:lineRule="auto"/>
        <w:tabs>
          <w:tab w:leader="none" w:pos="440"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9" w:lineRule="exact"/>
        <w:rPr>
          <w:rFonts w:ascii="Arial" w:cs="Arial" w:eastAsia="Arial" w:hAnsi="Arial"/>
          <w:sz w:val="19"/>
          <w:szCs w:val="19"/>
          <w:b w:val="1"/>
          <w:bCs w:val="1"/>
          <w:color w:val="auto"/>
        </w:rPr>
      </w:pPr>
    </w:p>
    <w:p>
      <w:pPr>
        <w:jc w:val="both"/>
        <w:ind w:left="440" w:hanging="432"/>
        <w:spacing w:after="0" w:line="282" w:lineRule="auto"/>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Arial" w:cs="Arial" w:eastAsia="Arial" w:hAnsi="Arial"/>
          <w:sz w:val="18"/>
          <w:szCs w:val="18"/>
          <w:b w:val="1"/>
          <w:bCs w:val="1"/>
          <w:color w:val="auto"/>
        </w:rPr>
      </w:pPr>
    </w:p>
    <w:p>
      <w:pPr>
        <w:jc w:val="both"/>
        <w:ind w:left="440" w:hanging="432"/>
        <w:spacing w:after="0" w:line="291" w:lineRule="auto"/>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40" w:hanging="432"/>
        <w:spacing w:after="0" w:line="282" w:lineRule="auto"/>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Arial" w:cs="Arial" w:eastAsia="Arial" w:hAnsi="Arial"/>
          <w:sz w:val="18"/>
          <w:szCs w:val="18"/>
          <w:b w:val="1"/>
          <w:bCs w:val="1"/>
          <w:color w:val="auto"/>
        </w:rPr>
      </w:pPr>
    </w:p>
    <w:p>
      <w:pPr>
        <w:ind w:left="440" w:hanging="432"/>
        <w:spacing w:after="0"/>
        <w:tabs>
          <w:tab w:leader="none" w:pos="44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Corporation’s quarries and mines identified, as of March 31, 2020,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781685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ind w:left="620"/>
              <w:spacing w:after="0"/>
              <w:rPr>
                <w:sz w:val="20"/>
                <w:szCs w:val="20"/>
                <w:color w:val="auto"/>
              </w:rPr>
            </w:pPr>
            <w:r>
              <w:rPr>
                <w:rFonts w:ascii="Arial" w:cs="Arial" w:eastAsia="Arial" w:hAnsi="Arial"/>
                <w:sz w:val="20"/>
                <w:szCs w:val="20"/>
                <w:color w:val="auto"/>
                <w:w w:val="99"/>
              </w:rPr>
              <w:t>Appendix 1</w:t>
            </w:r>
          </w:p>
        </w:tc>
      </w:tr>
      <w:tr>
        <w:trPr>
          <w:trHeight w:val="446"/>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7"/>
              </w:rPr>
              <w:t>Received Received</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9"/>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23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Pattern Potential Actions</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Total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5"/>
              </w:rPr>
              <w:t>Number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500" w:type="dxa"/>
            <w:vAlign w:val="bottom"/>
            <w:gridSpan w:val="2"/>
          </w:tcPr>
          <w:p>
            <w:pPr>
              <w:ind w:left="80"/>
              <w:spacing w:after="0"/>
              <w:rPr>
                <w:sz w:val="20"/>
                <w:szCs w:val="20"/>
                <w:color w:val="auto"/>
              </w:rPr>
            </w:pPr>
            <w:r>
              <w:rPr>
                <w:rFonts w:ascii="Arial" w:cs="Arial" w:eastAsia="Arial" w:hAnsi="Arial"/>
                <w:sz w:val="20"/>
                <w:szCs w:val="20"/>
                <w:b w:val="1"/>
                <w:bCs w:val="1"/>
                <w:color w:val="auto"/>
                <w:w w:val="90"/>
              </w:rPr>
              <w:t>to have Pending</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61"/>
              <w:spacing w:after="0"/>
              <w:rPr>
                <w:sz w:val="20"/>
                <w:szCs w:val="20"/>
                <w:color w:val="auto"/>
              </w:rPr>
            </w:pPr>
            <w:r>
              <w:rPr>
                <w:rFonts w:ascii="Arial" w:cs="Arial" w:eastAsia="Arial" w:hAnsi="Arial"/>
                <w:sz w:val="20"/>
                <w:szCs w:val="20"/>
                <w:b w:val="1"/>
                <w:bCs w:val="1"/>
                <w:color w:val="auto"/>
                <w:w w:val="95"/>
              </w:rPr>
              <w:t>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5"/>
              </w:rPr>
              <w:t>as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rPr>
                <w:sz w:val="20"/>
                <w:szCs w:val="20"/>
                <w:color w:val="auto"/>
              </w:rPr>
            </w:pPr>
            <w:r>
              <w:rPr>
                <w:rFonts w:ascii="Arial" w:cs="Arial" w:eastAsia="Arial" w:hAnsi="Arial"/>
                <w:sz w:val="20"/>
                <w:szCs w:val="20"/>
                <w:b w:val="1"/>
                <w:bCs w:val="1"/>
                <w:color w:val="auto"/>
                <w:w w:val="91"/>
              </w:rPr>
              <w:t>Section</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4"/>
              </w:rPr>
              <w:t>Section</w:t>
            </w:r>
          </w:p>
        </w:tc>
        <w:tc>
          <w:tcPr>
            <w:tcW w:w="16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Mining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spacing w:after="0"/>
              <w:rPr>
                <w:sz w:val="20"/>
                <w:szCs w:val="20"/>
                <w:color w:val="auto"/>
              </w:rPr>
            </w:pPr>
            <w:r>
              <w:rPr>
                <w:rFonts w:ascii="Arial" w:cs="Arial" w:eastAsia="Arial" w:hAnsi="Arial"/>
                <w:sz w:val="20"/>
                <w:szCs w:val="20"/>
                <w:b w:val="1"/>
                <w:bCs w:val="1"/>
                <w:color w:val="auto"/>
                <w:w w:val="87"/>
              </w:rPr>
              <w:t>Instituted Resolved</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40" w:type="dxa"/>
            <w:vAlign w:val="bottom"/>
            <w:gridSpan w:val="2"/>
          </w:tcPr>
          <w:p>
            <w:pPr>
              <w:jc w:val="right"/>
              <w:ind w:right="1"/>
              <w:spacing w:after="0"/>
              <w:rPr>
                <w:sz w:val="20"/>
                <w:szCs w:val="20"/>
                <w:color w:val="auto"/>
              </w:rPr>
            </w:pPr>
            <w:r>
              <w:rPr>
                <w:rFonts w:ascii="Arial" w:cs="Arial" w:eastAsia="Arial" w:hAnsi="Arial"/>
                <w:sz w:val="20"/>
                <w:szCs w:val="20"/>
                <w:b w:val="1"/>
                <w:bCs w:val="1"/>
                <w:color w:val="auto"/>
                <w:w w:val="96"/>
              </w:rPr>
              <w:t>110(b)(2) 107(a)</w:t>
            </w:r>
          </w:p>
        </w:tc>
        <w:tc>
          <w:tcPr>
            <w:tcW w:w="16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Related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r>
      <w:tr>
        <w:trPr>
          <w:trHeight w:val="229"/>
        </w:trPr>
        <w:tc>
          <w:tcPr>
            <w:tcW w:w="10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w w:val="87"/>
              </w:rPr>
              <w:t>Violations Orders</w:t>
            </w:r>
          </w:p>
        </w:tc>
        <w:tc>
          <w:tcPr>
            <w:tcW w:w="1920" w:type="dxa"/>
            <w:vAlign w:val="bottom"/>
            <w:gridSpan w:val="3"/>
          </w:tcPr>
          <w:p>
            <w:pPr>
              <w:ind w:left="40"/>
              <w:spacing w:after="0"/>
              <w:rPr>
                <w:sz w:val="20"/>
                <w:szCs w:val="20"/>
                <w:color w:val="auto"/>
              </w:rPr>
            </w:pPr>
            <w:r>
              <w:rPr>
                <w:rFonts w:ascii="Arial" w:cs="Arial" w:eastAsia="Arial" w:hAnsi="Arial"/>
                <w:sz w:val="20"/>
                <w:szCs w:val="20"/>
                <w:b w:val="1"/>
                <w:bCs w:val="1"/>
                <w:color w:val="auto"/>
                <w:w w:val="86"/>
              </w:rPr>
              <w:t>Assessment/ Fatalities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100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1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3101636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4407372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3100189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4402963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3100059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3100066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3100071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3100064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3101979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3800072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7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2"/>
              </w:rPr>
              <w:t>City Quarry 3101105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Ankle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3102220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3101963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90"/>
              </w:rPr>
              <w:t>Boonesboro</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1800024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3100042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3101869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3800716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3800016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258</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3100050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3100057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99"/>
              </w:rPr>
              <w:t>Churchville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1800012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3102009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89"/>
              </w:rPr>
              <w:t>Cumberland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3102237</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Denver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3101971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Doswell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20"/>
                <w:szCs w:val="20"/>
                <w:color w:val="auto"/>
              </w:rPr>
              <w:t>Quarry VA</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4400045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122" w:right="239" w:bottom="618"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2"/>
        </w:trPr>
        <w:tc>
          <w:tcPr>
            <w:tcW w:w="2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East Alamance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3102021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Edmund Sand</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3800662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3100065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647</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Franklin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3102130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1800013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Fuquay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3102055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289</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Georgetown II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3800525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w w:val="99"/>
              </w:rPr>
              <w:t>Greensboro Portable Plt</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3102336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w w:val="92"/>
              </w:rPr>
              <w:t>Greensboro Portable Plt II</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3100043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Hicone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3102088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3100051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121</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Kannapolis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3100070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Kent Sand &amp; Gravel</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1800745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Kings Mountain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3100047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Lemon Springs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3101104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Loamy Sand Gravel</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3800721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181</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3102125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Mallard Creek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3102006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3102084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Medford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1800035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Midlothian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4403767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w w:val="97"/>
              </w:rPr>
              <w:t>Misc Greensboro District</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B8611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North Columbia</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3800146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521</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North East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1800417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Old Charleston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3800702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Onslow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3102120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Pinesburg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1800021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Pomona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3100052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Raleigh Durham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3101941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Red Hill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4400072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3100068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60" w:type="dxa"/>
            <w:vAlign w:val="bottom"/>
          </w:tcPr>
          <w:p>
            <w:pPr>
              <w:spacing w:after="0"/>
              <w:rPr>
                <w:sz w:val="20"/>
                <w:szCs w:val="20"/>
                <w:color w:val="auto"/>
              </w:rPr>
            </w:pPr>
            <w:r>
              <w:rPr>
                <w:rFonts w:ascii="Arial" w:cs="Arial" w:eastAsia="Arial" w:hAnsi="Arial"/>
                <w:sz w:val="20"/>
                <w:szCs w:val="20"/>
                <w:color w:val="auto"/>
              </w:rPr>
              <w:t>Rock Hill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3800026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6"/>
        </w:trPr>
        <w:tc>
          <w:tcPr>
            <w:tcW w:w="2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2"/>
        </w:trPr>
        <w:tc>
          <w:tcPr>
            <w:tcW w:w="2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3102038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Statesville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3100055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185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Texas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1800009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Thomasville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3101475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Warfordsburg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3600168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Wilmington Sand</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3101308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3102230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Woodleaf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3100069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 Indianapolis</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1200002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Apple Grove S G</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3301676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1201911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60" w:type="dxa"/>
            <w:vAlign w:val="bottom"/>
          </w:tcPr>
          <w:p>
            <w:pPr>
              <w:spacing w:after="0" w:line="227" w:lineRule="exact"/>
              <w:rPr>
                <w:sz w:val="20"/>
                <w:szCs w:val="20"/>
                <w:color w:val="auto"/>
              </w:rPr>
            </w:pPr>
            <w:r>
              <w:rPr>
                <w:rFonts w:ascii="Arial" w:cs="Arial" w:eastAsia="Arial" w:hAnsi="Arial"/>
                <w:sz w:val="20"/>
                <w:szCs w:val="20"/>
                <w:color w:val="auto"/>
              </w:rPr>
              <w:t>Bowling Green North</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60" w:type="dxa"/>
            <w:vAlign w:val="bottom"/>
          </w:tcPr>
          <w:p>
            <w:pPr>
              <w:spacing w:after="0"/>
              <w:rPr>
                <w:sz w:val="20"/>
                <w:szCs w:val="20"/>
                <w:color w:val="auto"/>
              </w:rPr>
            </w:pPr>
            <w:r>
              <w:rPr>
                <w:rFonts w:ascii="Arial" w:cs="Arial" w:eastAsia="Arial" w:hAnsi="Arial"/>
                <w:sz w:val="20"/>
                <w:szCs w:val="20"/>
                <w:color w:val="auto"/>
              </w:rPr>
              <w:t>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1500065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South</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1500025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377</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Burning Springs Mine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4608862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1202124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Cedarville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3304072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Cloverdale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1201744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Cumberland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1500037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E Town Sand Gravel</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3304279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Fairfield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3301396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Harlan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1500071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Hartford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1500095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Kentucky Ave Mine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1201762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3"/>
              </w:rPr>
              <w:t>1,209</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Kokomo Mine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1202105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246</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Kokomo Sand</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1202203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Kokomo Stone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1200142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363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1201994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250</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Noblesville Stone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1202176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w w:val="83"/>
              </w:rPr>
              <w:t>4,194</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w w:val="93"/>
              </w:rPr>
              <w:t>North Indianapolis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1201993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3"/>
              </w:rPr>
              <w:t>2,149</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Petersburg, Ky Gravel</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1516895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3300006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20"/>
                <w:szCs w:val="20"/>
                <w:color w:val="auto"/>
              </w:rPr>
              <w:t>Shamrock SG</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3304011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6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5"/>
              </w:rPr>
              <w:t>Spring Valley Cook Rd SG 3304534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2"/>
        </w:trPr>
        <w:tc>
          <w:tcPr>
            <w:tcW w:w="2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120" w:type="dxa"/>
            <w:vAlign w:val="bottom"/>
          </w:tcPr>
          <w:p>
            <w:pPr>
              <w:spacing w:after="0"/>
              <w:rPr>
                <w:sz w:val="20"/>
                <w:szCs w:val="20"/>
                <w:color w:val="auto"/>
              </w:rPr>
            </w:pPr>
            <w:r>
              <w:rPr>
                <w:rFonts w:ascii="Arial" w:cs="Arial" w:eastAsia="Arial" w:hAnsi="Arial"/>
                <w:sz w:val="20"/>
                <w:szCs w:val="20"/>
                <w:color w:val="auto"/>
              </w:rPr>
              <w:t>Troy Gravel</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3301678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1202038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Xenia Gravel</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3301393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901083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Auburn Al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100006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900436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Augusta, GA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900065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Ball Ground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900955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298</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Calhoun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4003395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Chattanooga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4003159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Cumming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900460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w w:val="83"/>
              </w:rPr>
              <w:t>1,309</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Edgefield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3800738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901106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Junction City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901029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900023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Maylene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100634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901126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Newton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900899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O'Neal Plant Co 19</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103076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Paulding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901107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801083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Red Oak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900069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900074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Six Mile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901144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2"/>
              </w:rPr>
              <w:t>St. Marys Sand Company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901199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Tyrone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900306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103022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Warrenton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900580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9"/>
              </w:rPr>
              <w:t>Alden Portable Plant #2</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1302033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Alden Portable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1302037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1300228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Ames Mine</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1300014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Cedar Rapids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1300122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80" w:type="dxa"/>
            <w:vAlign w:val="bottom"/>
          </w:tcPr>
          <w:p>
            <w:pPr>
              <w:spacing w:after="0"/>
              <w:rPr>
                <w:sz w:val="20"/>
                <w:szCs w:val="20"/>
                <w:color w:val="auto"/>
              </w:rPr>
            </w:pPr>
            <w:r>
              <w:rPr>
                <w:rFonts w:ascii="Arial" w:cs="Arial" w:eastAsia="Arial" w:hAnsi="Arial"/>
                <w:sz w:val="20"/>
                <w:szCs w:val="20"/>
                <w:color w:val="auto"/>
              </w:rPr>
              <w:t>Des Moines Portable</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1300150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6"/>
              </w:rPr>
              <w:t>Des Moines Portable #2</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1300932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Dubois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2501046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1301225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Earlham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1302123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246</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1300124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Fort Calhoun UG</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2501300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512</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1300032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809</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5"/>
              </w:rPr>
              <w:t>Greenwood Quarry New</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2300141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Iowa Grading 2</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1302316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Linn County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1302208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1300112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363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Marshalltown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1300718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Midwest Division OH</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A2354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Moore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1302188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1301778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North Valley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2501271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Ottawa Quarry New</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1401590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Pedersen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1302192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Plant 854</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1302126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Portland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1302122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1302315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Randolph Mine</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2302308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217</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Reasnor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1300814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Saylorville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1302290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2100081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Stamper Mine</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2302232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1,852</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1300063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Sunflower Qy Co 61</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1401556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Weeping Water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2500998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3</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8"/>
              </w:rPr>
              <w:t>20,959</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West Center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2501231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7"/>
              </w:rPr>
              <w:t>Yellow Medicine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2100033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Beckmann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4101335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4103283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2"/>
        </w:trPr>
        <w:tc>
          <w:tcPr>
            <w:tcW w:w="2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60" w:type="dxa"/>
            <w:vAlign w:val="bottom"/>
          </w:tcPr>
          <w:p>
            <w:pPr>
              <w:spacing w:after="0"/>
              <w:rPr>
                <w:sz w:val="20"/>
                <w:szCs w:val="20"/>
                <w:color w:val="auto"/>
              </w:rPr>
            </w:pPr>
            <w:r>
              <w:rPr>
                <w:rFonts w:ascii="Arial" w:cs="Arial" w:eastAsia="Arial" w:hAnsi="Arial"/>
                <w:sz w:val="20"/>
                <w:szCs w:val="20"/>
                <w:color w:val="auto"/>
              </w:rPr>
              <w:t>Bells Savoy SG</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4104019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300011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Black Spur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4104159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1401584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3"/>
              </w:rPr>
              <w:t>1,140</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Bridgeport Stone</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4100007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3400460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Chico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4103360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3401299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322</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Garfield SG</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4103909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4102886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3"/>
              </w:rPr>
              <w:t>1,486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GMS TXI</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C335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301614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Helotes</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4103137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4103829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Hondo</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4104708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Hondo West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4104090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Hugo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3400061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4105230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Idabel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3400507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Jones Mill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301586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Koontz McCombs Pit</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4105048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4105170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Mill Creek Limestone</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3401859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Mill Creek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3401285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482</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Perryville Aggregates</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1601417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Poteet Sand</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4101342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Rio Medina</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4103594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San Pedro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4101337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Sawyer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3401634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7"/>
              </w:rPr>
              <w:t>Smithson Valley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4104108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Snyder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3401651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South Texas Port #2</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4104204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Tin Top SG</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4102852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3402049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2"/>
        </w:trPr>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1"/>
              </w:rPr>
              <w:t>Appendix 1</w:t>
            </w:r>
          </w:p>
        </w:tc>
      </w:tr>
      <w:tr>
        <w:trPr>
          <w:trHeight w:val="468"/>
        </w:trPr>
        <w:tc>
          <w:tcPr>
            <w:tcW w:w="2120" w:type="dxa"/>
            <w:vAlign w:val="bottom"/>
          </w:tcPr>
          <w:p>
            <w:pPr>
              <w:spacing w:after="0"/>
              <w:rPr>
                <w:sz w:val="20"/>
                <w:szCs w:val="20"/>
                <w:color w:val="auto"/>
              </w:rPr>
            </w:pPr>
            <w:r>
              <w:rPr>
                <w:rFonts w:ascii="Arial" w:cs="Arial" w:eastAsia="Arial" w:hAnsi="Arial"/>
                <w:sz w:val="20"/>
                <w:szCs w:val="20"/>
                <w:color w:val="auto"/>
              </w:rPr>
              <w:t>Webberville</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4104363</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Woodworth Aggregates</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1601070</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Granite Canyon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4800018</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2</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3,984</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7"/>
              </w:rPr>
              <w:t>Greeley 35th Ready Mix</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503215</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w w:val="90"/>
              </w:rPr>
              <w:t>Greeley 35th Sand Gravel</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504613</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288</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4800004</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Milford Quarry Utah</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4202177</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1</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535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504635</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1,562</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Parsons Sand Gravel</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504382</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4500844</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PC Portable Plant 4</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4801565</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1"/>
              </w:rPr>
              <w:t>Penrose Sand and Gravel</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504509</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Platte Sand &amp; Gravel</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504418</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Portable Crushing</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503984</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Portable Plant 1</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504359</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21</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504520</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Red Canyon Quarry</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504136</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Riverbend Sand Gravel</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504841</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26"/>
        </w:trPr>
        <w:tc>
          <w:tcPr>
            <w:tcW w:w="2120" w:type="dxa"/>
            <w:vAlign w:val="bottom"/>
          </w:tcPr>
          <w:p>
            <w:pPr>
              <w:spacing w:after="0" w:line="227" w:lineRule="exact"/>
              <w:rPr>
                <w:sz w:val="20"/>
                <w:szCs w:val="20"/>
                <w:color w:val="auto"/>
              </w:rPr>
            </w:pPr>
            <w:r>
              <w:rPr>
                <w:rFonts w:ascii="Arial" w:cs="Arial" w:eastAsia="Arial" w:hAnsi="Arial"/>
                <w:sz w:val="20"/>
                <w:szCs w:val="20"/>
                <w:color w:val="auto"/>
                <w:w w:val="98"/>
              </w:rPr>
              <w:t>Spanish Springs Quarry</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6"/>
        </w:trPr>
        <w:tc>
          <w:tcPr>
            <w:tcW w:w="2120" w:type="dxa"/>
            <w:vAlign w:val="bottom"/>
          </w:tcPr>
          <w:p>
            <w:pPr>
              <w:spacing w:after="0"/>
              <w:rPr>
                <w:sz w:val="20"/>
                <w:szCs w:val="20"/>
                <w:color w:val="auto"/>
              </w:rPr>
            </w:pPr>
            <w:r>
              <w:rPr>
                <w:rFonts w:ascii="Arial" w:cs="Arial" w:eastAsia="Arial" w:hAnsi="Arial"/>
                <w:sz w:val="20"/>
                <w:szCs w:val="20"/>
                <w:color w:val="auto"/>
              </w:rPr>
              <w:t>Co 2</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2600803</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2</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500860</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1,486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Taft Sand Gravel</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504526</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504735</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Hunter Cement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4102820</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4</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Midlothian Cement</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4100071</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3,099</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w w:val="95"/>
              </w:rPr>
              <w:t>Geology and Exploration</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B7127</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Salisbury Shop</w:t>
            </w:r>
          </w:p>
        </w:tc>
        <w:tc>
          <w:tcPr>
            <w:tcW w:w="8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2"/>
              </w:rPr>
              <w:t>3101235</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Woodville Stone</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w w:val="92"/>
              </w:rPr>
              <w:t>3300156</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1</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4,149</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w:t>
            </w:r>
          </w:p>
        </w:tc>
        <w:tc>
          <w:tcPr>
            <w:tcW w:w="860" w:type="dxa"/>
            <w:vAlign w:val="bottom"/>
            <w:shd w:val="clear" w:color="auto" w:fill="CFF0FC"/>
          </w:tcPr>
          <w:p>
            <w:pPr>
              <w:spacing w:after="0"/>
              <w:rPr>
                <w:sz w:val="21"/>
                <w:szCs w:val="21"/>
                <w:color w:val="auto"/>
              </w:rPr>
            </w:pP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b w:val="1"/>
                <w:bCs w:val="1"/>
                <w:color w:val="auto"/>
                <w:w w:val="89"/>
              </w:rPr>
              <w:t>33</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b w:val="1"/>
                <w:bCs w:val="1"/>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w w:val="88"/>
              </w:rPr>
              <w:t>58,998</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0</w:t>
            </w: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0"/>
              </w:rPr>
              <w:t>11</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4</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b w:val="1"/>
                <w:bCs w:val="1"/>
                <w:color w:val="auto"/>
              </w:rPr>
              <w:t>3</w:t>
            </w:r>
          </w:p>
        </w:tc>
      </w:tr>
    </w:tbl>
    <w:p>
      <w:pPr>
        <w:spacing w:after="0" w:line="199" w:lineRule="exact"/>
        <w:rPr>
          <w:sz w:val="20"/>
          <w:szCs w:val="20"/>
          <w:color w:val="auto"/>
        </w:rPr>
      </w:pPr>
    </w:p>
    <w:p>
      <w:pPr>
        <w:jc w:val="both"/>
        <w:ind w:firstLine="8"/>
        <w:spacing w:after="0" w:line="244" w:lineRule="auto"/>
        <w:tabs>
          <w:tab w:leader="none" w:pos="166" w:val="left"/>
        </w:tabs>
        <w:numPr>
          <w:ilvl w:val="0"/>
          <w:numId w:val="25"/>
        </w:numPr>
        <w:rPr>
          <w:rFonts w:ascii="Arial" w:cs="Arial" w:eastAsia="Arial" w:hAnsi="Arial"/>
          <w:sz w:val="20"/>
          <w:szCs w:val="20"/>
          <w:color w:val="auto"/>
        </w:rPr>
      </w:pPr>
      <w:r>
        <w:rPr>
          <w:rFonts w:ascii="Arial" w:cs="Arial" w:eastAsia="Arial" w:hAnsi="Arial"/>
          <w:sz w:val="20"/>
          <w:szCs w:val="20"/>
          <w:color w:val="auto"/>
        </w:rPr>
        <w:t>Of the 11 legal actions pending on March 31, 2020, six were contests of citations or orders referenced in Subpart B of CFR Part 2700, which includes contests of citations and orders issued under Section 104 of the Mine Act and contests of imminent danger orders under Section 107 of the Mine Act and five were a contest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2"/>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95"/>
    </w:lvl>
  </w:abstractNum>
  <w:abstractNum w:abstractNumId="15">
    <w:nsid w:val="436C6125"/>
    <w:multiLevelType w:val="hybridMultilevel"/>
    <w:lvl w:ilvl="0">
      <w:lvlJc w:val="left"/>
      <w:lvlText w:val="%1"/>
      <w:numFmt w:val="decimal"/>
      <w:start w:val="104"/>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5"/>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5"/>
    </w:lvl>
    <w:lvl w:ilvl="1">
      <w:lvlJc w:val="left"/>
      <w:lvlText w:val="%2."/>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56" Type="http://schemas.openxmlformats.org/officeDocument/2006/relationships/hyperlink" Target="http://www.sec.gov/Archives/edgar/data/916076/000095015720000377/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2020-05-05T15:31:16Z</dcterms:created>
  <dcterms:modified xsi:type="dcterms:W3CDTF">2020-05-05T15:31:16Z</dcterms:modified>
</cp:coreProperties>
</file>