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AMENDMENT NO. 16</w:t>
      </w:r>
    </w:p>
    <w:p>
      <w:pPr>
        <w:spacing w:after="0" w:line="128" w:lineRule="exact"/>
        <w:rPr>
          <w:sz w:val="24"/>
          <w:szCs w:val="24"/>
          <w:color w:val="auto"/>
        </w:rPr>
      </w:pPr>
    </w:p>
    <w:p>
      <w:pPr>
        <w:ind w:left="30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VULCAN MATERIALS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MARTIN MARIETTA MATERIALS,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Filing Persons (Offerors))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929160109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Roselyn R. Bar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&amp;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2710 Wycliff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Raleigh, NC 27607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 781-4550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366"/>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90"/>
              </w:rPr>
              <w:t>Peter Allan Atkins</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91"/>
              </w:rPr>
              <w:t>Eric L. Cochran</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6"/>
              </w:rPr>
              <w:t>Ann Beth Stebbins</w:t>
            </w:r>
          </w:p>
        </w:tc>
      </w:tr>
      <w:tr>
        <w:trPr>
          <w:trHeight w:val="216"/>
        </w:trPr>
        <w:tc>
          <w:tcPr>
            <w:tcW w:w="3780" w:type="dxa"/>
            <w:vAlign w:val="bottom"/>
          </w:tcPr>
          <w:p>
            <w:pPr>
              <w:spacing w:after="0"/>
              <w:rPr>
                <w:sz w:val="18"/>
                <w:szCs w:val="18"/>
                <w:color w:val="auto"/>
              </w:rPr>
            </w:pPr>
          </w:p>
        </w:tc>
        <w:tc>
          <w:tcPr>
            <w:tcW w:w="7640" w:type="dxa"/>
            <w:vAlign w:val="bottom"/>
            <w:gridSpan w:val="4"/>
          </w:tcPr>
          <w:p>
            <w:pPr>
              <w:jc w:val="center"/>
              <w:ind w:right="3712"/>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8"/>
              </w:rPr>
              <w:t>Four Times Square</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89"/>
              </w:rPr>
              <w:t>New York, New York 10036</w:t>
            </w:r>
          </w:p>
        </w:tc>
      </w:tr>
      <w:tr>
        <w:trPr>
          <w:trHeight w:val="228"/>
        </w:trPr>
        <w:tc>
          <w:tcPr>
            <w:tcW w:w="3780" w:type="dxa"/>
            <w:vAlign w:val="bottom"/>
          </w:tcPr>
          <w:p>
            <w:pPr>
              <w:spacing w:after="0"/>
              <w:rPr>
                <w:sz w:val="19"/>
                <w:szCs w:val="19"/>
                <w:color w:val="auto"/>
              </w:rPr>
            </w:pPr>
          </w:p>
        </w:tc>
        <w:tc>
          <w:tcPr>
            <w:tcW w:w="3120" w:type="dxa"/>
            <w:vAlign w:val="bottom"/>
            <w:gridSpan w:val="3"/>
          </w:tcPr>
          <w:p>
            <w:pPr>
              <w:jc w:val="center"/>
              <w:ind w:left="652"/>
              <w:spacing w:after="0"/>
              <w:rPr>
                <w:sz w:val="20"/>
                <w:szCs w:val="20"/>
                <w:color w:val="auto"/>
              </w:rPr>
            </w:pPr>
            <w:r>
              <w:rPr>
                <w:rFonts w:ascii="Arial" w:cs="Arial" w:eastAsia="Arial" w:hAnsi="Arial"/>
                <w:sz w:val="18"/>
                <w:szCs w:val="18"/>
                <w:b w:val="1"/>
                <w:bCs w:val="1"/>
                <w:color w:val="auto"/>
                <w:w w:val="89"/>
              </w:rPr>
              <w:t>(212) 735-3000</w:t>
            </w:r>
          </w:p>
        </w:tc>
        <w:tc>
          <w:tcPr>
            <w:tcW w:w="4520" w:type="dxa"/>
            <w:vAlign w:val="bottom"/>
          </w:tcPr>
          <w:p>
            <w:pPr>
              <w:spacing w:after="0"/>
              <w:rPr>
                <w:sz w:val="19"/>
                <w:szCs w:val="19"/>
                <w:color w:val="auto"/>
              </w:rPr>
            </w:pPr>
          </w:p>
        </w:tc>
      </w:tr>
      <w:tr>
        <w:trPr>
          <w:trHeight w:val="299"/>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370"/>
        </w:trPr>
        <w:tc>
          <w:tcPr>
            <w:tcW w:w="3780" w:type="dxa"/>
            <w:vAlign w:val="bottom"/>
          </w:tcPr>
          <w:p>
            <w:pPr>
              <w:spacing w:after="0"/>
              <w:rPr>
                <w:sz w:val="24"/>
                <w:szCs w:val="24"/>
                <w:color w:val="auto"/>
              </w:rPr>
            </w:pPr>
          </w:p>
        </w:tc>
        <w:tc>
          <w:tcPr>
            <w:tcW w:w="7640" w:type="dxa"/>
            <w:vAlign w:val="bottom"/>
            <w:gridSpan w:val="4"/>
          </w:tcPr>
          <w:p>
            <w:pPr>
              <w:jc w:val="center"/>
              <w:ind w:right="369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70"/>
        </w:trPr>
        <w:tc>
          <w:tcPr>
            <w:tcW w:w="3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29"/>
        </w:trPr>
        <w:tc>
          <w:tcPr>
            <w:tcW w:w="3780" w:type="dxa"/>
            <w:vAlign w:val="bottom"/>
            <w:tcBorders>
              <w:bottom w:val="single" w:sz="8" w:color="auto"/>
            </w:tcBorders>
          </w:tcPr>
          <w:p>
            <w:pPr>
              <w:jc w:val="center"/>
              <w:ind w:left="1762"/>
              <w:spacing w:after="0" w:line="129" w:lineRule="exact"/>
              <w:rPr>
                <w:sz w:val="20"/>
                <w:szCs w:val="20"/>
                <w:color w:val="auto"/>
              </w:rPr>
            </w:pPr>
            <w:r>
              <w:rPr>
                <w:rFonts w:ascii="Arial" w:cs="Arial" w:eastAsia="Arial" w:hAnsi="Arial"/>
                <w:sz w:val="14"/>
                <w:szCs w:val="14"/>
                <w:b w:val="1"/>
                <w:bCs w:val="1"/>
                <w:color w:val="auto"/>
                <w:w w:val="86"/>
              </w:rPr>
              <w:t>Transaction Valuation(1)</w:t>
            </w:r>
          </w:p>
        </w:tc>
        <w:tc>
          <w:tcPr>
            <w:tcW w:w="74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jc w:val="center"/>
              <w:ind w:right="1112"/>
              <w:spacing w:after="0" w:line="129" w:lineRule="exact"/>
              <w:rPr>
                <w:sz w:val="20"/>
                <w:szCs w:val="20"/>
                <w:color w:val="auto"/>
              </w:rPr>
            </w:pPr>
            <w:r>
              <w:rPr>
                <w:rFonts w:ascii="Arial" w:cs="Arial" w:eastAsia="Arial" w:hAnsi="Arial"/>
                <w:sz w:val="14"/>
                <w:szCs w:val="14"/>
                <w:b w:val="1"/>
                <w:bCs w:val="1"/>
                <w:color w:val="auto"/>
                <w:w w:val="88"/>
              </w:rPr>
              <w:t>Amount of Filing Fee(2)</w:t>
            </w:r>
          </w:p>
        </w:tc>
      </w:tr>
      <w:tr>
        <w:trPr>
          <w:trHeight w:val="210"/>
        </w:trPr>
        <w:tc>
          <w:tcPr>
            <w:tcW w:w="3780" w:type="dxa"/>
            <w:vAlign w:val="bottom"/>
            <w:tcBorders>
              <w:bottom w:val="single" w:sz="8" w:color="auto"/>
            </w:tcBorders>
          </w:tcPr>
          <w:p>
            <w:pPr>
              <w:jc w:val="right"/>
              <w:ind w:right="342"/>
              <w:spacing w:after="0"/>
              <w:rPr>
                <w:sz w:val="20"/>
                <w:szCs w:val="20"/>
                <w:color w:val="auto"/>
              </w:rPr>
            </w:pPr>
            <w:r>
              <w:rPr>
                <w:rFonts w:ascii="Arial" w:cs="Arial" w:eastAsia="Arial" w:hAnsi="Arial"/>
                <w:sz w:val="18"/>
                <w:szCs w:val="18"/>
                <w:color w:val="auto"/>
              </w:rPr>
              <w:t>$4,536,121,283</w:t>
            </w:r>
          </w:p>
        </w:tc>
        <w:tc>
          <w:tcPr>
            <w:tcW w:w="1860" w:type="dxa"/>
            <w:vAlign w:val="bottom"/>
            <w:tcBorders>
              <w:bottom w:val="single" w:sz="8" w:color="auto"/>
              <w:right w:val="single" w:sz="8" w:color="auto"/>
            </w:tcBorders>
            <w:gridSpan w:val="2"/>
          </w:tcPr>
          <w:p>
            <w:pPr>
              <w:spacing w:after="0"/>
              <w:rPr>
                <w:sz w:val="18"/>
                <w:szCs w:val="18"/>
                <w:color w:val="auto"/>
              </w:rPr>
            </w:pPr>
          </w:p>
        </w:tc>
        <w:tc>
          <w:tcPr>
            <w:tcW w:w="5780" w:type="dxa"/>
            <w:vAlign w:val="bottom"/>
            <w:tcBorders>
              <w:bottom w:val="single" w:sz="8" w:color="auto"/>
            </w:tcBorders>
            <w:gridSpan w:val="2"/>
          </w:tcPr>
          <w:p>
            <w:pPr>
              <w:jc w:val="right"/>
              <w:ind w:right="2352"/>
              <w:spacing w:after="0"/>
              <w:rPr>
                <w:sz w:val="20"/>
                <w:szCs w:val="20"/>
                <w:color w:val="auto"/>
              </w:rPr>
            </w:pPr>
            <w:r>
              <w:rPr>
                <w:rFonts w:ascii="Arial" w:cs="Arial" w:eastAsia="Arial" w:hAnsi="Arial"/>
                <w:sz w:val="18"/>
                <w:szCs w:val="18"/>
                <w:color w:val="auto"/>
              </w:rPr>
              <w:t>$519,839.50</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100" w:hanging="452"/>
        <w:spacing w:after="0" w:line="28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for purposes of calculating the filing fee only. Pursuant to Rules 0-11(a)(4) and 0-11(d) under the Securities Exchange Act of 1934, as amended, the market value of the securities to be received was calculated as the product of (i) 136,486,273 shares of Vulcan Materials Company common stock (the sum of (a) 129,232,664 shares of Vulcan Materials Company common stock outstanding, as of September 30, 2011 (as reported in Vulcan Materials Company’s Quarterly Report on Form 10-Q for the quarter ended September 30, 2011), and (b) 7,254,609 shares of Vulcan Materials Company common stock issuable upon the exercise of outstanding stock options and other awards under equity compensation plans, as of December 31, 2010 (as reported in Vulcan Materials Company’s Annual Report on Form 10-K for the year ended December 31, 2010), less 1,000 shares of Vulcan Materials Company common stock owned by Martin Marietta Materials, Inc. and its affiliates), and (ii) the average of the high and low sales prices of Vulcan Materials Company common stock as reported on the New York Stock Exchange on December 8, 2011 ($33.24).</w:t>
      </w:r>
    </w:p>
    <w:p>
      <w:pPr>
        <w:spacing w:after="0" w:line="5" w:lineRule="exact"/>
        <w:rPr>
          <w:rFonts w:ascii="Arial" w:cs="Arial" w:eastAsia="Arial" w:hAnsi="Arial"/>
          <w:sz w:val="16"/>
          <w:szCs w:val="16"/>
          <w:color w:val="auto"/>
        </w:rPr>
      </w:pPr>
    </w:p>
    <w:p>
      <w:pPr>
        <w:ind w:left="460" w:right="14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filing fee as calculated in accordance with Rule 0-11(a)(2) under the Securities Act of 1934, as amended, equals $114.60 per $1,000,000 of the value of the transaction.</w:t>
      </w:r>
    </w:p>
    <w:p>
      <w:pPr>
        <w:spacing w:after="0" w:line="178" w:lineRule="exact"/>
        <w:rPr>
          <w:sz w:val="24"/>
          <w:szCs w:val="24"/>
          <w:color w:val="auto"/>
        </w:rPr>
      </w:pPr>
    </w:p>
    <w:p>
      <w:pPr>
        <w:ind w:left="460" w:right="540" w:hanging="452"/>
        <w:spacing w:after="0" w:line="268"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75" w:orient="portrait"/>
          <w:cols w:equalWidth="0" w:num="1">
            <w:col w:w="11420"/>
          </w:cols>
          <w:pgMar w:left="240" w:top="314" w:right="239" w:bottom="0" w:gutter="0" w:footer="0" w:header="0"/>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Amount previously paid: $519,839.50</w:t>
      </w:r>
    </w:p>
    <w:p>
      <w:pPr>
        <w:spacing w:after="0" w:line="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Form or Registration No.: Form S-4</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Filing Party: Martin Marietta Materials, Inc.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Date Filed: December 12, 2011</w:t>
      </w:r>
    </w:p>
    <w:p>
      <w:pPr>
        <w:spacing w:after="0" w:line="200" w:lineRule="exact"/>
        <w:rPr>
          <w:sz w:val="24"/>
          <w:szCs w:val="24"/>
          <w:color w:val="auto"/>
        </w:rPr>
      </w:pPr>
    </w:p>
    <w:p>
      <w:pPr>
        <w:sectPr>
          <w:pgSz w:w="11900" w:h="16875" w:orient="portrait"/>
          <w:cols w:equalWidth="0" w:num="2">
            <w:col w:w="5320" w:space="720"/>
            <w:col w:w="5380"/>
          </w:cols>
          <w:pgMar w:left="240" w:top="314" w:right="239" w:bottom="0" w:gutter="0" w:footer="0" w:header="0"/>
          <w:type w:val="continuous"/>
        </w:sectPr>
      </w:pPr>
    </w:p>
    <w:p>
      <w:pPr>
        <w:spacing w:after="0" w:line="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90" w:lineRule="exact"/>
        <w:rPr>
          <w:sz w:val="24"/>
          <w:szCs w:val="24"/>
          <w:color w:val="auto"/>
        </w:rPr>
      </w:pPr>
    </w:p>
    <w:p>
      <w:pPr>
        <w:ind w:left="460" w:right="7320" w:hanging="6"/>
        <w:spacing w:after="0" w:line="230" w:lineRule="exact"/>
        <w:tabs>
          <w:tab w:leader="none" w:pos="906"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third-party tender offer subject to Rule 14d-1. </w:t>
      </w:r>
      <w:r>
        <w:rPr>
          <w:rFonts w:ascii="MS PGothic" w:cs="MS PGothic" w:eastAsia="MS PGothic" w:hAnsi="MS PGothic"/>
          <w:sz w:val="16"/>
          <w:szCs w:val="16"/>
          <w:color w:val="auto"/>
        </w:rPr>
        <w:t>☐</w:t>
      </w:r>
      <w:r>
        <w:rPr>
          <w:rFonts w:ascii="Arial" w:cs="Arial" w:eastAsia="Arial" w:hAnsi="Arial"/>
          <w:sz w:val="16"/>
          <w:szCs w:val="16"/>
          <w:color w:val="auto"/>
        </w:rPr>
        <w:t xml:space="preserve"> issuer tender offer subject to Rule 13e-4.</w:t>
      </w:r>
    </w:p>
    <w:p>
      <w:pPr>
        <w:sectPr>
          <w:pgSz w:w="11900" w:h="16875" w:orient="portrait"/>
          <w:cols w:equalWidth="0" w:num="1">
            <w:col w:w="11420"/>
          </w:cols>
          <w:pgMar w:left="240" w:top="314" w:right="239" w:bottom="0" w:gutter="0" w:footer="0" w:header="0"/>
          <w:type w:val="continuous"/>
        </w:sectPr>
      </w:pPr>
    </w:p>
    <w:bookmarkStart w:id="1" w:name="page2"/>
    <w:bookmarkEnd w:id="1"/>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23"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2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ind w:right="60"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16 (this “Amendment”) to Schedule TO amends and supplements the Tender Offer Statement on Schedule TO originally filed with the Securities and Exchange Commission (the “SEC”) on December 12, 2011, as amended by Amendment No. 1 thereto filed on December 12, 2011, Amendment No. 2 thereto filed on December 13, 2011, Amendment No. 3 thereto filed on December 15, 2011, Amendment No. 4 thereto filed on December 19, 2011, Amendment No. 5 thereto filed on December 20, 2011, Amendment No. 6 thereto filed on December 22, 2011, Amendment No. 7 thereto filed on January 4, 2012, Amendment No. 8 thereto filed on January 4, 2012, Amendment No. 9 thereto filed on January 5, 2012, Amendment No. 10 thereto filed on January 6, 2012, Amendment No. 11 filed thereto on January 10, 2012, Amendment No. 12 filed thereto on January 11, 2012, Amendment No. 13 filed thereto on January 12, 2012, Amendment No. 14 filed thereto on January 19, 2012 and Amendment No. 15 filed thereto on January 20, 2012 (as amended, the “Schedule TO”), by Martin Marietta Materials, Inc. (“Martin Marietta”), a North Carolina corporation, relating to the third party tender offer by Martin Marietta to exchange each of the issued and outstanding shares of common stock, par value $1.00 per share (the “Vulcan common stock”), of Vulcan Materials Company (“Vulcan”), a New Jersey corporation, for 0.50 shares of the common stock, par value $0.01 per share, of Martin Marietta (together with the associated preferred stock purchase rights) (the “Martin Marietta common stock”), upon the terms and conditions set forth in (1) the Offer to Exchange (as defined below), and (2) the related Letter of Transmittal (the offer reflected by such terms and conditions, as they may be amended or supplemented from time to time, constitutes the “Offer”). Capitalized terms used and not otherwise defined in this Amendment to Schedule TO shall have the same meanings assigned to such terms in the Schedule TO or the Offer to Exchange.</w:t>
      </w:r>
    </w:p>
    <w:p>
      <w:pPr>
        <w:spacing w:after="0" w:line="128"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Martin Marietta has filed Amendment No. 1 to its Registration Statement on Form S-4 (File No. 333-178432) relating to the Offer (as amended, the “Registration Statement”). The terms and conditions of the Offer are set forth in the prospectus/offer to exchange, which forms a part of the Registration Statement (as amended, the “Offer to Exchange”), and the related Letter of Transmittal, which are set forth as Exhibits (a)(4) and (a)(1)(A) hereto.</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ITEMS 1 THROUGH 11.</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Items 1, 2, 3, 4, 5, 6, 7, 8, 10 and 11 of this Schedule TO are hereby amended and supplemented as set forth in the Offer to Exchange, which is filed as Exhibit (a)(4) 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11(a)(1) of the Schedule TO is hereby amended and restated as follows: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(a)(1) Except to the extent already disclosed in this Schedule TO or as described in the Offer to Exchange, neither Martin Marietta nor any of Martin Marietta’s directors, executive officers or other affiliates is a party to any present or proposed material agreement, arrangement, understanding or relationship with Vulcan or any of Vulcan’s executive officers, directors or affiliates that would require disclosure under Item 1011(a)(1) of Regulation M-A.</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12.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12 of the Schedule TO is amended and supplemented by adding the following:</w:t>
      </w:r>
    </w:p>
    <w:p>
      <w:pPr>
        <w:spacing w:after="0" w:line="320" w:lineRule="exact"/>
        <w:rPr>
          <w:sz w:val="20"/>
          <w:szCs w:val="20"/>
          <w:color w:val="auto"/>
        </w:rPr>
      </w:pPr>
    </w:p>
    <w:p>
      <w:pPr>
        <w:ind w:left="820" w:right="180" w:hanging="819"/>
        <w:spacing w:after="0" w:line="268" w:lineRule="auto"/>
        <w:tabs>
          <w:tab w:leader="none" w:pos="800" w:val="left"/>
        </w:tabs>
        <w:rPr>
          <w:sz w:val="20"/>
          <w:szCs w:val="20"/>
          <w:color w:val="auto"/>
        </w:rPr>
      </w:pPr>
      <w:r>
        <w:rPr>
          <w:rFonts w:ascii="Arial" w:cs="Arial" w:eastAsia="Arial" w:hAnsi="Arial"/>
          <w:sz w:val="18"/>
          <w:szCs w:val="18"/>
          <w:color w:val="auto"/>
        </w:rPr>
        <w:t>(a)(4)</w:t>
      </w:r>
      <w:r>
        <w:rPr>
          <w:sz w:val="20"/>
          <w:szCs w:val="20"/>
          <w:color w:val="auto"/>
        </w:rPr>
        <w:tab/>
      </w:r>
      <w:r>
        <w:rPr>
          <w:rFonts w:ascii="Arial" w:cs="Arial" w:eastAsia="Arial" w:hAnsi="Arial"/>
          <w:sz w:val="18"/>
          <w:szCs w:val="18"/>
          <w:color w:val="auto"/>
        </w:rPr>
        <w:t>Offer to Exchange (incorporated by reference to Martin Marietta’s Amendment No. 1 to its Registration Statement on Form S-4 filed on January 20, 2012)</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13. INFORMATION REQUIRED BY SCHEDULE 13E-3.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Schedule TO is true, complete and correct.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MARTIN MARIETTA MATERIALS,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Roselyn R. Bar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Roselyn R. Bar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Corporate</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20, 2012</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1420"/>
          </w:cols>
          <w:pgMar w:left="240" w:top="274" w:right="239" w:bottom="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(a)(1)(A)</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Form of Letter of Transmittal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(a)(1)(B)</w:t>
      </w:r>
    </w:p>
    <w:p>
      <w:pPr>
        <w:spacing w:after="0" w:line="20" w:lineRule="exact"/>
        <w:rPr>
          <w:sz w:val="20"/>
          <w:szCs w:val="20"/>
          <w:color w:val="auto"/>
        </w:rPr>
      </w:pPr>
      <w:r>
        <w:rPr>
          <w:sz w:val="20"/>
          <w:szCs w:val="20"/>
          <w:color w:val="auto"/>
        </w:rPr>
        <w:br w:type="column"/>
      </w:r>
    </w:p>
    <w:p>
      <w:pPr>
        <w:ind w:right="760"/>
        <w:spacing w:after="0" w:line="268" w:lineRule="auto"/>
        <w:rPr>
          <w:sz w:val="20"/>
          <w:szCs w:val="20"/>
          <w:color w:val="auto"/>
        </w:rPr>
      </w:pPr>
      <w:r>
        <w:rPr>
          <w:rFonts w:ascii="Arial" w:cs="Arial" w:eastAsia="Arial" w:hAnsi="Arial"/>
          <w:sz w:val="18"/>
          <w:szCs w:val="18"/>
          <w:color w:val="auto"/>
        </w:rPr>
        <w:t>Form of Notice of Guaranteed Delivery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(a)(1)(C)</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Form of Letter to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(a)(1)(D)</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Form of Letter to Clients for Use by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(a)(1)(E)</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Form of Guidelines for Certificate of Taxpayer Identification Number on Substitute Form W-9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br w:type="column"/>
      </w:r>
    </w:p>
    <w:p>
      <w:pPr>
        <w:ind w:right="660"/>
        <w:spacing w:after="0" w:line="268" w:lineRule="auto"/>
        <w:rPr>
          <w:sz w:val="20"/>
          <w:szCs w:val="20"/>
          <w:color w:val="auto"/>
        </w:rPr>
      </w:pPr>
      <w:r>
        <w:rPr>
          <w:rFonts w:ascii="Arial" w:cs="Arial" w:eastAsia="Arial" w:hAnsi="Arial"/>
          <w:sz w:val="18"/>
          <w:szCs w:val="18"/>
          <w:color w:val="auto"/>
        </w:rPr>
        <w:t>Offer to Exchange (incorporated by reference to Martin Marietta’s Amendment No. 1 to its Registration Statement on Form S-4 filed on January 20, 2012)</w:t>
      </w:r>
    </w:p>
    <w:p>
      <w:pPr>
        <w:spacing w:after="0" w:line="78"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12, 2011 (incorporated by reference to Martin Marietta’s 8-K filing on December 12, 2011)</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(a)(5)(B)</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Proposal Letter dated December 12, 2011, from C. Howard Nye to Donald M. James (incorporated by reference to Martin Marietta’s 8-K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(a)(5)(C)</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on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(a)(5)(D)</w:t>
      </w:r>
    </w:p>
    <w:p>
      <w:pPr>
        <w:spacing w:after="0" w:line="20" w:lineRule="exact"/>
        <w:rPr>
          <w:sz w:val="20"/>
          <w:szCs w:val="20"/>
          <w:color w:val="auto"/>
        </w:rPr>
      </w:pPr>
      <w:r>
        <w:rPr>
          <w:sz w:val="20"/>
          <w:szCs w:val="20"/>
          <w:color w:val="auto"/>
        </w:rPr>
        <w:br w:type="column"/>
      </w:r>
    </w:p>
    <w:p>
      <w:pPr>
        <w:ind w:right="6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(a)(5)(E)</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Communication sent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(a)(5)(F)</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Communication sent to certain Martin Marietta suppliers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(a)(5)(G)</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Communication sent to certain government officials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(a)(5)(H)</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Communication sent to certain Martin Marietta business partners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(a)(5)(I)</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Communication sent to certain Martin Marietta managers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580" w:space="6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(a)(5)(J)</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Martin Marietta customers beginning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00" w:space="6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(a)(5)(K)</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Content from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December 12, 2011 (incorporated by reference to Martin Marietta’s Rule 425 filing on December 12,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(a)(5)(M)</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Transcript of investor conference call held on December 12,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80" w:space="5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(a)(5)(N)</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Form of Summary Advertisement published in the Wall Street Journal on December 13,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Letter Agreement dated December 15, 2011 (incorporated by Reference to Martin Marietta’s 8-K filing on December 15, 2011)</w:t>
      </w:r>
    </w:p>
    <w:p>
      <w:pPr>
        <w:spacing w:after="0" w:line="140"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(a)(5)(P)</w:t>
      </w:r>
    </w:p>
    <w:p>
      <w:pPr>
        <w:spacing w:after="0" w:line="20" w:lineRule="exact"/>
        <w:rPr>
          <w:sz w:val="20"/>
          <w:szCs w:val="20"/>
          <w:color w:val="auto"/>
        </w:rPr>
      </w:pPr>
      <w:r>
        <w:rPr>
          <w:sz w:val="20"/>
          <w:szCs w:val="20"/>
          <w:color w:val="auto"/>
        </w:rPr>
        <w:br w:type="column"/>
      </w:r>
    </w:p>
    <w:p>
      <w:pPr>
        <w:ind w:right="520"/>
        <w:spacing w:after="0" w:line="332" w:lineRule="auto"/>
        <w:rPr>
          <w:sz w:val="20"/>
          <w:szCs w:val="20"/>
          <w:color w:val="auto"/>
        </w:rPr>
      </w:pPr>
      <w:r>
        <w:rPr>
          <w:rFonts w:ascii="Arial" w:cs="Arial" w:eastAsia="Arial" w:hAnsi="Arial"/>
          <w:sz w:val="16"/>
          <w:szCs w:val="16"/>
          <w:color w:val="auto"/>
        </w:rPr>
        <w:t>Press release dated December 17, 2011 regarding a letter sent from C. Howard Nye to Vulcan Materials Company’s Board of Directors on December 17, 2011 (incorporated by reference to Martin Marietta’s Rule 425 filing on December 19, 2011)</w:t>
      </w:r>
    </w:p>
    <w:p>
      <w:pPr>
        <w:spacing w:after="0" w:line="31"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(a)(5)(Q)</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Statement of Martin Marietta Materials, Inc. made on December 20, 2011 (incorporated by reference to Martin Marietta’s Rule 425 filing on December 20,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22, 2011 (incorporated by reference to Martin Marietta’s Rule 425 filing on December 22,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(a)(5)(S)</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January 3, 2012 (incorporated by reference to Martin Marietta’s Rule 425 filing on January 3, 2012)</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(a)(5)(T)</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Communiation points sent to certain Martin Marietta managers on January 4, 2012 (incorporated by reference to Martin Marietta’s Rule 425 filing on January 4, 2012)</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5, 2012 (incorporated by reference to Martin Marietta’s Rule 425 filing on January 5, 2012)</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(a)(5)(V)</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Vulcan Materials Company shareholders on January 6, 2012 (incorporated by reference to Martin Marietta’s Rule 425 filing on January 6, 2012)</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10, 2012 (incorporated by reference to Martin Marietta’s Rule 425 filing on January 10, 2012)</w:t>
      </w:r>
    </w:p>
    <w:p>
      <w:pPr>
        <w:spacing w:after="0" w:line="165" w:lineRule="exact"/>
        <w:rPr>
          <w:sz w:val="20"/>
          <w:szCs w:val="20"/>
          <w:color w:val="auto"/>
        </w:rPr>
      </w:pPr>
    </w:p>
    <w:p>
      <w:pPr>
        <w:sectPr>
          <w:pgSz w:w="11900" w:h="16838" w:orient="portrait"/>
          <w:cols w:equalWidth="0" w:num="2">
            <w:col w:w="700" w:space="5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January 10, 2012 (incorporated by reference to Martin Marietta’s Rule 425 filing dated January 10, 2012)</w:t>
      </w:r>
    </w:p>
    <w:p>
      <w:pPr>
        <w:spacing w:after="0" w:line="165"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(a)(5)(Y)</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Transcript of investor conference call held on January 10, 2012 (incorporated by reference to Martin Marietta’s Rule 425 filing dated January 11, 2012)</w:t>
      </w:r>
    </w:p>
    <w:p>
      <w:pPr>
        <w:sectPr>
          <w:pgSz w:w="11900" w:h="16838" w:orient="portrait"/>
          <w:cols w:equalWidth="0" w:num="2">
            <w:col w:w="660" w:space="560"/>
            <w:col w:w="10200"/>
          </w:cols>
          <w:pgMar w:left="240" w:top="274"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(a)(5)(Z)</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(a)(5)(AA)</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(a)(5)(BB)</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(a)(5)(CC)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(a)(5)(DD)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Press release dated January 11, 2012 (incorporated by reference to Martin Marietta’s Rule 425 filing on January 11, 2012)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Presentation dated January 11, 2012 (incorporated by reference to Martin Marietta’s Rules 425 filing on January 11, 2012)</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Transcript of presentation given on January 11, 2012 (incorporated by reference to Martin Marietta’s Rule 425 filing dated January 12, 2012)</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Statement of Martin Marietta Materials, Inc. (incorporated by reference to Martin Marietta’s Rule 425 filing on January 19,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Statement of Martin Marietta Materials, Inc. (incorporated by reference to Martin Marietta’s Rule 425 filing on January 20, 2012)</w:t>
      </w:r>
    </w:p>
    <w:p>
      <w:pPr>
        <w:spacing w:after="0" w:line="140" w:lineRule="exact"/>
        <w:rPr>
          <w:sz w:val="20"/>
          <w:szCs w:val="20"/>
          <w:color w:val="auto"/>
        </w:rPr>
      </w:pPr>
    </w:p>
    <w:p>
      <w:pPr>
        <w:sectPr>
          <w:pgSz w:w="11900" w:h="16838" w:orient="portrait"/>
          <w:cols w:equalWidth="0" w:num="2">
            <w:col w:w="780" w:space="440"/>
            <w:col w:w="9900"/>
          </w:cols>
          <w:pgMar w:left="240" w:top="158" w:right="539" w:bottom="1440" w:gutter="0" w:footer="0" w:header="0"/>
        </w:sectPr>
      </w:pPr>
    </w:p>
    <w:p>
      <w:pPr>
        <w:ind w:left="1220" w:hanging="1212"/>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rFonts w:ascii="Arial" w:cs="Arial" w:eastAsia="Arial" w:hAnsi="Arial"/>
          <w:sz w:val="16"/>
          <w:szCs w:val="16"/>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sectPr>
      <w:pgSz w:w="11900" w:h="16838" w:orient="portrait"/>
      <w:cols w:equalWidth="0" w:num="1">
        <w:col w:w="11120"/>
      </w:cols>
      <w:pgMar w:left="240" w:top="158"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2019-12-20T19:04:04Z</dcterms:created>
  <dcterms:modified xsi:type="dcterms:W3CDTF">2019-12-20T19:04:04Z</dcterms:modified>
</cp:coreProperties>
</file>