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0" w:lineRule="exact"/>
        <w:rPr>
          <w:sz w:val="24"/>
          <w:szCs w:val="24"/>
          <w:color w:val="auto"/>
        </w:rPr>
      </w:pPr>
    </w:p>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208280</wp:posOffset>
            </wp:positionV>
            <wp:extent cx="72517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1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249555</wp:posOffset>
            </wp:positionV>
            <wp:extent cx="72517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UNITED STATES</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2870200</wp:posOffset>
            </wp:positionH>
            <wp:positionV relativeFrom="paragraph">
              <wp:posOffset>211455</wp:posOffset>
            </wp:positionV>
            <wp:extent cx="15163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6380" cy="8255"/>
                    </a:xfrm>
                    <a:prstGeom prst="rect">
                      <a:avLst/>
                    </a:prstGeom>
                    <a:noFill/>
                  </pic:spPr>
                </pic:pic>
              </a:graphicData>
            </a:graphic>
          </wp:anchor>
        </w:drawing>
      </w:r>
    </w:p>
    <w:p>
      <w:pPr>
        <w:spacing w:after="0" w:line="200" w:lineRule="exact"/>
        <w:rPr>
          <w:sz w:val="24"/>
          <w:szCs w:val="24"/>
          <w:color w:val="auto"/>
        </w:rPr>
      </w:pPr>
    </w:p>
    <w:p>
      <w:pPr>
        <w:spacing w:after="0" w:line="292"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10-K</w:t>
      </w:r>
    </w:p>
    <w:p>
      <w:pPr>
        <w:spacing w:after="0" w:line="224"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(Mark One)</w:t>
      </w:r>
    </w:p>
    <w:p>
      <w:pPr>
        <w:spacing w:after="0" w:line="27" w:lineRule="exact"/>
        <w:rPr>
          <w:sz w:val="24"/>
          <w:szCs w:val="24"/>
          <w:color w:val="auto"/>
        </w:rPr>
      </w:pPr>
    </w:p>
    <w:p>
      <w:pPr>
        <w:ind w:left="460" w:hanging="456"/>
        <w:spacing w:after="0"/>
        <w:tabs>
          <w:tab w:leader="none" w:pos="46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 the fiscal year ended December 31, 2017</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OR</w:t>
      </w:r>
    </w:p>
    <w:p>
      <w:pPr>
        <w:spacing w:after="0" w:line="237" w:lineRule="exact"/>
        <w:rPr>
          <w:sz w:val="24"/>
          <w:szCs w:val="24"/>
          <w:color w:val="auto"/>
        </w:rPr>
      </w:pPr>
    </w:p>
    <w:p>
      <w:pPr>
        <w:ind w:left="460" w:hanging="456"/>
        <w:spacing w:after="0"/>
        <w:tabs>
          <w:tab w:leader="none" w:pos="46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222" w:lineRule="exact"/>
        <w:rPr>
          <w:sz w:val="24"/>
          <w:szCs w:val="24"/>
          <w:color w:val="auto"/>
        </w:rPr>
      </w:pPr>
    </w:p>
    <w:p>
      <w:pPr>
        <w:ind w:left="3600"/>
        <w:spacing w:after="0"/>
        <w:tabs>
          <w:tab w:leader="none" w:pos="6760"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3729355</wp:posOffset>
            </wp:positionH>
            <wp:positionV relativeFrom="paragraph">
              <wp:posOffset>-4445</wp:posOffset>
            </wp:positionV>
            <wp:extent cx="12446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4600" cy="8255"/>
                    </a:xfrm>
                    <a:prstGeom prst="rect">
                      <a:avLst/>
                    </a:prstGeom>
                    <a:noFill/>
                  </pic:spPr>
                </pic:pic>
              </a:graphicData>
            </a:graphic>
          </wp:anchor>
        </w:drawing>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Commission file number 1-12744</w:t>
      </w:r>
    </w:p>
    <w:p>
      <w:pPr>
        <w:spacing w:after="0" w:line="197" w:lineRule="exact"/>
        <w:rPr>
          <w:sz w:val="24"/>
          <w:szCs w:val="24"/>
          <w:color w:val="auto"/>
        </w:rPr>
      </w:pPr>
    </w:p>
    <w:p>
      <w:pPr>
        <w:jc w:val="center"/>
        <w:spacing w:after="0"/>
        <w:rPr>
          <w:sz w:val="20"/>
          <w:szCs w:val="20"/>
          <w:color w:val="auto"/>
        </w:rPr>
      </w:pPr>
      <w:r>
        <w:rPr>
          <w:rFonts w:ascii="Arial" w:cs="Arial" w:eastAsia="Arial" w:hAnsi="Arial"/>
          <w:sz w:val="42"/>
          <w:szCs w:val="42"/>
          <w:b w:val="1"/>
          <w:bCs w:val="1"/>
          <w:color w:val="auto"/>
        </w:rPr>
        <w:t>MARTIN MARIETTA MATERIALS,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26" w:lineRule="exact"/>
        <w:rPr>
          <w:sz w:val="24"/>
          <w:szCs w:val="24"/>
          <w:color w:val="auto"/>
        </w:rPr>
      </w:pPr>
    </w:p>
    <w:tbl>
      <w:tblPr>
        <w:tblLayout w:type="fixed"/>
        <w:tblInd w:w="460" w:type="dxa"/>
        <w:tblCellMar>
          <w:top w:w="0" w:type="dxa"/>
          <w:left w:w="0" w:type="dxa"/>
          <w:bottom w:w="0" w:type="dxa"/>
          <w:right w:w="0" w:type="dxa"/>
        </w:tblCellMar>
      </w:tblPr>
      <w:tr>
        <w:trPr>
          <w:trHeight w:val="204"/>
        </w:trPr>
        <w:tc>
          <w:tcPr>
            <w:tcW w:w="6840" w:type="dxa"/>
            <w:vAlign w:val="bottom"/>
            <w:gridSpan w:val="3"/>
          </w:tcPr>
          <w:p>
            <w:pPr>
              <w:jc w:val="center"/>
              <w:ind w:right="1899"/>
              <w:spacing w:after="0"/>
              <w:rPr>
                <w:sz w:val="20"/>
                <w:szCs w:val="20"/>
                <w:color w:val="auto"/>
              </w:rPr>
            </w:pPr>
            <w:r>
              <w:rPr>
                <w:rFonts w:ascii="Arial" w:cs="Arial" w:eastAsia="Arial" w:hAnsi="Arial"/>
                <w:sz w:val="17"/>
                <w:szCs w:val="17"/>
                <w:b w:val="1"/>
                <w:bCs w:val="1"/>
                <w:color w:val="auto"/>
                <w:w w:val="96"/>
              </w:rPr>
              <w:t>North Carolina</w:t>
            </w:r>
          </w:p>
        </w:tc>
        <w:tc>
          <w:tcPr>
            <w:tcW w:w="2320" w:type="dxa"/>
            <w:vAlign w:val="bottom"/>
            <w:gridSpan w:val="2"/>
          </w:tcPr>
          <w:p>
            <w:pPr>
              <w:jc w:val="center"/>
              <w:ind w:left="314"/>
              <w:spacing w:after="0"/>
              <w:rPr>
                <w:sz w:val="20"/>
                <w:szCs w:val="20"/>
                <w:color w:val="auto"/>
              </w:rPr>
            </w:pPr>
            <w:r>
              <w:rPr>
                <w:rFonts w:ascii="Arial" w:cs="Arial" w:eastAsia="Arial" w:hAnsi="Arial"/>
                <w:sz w:val="17"/>
                <w:szCs w:val="17"/>
                <w:b w:val="1"/>
                <w:bCs w:val="1"/>
                <w:color w:val="auto"/>
                <w:w w:val="92"/>
              </w:rPr>
              <w:t>56-1848578</w:t>
            </w: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6840" w:type="dxa"/>
            <w:vAlign w:val="bottom"/>
            <w:gridSpan w:val="3"/>
          </w:tcPr>
          <w:p>
            <w:pPr>
              <w:jc w:val="center"/>
              <w:ind w:right="1899"/>
              <w:spacing w:after="0" w:line="143" w:lineRule="exact"/>
              <w:rPr>
                <w:sz w:val="20"/>
                <w:szCs w:val="20"/>
                <w:color w:val="auto"/>
              </w:rPr>
            </w:pPr>
            <w:r>
              <w:rPr>
                <w:rFonts w:ascii="Arial" w:cs="Arial" w:eastAsia="Arial" w:hAnsi="Arial"/>
                <w:sz w:val="14"/>
                <w:szCs w:val="14"/>
                <w:b w:val="1"/>
                <w:bCs w:val="1"/>
                <w:color w:val="auto"/>
                <w:w w:val="90"/>
              </w:rPr>
              <w:t>(State or other jurisdiction of</w:t>
            </w:r>
          </w:p>
        </w:tc>
        <w:tc>
          <w:tcPr>
            <w:tcW w:w="40" w:type="dxa"/>
            <w:vAlign w:val="bottom"/>
          </w:tcPr>
          <w:p>
            <w:pPr>
              <w:spacing w:after="0"/>
              <w:rPr>
                <w:sz w:val="12"/>
                <w:szCs w:val="12"/>
                <w:color w:val="auto"/>
              </w:rPr>
            </w:pPr>
          </w:p>
        </w:tc>
        <w:tc>
          <w:tcPr>
            <w:tcW w:w="2280" w:type="dxa"/>
            <w:vAlign w:val="bottom"/>
          </w:tcPr>
          <w:p>
            <w:pPr>
              <w:jc w:val="center"/>
              <w:ind w:left="287"/>
              <w:spacing w:after="0" w:line="143" w:lineRule="exact"/>
              <w:rPr>
                <w:sz w:val="20"/>
                <w:szCs w:val="20"/>
                <w:color w:val="auto"/>
              </w:rPr>
            </w:pPr>
            <w:r>
              <w:rPr>
                <w:rFonts w:ascii="Arial" w:cs="Arial" w:eastAsia="Arial" w:hAnsi="Arial"/>
                <w:sz w:val="14"/>
                <w:szCs w:val="14"/>
                <w:b w:val="1"/>
                <w:bCs w:val="1"/>
                <w:color w:val="auto"/>
                <w:w w:val="93"/>
              </w:rPr>
              <w:t>(I.R.S. Employer</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6840" w:type="dxa"/>
            <w:vAlign w:val="bottom"/>
            <w:gridSpan w:val="3"/>
          </w:tcPr>
          <w:p>
            <w:pPr>
              <w:jc w:val="center"/>
              <w:ind w:right="1899"/>
              <w:spacing w:after="0"/>
              <w:rPr>
                <w:sz w:val="20"/>
                <w:szCs w:val="20"/>
                <w:color w:val="auto"/>
              </w:rPr>
            </w:pPr>
            <w:r>
              <w:rPr>
                <w:rFonts w:ascii="Arial" w:cs="Arial" w:eastAsia="Arial" w:hAnsi="Arial"/>
                <w:sz w:val="14"/>
                <w:szCs w:val="14"/>
                <w:b w:val="1"/>
                <w:bCs w:val="1"/>
                <w:color w:val="auto"/>
                <w:w w:val="91"/>
              </w:rPr>
              <w:t>incorporation or organization)</w:t>
            </w:r>
          </w:p>
        </w:tc>
        <w:tc>
          <w:tcPr>
            <w:tcW w:w="40" w:type="dxa"/>
            <w:vAlign w:val="bottom"/>
          </w:tcPr>
          <w:p>
            <w:pPr>
              <w:spacing w:after="0"/>
              <w:rPr>
                <w:sz w:val="15"/>
                <w:szCs w:val="15"/>
                <w:color w:val="auto"/>
              </w:rPr>
            </w:pPr>
          </w:p>
        </w:tc>
        <w:tc>
          <w:tcPr>
            <w:tcW w:w="2280" w:type="dxa"/>
            <w:vAlign w:val="bottom"/>
          </w:tcPr>
          <w:p>
            <w:pPr>
              <w:jc w:val="center"/>
              <w:ind w:left="287"/>
              <w:spacing w:after="0"/>
              <w:rPr>
                <w:sz w:val="20"/>
                <w:szCs w:val="20"/>
                <w:color w:val="auto"/>
              </w:rPr>
            </w:pPr>
            <w:r>
              <w:rPr>
                <w:rFonts w:ascii="Arial" w:cs="Arial" w:eastAsia="Arial" w:hAnsi="Arial"/>
                <w:sz w:val="14"/>
                <w:szCs w:val="14"/>
                <w:b w:val="1"/>
                <w:bCs w:val="1"/>
                <w:color w:val="auto"/>
                <w:w w:val="91"/>
              </w:rPr>
              <w:t>Identification No.)</w:t>
            </w: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2"/>
        </w:trPr>
        <w:tc>
          <w:tcPr>
            <w:tcW w:w="6840" w:type="dxa"/>
            <w:vAlign w:val="bottom"/>
            <w:gridSpan w:val="3"/>
          </w:tcPr>
          <w:p>
            <w:pPr>
              <w:jc w:val="center"/>
              <w:ind w:right="1899"/>
              <w:spacing w:after="0"/>
              <w:rPr>
                <w:sz w:val="20"/>
                <w:szCs w:val="20"/>
                <w:color w:val="auto"/>
              </w:rPr>
            </w:pPr>
            <w:r>
              <w:rPr>
                <w:rFonts w:ascii="Arial" w:cs="Arial" w:eastAsia="Arial" w:hAnsi="Arial"/>
                <w:sz w:val="17"/>
                <w:szCs w:val="17"/>
                <w:b w:val="1"/>
                <w:bCs w:val="1"/>
                <w:color w:val="auto"/>
                <w:w w:val="94"/>
              </w:rPr>
              <w:t>2710 Wycliff Road, Raleigh, North Carolina</w:t>
            </w:r>
          </w:p>
        </w:tc>
        <w:tc>
          <w:tcPr>
            <w:tcW w:w="2320" w:type="dxa"/>
            <w:vAlign w:val="bottom"/>
            <w:gridSpan w:val="2"/>
          </w:tcPr>
          <w:p>
            <w:pPr>
              <w:jc w:val="center"/>
              <w:ind w:left="314"/>
              <w:spacing w:after="0"/>
              <w:rPr>
                <w:sz w:val="20"/>
                <w:szCs w:val="20"/>
                <w:color w:val="auto"/>
              </w:rPr>
            </w:pPr>
            <w:r>
              <w:rPr>
                <w:rFonts w:ascii="Arial" w:cs="Arial" w:eastAsia="Arial" w:hAnsi="Arial"/>
                <w:sz w:val="17"/>
                <w:szCs w:val="17"/>
                <w:b w:val="1"/>
                <w:bCs w:val="1"/>
                <w:color w:val="auto"/>
                <w:w w:val="92"/>
              </w:rPr>
              <w:t>27607-3033</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6840" w:type="dxa"/>
            <w:vAlign w:val="bottom"/>
            <w:gridSpan w:val="3"/>
          </w:tcPr>
          <w:p>
            <w:pPr>
              <w:jc w:val="center"/>
              <w:ind w:right="1899"/>
              <w:spacing w:after="0"/>
              <w:rPr>
                <w:sz w:val="20"/>
                <w:szCs w:val="20"/>
                <w:color w:val="auto"/>
              </w:rPr>
            </w:pPr>
            <w:r>
              <w:rPr>
                <w:rFonts w:ascii="Arial" w:cs="Arial" w:eastAsia="Arial" w:hAnsi="Arial"/>
                <w:sz w:val="14"/>
                <w:szCs w:val="14"/>
                <w:b w:val="1"/>
                <w:bCs w:val="1"/>
                <w:color w:val="auto"/>
                <w:w w:val="87"/>
              </w:rPr>
              <w:t>(Address of principal executive offices)</w:t>
            </w:r>
          </w:p>
        </w:tc>
        <w:tc>
          <w:tcPr>
            <w:tcW w:w="40" w:type="dxa"/>
            <w:vAlign w:val="bottom"/>
          </w:tcPr>
          <w:p>
            <w:pPr>
              <w:spacing w:after="0"/>
              <w:rPr>
                <w:sz w:val="15"/>
                <w:szCs w:val="15"/>
                <w:color w:val="auto"/>
              </w:rPr>
            </w:pPr>
          </w:p>
        </w:tc>
        <w:tc>
          <w:tcPr>
            <w:tcW w:w="2280" w:type="dxa"/>
            <w:vAlign w:val="bottom"/>
          </w:tcPr>
          <w:p>
            <w:pPr>
              <w:jc w:val="center"/>
              <w:ind w:left="287"/>
              <w:spacing w:after="0"/>
              <w:rPr>
                <w:sz w:val="20"/>
                <w:szCs w:val="20"/>
                <w:color w:val="auto"/>
              </w:rPr>
            </w:pPr>
            <w:r>
              <w:rPr>
                <w:rFonts w:ascii="Arial" w:cs="Arial" w:eastAsia="Arial" w:hAnsi="Arial"/>
                <w:sz w:val="14"/>
                <w:szCs w:val="14"/>
                <w:b w:val="1"/>
                <w:bCs w:val="1"/>
                <w:color w:val="auto"/>
                <w:w w:val="92"/>
              </w:rPr>
              <w:t>(Zip Code)</w:t>
            </w: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9"/>
        </w:trPr>
        <w:tc>
          <w:tcPr>
            <w:tcW w:w="6840" w:type="dxa"/>
            <w:vAlign w:val="bottom"/>
            <w:gridSpan w:val="3"/>
          </w:tcPr>
          <w:p>
            <w:pPr>
              <w:jc w:val="center"/>
              <w:ind w:left="3599"/>
              <w:spacing w:after="0"/>
              <w:rPr>
                <w:sz w:val="20"/>
                <w:szCs w:val="20"/>
                <w:color w:val="auto"/>
              </w:rPr>
            </w:pPr>
            <w:r>
              <w:rPr>
                <w:rFonts w:ascii="Arial" w:cs="Arial" w:eastAsia="Arial" w:hAnsi="Arial"/>
                <w:sz w:val="17"/>
                <w:szCs w:val="17"/>
                <w:b w:val="1"/>
                <w:bCs w:val="1"/>
                <w:color w:val="auto"/>
                <w:w w:val="92"/>
              </w:rPr>
              <w:t>(919) 781-4550</w:t>
            </w:r>
          </w:p>
        </w:tc>
        <w:tc>
          <w:tcPr>
            <w:tcW w:w="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18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900" w:type="dxa"/>
            <w:vAlign w:val="bottom"/>
          </w:tcPr>
          <w:p>
            <w:pPr>
              <w:jc w:val="center"/>
              <w:ind w:left="659"/>
              <w:spacing w:after="0"/>
              <w:rPr>
                <w:sz w:val="20"/>
                <w:szCs w:val="20"/>
                <w:color w:val="auto"/>
              </w:rPr>
            </w:pPr>
            <w:r>
              <w:rPr>
                <w:rFonts w:ascii="Arial" w:cs="Arial" w:eastAsia="Arial" w:hAnsi="Arial"/>
                <w:sz w:val="14"/>
                <w:szCs w:val="14"/>
                <w:b w:val="1"/>
                <w:bCs w:val="1"/>
                <w:color w:val="auto"/>
                <w:w w:val="87"/>
              </w:rPr>
              <w:t>(Registrant’s telephone number, including area code)</w:t>
            </w:r>
          </w:p>
        </w:tc>
        <w:tc>
          <w:tcPr>
            <w:tcW w:w="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1"/>
        </w:trPr>
        <w:tc>
          <w:tcPr>
            <w:tcW w:w="1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20" w:type="dxa"/>
            <w:vAlign w:val="bottom"/>
            <w:gridSpan w:val="3"/>
          </w:tcPr>
          <w:p>
            <w:pPr>
              <w:jc w:val="center"/>
              <w:ind w:right="1527"/>
              <w:spacing w:after="0"/>
              <w:rPr>
                <w:sz w:val="20"/>
                <w:szCs w:val="20"/>
                <w:color w:val="auto"/>
              </w:rPr>
            </w:pPr>
            <w:r>
              <w:rPr>
                <w:rFonts w:ascii="Arial" w:cs="Arial" w:eastAsia="Arial" w:hAnsi="Arial"/>
                <w:sz w:val="17"/>
                <w:szCs w:val="17"/>
                <w:b w:val="1"/>
                <w:bCs w:val="1"/>
                <w:color w:val="auto"/>
                <w:w w:val="90"/>
              </w:rPr>
              <w:t>Securities registered pursuant to Section 12(b) of the Act:</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188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b w:val="1"/>
                <w:bCs w:val="1"/>
                <w:color w:val="auto"/>
                <w:w w:val="86"/>
              </w:rPr>
              <w:t>Title of each class</w:t>
            </w:r>
          </w:p>
        </w:tc>
        <w:tc>
          <w:tcPr>
            <w:tcW w:w="3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0" w:type="dxa"/>
            <w:vAlign w:val="bottom"/>
            <w:gridSpan w:val="3"/>
          </w:tcPr>
          <w:p>
            <w:pPr>
              <w:jc w:val="center"/>
              <w:ind w:right="820"/>
              <w:spacing w:after="0"/>
              <w:rPr>
                <w:sz w:val="20"/>
                <w:szCs w:val="20"/>
                <w:color w:val="auto"/>
              </w:rPr>
            </w:pPr>
            <w:r>
              <w:rPr>
                <w:rFonts w:ascii="Arial" w:cs="Arial" w:eastAsia="Arial" w:hAnsi="Arial"/>
                <w:sz w:val="14"/>
                <w:szCs w:val="14"/>
                <w:b w:val="1"/>
                <w:bCs w:val="1"/>
                <w:color w:val="auto"/>
                <w:w w:val="87"/>
              </w:rPr>
              <w:t>Name of each exchange on which registered</w:t>
            </w: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900" w:type="dxa"/>
            <w:vAlign w:val="bottom"/>
            <w:vMerge w:val="restart"/>
          </w:tcPr>
          <w:p>
            <w:pPr>
              <w:spacing w:after="0"/>
              <w:rPr>
                <w:sz w:val="20"/>
                <w:szCs w:val="20"/>
                <w:color w:val="auto"/>
              </w:rPr>
            </w:pPr>
            <w:r>
              <w:rPr>
                <w:rFonts w:ascii="Arial" w:cs="Arial" w:eastAsia="Arial" w:hAnsi="Arial"/>
                <w:sz w:val="17"/>
                <w:szCs w:val="17"/>
                <w:b w:val="1"/>
                <w:bCs w:val="1"/>
                <w:color w:val="auto"/>
              </w:rPr>
              <w:t>.01 per share)</w:t>
            </w:r>
          </w:p>
        </w:tc>
        <w:tc>
          <w:tcPr>
            <w:tcW w:w="40" w:type="dxa"/>
            <w:vAlign w:val="bottom"/>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940" w:type="dxa"/>
            <w:vAlign w:val="bottom"/>
            <w:gridSpan w:val="2"/>
          </w:tcPr>
          <w:p>
            <w:pPr>
              <w:ind w:left="860"/>
              <w:spacing w:after="0"/>
              <w:rPr>
                <w:sz w:val="20"/>
                <w:szCs w:val="20"/>
                <w:color w:val="auto"/>
              </w:rPr>
            </w:pPr>
            <w:r>
              <w:rPr>
                <w:rFonts w:ascii="Arial" w:cs="Arial" w:eastAsia="Arial" w:hAnsi="Arial"/>
                <w:sz w:val="17"/>
                <w:szCs w:val="17"/>
                <w:b w:val="1"/>
                <w:bCs w:val="1"/>
                <w:color w:val="auto"/>
                <w:w w:val="91"/>
              </w:rPr>
              <w:t>Common Stock (par value $</w:t>
            </w:r>
          </w:p>
        </w:tc>
        <w:tc>
          <w:tcPr>
            <w:tcW w:w="390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2280" w:type="dxa"/>
            <w:vAlign w:val="bottom"/>
          </w:tcPr>
          <w:p>
            <w:pPr>
              <w:jc w:val="center"/>
              <w:ind w:left="207"/>
              <w:spacing w:after="0"/>
              <w:rPr>
                <w:sz w:val="20"/>
                <w:szCs w:val="20"/>
                <w:color w:val="auto"/>
              </w:rPr>
            </w:pPr>
            <w:r>
              <w:rPr>
                <w:rFonts w:ascii="Arial" w:cs="Arial" w:eastAsia="Arial" w:hAnsi="Arial"/>
                <w:sz w:val="17"/>
                <w:szCs w:val="17"/>
                <w:b w:val="1"/>
                <w:bCs w:val="1"/>
                <w:color w:val="auto"/>
                <w:w w:val="91"/>
              </w:rPr>
              <w:t>New York Stock Exchange</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4"/>
        </w:trPr>
        <w:tc>
          <w:tcPr>
            <w:tcW w:w="1880" w:type="dxa"/>
            <w:vAlign w:val="bottom"/>
          </w:tcPr>
          <w:p>
            <w:pPr>
              <w:spacing w:after="0"/>
              <w:rPr>
                <w:sz w:val="24"/>
                <w:szCs w:val="24"/>
                <w:color w:val="auto"/>
              </w:rPr>
            </w:pPr>
          </w:p>
        </w:tc>
        <w:tc>
          <w:tcPr>
            <w:tcW w:w="7280" w:type="dxa"/>
            <w:vAlign w:val="bottom"/>
            <w:gridSpan w:val="4"/>
          </w:tcPr>
          <w:p>
            <w:pPr>
              <w:jc w:val="center"/>
              <w:ind w:right="467"/>
              <w:spacing w:after="0"/>
              <w:rPr>
                <w:sz w:val="20"/>
                <w:szCs w:val="20"/>
                <w:color w:val="auto"/>
              </w:rPr>
            </w:pPr>
            <w:r>
              <w:rPr>
                <w:rFonts w:ascii="Arial" w:cs="Arial" w:eastAsia="Arial" w:hAnsi="Arial"/>
                <w:sz w:val="17"/>
                <w:szCs w:val="17"/>
                <w:b w:val="1"/>
                <w:bCs w:val="1"/>
                <w:color w:val="auto"/>
                <w:w w:val="90"/>
              </w:rPr>
              <w:t>Securities registered pursuant to Section 12(g) of the Act: None</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9160" w:type="dxa"/>
            <w:vAlign w:val="bottom"/>
            <w:gridSpan w:val="5"/>
          </w:tcPr>
          <w:p>
            <w:pPr>
              <w:spacing w:after="0" w:line="196" w:lineRule="exact"/>
              <w:rPr>
                <w:sz w:val="20"/>
                <w:szCs w:val="20"/>
                <w:color w:val="auto"/>
              </w:rPr>
            </w:pPr>
            <w:r>
              <w:rPr>
                <w:rFonts w:ascii="Arial" w:cs="Arial" w:eastAsia="Arial" w:hAnsi="Arial"/>
                <w:sz w:val="17"/>
                <w:szCs w:val="17"/>
                <w:color w:val="auto"/>
                <w:w w:val="94"/>
              </w:rPr>
              <w:t xml:space="preserve">Indicate by check mark if the registrant is a well-known seasoned issuer, as defined in Rule 405 of the Securities Act.  Yes </w:t>
            </w:r>
            <w:r>
              <w:rPr>
                <w:rFonts w:ascii="MS PGothic" w:cs="MS PGothic" w:eastAsia="MS PGothic" w:hAnsi="MS PGothic"/>
                <w:sz w:val="17"/>
                <w:szCs w:val="17"/>
                <w:color w:val="auto"/>
                <w:w w:val="94"/>
              </w:rPr>
              <w:t>☒</w:t>
            </w:r>
            <w:r>
              <w:rPr>
                <w:rFonts w:ascii="Arial" w:cs="Arial" w:eastAsia="Arial" w:hAnsi="Arial"/>
                <w:sz w:val="17"/>
                <w:szCs w:val="17"/>
                <w:color w:val="auto"/>
                <w:w w:val="94"/>
              </w:rPr>
              <w:t xml:space="preserve"> No</w:t>
            </w:r>
          </w:p>
        </w:tc>
        <w:tc>
          <w:tcPr>
            <w:tcW w:w="1120" w:type="dxa"/>
            <w:vAlign w:val="bottom"/>
            <w:gridSpan w:val="2"/>
          </w:tcPr>
          <w:p>
            <w:pPr>
              <w:ind w:left="80"/>
              <w:spacing w:after="0" w:line="171" w:lineRule="exact"/>
              <w:rPr>
                <w:sz w:val="20"/>
                <w:szCs w:val="20"/>
                <w:color w:val="auto"/>
              </w:rPr>
            </w:pP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r>
        <w:trPr>
          <w:trHeight w:val="415"/>
        </w:trPr>
        <w:tc>
          <w:tcPr>
            <w:tcW w:w="9160" w:type="dxa"/>
            <w:vAlign w:val="bottom"/>
            <w:gridSpan w:val="5"/>
          </w:tcPr>
          <w:p>
            <w:pPr>
              <w:spacing w:after="0"/>
              <w:rPr>
                <w:sz w:val="20"/>
                <w:szCs w:val="20"/>
                <w:color w:val="auto"/>
              </w:rPr>
            </w:pPr>
            <w:r>
              <w:rPr>
                <w:rFonts w:ascii="Arial" w:cs="Arial" w:eastAsia="Arial" w:hAnsi="Arial"/>
                <w:sz w:val="17"/>
                <w:szCs w:val="17"/>
                <w:color w:val="auto"/>
                <w:w w:val="94"/>
              </w:rPr>
              <w:t>Indicate by check mark if the registrant is not required to file reports pursuant to Section 13 or Section 15(d) of the Exchange Act.</w:t>
            </w:r>
          </w:p>
        </w:tc>
        <w:tc>
          <w:tcPr>
            <w:tcW w:w="1120" w:type="dxa"/>
            <w:vAlign w:val="bottom"/>
            <w:gridSpan w:val="2"/>
          </w:tcPr>
          <w:p>
            <w:pPr>
              <w:spacing w:after="0" w:line="196" w:lineRule="exact"/>
              <w:rPr>
                <w:sz w:val="20"/>
                <w:szCs w:val="20"/>
                <w:color w:val="auto"/>
              </w:rPr>
            </w:pP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bl>
    <w:p>
      <w:pPr>
        <w:spacing w:after="0" w:line="177" w:lineRule="exact"/>
        <w:rPr>
          <w:sz w:val="24"/>
          <w:szCs w:val="24"/>
          <w:color w:val="auto"/>
        </w:rPr>
      </w:pPr>
    </w:p>
    <w:p>
      <w:pPr>
        <w:ind w:right="120" w:firstLine="457"/>
        <w:spacing w:after="0" w:line="218"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78" w:lineRule="exact"/>
        <w:rPr>
          <w:sz w:val="24"/>
          <w:szCs w:val="24"/>
          <w:color w:val="auto"/>
        </w:rPr>
      </w:pPr>
    </w:p>
    <w:p>
      <w:pPr>
        <w:ind w:right="60" w:firstLine="457"/>
        <w:spacing w:after="0" w:line="218"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78" w:lineRule="exact"/>
        <w:rPr>
          <w:sz w:val="24"/>
          <w:szCs w:val="24"/>
          <w:color w:val="auto"/>
        </w:rPr>
      </w:pPr>
    </w:p>
    <w:p>
      <w:pPr>
        <w:ind w:right="60" w:firstLine="457"/>
        <w:spacing w:after="0" w:line="218" w:lineRule="exact"/>
        <w:rPr>
          <w:sz w:val="20"/>
          <w:szCs w:val="20"/>
          <w:color w:val="auto"/>
        </w:rPr>
      </w:pPr>
      <w:r>
        <w:rPr>
          <w:rFonts w:ascii="Arial" w:cs="Arial" w:eastAsia="Arial" w:hAnsi="Arial"/>
          <w:sz w:val="17"/>
          <w:szCs w:val="17"/>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7"/>
          <w:szCs w:val="17"/>
          <w:color w:val="auto"/>
        </w:rPr>
        <w:t>☒</w:t>
      </w:r>
    </w:p>
    <w:p>
      <w:pPr>
        <w:spacing w:after="0" w:line="178" w:lineRule="exact"/>
        <w:rPr>
          <w:sz w:val="24"/>
          <w:szCs w:val="24"/>
          <w:color w:val="auto"/>
        </w:rPr>
      </w:pPr>
    </w:p>
    <w:p>
      <w:pPr>
        <w:ind w:right="320" w:firstLine="457"/>
        <w:spacing w:after="0" w:line="270"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pacing w:after="0" w:line="164" w:lineRule="exact"/>
        <w:rPr>
          <w:sz w:val="24"/>
          <w:szCs w:val="24"/>
          <w:color w:val="auto"/>
        </w:rPr>
      </w:pPr>
    </w:p>
    <w:tbl>
      <w:tblPr>
        <w:tblLayout w:type="fixed"/>
        <w:tblInd w:w="0" w:type="dxa"/>
        <w:tblCellMar>
          <w:top w:w="0" w:type="dxa"/>
          <w:left w:w="0" w:type="dxa"/>
          <w:bottom w:w="0" w:type="dxa"/>
          <w:right w:w="0" w:type="dxa"/>
        </w:tblCellMar>
      </w:tblPr>
      <w:tr>
        <w:trPr>
          <w:trHeight w:val="271"/>
        </w:trPr>
        <w:tc>
          <w:tcPr>
            <w:tcW w:w="174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5400" w:type="dxa"/>
            <w:vAlign w:val="bottom"/>
          </w:tcPr>
          <w:p>
            <w:pPr>
              <w:ind w:left="180"/>
              <w:spacing w:after="0" w:line="171" w:lineRule="exact"/>
              <w:rPr>
                <w:sz w:val="20"/>
                <w:szCs w:val="20"/>
                <w:color w:val="auto"/>
              </w:rPr>
            </w:pPr>
            <w:r>
              <w:rPr>
                <w:rFonts w:ascii="MS PGothic" w:cs="MS PGothic" w:eastAsia="MS PGothic" w:hAnsi="MS PGothic"/>
                <w:sz w:val="17"/>
                <w:szCs w:val="17"/>
                <w:color w:val="auto"/>
              </w:rPr>
              <w:t>☒</w:t>
            </w:r>
          </w:p>
        </w:tc>
        <w:tc>
          <w:tcPr>
            <w:tcW w:w="3880" w:type="dxa"/>
            <w:vAlign w:val="bottom"/>
          </w:tcPr>
          <w:p>
            <w:pPr>
              <w:ind w:left="1740"/>
              <w:spacing w:after="0"/>
              <w:rPr>
                <w:sz w:val="20"/>
                <w:szCs w:val="20"/>
                <w:color w:val="auto"/>
              </w:rPr>
            </w:pPr>
            <w:r>
              <w:rPr>
                <w:rFonts w:ascii="Arial" w:cs="Arial" w:eastAsia="Arial" w:hAnsi="Arial"/>
                <w:sz w:val="17"/>
                <w:szCs w:val="17"/>
                <w:color w:val="auto"/>
              </w:rPr>
              <w:t>Accelerated filer</w:t>
            </w:r>
          </w:p>
        </w:tc>
        <w:tc>
          <w:tcPr>
            <w:tcW w:w="400" w:type="dxa"/>
            <w:vAlign w:val="bottom"/>
          </w:tcPr>
          <w:p>
            <w:pPr>
              <w:ind w:left="2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11"/>
        </w:trPr>
        <w:tc>
          <w:tcPr>
            <w:tcW w:w="1740" w:type="dxa"/>
            <w:vAlign w:val="bottom"/>
          </w:tcPr>
          <w:p>
            <w:pPr>
              <w:spacing w:after="0"/>
              <w:rPr>
                <w:sz w:val="20"/>
                <w:szCs w:val="20"/>
                <w:color w:val="auto"/>
              </w:rPr>
            </w:pPr>
            <w:r>
              <w:rPr>
                <w:rFonts w:ascii="Arial" w:cs="Arial" w:eastAsia="Arial" w:hAnsi="Arial"/>
                <w:sz w:val="17"/>
                <w:szCs w:val="17"/>
                <w:color w:val="auto"/>
              </w:rPr>
              <w:t>Non-accelerated filer</w:t>
            </w:r>
          </w:p>
        </w:tc>
        <w:tc>
          <w:tcPr>
            <w:tcW w:w="5400" w:type="dxa"/>
            <w:vAlign w:val="bottom"/>
          </w:tcPr>
          <w:p>
            <w:pPr>
              <w:ind w:left="18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(Do not check if a smaller reporting company)</w:t>
            </w:r>
          </w:p>
        </w:tc>
        <w:tc>
          <w:tcPr>
            <w:tcW w:w="3880" w:type="dxa"/>
            <w:vAlign w:val="bottom"/>
          </w:tcPr>
          <w:p>
            <w:pPr>
              <w:ind w:left="1740"/>
              <w:spacing w:after="0"/>
              <w:rPr>
                <w:sz w:val="20"/>
                <w:szCs w:val="20"/>
                <w:color w:val="auto"/>
              </w:rPr>
            </w:pPr>
            <w:r>
              <w:rPr>
                <w:rFonts w:ascii="Arial" w:cs="Arial" w:eastAsia="Arial" w:hAnsi="Arial"/>
                <w:sz w:val="17"/>
                <w:szCs w:val="17"/>
                <w:color w:val="auto"/>
              </w:rPr>
              <w:t>Smaller reporting company</w:t>
            </w:r>
          </w:p>
        </w:tc>
        <w:tc>
          <w:tcPr>
            <w:tcW w:w="400" w:type="dxa"/>
            <w:vAlign w:val="bottom"/>
          </w:tcPr>
          <w:p>
            <w:pPr>
              <w:ind w:left="2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11"/>
        </w:trPr>
        <w:tc>
          <w:tcPr>
            <w:tcW w:w="174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3880" w:type="dxa"/>
            <w:vAlign w:val="bottom"/>
          </w:tcPr>
          <w:p>
            <w:pPr>
              <w:ind w:left="1740"/>
              <w:spacing w:after="0"/>
              <w:rPr>
                <w:sz w:val="20"/>
                <w:szCs w:val="20"/>
                <w:color w:val="auto"/>
              </w:rPr>
            </w:pPr>
            <w:r>
              <w:rPr>
                <w:rFonts w:ascii="Arial" w:cs="Arial" w:eastAsia="Arial" w:hAnsi="Arial"/>
                <w:sz w:val="17"/>
                <w:szCs w:val="17"/>
                <w:color w:val="auto"/>
              </w:rPr>
              <w:t>Emerging growth company</w:t>
            </w:r>
          </w:p>
        </w:tc>
        <w:tc>
          <w:tcPr>
            <w:tcW w:w="400" w:type="dxa"/>
            <w:vAlign w:val="bottom"/>
          </w:tcPr>
          <w:p>
            <w:pPr>
              <w:ind w:left="24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177" w:lineRule="exact"/>
        <w:rPr>
          <w:sz w:val="24"/>
          <w:szCs w:val="24"/>
          <w:color w:val="auto"/>
        </w:rPr>
      </w:pPr>
    </w:p>
    <w:p>
      <w:pPr>
        <w:ind w:right="140" w:firstLine="457"/>
        <w:spacing w:after="0" w:line="223"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46" w:lineRule="exact"/>
        <w:rPr>
          <w:sz w:val="24"/>
          <w:szCs w:val="24"/>
          <w:color w:val="auto"/>
        </w:rPr>
      </w:pPr>
    </w:p>
    <w:p>
      <w:pPr>
        <w:ind w:left="460"/>
        <w:spacing w:after="0" w:line="196" w:lineRule="exact"/>
        <w:tabs>
          <w:tab w:leader="none" w:pos="8460" w:val="left"/>
          <w:tab w:leader="none" w:pos="91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tab/>
        <w:t xml:space="preserve">Yes </w:t>
      </w:r>
      <w:r>
        <w:rPr>
          <w:rFonts w:ascii="MS PGothic" w:cs="MS PGothic" w:eastAsia="MS PGothic" w:hAnsi="MS PGothic"/>
          <w:sz w:val="17"/>
          <w:szCs w:val="17"/>
          <w:color w:val="auto"/>
        </w:rPr>
        <w:t>☐</w:t>
      </w:r>
      <w:r>
        <w:rPr>
          <w:rFonts w:ascii="Arial" w:cs="Arial" w:eastAsia="Arial" w:hAnsi="Arial"/>
          <w:sz w:val="17"/>
          <w:szCs w:val="17"/>
          <w:color w:val="auto"/>
        </w:rPr>
        <w:tab/>
        <w:t xml:space="preserve">No </w:t>
      </w:r>
      <w:r>
        <w:rPr>
          <w:rFonts w:ascii="MS PGothic" w:cs="MS PGothic" w:eastAsia="MS PGothic" w:hAnsi="MS PGothic"/>
          <w:sz w:val="17"/>
          <w:szCs w:val="17"/>
          <w:color w:val="auto"/>
        </w:rPr>
        <w:t>☒</w:t>
      </w:r>
    </w:p>
    <w:p>
      <w:pPr>
        <w:spacing w:after="0" w:line="252" w:lineRule="exact"/>
        <w:rPr>
          <w:sz w:val="24"/>
          <w:szCs w:val="24"/>
          <w:color w:val="auto"/>
        </w:rPr>
      </w:pPr>
    </w:p>
    <w:p>
      <w:pPr>
        <w:ind w:right="400" w:firstLine="457"/>
        <w:spacing w:after="0" w:line="355" w:lineRule="auto"/>
        <w:rPr>
          <w:sz w:val="20"/>
          <w:szCs w:val="20"/>
          <w:color w:val="auto"/>
        </w:rPr>
      </w:pPr>
      <w:r>
        <w:rPr>
          <w:rFonts w:ascii="Arial" w:cs="Arial" w:eastAsia="Arial" w:hAnsi="Arial"/>
          <w:sz w:val="15"/>
          <w:szCs w:val="15"/>
          <w:color w:val="auto"/>
        </w:rPr>
        <w:t>As of June 30, 2017, the last business day of the registrant’s most recently completed second fiscal quarter, the aggregate market value of the registrant’s common stock held by non-affiliates of the registrant was $11,664,571,328.26 based on the closing sale price as reported on the New York Stock Exchange.</w:t>
      </w:r>
    </w:p>
    <w:p>
      <w:pPr>
        <w:sectPr>
          <w:pgSz w:w="11900" w:h="16878" w:orient="portrait"/>
          <w:cols w:equalWidth="0" w:num="1">
            <w:col w:w="11420"/>
          </w:cols>
          <w:pgMar w:left="240" w:top="225" w:right="239" w:bottom="0" w:gutter="0" w:footer="0" w:header="0"/>
        </w:sectPr>
      </w:pPr>
    </w:p>
    <w:bookmarkStart w:id="1" w:name="page2"/>
    <w:bookmarkEnd w:id="1"/>
    <w:p>
      <w:pPr>
        <w:ind w:left="460"/>
        <w:spacing w:after="0"/>
        <w:rPr>
          <w:sz w:val="20"/>
          <w:szCs w:val="20"/>
          <w:color w:val="auto"/>
        </w:rPr>
      </w:pPr>
      <w:r>
        <w:rPr>
          <w:rFonts w:ascii="Arial" w:cs="Arial" w:eastAsia="Arial" w:hAnsi="Arial"/>
          <w:sz w:val="17"/>
          <w:szCs w:val="17"/>
          <w:color w:val="auto"/>
        </w:rPr>
        <w:t>Indicate the number of shares outstanding of each of the issuer’s classes of common stock on the latest practicable date.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720" w:type="dxa"/>
            <w:vAlign w:val="bottom"/>
            <w:vMerge w:val="restart"/>
          </w:tcPr>
          <w:p>
            <w:pPr>
              <w:ind w:left="1380"/>
              <w:spacing w:after="0"/>
              <w:rPr>
                <w:sz w:val="20"/>
                <w:szCs w:val="20"/>
                <w:color w:val="auto"/>
              </w:rPr>
            </w:pPr>
            <w:r>
              <w:rPr>
                <w:rFonts w:ascii="Arial" w:cs="Arial" w:eastAsia="Arial" w:hAnsi="Arial"/>
                <w:sz w:val="17"/>
                <w:szCs w:val="17"/>
                <w:b w:val="1"/>
                <w:bCs w:val="1"/>
                <w:color w:val="auto"/>
                <w:w w:val="91"/>
              </w:rPr>
              <w:t>Common Stock, $</w:t>
            </w:r>
          </w:p>
        </w:tc>
        <w:tc>
          <w:tcPr>
            <w:tcW w:w="3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0"/>
              </w:rPr>
              <w:t>Class</w:t>
            </w:r>
          </w:p>
        </w:tc>
        <w:tc>
          <w:tcPr>
            <w:tcW w:w="3960" w:type="dxa"/>
            <w:vAlign w:val="bottom"/>
            <w:gridSpan w:val="2"/>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Outstanding at February 9, 2018</w:t>
            </w: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720" w:type="dxa"/>
            <w:vAlign w:val="bottom"/>
            <w:vMerge w:val="continue"/>
          </w:tcPr>
          <w:p>
            <w:pPr>
              <w:spacing w:after="0"/>
              <w:rPr>
                <w:sz w:val="19"/>
                <w:szCs w:val="19"/>
                <w:color w:val="auto"/>
              </w:rPr>
            </w:pPr>
          </w:p>
        </w:tc>
        <w:tc>
          <w:tcPr>
            <w:tcW w:w="4300" w:type="dxa"/>
            <w:vAlign w:val="bottom"/>
            <w:gridSpan w:val="4"/>
          </w:tcPr>
          <w:p>
            <w:pPr>
              <w:spacing w:after="0"/>
              <w:rPr>
                <w:sz w:val="20"/>
                <w:szCs w:val="20"/>
                <w:color w:val="auto"/>
              </w:rPr>
            </w:pPr>
            <w:r>
              <w:rPr>
                <w:rFonts w:ascii="Arial" w:cs="Arial" w:eastAsia="Arial" w:hAnsi="Arial"/>
                <w:sz w:val="17"/>
                <w:szCs w:val="17"/>
                <w:b w:val="1"/>
                <w:bCs w:val="1"/>
                <w:color w:val="auto"/>
              </w:rPr>
              <w:t>.01 par value per share</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40" w:type="dxa"/>
            <w:vAlign w:val="bottom"/>
            <w:gridSpan w:val="2"/>
          </w:tcPr>
          <w:p>
            <w:pPr>
              <w:ind w:left="320"/>
              <w:spacing w:after="0"/>
              <w:rPr>
                <w:sz w:val="20"/>
                <w:szCs w:val="20"/>
                <w:color w:val="auto"/>
              </w:rPr>
            </w:pPr>
            <w:r>
              <w:rPr>
                <w:rFonts w:ascii="Arial" w:cs="Arial" w:eastAsia="Arial" w:hAnsi="Arial"/>
                <w:sz w:val="17"/>
                <w:szCs w:val="17"/>
                <w:b w:val="1"/>
                <w:bCs w:val="1"/>
                <w:color w:val="auto"/>
              </w:rPr>
              <w:t>62,803,002 shares</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4"/>
        </w:trPr>
        <w:tc>
          <w:tcPr>
            <w:tcW w:w="2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920" w:type="dxa"/>
            <w:vAlign w:val="bottom"/>
            <w:gridSpan w:val="6"/>
          </w:tcPr>
          <w:p>
            <w:pPr>
              <w:ind w:left="220"/>
              <w:spacing w:after="0"/>
              <w:rPr>
                <w:sz w:val="20"/>
                <w:szCs w:val="20"/>
                <w:color w:val="auto"/>
              </w:rPr>
            </w:pPr>
            <w:r>
              <w:rPr>
                <w:rFonts w:ascii="Arial" w:cs="Arial" w:eastAsia="Arial" w:hAnsi="Arial"/>
                <w:sz w:val="17"/>
                <w:szCs w:val="17"/>
                <w:b w:val="1"/>
                <w:bCs w:val="1"/>
                <w:color w:val="auto"/>
              </w:rPr>
              <w:t>DOCUMENTS INCORPORATED BY REFERENCE</w:t>
            </w:r>
          </w:p>
        </w:tc>
        <w:tc>
          <w:tcPr>
            <w:tcW w:w="0" w:type="dxa"/>
            <w:vAlign w:val="bottom"/>
          </w:tcPr>
          <w:p>
            <w:pPr>
              <w:spacing w:after="0"/>
              <w:rPr>
                <w:sz w:val="1"/>
                <w:szCs w:val="1"/>
                <w:color w:val="auto"/>
              </w:rPr>
            </w:pPr>
          </w:p>
        </w:tc>
      </w:tr>
      <w:tr>
        <w:trPr>
          <w:trHeight w:val="376"/>
        </w:trPr>
        <w:tc>
          <w:tcPr>
            <w:tcW w:w="2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120" w:type="dxa"/>
            <w:vAlign w:val="bottom"/>
            <w:gridSpan w:val="3"/>
          </w:tcPr>
          <w:p>
            <w:pPr>
              <w:spacing w:after="0"/>
              <w:rPr>
                <w:sz w:val="20"/>
                <w:szCs w:val="20"/>
                <w:color w:val="auto"/>
              </w:rPr>
            </w:pPr>
            <w:r>
              <w:rPr>
                <w:rFonts w:ascii="Arial" w:cs="Arial" w:eastAsia="Arial" w:hAnsi="Arial"/>
                <w:sz w:val="14"/>
                <w:szCs w:val="14"/>
                <w:b w:val="1"/>
                <w:bCs w:val="1"/>
                <w:color w:val="auto"/>
              </w:rPr>
              <w:t>Document</w:t>
            </w:r>
          </w:p>
        </w:tc>
        <w:tc>
          <w:tcPr>
            <w:tcW w:w="4400" w:type="dxa"/>
            <w:vAlign w:val="bottom"/>
            <w:gridSpan w:val="5"/>
          </w:tcPr>
          <w:p>
            <w:pPr>
              <w:ind w:left="640"/>
              <w:spacing w:after="0"/>
              <w:rPr>
                <w:sz w:val="20"/>
                <w:szCs w:val="20"/>
                <w:color w:val="auto"/>
              </w:rPr>
            </w:pPr>
            <w:r>
              <w:rPr>
                <w:rFonts w:ascii="Arial" w:cs="Arial" w:eastAsia="Arial" w:hAnsi="Arial"/>
                <w:sz w:val="14"/>
                <w:szCs w:val="14"/>
                <w:b w:val="1"/>
                <w:bCs w:val="1"/>
                <w:color w:val="auto"/>
              </w:rPr>
              <w:t>Parts Into Which Incorporated</w:t>
            </w:r>
          </w:p>
        </w:tc>
        <w:tc>
          <w:tcPr>
            <w:tcW w:w="0" w:type="dxa"/>
            <w:vAlign w:val="bottom"/>
          </w:tcPr>
          <w:p>
            <w:pPr>
              <w:spacing w:after="0"/>
              <w:rPr>
                <w:sz w:val="1"/>
                <w:szCs w:val="1"/>
                <w:color w:val="auto"/>
              </w:rPr>
            </w:pPr>
          </w:p>
        </w:tc>
      </w:tr>
      <w:tr>
        <w:trPr>
          <w:trHeight w:val="20"/>
        </w:trPr>
        <w:tc>
          <w:tcPr>
            <w:tcW w:w="2900" w:type="dxa"/>
            <w:vAlign w:val="bottom"/>
            <w:gridSpan w:val="2"/>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3520" w:type="dxa"/>
            <w:vAlign w:val="bottom"/>
            <w:vMerge w:val="restart"/>
          </w:tcPr>
          <w:p>
            <w:pPr>
              <w:spacing w:after="0"/>
              <w:rPr>
                <w:sz w:val="20"/>
                <w:szCs w:val="20"/>
                <w:color w:val="auto"/>
              </w:rPr>
            </w:pPr>
            <w:r>
              <w:rPr>
                <w:rFonts w:ascii="Arial" w:cs="Arial" w:eastAsia="Arial" w:hAnsi="Arial"/>
                <w:sz w:val="17"/>
                <w:szCs w:val="17"/>
                <w:color w:val="auto"/>
              </w:rPr>
              <w:t>the Fiscal Year Ended December 31, 2017</w:t>
            </w:r>
          </w:p>
        </w:tc>
        <w:tc>
          <w:tcPr>
            <w:tcW w:w="640" w:type="dxa"/>
            <w:vAlign w:val="bottom"/>
            <w:vMerge w:val="restart"/>
          </w:tcPr>
          <w:p>
            <w:pPr>
              <w:spacing w:after="0" w:line="20" w:lineRule="exact"/>
              <w:rPr>
                <w:sz w:val="1"/>
                <w:szCs w:val="1"/>
                <w:color w:val="auto"/>
              </w:rPr>
            </w:pPr>
          </w:p>
        </w:tc>
        <w:tc>
          <w:tcPr>
            <w:tcW w:w="1840" w:type="dxa"/>
            <w:vAlign w:val="bottom"/>
            <w:gridSpan w:val="2"/>
            <w:shd w:val="clear" w:color="auto" w:fill="000000"/>
          </w:tcPr>
          <w:p>
            <w:pPr>
              <w:spacing w:after="0" w:line="20" w:lineRule="exact"/>
              <w:rPr>
                <w:sz w:val="1"/>
                <w:szCs w:val="1"/>
                <w:color w:val="auto"/>
              </w:rPr>
            </w:pPr>
          </w:p>
        </w:tc>
        <w:tc>
          <w:tcPr>
            <w:tcW w:w="192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500" w:type="dxa"/>
            <w:vAlign w:val="bottom"/>
            <w:gridSpan w:val="4"/>
          </w:tcPr>
          <w:p>
            <w:pPr>
              <w:spacing w:after="0" w:line="176" w:lineRule="exact"/>
              <w:rPr>
                <w:sz w:val="20"/>
                <w:szCs w:val="20"/>
                <w:color w:val="auto"/>
              </w:rPr>
            </w:pPr>
            <w:r>
              <w:rPr>
                <w:rFonts w:ascii="Arial" w:cs="Arial" w:eastAsia="Arial" w:hAnsi="Arial"/>
                <w:sz w:val="17"/>
                <w:szCs w:val="17"/>
                <w:color w:val="auto"/>
                <w:w w:val="94"/>
              </w:rPr>
              <w:t>Excerpts from Annual Report to Shareholders for</w:t>
            </w:r>
          </w:p>
        </w:tc>
        <w:tc>
          <w:tcPr>
            <w:tcW w:w="352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1840" w:type="dxa"/>
            <w:vAlign w:val="bottom"/>
            <w:gridSpan w:val="2"/>
          </w:tcPr>
          <w:p>
            <w:pPr>
              <w:spacing w:after="0" w:line="176" w:lineRule="exact"/>
              <w:rPr>
                <w:sz w:val="20"/>
                <w:szCs w:val="20"/>
                <w:color w:val="auto"/>
              </w:rPr>
            </w:pPr>
            <w:r>
              <w:rPr>
                <w:rFonts w:ascii="Arial" w:cs="Arial" w:eastAsia="Arial" w:hAnsi="Arial"/>
                <w:sz w:val="17"/>
                <w:szCs w:val="17"/>
                <w:color w:val="auto"/>
              </w:rPr>
              <w:t>Parts I, II, and IV</w:t>
            </w:r>
          </w:p>
        </w:tc>
        <w:tc>
          <w:tcPr>
            <w:tcW w:w="1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7020" w:type="dxa"/>
            <w:vAlign w:val="bottom"/>
            <w:gridSpan w:val="5"/>
          </w:tcPr>
          <w:p>
            <w:pPr>
              <w:spacing w:after="0"/>
              <w:rPr>
                <w:sz w:val="20"/>
                <w:szCs w:val="20"/>
                <w:color w:val="auto"/>
              </w:rPr>
            </w:pPr>
            <w:r>
              <w:rPr>
                <w:rFonts w:ascii="Arial" w:cs="Arial" w:eastAsia="Arial" w:hAnsi="Arial"/>
                <w:sz w:val="17"/>
                <w:szCs w:val="17"/>
                <w:color w:val="auto"/>
              </w:rPr>
              <w:t>(Annual Report)</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9"/>
        </w:trPr>
        <w:tc>
          <w:tcPr>
            <w:tcW w:w="7020" w:type="dxa"/>
            <w:vAlign w:val="bottom"/>
            <w:gridSpan w:val="5"/>
          </w:tcPr>
          <w:p>
            <w:pPr>
              <w:spacing w:after="0"/>
              <w:rPr>
                <w:sz w:val="20"/>
                <w:szCs w:val="20"/>
                <w:color w:val="auto"/>
              </w:rPr>
            </w:pPr>
            <w:r>
              <w:rPr>
                <w:rFonts w:ascii="Arial" w:cs="Arial" w:eastAsia="Arial" w:hAnsi="Arial"/>
                <w:sz w:val="17"/>
                <w:szCs w:val="17"/>
                <w:color w:val="auto"/>
              </w:rPr>
              <w:t>Proxy Statement for the Annual Meeting of Shareholders to be held May 17, 2018 (Proxy</w:t>
            </w:r>
          </w:p>
        </w:tc>
        <w:tc>
          <w:tcPr>
            <w:tcW w:w="4400" w:type="dxa"/>
            <w:vAlign w:val="bottom"/>
            <w:gridSpan w:val="5"/>
          </w:tcPr>
          <w:p>
            <w:pPr>
              <w:ind w:left="640"/>
              <w:spacing w:after="0"/>
              <w:rPr>
                <w:sz w:val="20"/>
                <w:szCs w:val="20"/>
                <w:color w:val="auto"/>
              </w:rPr>
            </w:pPr>
            <w:r>
              <w:rPr>
                <w:rFonts w:ascii="Arial" w:cs="Arial" w:eastAsia="Arial" w:hAnsi="Arial"/>
                <w:sz w:val="17"/>
                <w:szCs w:val="17"/>
                <w:color w:val="auto"/>
              </w:rPr>
              <w:t>Part III</w:t>
            </w:r>
          </w:p>
        </w:tc>
        <w:tc>
          <w:tcPr>
            <w:tcW w:w="0" w:type="dxa"/>
            <w:vAlign w:val="bottom"/>
          </w:tcPr>
          <w:p>
            <w:pPr>
              <w:spacing w:after="0"/>
              <w:rPr>
                <w:sz w:val="1"/>
                <w:szCs w:val="1"/>
                <w:color w:val="auto"/>
              </w:rPr>
            </w:pPr>
          </w:p>
        </w:tc>
      </w:tr>
      <w:tr>
        <w:trPr>
          <w:trHeight w:val="220"/>
        </w:trPr>
        <w:tc>
          <w:tcPr>
            <w:tcW w:w="7020" w:type="dxa"/>
            <w:vAlign w:val="bottom"/>
            <w:gridSpan w:val="5"/>
          </w:tcPr>
          <w:p>
            <w:pPr>
              <w:spacing w:after="0"/>
              <w:rPr>
                <w:sz w:val="20"/>
                <w:szCs w:val="20"/>
                <w:color w:val="auto"/>
              </w:rPr>
            </w:pPr>
            <w:r>
              <w:rPr>
                <w:rFonts w:ascii="Arial" w:cs="Arial" w:eastAsia="Arial" w:hAnsi="Arial"/>
                <w:sz w:val="17"/>
                <w:szCs w:val="17"/>
                <w:color w:val="auto"/>
              </w:rPr>
              <w:t>Statement)</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7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35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7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35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7" w:right="239" w:bottom="1440" w:gutter="0" w:footer="0" w:header="0"/>
        </w:sectPr>
      </w:pPr>
    </w:p>
    <w:bookmarkStart w:id="2" w:name="page3"/>
    <w:bookmarkEnd w:id="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300" w:type="dxa"/>
            <w:vAlign w:val="bottom"/>
            <w:gridSpan w:val="8"/>
          </w:tcPr>
          <w:p>
            <w:pPr>
              <w:spacing w:after="0"/>
              <w:rPr>
                <w:sz w:val="20"/>
                <w:szCs w:val="20"/>
                <w:color w:val="auto"/>
              </w:rPr>
            </w:pPr>
            <w:r>
              <w:rPr>
                <w:rFonts w:ascii="Arial" w:cs="Arial" w:eastAsia="Arial" w:hAnsi="Arial"/>
                <w:sz w:val="17"/>
                <w:szCs w:val="17"/>
                <w:b w:val="1"/>
                <w:bCs w:val="1"/>
                <w:color w:val="auto"/>
              </w:rPr>
              <w:t>TABLE OF CONTENTS</w:t>
            </w:r>
          </w:p>
        </w:tc>
        <w:tc>
          <w:tcPr>
            <w:tcW w:w="300" w:type="dxa"/>
            <w:vAlign w:val="bottom"/>
          </w:tcPr>
          <w:p>
            <w:pPr>
              <w:spacing w:after="0"/>
              <w:rPr>
                <w:sz w:val="16"/>
                <w:szCs w:val="16"/>
                <w:color w:val="auto"/>
              </w:rPr>
            </w:pPr>
          </w:p>
        </w:tc>
      </w:tr>
      <w:tr>
        <w:trPr>
          <w:trHeight w:val="395"/>
        </w:trPr>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253"/>
        </w:trPr>
        <w:tc>
          <w:tcPr>
            <w:tcW w:w="1240" w:type="dxa"/>
            <w:vAlign w:val="bottom"/>
            <w:gridSpan w:val="5"/>
          </w:tcPr>
          <w:p>
            <w:pPr>
              <w:spacing w:after="0"/>
              <w:rPr>
                <w:rFonts w:ascii="Arial" w:cs="Arial" w:eastAsia="Arial" w:hAnsi="Arial"/>
                <w:sz w:val="17"/>
                <w:szCs w:val="17"/>
                <w:b w:val="1"/>
                <w:bCs w:val="1"/>
                <w:color w:val="0000EE"/>
              </w:rPr>
            </w:pPr>
            <w:hyperlink w:anchor="page5">
              <w:r>
                <w:rPr>
                  <w:rFonts w:ascii="Arial" w:cs="Arial" w:eastAsia="Arial" w:hAnsi="Arial"/>
                  <w:sz w:val="17"/>
                  <w:szCs w:val="17"/>
                  <w:b w:val="1"/>
                  <w:bCs w:val="1"/>
                  <w:color w:val="0000EE"/>
                </w:rPr>
                <w:t>PART I</w:t>
              </w:r>
            </w:hyperlink>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0"/>
        </w:trPr>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91"/>
        </w:trPr>
        <w:tc>
          <w:tcPr>
            <w:tcW w:w="18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Arial" w:cs="Arial" w:eastAsia="Arial" w:hAnsi="Arial"/>
                <w:sz w:val="17"/>
                <w:szCs w:val="17"/>
                <w:b w:val="1"/>
                <w:bCs w:val="1"/>
                <w:color w:val="auto"/>
              </w:rPr>
              <w:t>ITEM 1.</w:t>
            </w:r>
          </w:p>
        </w:tc>
        <w:tc>
          <w:tcPr>
            <w:tcW w:w="840" w:type="dxa"/>
            <w:vAlign w:val="bottom"/>
            <w:tcBorders>
              <w:bottom w:val="single" w:sz="8" w:color="0000EE"/>
            </w:tcBorders>
          </w:tcPr>
          <w:p>
            <w:pPr>
              <w:spacing w:after="0"/>
              <w:rPr>
                <w:rFonts w:ascii="Arial" w:cs="Arial" w:eastAsia="Arial" w:hAnsi="Arial"/>
                <w:sz w:val="17"/>
                <w:szCs w:val="17"/>
                <w:b w:val="1"/>
                <w:bCs w:val="1"/>
                <w:color w:val="0000EE"/>
                <w:w w:val="94"/>
              </w:rPr>
            </w:pPr>
            <w:hyperlink w:anchor="page5">
              <w:r>
                <w:rPr>
                  <w:rFonts w:ascii="Arial" w:cs="Arial" w:eastAsia="Arial" w:hAnsi="Arial"/>
                  <w:sz w:val="17"/>
                  <w:szCs w:val="17"/>
                  <w:b w:val="1"/>
                  <w:bCs w:val="1"/>
                  <w:color w:val="0000EE"/>
                  <w:w w:val="94"/>
                </w:rPr>
                <w:t>BUSINESS</w:t>
              </w:r>
            </w:hyperlink>
          </w:p>
        </w:tc>
        <w:tc>
          <w:tcPr>
            <w:tcW w:w="9000" w:type="dxa"/>
            <w:vAlign w:val="bottom"/>
            <w:gridSpan w:val="18"/>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91"/>
        </w:trPr>
        <w:tc>
          <w:tcPr>
            <w:tcW w:w="18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Arial" w:cs="Arial" w:eastAsia="Arial" w:hAnsi="Arial"/>
                <w:sz w:val="17"/>
                <w:szCs w:val="17"/>
                <w:b w:val="1"/>
                <w:bCs w:val="1"/>
                <w:color w:val="auto"/>
              </w:rPr>
              <w:t>ITEM 1A.</w:t>
            </w:r>
          </w:p>
        </w:tc>
        <w:tc>
          <w:tcPr>
            <w:tcW w:w="1280" w:type="dxa"/>
            <w:vAlign w:val="bottom"/>
            <w:tcBorders>
              <w:bottom w:val="single" w:sz="8" w:color="0000EE"/>
            </w:tcBorders>
            <w:gridSpan w:val="3"/>
          </w:tcPr>
          <w:p>
            <w:pPr>
              <w:spacing w:after="0"/>
              <w:rPr>
                <w:rFonts w:ascii="Arial" w:cs="Arial" w:eastAsia="Arial" w:hAnsi="Arial"/>
                <w:sz w:val="17"/>
                <w:szCs w:val="17"/>
                <w:b w:val="1"/>
                <w:bCs w:val="1"/>
                <w:color w:val="0000EE"/>
                <w:w w:val="98"/>
              </w:rPr>
            </w:pPr>
            <w:hyperlink w:anchor="page23">
              <w:r>
                <w:rPr>
                  <w:rFonts w:ascii="Arial" w:cs="Arial" w:eastAsia="Arial" w:hAnsi="Arial"/>
                  <w:sz w:val="17"/>
                  <w:szCs w:val="17"/>
                  <w:b w:val="1"/>
                  <w:bCs w:val="1"/>
                  <w:color w:val="0000EE"/>
                  <w:w w:val="98"/>
                </w:rPr>
                <w:t>RISK FACTORS</w:t>
              </w:r>
            </w:hyperlink>
          </w:p>
        </w:tc>
        <w:tc>
          <w:tcPr>
            <w:tcW w:w="8560" w:type="dxa"/>
            <w:vAlign w:val="bottom"/>
            <w:gridSpan w:val="16"/>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91"/>
        </w:trPr>
        <w:tc>
          <w:tcPr>
            <w:tcW w:w="18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Arial" w:cs="Arial" w:eastAsia="Arial" w:hAnsi="Arial"/>
                <w:sz w:val="17"/>
                <w:szCs w:val="17"/>
                <w:b w:val="1"/>
                <w:bCs w:val="1"/>
                <w:color w:val="auto"/>
              </w:rPr>
              <w:t>ITEM 1B.</w:t>
            </w:r>
          </w:p>
        </w:tc>
        <w:tc>
          <w:tcPr>
            <w:tcW w:w="9840" w:type="dxa"/>
            <w:vAlign w:val="bottom"/>
            <w:gridSpan w:val="19"/>
          </w:tcPr>
          <w:p>
            <w:pPr>
              <w:spacing w:after="0"/>
              <w:rPr>
                <w:rFonts w:ascii="Arial" w:cs="Arial" w:eastAsia="Arial" w:hAnsi="Arial"/>
                <w:sz w:val="17"/>
                <w:szCs w:val="17"/>
                <w:b w:val="1"/>
                <w:bCs w:val="1"/>
                <w:color w:val="0000EE"/>
              </w:rPr>
            </w:pPr>
            <w:hyperlink w:anchor="page39">
              <w:r>
                <w:rPr>
                  <w:rFonts w:ascii="Arial" w:cs="Arial" w:eastAsia="Arial" w:hAnsi="Arial"/>
                  <w:sz w:val="17"/>
                  <w:szCs w:val="17"/>
                  <w:b w:val="1"/>
                  <w:bCs w:val="1"/>
                  <w:color w:val="0000EE"/>
                </w:rPr>
                <w:t>UNRESOLVED STAFF COMMENTS</w:t>
              </w:r>
            </w:hyperlink>
          </w:p>
        </w:tc>
        <w:tc>
          <w:tcPr>
            <w:tcW w:w="300" w:type="dxa"/>
            <w:vAlign w:val="bottom"/>
          </w:tcPr>
          <w:p>
            <w:pPr>
              <w:jc w:val="right"/>
              <w:spacing w:after="0"/>
              <w:rPr>
                <w:sz w:val="20"/>
                <w:szCs w:val="20"/>
                <w:color w:val="auto"/>
              </w:rPr>
            </w:pPr>
            <w:r>
              <w:rPr>
                <w:rFonts w:ascii="Arial" w:cs="Arial" w:eastAsia="Arial" w:hAnsi="Arial"/>
                <w:sz w:val="17"/>
                <w:szCs w:val="17"/>
                <w:color w:val="auto"/>
              </w:rPr>
              <w:t>35</w:t>
            </w:r>
          </w:p>
        </w:tc>
      </w:tr>
      <w:tr>
        <w:trPr>
          <w:trHeight w:val="291"/>
        </w:trPr>
        <w:tc>
          <w:tcPr>
            <w:tcW w:w="18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Arial" w:cs="Arial" w:eastAsia="Arial" w:hAnsi="Arial"/>
                <w:sz w:val="17"/>
                <w:szCs w:val="17"/>
                <w:b w:val="1"/>
                <w:bCs w:val="1"/>
                <w:color w:val="auto"/>
              </w:rPr>
              <w:t>ITEM 2.</w:t>
            </w:r>
          </w:p>
        </w:tc>
        <w:tc>
          <w:tcPr>
            <w:tcW w:w="1100" w:type="dxa"/>
            <w:vAlign w:val="bottom"/>
            <w:tcBorders>
              <w:top w:val="single" w:sz="8" w:color="0000EE"/>
              <w:bottom w:val="single" w:sz="8" w:color="0000EE"/>
            </w:tcBorders>
            <w:gridSpan w:val="2"/>
          </w:tcPr>
          <w:p>
            <w:pPr>
              <w:spacing w:after="0"/>
              <w:rPr>
                <w:rFonts w:ascii="Arial" w:cs="Arial" w:eastAsia="Arial" w:hAnsi="Arial"/>
                <w:sz w:val="17"/>
                <w:szCs w:val="17"/>
                <w:b w:val="1"/>
                <w:bCs w:val="1"/>
                <w:color w:val="0000EE"/>
                <w:w w:val="98"/>
              </w:rPr>
            </w:pPr>
            <w:hyperlink w:anchor="page39">
              <w:r>
                <w:rPr>
                  <w:rFonts w:ascii="Arial" w:cs="Arial" w:eastAsia="Arial" w:hAnsi="Arial"/>
                  <w:sz w:val="17"/>
                  <w:szCs w:val="17"/>
                  <w:b w:val="1"/>
                  <w:bCs w:val="1"/>
                  <w:color w:val="0000EE"/>
                  <w:w w:val="98"/>
                </w:rPr>
                <w:t>PROPERTIES</w:t>
              </w:r>
            </w:hyperlink>
          </w:p>
        </w:tc>
        <w:tc>
          <w:tcPr>
            <w:tcW w:w="1740" w:type="dxa"/>
            <w:vAlign w:val="bottom"/>
            <w:tcBorders>
              <w:top w:val="single" w:sz="8" w:color="0000EE"/>
            </w:tcBorders>
            <w:gridSpan w:val="8"/>
          </w:tcPr>
          <w:p>
            <w:pPr>
              <w:spacing w:after="0"/>
              <w:rPr>
                <w:sz w:val="24"/>
                <w:szCs w:val="24"/>
                <w:color w:val="auto"/>
              </w:rPr>
            </w:pPr>
          </w:p>
        </w:tc>
        <w:tc>
          <w:tcPr>
            <w:tcW w:w="7000" w:type="dxa"/>
            <w:vAlign w:val="bottom"/>
            <w:gridSpan w:val="9"/>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35</w:t>
            </w:r>
          </w:p>
        </w:tc>
      </w:tr>
      <w:tr>
        <w:trPr>
          <w:trHeight w:val="291"/>
        </w:trPr>
        <w:tc>
          <w:tcPr>
            <w:tcW w:w="18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Arial" w:cs="Arial" w:eastAsia="Arial" w:hAnsi="Arial"/>
                <w:sz w:val="17"/>
                <w:szCs w:val="17"/>
                <w:b w:val="1"/>
                <w:bCs w:val="1"/>
                <w:color w:val="auto"/>
              </w:rPr>
              <w:t>ITEM 3.</w:t>
            </w:r>
          </w:p>
        </w:tc>
        <w:tc>
          <w:tcPr>
            <w:tcW w:w="1920" w:type="dxa"/>
            <w:vAlign w:val="bottom"/>
            <w:tcBorders>
              <w:bottom w:val="single" w:sz="8" w:color="0000EE"/>
            </w:tcBorders>
            <w:gridSpan w:val="4"/>
          </w:tcPr>
          <w:p>
            <w:pPr>
              <w:spacing w:after="0"/>
              <w:rPr>
                <w:rFonts w:ascii="Arial" w:cs="Arial" w:eastAsia="Arial" w:hAnsi="Arial"/>
                <w:sz w:val="17"/>
                <w:szCs w:val="17"/>
                <w:b w:val="1"/>
                <w:bCs w:val="1"/>
                <w:color w:val="0000EE"/>
              </w:rPr>
            </w:pPr>
            <w:hyperlink w:anchor="page44">
              <w:r>
                <w:rPr>
                  <w:rFonts w:ascii="Arial" w:cs="Arial" w:eastAsia="Arial" w:hAnsi="Arial"/>
                  <w:sz w:val="17"/>
                  <w:szCs w:val="17"/>
                  <w:b w:val="1"/>
                  <w:bCs w:val="1"/>
                  <w:color w:val="0000EE"/>
                </w:rPr>
                <w:t>LEGAL PROCEEDINGS</w:t>
              </w:r>
            </w:hyperlink>
          </w:p>
        </w:tc>
        <w:tc>
          <w:tcPr>
            <w:tcW w:w="7920" w:type="dxa"/>
            <w:vAlign w:val="bottom"/>
            <w:gridSpan w:val="15"/>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40</w:t>
            </w:r>
          </w:p>
        </w:tc>
      </w:tr>
      <w:tr>
        <w:trPr>
          <w:trHeight w:val="291"/>
        </w:trPr>
        <w:tc>
          <w:tcPr>
            <w:tcW w:w="18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Arial" w:cs="Arial" w:eastAsia="Arial" w:hAnsi="Arial"/>
                <w:sz w:val="17"/>
                <w:szCs w:val="17"/>
                <w:b w:val="1"/>
                <w:bCs w:val="1"/>
                <w:color w:val="auto"/>
              </w:rPr>
              <w:t>ITEM 4.</w:t>
            </w:r>
          </w:p>
        </w:tc>
        <w:tc>
          <w:tcPr>
            <w:tcW w:w="2480" w:type="dxa"/>
            <w:vAlign w:val="bottom"/>
            <w:tcBorders>
              <w:bottom w:val="single" w:sz="8" w:color="0000EE"/>
            </w:tcBorders>
            <w:gridSpan w:val="7"/>
          </w:tcPr>
          <w:p>
            <w:pPr>
              <w:spacing w:after="0"/>
              <w:rPr>
                <w:rFonts w:ascii="Arial" w:cs="Arial" w:eastAsia="Arial" w:hAnsi="Arial"/>
                <w:sz w:val="17"/>
                <w:szCs w:val="17"/>
                <w:b w:val="1"/>
                <w:bCs w:val="1"/>
                <w:color w:val="0000EE"/>
              </w:rPr>
            </w:pPr>
            <w:hyperlink w:anchor="page44">
              <w:r>
                <w:rPr>
                  <w:rFonts w:ascii="Arial" w:cs="Arial" w:eastAsia="Arial" w:hAnsi="Arial"/>
                  <w:sz w:val="17"/>
                  <w:szCs w:val="17"/>
                  <w:b w:val="1"/>
                  <w:bCs w:val="1"/>
                  <w:color w:val="0000EE"/>
                </w:rPr>
                <w:t>MINE SAFETY DISCLOSURES</w:t>
              </w:r>
            </w:hyperlink>
          </w:p>
        </w:tc>
        <w:tc>
          <w:tcPr>
            <w:tcW w:w="7360" w:type="dxa"/>
            <w:vAlign w:val="bottom"/>
            <w:gridSpan w:val="12"/>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40</w:t>
            </w:r>
          </w:p>
        </w:tc>
      </w:tr>
      <w:tr>
        <w:trPr>
          <w:trHeight w:val="291"/>
        </w:trPr>
        <w:tc>
          <w:tcPr>
            <w:tcW w:w="180" w:type="dxa"/>
            <w:vAlign w:val="bottom"/>
          </w:tcPr>
          <w:p>
            <w:pPr>
              <w:spacing w:after="0"/>
              <w:rPr>
                <w:sz w:val="24"/>
                <w:szCs w:val="24"/>
                <w:color w:val="auto"/>
              </w:rPr>
            </w:pPr>
          </w:p>
        </w:tc>
        <w:tc>
          <w:tcPr>
            <w:tcW w:w="10900" w:type="dxa"/>
            <w:vAlign w:val="bottom"/>
            <w:gridSpan w:val="23"/>
          </w:tcPr>
          <w:p>
            <w:pPr>
              <w:spacing w:after="0"/>
              <w:rPr>
                <w:rFonts w:ascii="Arial" w:cs="Arial" w:eastAsia="Arial" w:hAnsi="Arial"/>
                <w:sz w:val="17"/>
                <w:szCs w:val="17"/>
                <w:b w:val="1"/>
                <w:bCs w:val="1"/>
                <w:color w:val="0000EE"/>
              </w:rPr>
            </w:pPr>
            <w:hyperlink w:anchor="page44">
              <w:r>
                <w:rPr>
                  <w:rFonts w:ascii="Arial" w:cs="Arial" w:eastAsia="Arial" w:hAnsi="Arial"/>
                  <w:sz w:val="17"/>
                  <w:szCs w:val="17"/>
                  <w:b w:val="1"/>
                  <w:bCs w:val="1"/>
                  <w:color w:val="0000EE"/>
                </w:rPr>
                <w:t>EXECUTIVE OFFICERS OF THE REGISTRANT</w:t>
              </w:r>
            </w:hyperlink>
          </w:p>
        </w:tc>
        <w:tc>
          <w:tcPr>
            <w:tcW w:w="300" w:type="dxa"/>
            <w:vAlign w:val="bottom"/>
          </w:tcPr>
          <w:p>
            <w:pPr>
              <w:jc w:val="right"/>
              <w:spacing w:after="0"/>
              <w:rPr>
                <w:sz w:val="20"/>
                <w:szCs w:val="20"/>
                <w:color w:val="auto"/>
              </w:rPr>
            </w:pPr>
            <w:r>
              <w:rPr>
                <w:rFonts w:ascii="Arial" w:cs="Arial" w:eastAsia="Arial" w:hAnsi="Arial"/>
                <w:sz w:val="17"/>
                <w:szCs w:val="17"/>
                <w:color w:val="auto"/>
              </w:rPr>
              <w:t>40</w:t>
            </w:r>
          </w:p>
        </w:tc>
      </w:tr>
      <w:tr>
        <w:trPr>
          <w:trHeight w:val="20"/>
        </w:trPr>
        <w:tc>
          <w:tcPr>
            <w:tcW w:w="18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91"/>
        </w:trPr>
        <w:tc>
          <w:tcPr>
            <w:tcW w:w="640" w:type="dxa"/>
            <w:vAlign w:val="bottom"/>
            <w:tcBorders>
              <w:bottom w:val="single" w:sz="8" w:color="0000EE"/>
            </w:tcBorders>
            <w:gridSpan w:val="3"/>
          </w:tcPr>
          <w:p>
            <w:pPr>
              <w:spacing w:after="0"/>
              <w:rPr>
                <w:rFonts w:ascii="Arial" w:cs="Arial" w:eastAsia="Arial" w:hAnsi="Arial"/>
                <w:sz w:val="17"/>
                <w:szCs w:val="17"/>
                <w:b w:val="1"/>
                <w:bCs w:val="1"/>
                <w:color w:val="0000EE"/>
              </w:rPr>
            </w:pPr>
            <w:hyperlink w:anchor="page45">
              <w:r>
                <w:rPr>
                  <w:rFonts w:ascii="Arial" w:cs="Arial" w:eastAsia="Arial" w:hAnsi="Arial"/>
                  <w:sz w:val="17"/>
                  <w:szCs w:val="17"/>
                  <w:b w:val="1"/>
                  <w:bCs w:val="1"/>
                  <w:color w:val="0000EE"/>
                </w:rPr>
                <w:t>PART II</w:t>
              </w:r>
            </w:hyperlink>
          </w:p>
        </w:tc>
        <w:tc>
          <w:tcPr>
            <w:tcW w:w="600" w:type="dxa"/>
            <w:vAlign w:val="bottom"/>
            <w:gridSpan w:val="2"/>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41</w:t>
            </w:r>
          </w:p>
        </w:tc>
      </w:tr>
      <w:tr>
        <w:trPr>
          <w:trHeight w:val="291"/>
        </w:trPr>
        <w:tc>
          <w:tcPr>
            <w:tcW w:w="18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Arial" w:cs="Arial" w:eastAsia="Arial" w:hAnsi="Arial"/>
                <w:sz w:val="17"/>
                <w:szCs w:val="17"/>
                <w:b w:val="1"/>
                <w:bCs w:val="1"/>
                <w:color w:val="auto"/>
              </w:rPr>
              <w:t>ITEM 5.</w:t>
            </w:r>
          </w:p>
        </w:tc>
        <w:tc>
          <w:tcPr>
            <w:tcW w:w="9500" w:type="dxa"/>
            <w:vAlign w:val="bottom"/>
            <w:tcBorders>
              <w:bottom w:val="single" w:sz="8" w:color="0000EE"/>
            </w:tcBorders>
            <w:gridSpan w:val="18"/>
          </w:tcPr>
          <w:p>
            <w:pPr>
              <w:spacing w:after="0"/>
              <w:rPr>
                <w:rFonts w:ascii="Arial" w:cs="Arial" w:eastAsia="Arial" w:hAnsi="Arial"/>
                <w:sz w:val="17"/>
                <w:szCs w:val="17"/>
                <w:b w:val="1"/>
                <w:bCs w:val="1"/>
                <w:color w:val="0000EE"/>
              </w:rPr>
            </w:pPr>
            <w:hyperlink w:anchor="page45">
              <w:r>
                <w:rPr>
                  <w:rFonts w:ascii="Arial" w:cs="Arial" w:eastAsia="Arial" w:hAnsi="Arial"/>
                  <w:sz w:val="17"/>
                  <w:szCs w:val="17"/>
                  <w:b w:val="1"/>
                  <w:bCs w:val="1"/>
                  <w:color w:val="0000EE"/>
                </w:rPr>
                <w:t>MARKET FOR REGISTRANT’S COMMON EQUITY, RELATED STOCKHOLDER MATTERS AND ISSUER PURCHASES</w:t>
              </w:r>
            </w:hyperlink>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88"/>
        </w:trPr>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60" w:type="dxa"/>
            <w:vAlign w:val="bottom"/>
            <w:tcBorders>
              <w:bottom w:val="single" w:sz="8" w:color="0000EE"/>
            </w:tcBorders>
            <w:gridSpan w:val="6"/>
          </w:tcPr>
          <w:p>
            <w:pPr>
              <w:spacing w:after="0" w:line="188" w:lineRule="exact"/>
              <w:rPr>
                <w:rFonts w:ascii="Arial" w:cs="Arial" w:eastAsia="Arial" w:hAnsi="Arial"/>
                <w:sz w:val="17"/>
                <w:szCs w:val="17"/>
                <w:b w:val="1"/>
                <w:bCs w:val="1"/>
                <w:color w:val="0000EE"/>
              </w:rPr>
            </w:pPr>
            <w:hyperlink w:anchor="page45">
              <w:r>
                <w:rPr>
                  <w:rFonts w:ascii="Arial" w:cs="Arial" w:eastAsia="Arial" w:hAnsi="Arial"/>
                  <w:sz w:val="17"/>
                  <w:szCs w:val="17"/>
                  <w:b w:val="1"/>
                  <w:bCs w:val="1"/>
                  <w:color w:val="0000EE"/>
                </w:rPr>
                <w:t>OF EQUITY SECURITIES</w:t>
              </w:r>
            </w:hyperlink>
          </w:p>
        </w:tc>
        <w:tc>
          <w:tcPr>
            <w:tcW w:w="7780" w:type="dxa"/>
            <w:vAlign w:val="bottom"/>
            <w:gridSpan w:val="13"/>
          </w:tcPr>
          <w:p>
            <w:pPr>
              <w:spacing w:after="0"/>
              <w:rPr>
                <w:sz w:val="16"/>
                <w:szCs w:val="16"/>
                <w:color w:val="auto"/>
              </w:rPr>
            </w:pPr>
          </w:p>
        </w:tc>
        <w:tc>
          <w:tcPr>
            <w:tcW w:w="300" w:type="dxa"/>
            <w:vAlign w:val="bottom"/>
          </w:tcPr>
          <w:p>
            <w:pPr>
              <w:jc w:val="right"/>
              <w:spacing w:after="0" w:line="188" w:lineRule="exact"/>
              <w:rPr>
                <w:sz w:val="20"/>
                <w:szCs w:val="20"/>
                <w:color w:val="auto"/>
              </w:rPr>
            </w:pPr>
            <w:r>
              <w:rPr>
                <w:rFonts w:ascii="Arial" w:cs="Arial" w:eastAsia="Arial" w:hAnsi="Arial"/>
                <w:sz w:val="17"/>
                <w:szCs w:val="17"/>
                <w:color w:val="auto"/>
              </w:rPr>
              <w:t>41</w:t>
            </w:r>
          </w:p>
        </w:tc>
      </w:tr>
      <w:tr>
        <w:trPr>
          <w:trHeight w:val="291"/>
        </w:trPr>
        <w:tc>
          <w:tcPr>
            <w:tcW w:w="18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Arial" w:cs="Arial" w:eastAsia="Arial" w:hAnsi="Arial"/>
                <w:sz w:val="17"/>
                <w:szCs w:val="17"/>
                <w:b w:val="1"/>
                <w:bCs w:val="1"/>
                <w:color w:val="auto"/>
              </w:rPr>
              <w:t>ITEM 6.</w:t>
            </w:r>
          </w:p>
        </w:tc>
        <w:tc>
          <w:tcPr>
            <w:tcW w:w="2480" w:type="dxa"/>
            <w:vAlign w:val="bottom"/>
            <w:tcBorders>
              <w:bottom w:val="single" w:sz="8" w:color="0000EE"/>
            </w:tcBorders>
            <w:gridSpan w:val="7"/>
          </w:tcPr>
          <w:p>
            <w:pPr>
              <w:spacing w:after="0"/>
              <w:rPr>
                <w:rFonts w:ascii="Arial" w:cs="Arial" w:eastAsia="Arial" w:hAnsi="Arial"/>
                <w:sz w:val="17"/>
                <w:szCs w:val="17"/>
                <w:b w:val="1"/>
                <w:bCs w:val="1"/>
                <w:color w:val="0000EE"/>
              </w:rPr>
            </w:pPr>
            <w:hyperlink w:anchor="page46">
              <w:r>
                <w:rPr>
                  <w:rFonts w:ascii="Arial" w:cs="Arial" w:eastAsia="Arial" w:hAnsi="Arial"/>
                  <w:sz w:val="17"/>
                  <w:szCs w:val="17"/>
                  <w:b w:val="1"/>
                  <w:bCs w:val="1"/>
                  <w:color w:val="0000EE"/>
                </w:rPr>
                <w:t>SELECTED FINANCIAL DATA</w:t>
              </w:r>
            </w:hyperlink>
          </w:p>
        </w:tc>
        <w:tc>
          <w:tcPr>
            <w:tcW w:w="7360" w:type="dxa"/>
            <w:vAlign w:val="bottom"/>
            <w:gridSpan w:val="12"/>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42</w:t>
            </w:r>
          </w:p>
        </w:tc>
      </w:tr>
      <w:tr>
        <w:trPr>
          <w:trHeight w:val="291"/>
        </w:trPr>
        <w:tc>
          <w:tcPr>
            <w:tcW w:w="18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Arial" w:cs="Arial" w:eastAsia="Arial" w:hAnsi="Arial"/>
                <w:sz w:val="17"/>
                <w:szCs w:val="17"/>
                <w:b w:val="1"/>
                <w:bCs w:val="1"/>
                <w:color w:val="auto"/>
              </w:rPr>
              <w:t>ITEM 7.</w:t>
            </w:r>
          </w:p>
        </w:tc>
        <w:tc>
          <w:tcPr>
            <w:tcW w:w="8940" w:type="dxa"/>
            <w:vAlign w:val="bottom"/>
            <w:tcBorders>
              <w:bottom w:val="single" w:sz="8" w:color="0000EE"/>
            </w:tcBorders>
            <w:gridSpan w:val="16"/>
          </w:tcPr>
          <w:p>
            <w:pPr>
              <w:spacing w:after="0"/>
              <w:rPr>
                <w:rFonts w:ascii="Arial" w:cs="Arial" w:eastAsia="Arial" w:hAnsi="Arial"/>
                <w:sz w:val="17"/>
                <w:szCs w:val="17"/>
                <w:b w:val="1"/>
                <w:bCs w:val="1"/>
                <w:color w:val="0000EE"/>
              </w:rPr>
            </w:pPr>
            <w:hyperlink w:anchor="page46">
              <w:r>
                <w:rPr>
                  <w:rFonts w:ascii="Arial" w:cs="Arial" w:eastAsia="Arial" w:hAnsi="Arial"/>
                  <w:sz w:val="17"/>
                  <w:szCs w:val="17"/>
                  <w:b w:val="1"/>
                  <w:bCs w:val="1"/>
                  <w:color w:val="0000EE"/>
                </w:rPr>
                <w:t>MANAGEMENT’S DISCUSSION AND ANALYSIS OF FINANCIAL CONDITION AND RESULTS OF OPERATIONS</w:t>
              </w:r>
            </w:hyperlink>
          </w:p>
        </w:tc>
        <w:tc>
          <w:tcPr>
            <w:tcW w:w="900" w:type="dxa"/>
            <w:vAlign w:val="bottom"/>
            <w:gridSpan w:val="3"/>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42</w:t>
            </w:r>
          </w:p>
        </w:tc>
      </w:tr>
      <w:tr>
        <w:trPr>
          <w:trHeight w:val="291"/>
        </w:trPr>
        <w:tc>
          <w:tcPr>
            <w:tcW w:w="18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Arial" w:cs="Arial" w:eastAsia="Arial" w:hAnsi="Arial"/>
                <w:sz w:val="17"/>
                <w:szCs w:val="17"/>
                <w:b w:val="1"/>
                <w:bCs w:val="1"/>
                <w:color w:val="auto"/>
              </w:rPr>
              <w:t>ITEM 7A.</w:t>
            </w:r>
          </w:p>
        </w:tc>
        <w:tc>
          <w:tcPr>
            <w:tcW w:w="9840" w:type="dxa"/>
            <w:vAlign w:val="bottom"/>
            <w:gridSpan w:val="19"/>
          </w:tcPr>
          <w:p>
            <w:pPr>
              <w:spacing w:after="0"/>
              <w:rPr>
                <w:rFonts w:ascii="Arial" w:cs="Arial" w:eastAsia="Arial" w:hAnsi="Arial"/>
                <w:sz w:val="17"/>
                <w:szCs w:val="17"/>
                <w:b w:val="1"/>
                <w:bCs w:val="1"/>
                <w:color w:val="0000EE"/>
              </w:rPr>
            </w:pPr>
            <w:hyperlink w:anchor="page46">
              <w:r>
                <w:rPr>
                  <w:rFonts w:ascii="Arial" w:cs="Arial" w:eastAsia="Arial" w:hAnsi="Arial"/>
                  <w:sz w:val="17"/>
                  <w:szCs w:val="17"/>
                  <w:b w:val="1"/>
                  <w:bCs w:val="1"/>
                  <w:color w:val="0000EE"/>
                </w:rPr>
                <w:t>QUANTITATIVE AND QUALITATIVE DISCLOSURES ABOUT MARKET RISK</w:t>
              </w:r>
            </w:hyperlink>
          </w:p>
        </w:tc>
        <w:tc>
          <w:tcPr>
            <w:tcW w:w="300" w:type="dxa"/>
            <w:vAlign w:val="bottom"/>
          </w:tcPr>
          <w:p>
            <w:pPr>
              <w:jc w:val="right"/>
              <w:spacing w:after="0"/>
              <w:rPr>
                <w:sz w:val="20"/>
                <w:szCs w:val="20"/>
                <w:color w:val="auto"/>
              </w:rPr>
            </w:pPr>
            <w:r>
              <w:rPr>
                <w:rFonts w:ascii="Arial" w:cs="Arial" w:eastAsia="Arial" w:hAnsi="Arial"/>
                <w:sz w:val="17"/>
                <w:szCs w:val="17"/>
                <w:color w:val="auto"/>
              </w:rPr>
              <w:t>42</w:t>
            </w:r>
          </w:p>
        </w:tc>
      </w:tr>
      <w:tr>
        <w:trPr>
          <w:trHeight w:val="291"/>
        </w:trPr>
        <w:tc>
          <w:tcPr>
            <w:tcW w:w="18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Arial" w:cs="Arial" w:eastAsia="Arial" w:hAnsi="Arial"/>
                <w:sz w:val="17"/>
                <w:szCs w:val="17"/>
                <w:b w:val="1"/>
                <w:bCs w:val="1"/>
                <w:color w:val="auto"/>
              </w:rPr>
              <w:t>ITEM 8.</w:t>
            </w:r>
          </w:p>
        </w:tc>
        <w:tc>
          <w:tcPr>
            <w:tcW w:w="6200" w:type="dxa"/>
            <w:vAlign w:val="bottom"/>
            <w:tcBorders>
              <w:top w:val="single" w:sz="8" w:color="0000EE"/>
            </w:tcBorders>
            <w:gridSpan w:val="15"/>
          </w:tcPr>
          <w:p>
            <w:pPr>
              <w:spacing w:after="0"/>
              <w:rPr>
                <w:rFonts w:ascii="Arial" w:cs="Arial" w:eastAsia="Arial" w:hAnsi="Arial"/>
                <w:sz w:val="17"/>
                <w:szCs w:val="17"/>
                <w:b w:val="1"/>
                <w:bCs w:val="1"/>
                <w:color w:val="0000EE"/>
              </w:rPr>
            </w:pPr>
            <w:hyperlink w:anchor="page47">
              <w:r>
                <w:rPr>
                  <w:rFonts w:ascii="Arial" w:cs="Arial" w:eastAsia="Arial" w:hAnsi="Arial"/>
                  <w:sz w:val="17"/>
                  <w:szCs w:val="17"/>
                  <w:b w:val="1"/>
                  <w:bCs w:val="1"/>
                  <w:color w:val="0000EE"/>
                </w:rPr>
                <w:t>FINANCIAL STATEMENTS AND SUPPLEMENTARY DATA</w:t>
              </w:r>
            </w:hyperlink>
          </w:p>
        </w:tc>
        <w:tc>
          <w:tcPr>
            <w:tcW w:w="3640" w:type="dxa"/>
            <w:vAlign w:val="bottom"/>
            <w:gridSpan w:val="4"/>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43</w:t>
            </w:r>
          </w:p>
        </w:tc>
      </w:tr>
      <w:tr>
        <w:trPr>
          <w:trHeight w:val="20"/>
        </w:trPr>
        <w:tc>
          <w:tcPr>
            <w:tcW w:w="1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40" w:type="dxa"/>
            <w:vAlign w:val="bottom"/>
            <w:gridSpan w:val="5"/>
            <w:shd w:val="clear" w:color="auto" w:fill="0000EE"/>
          </w:tcPr>
          <w:p>
            <w:pPr>
              <w:spacing w:after="0" w:line="20" w:lineRule="exact"/>
              <w:rPr>
                <w:sz w:val="1"/>
                <w:szCs w:val="1"/>
                <w:color w:val="auto"/>
              </w:rPr>
            </w:pPr>
          </w:p>
        </w:tc>
        <w:tc>
          <w:tcPr>
            <w:tcW w:w="54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60" w:type="dxa"/>
            <w:vAlign w:val="bottom"/>
            <w:gridSpan w:val="4"/>
            <w:shd w:val="clear" w:color="auto" w:fill="0000EE"/>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91"/>
        </w:trPr>
        <w:tc>
          <w:tcPr>
            <w:tcW w:w="18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Arial" w:cs="Arial" w:eastAsia="Arial" w:hAnsi="Arial"/>
                <w:sz w:val="17"/>
                <w:szCs w:val="17"/>
                <w:b w:val="1"/>
                <w:bCs w:val="1"/>
                <w:color w:val="auto"/>
              </w:rPr>
              <w:t>ITEM 9.</w:t>
            </w:r>
          </w:p>
        </w:tc>
        <w:tc>
          <w:tcPr>
            <w:tcW w:w="9840" w:type="dxa"/>
            <w:vAlign w:val="bottom"/>
            <w:gridSpan w:val="19"/>
          </w:tcPr>
          <w:p>
            <w:pPr>
              <w:spacing w:after="0"/>
              <w:rPr>
                <w:rFonts w:ascii="Arial" w:cs="Arial" w:eastAsia="Arial" w:hAnsi="Arial"/>
                <w:sz w:val="17"/>
                <w:szCs w:val="17"/>
                <w:b w:val="1"/>
                <w:bCs w:val="1"/>
                <w:color w:val="0000EE"/>
              </w:rPr>
            </w:pPr>
            <w:hyperlink w:anchor="page47">
              <w:r>
                <w:rPr>
                  <w:rFonts w:ascii="Arial" w:cs="Arial" w:eastAsia="Arial" w:hAnsi="Arial"/>
                  <w:sz w:val="17"/>
                  <w:szCs w:val="17"/>
                  <w:b w:val="1"/>
                  <w:bCs w:val="1"/>
                  <w:color w:val="0000EE"/>
                </w:rPr>
                <w:t>CHANGES IN AND DISAGREEMENTS WITH ACCOUNTANTS ON ACCOUNTING AND FINANCIAL DISCLOSURE</w:t>
              </w:r>
            </w:hyperlink>
          </w:p>
        </w:tc>
        <w:tc>
          <w:tcPr>
            <w:tcW w:w="300" w:type="dxa"/>
            <w:vAlign w:val="bottom"/>
          </w:tcPr>
          <w:p>
            <w:pPr>
              <w:jc w:val="right"/>
              <w:spacing w:after="0"/>
              <w:rPr>
                <w:sz w:val="20"/>
                <w:szCs w:val="20"/>
                <w:color w:val="auto"/>
              </w:rPr>
            </w:pPr>
            <w:r>
              <w:rPr>
                <w:rFonts w:ascii="Arial" w:cs="Arial" w:eastAsia="Arial" w:hAnsi="Arial"/>
                <w:sz w:val="17"/>
                <w:szCs w:val="17"/>
                <w:color w:val="auto"/>
              </w:rPr>
              <w:t>43</w:t>
            </w:r>
          </w:p>
        </w:tc>
      </w:tr>
      <w:tr>
        <w:trPr>
          <w:trHeight w:val="291"/>
        </w:trPr>
        <w:tc>
          <w:tcPr>
            <w:tcW w:w="18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Arial" w:cs="Arial" w:eastAsia="Arial" w:hAnsi="Arial"/>
                <w:sz w:val="17"/>
                <w:szCs w:val="17"/>
                <w:b w:val="1"/>
                <w:bCs w:val="1"/>
                <w:color w:val="auto"/>
              </w:rPr>
              <w:t>ITEM 9A.</w:t>
            </w:r>
          </w:p>
        </w:tc>
        <w:tc>
          <w:tcPr>
            <w:tcW w:w="9120" w:type="dxa"/>
            <w:vAlign w:val="bottom"/>
            <w:tcBorders>
              <w:top w:val="single" w:sz="8" w:color="0000EE"/>
            </w:tcBorders>
            <w:gridSpan w:val="17"/>
          </w:tcPr>
          <w:p>
            <w:pPr>
              <w:spacing w:after="0"/>
              <w:rPr>
                <w:rFonts w:ascii="Arial" w:cs="Arial" w:eastAsia="Arial" w:hAnsi="Arial"/>
                <w:sz w:val="17"/>
                <w:szCs w:val="17"/>
                <w:b w:val="1"/>
                <w:bCs w:val="1"/>
                <w:color w:val="0000EE"/>
              </w:rPr>
            </w:pPr>
            <w:hyperlink w:anchor="page47">
              <w:r>
                <w:rPr>
                  <w:rFonts w:ascii="Arial" w:cs="Arial" w:eastAsia="Arial" w:hAnsi="Arial"/>
                  <w:sz w:val="17"/>
                  <w:szCs w:val="17"/>
                  <w:b w:val="1"/>
                  <w:bCs w:val="1"/>
                  <w:color w:val="0000EE"/>
                </w:rPr>
                <w:t>CONTROLS AND PROCEDURES</w:t>
              </w:r>
            </w:hyperlink>
          </w:p>
        </w:tc>
        <w:tc>
          <w:tcPr>
            <w:tcW w:w="720" w:type="dxa"/>
            <w:vAlign w:val="bottom"/>
            <w:gridSpan w:val="2"/>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43</w:t>
            </w:r>
          </w:p>
        </w:tc>
      </w:tr>
      <w:tr>
        <w:trPr>
          <w:trHeight w:val="291"/>
        </w:trPr>
        <w:tc>
          <w:tcPr>
            <w:tcW w:w="18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Arial" w:cs="Arial" w:eastAsia="Arial" w:hAnsi="Arial"/>
                <w:sz w:val="17"/>
                <w:szCs w:val="17"/>
                <w:b w:val="1"/>
                <w:bCs w:val="1"/>
                <w:color w:val="auto"/>
              </w:rPr>
              <w:t>ITEM 9B.</w:t>
            </w:r>
          </w:p>
        </w:tc>
        <w:tc>
          <w:tcPr>
            <w:tcW w:w="2620" w:type="dxa"/>
            <w:vAlign w:val="bottom"/>
            <w:tcBorders>
              <w:top w:val="single" w:sz="8" w:color="0000EE"/>
            </w:tcBorders>
            <w:gridSpan w:val="8"/>
          </w:tcPr>
          <w:p>
            <w:pPr>
              <w:spacing w:after="0"/>
              <w:rPr>
                <w:rFonts w:ascii="Arial" w:cs="Arial" w:eastAsia="Arial" w:hAnsi="Arial"/>
                <w:sz w:val="17"/>
                <w:szCs w:val="17"/>
                <w:b w:val="1"/>
                <w:bCs w:val="1"/>
                <w:color w:val="0000EE"/>
              </w:rPr>
            </w:pPr>
            <w:hyperlink w:anchor="page48">
              <w:r>
                <w:rPr>
                  <w:rFonts w:ascii="Arial" w:cs="Arial" w:eastAsia="Arial" w:hAnsi="Arial"/>
                  <w:sz w:val="17"/>
                  <w:szCs w:val="17"/>
                  <w:b w:val="1"/>
                  <w:bCs w:val="1"/>
                  <w:color w:val="0000EE"/>
                </w:rPr>
                <w:t>OTHER INFORMATION</w:t>
              </w:r>
            </w:hyperlink>
          </w:p>
        </w:tc>
        <w:tc>
          <w:tcPr>
            <w:tcW w:w="7220" w:type="dxa"/>
            <w:vAlign w:val="bottom"/>
            <w:gridSpan w:val="11"/>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44</w:t>
            </w:r>
          </w:p>
        </w:tc>
      </w:tr>
      <w:tr>
        <w:trPr>
          <w:trHeight w:val="291"/>
        </w:trPr>
        <w:tc>
          <w:tcPr>
            <w:tcW w:w="1240" w:type="dxa"/>
            <w:vAlign w:val="bottom"/>
            <w:gridSpan w:val="5"/>
          </w:tcPr>
          <w:p>
            <w:pPr>
              <w:spacing w:after="0"/>
              <w:rPr>
                <w:rFonts w:ascii="Arial" w:cs="Arial" w:eastAsia="Arial" w:hAnsi="Arial"/>
                <w:sz w:val="17"/>
                <w:szCs w:val="17"/>
                <w:b w:val="1"/>
                <w:bCs w:val="1"/>
                <w:color w:val="0000EE"/>
              </w:rPr>
            </w:pPr>
            <w:hyperlink w:anchor="page49">
              <w:r>
                <w:rPr>
                  <w:rFonts w:ascii="Arial" w:cs="Arial" w:eastAsia="Arial" w:hAnsi="Arial"/>
                  <w:sz w:val="17"/>
                  <w:szCs w:val="17"/>
                  <w:b w:val="1"/>
                  <w:bCs w:val="1"/>
                  <w:color w:val="0000EE"/>
                </w:rPr>
                <w:t>PART III</w:t>
              </w:r>
            </w:hyperlink>
          </w:p>
        </w:tc>
        <w:tc>
          <w:tcPr>
            <w:tcW w:w="8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45</w:t>
            </w:r>
          </w:p>
        </w:tc>
      </w:tr>
      <w:tr>
        <w:trPr>
          <w:trHeight w:val="20"/>
        </w:trPr>
        <w:tc>
          <w:tcPr>
            <w:tcW w:w="18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80" w:type="dxa"/>
            <w:vAlign w:val="bottom"/>
            <w:gridSpan w:val="7"/>
          </w:tcPr>
          <w:p>
            <w:pPr>
              <w:spacing w:after="0" w:line="20" w:lineRule="exact"/>
              <w:rPr>
                <w:sz w:val="1"/>
                <w:szCs w:val="1"/>
                <w:color w:val="auto"/>
              </w:rPr>
            </w:pPr>
          </w:p>
        </w:tc>
        <w:tc>
          <w:tcPr>
            <w:tcW w:w="3420" w:type="dxa"/>
            <w:vAlign w:val="bottom"/>
            <w:gridSpan w:val="7"/>
          </w:tcPr>
          <w:p>
            <w:pPr>
              <w:spacing w:after="0" w:line="20" w:lineRule="exact"/>
              <w:rPr>
                <w:sz w:val="1"/>
                <w:szCs w:val="1"/>
                <w:color w:val="auto"/>
              </w:rPr>
            </w:pPr>
          </w:p>
        </w:tc>
        <w:tc>
          <w:tcPr>
            <w:tcW w:w="394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91"/>
        </w:trPr>
        <w:tc>
          <w:tcPr>
            <w:tcW w:w="18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Arial" w:cs="Arial" w:eastAsia="Arial" w:hAnsi="Arial"/>
                <w:sz w:val="17"/>
                <w:szCs w:val="17"/>
                <w:b w:val="1"/>
                <w:bCs w:val="1"/>
                <w:color w:val="auto"/>
              </w:rPr>
              <w:t>ITEM 10.</w:t>
            </w:r>
          </w:p>
        </w:tc>
        <w:tc>
          <w:tcPr>
            <w:tcW w:w="9840" w:type="dxa"/>
            <w:vAlign w:val="bottom"/>
            <w:gridSpan w:val="19"/>
          </w:tcPr>
          <w:p>
            <w:pPr>
              <w:spacing w:after="0"/>
              <w:rPr>
                <w:rFonts w:ascii="Arial" w:cs="Arial" w:eastAsia="Arial" w:hAnsi="Arial"/>
                <w:sz w:val="17"/>
                <w:szCs w:val="17"/>
                <w:b w:val="1"/>
                <w:bCs w:val="1"/>
                <w:color w:val="0000EE"/>
              </w:rPr>
            </w:pPr>
            <w:hyperlink w:anchor="page49">
              <w:r>
                <w:rPr>
                  <w:rFonts w:ascii="Arial" w:cs="Arial" w:eastAsia="Arial" w:hAnsi="Arial"/>
                  <w:sz w:val="17"/>
                  <w:szCs w:val="17"/>
                  <w:b w:val="1"/>
                  <w:bCs w:val="1"/>
                  <w:color w:val="0000EE"/>
                </w:rPr>
                <w:t>DIRECTORS, EXECUTIVE OFFICERS AND CORPORATE GOVERNANCE</w:t>
              </w:r>
            </w:hyperlink>
          </w:p>
        </w:tc>
        <w:tc>
          <w:tcPr>
            <w:tcW w:w="300" w:type="dxa"/>
            <w:vAlign w:val="bottom"/>
          </w:tcPr>
          <w:p>
            <w:pPr>
              <w:jc w:val="right"/>
              <w:spacing w:after="0"/>
              <w:rPr>
                <w:sz w:val="20"/>
                <w:szCs w:val="20"/>
                <w:color w:val="auto"/>
              </w:rPr>
            </w:pPr>
            <w:r>
              <w:rPr>
                <w:rFonts w:ascii="Arial" w:cs="Arial" w:eastAsia="Arial" w:hAnsi="Arial"/>
                <w:sz w:val="17"/>
                <w:szCs w:val="17"/>
                <w:color w:val="auto"/>
              </w:rPr>
              <w:t>45</w:t>
            </w:r>
          </w:p>
        </w:tc>
      </w:tr>
      <w:tr>
        <w:trPr>
          <w:trHeight w:val="291"/>
        </w:trPr>
        <w:tc>
          <w:tcPr>
            <w:tcW w:w="18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Arial" w:cs="Arial" w:eastAsia="Arial" w:hAnsi="Arial"/>
                <w:sz w:val="17"/>
                <w:szCs w:val="17"/>
                <w:b w:val="1"/>
                <w:bCs w:val="1"/>
                <w:color w:val="auto"/>
              </w:rPr>
              <w:t>ITEM 11.</w:t>
            </w:r>
          </w:p>
        </w:tc>
        <w:tc>
          <w:tcPr>
            <w:tcW w:w="5900" w:type="dxa"/>
            <w:vAlign w:val="bottom"/>
            <w:tcBorders>
              <w:top w:val="single" w:sz="8" w:color="0000EE"/>
            </w:tcBorders>
            <w:gridSpan w:val="14"/>
          </w:tcPr>
          <w:p>
            <w:pPr>
              <w:spacing w:after="0"/>
              <w:rPr>
                <w:rFonts w:ascii="Arial" w:cs="Arial" w:eastAsia="Arial" w:hAnsi="Arial"/>
                <w:sz w:val="17"/>
                <w:szCs w:val="17"/>
                <w:b w:val="1"/>
                <w:bCs w:val="1"/>
                <w:color w:val="0000EE"/>
              </w:rPr>
            </w:pPr>
            <w:hyperlink w:anchor="page49">
              <w:r>
                <w:rPr>
                  <w:rFonts w:ascii="Arial" w:cs="Arial" w:eastAsia="Arial" w:hAnsi="Arial"/>
                  <w:sz w:val="17"/>
                  <w:szCs w:val="17"/>
                  <w:b w:val="1"/>
                  <w:bCs w:val="1"/>
                  <w:color w:val="0000EE"/>
                </w:rPr>
                <w:t>EXECUTIVE COMPENSATION</w:t>
              </w:r>
            </w:hyperlink>
          </w:p>
        </w:tc>
        <w:tc>
          <w:tcPr>
            <w:tcW w:w="3940" w:type="dxa"/>
            <w:vAlign w:val="bottom"/>
            <w:gridSpan w:val="5"/>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45</w:t>
            </w:r>
          </w:p>
        </w:tc>
      </w:tr>
      <w:tr>
        <w:trPr>
          <w:trHeight w:val="20"/>
        </w:trPr>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ectPr>
          <w:pgSz w:w="11900" w:h="16838" w:orient="portrait"/>
          <w:cols w:equalWidth="0" w:num="1">
            <w:col w:w="11380"/>
          </w:cols>
          <w:pgMar w:left="240" w:top="446" w:right="27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5"/>
        </w:trPr>
        <w:tc>
          <w:tcPr>
            <w:tcW w:w="1300" w:type="dxa"/>
            <w:vAlign w:val="bottom"/>
            <w:tcBorders>
              <w:bottom w:val="single" w:sz="8" w:color="0000EE"/>
            </w:tcBorders>
            <w:gridSpan w:val="3"/>
          </w:tcPr>
          <w:p>
            <w:pPr>
              <w:spacing w:after="0"/>
              <w:rPr>
                <w:rFonts w:ascii="Arial" w:cs="Arial" w:eastAsia="Arial" w:hAnsi="Arial"/>
                <w:sz w:val="17"/>
                <w:szCs w:val="17"/>
                <w:b w:val="1"/>
                <w:bCs w:val="1"/>
                <w:color w:val="0000EE"/>
                <w:w w:val="89"/>
              </w:rPr>
            </w:pPr>
            <w:hyperlink w:anchor="page3">
              <w:r>
                <w:rPr>
                  <w:rFonts w:ascii="Arial" w:cs="Arial" w:eastAsia="Arial" w:hAnsi="Arial"/>
                  <w:sz w:val="17"/>
                  <w:szCs w:val="17"/>
                  <w:b w:val="1"/>
                  <w:bCs w:val="1"/>
                  <w:color w:val="0000EE"/>
                  <w:w w:val="89"/>
                </w:rPr>
                <w:t>Table of Contents</w:t>
              </w:r>
            </w:hyperlink>
          </w:p>
        </w:tc>
        <w:tc>
          <w:tcPr>
            <w:tcW w:w="9660" w:type="dxa"/>
            <w:vAlign w:val="bottom"/>
            <w:gridSpan w:val="7"/>
          </w:tcPr>
          <w:p>
            <w:pPr>
              <w:spacing w:after="0"/>
              <w:rPr>
                <w:sz w:val="16"/>
                <w:szCs w:val="16"/>
                <w:color w:val="auto"/>
              </w:rPr>
            </w:pPr>
          </w:p>
        </w:tc>
        <w:tc>
          <w:tcPr>
            <w:tcW w:w="420" w:type="dxa"/>
            <w:vAlign w:val="bottom"/>
          </w:tcPr>
          <w:p>
            <w:pPr>
              <w:spacing w:after="0"/>
              <w:rPr>
                <w:sz w:val="16"/>
                <w:szCs w:val="16"/>
                <w:color w:val="auto"/>
              </w:rPr>
            </w:pPr>
          </w:p>
        </w:tc>
      </w:tr>
      <w:tr>
        <w:trPr>
          <w:trHeight w:val="577"/>
        </w:trPr>
        <w:tc>
          <w:tcPr>
            <w:tcW w:w="1240" w:type="dxa"/>
            <w:vAlign w:val="bottom"/>
            <w:gridSpan w:val="2"/>
          </w:tcPr>
          <w:p>
            <w:pPr>
              <w:ind w:left="180"/>
              <w:spacing w:after="0"/>
              <w:rPr>
                <w:sz w:val="20"/>
                <w:szCs w:val="20"/>
                <w:color w:val="auto"/>
              </w:rPr>
            </w:pPr>
            <w:r>
              <w:rPr>
                <w:rFonts w:ascii="Arial" w:cs="Arial" w:eastAsia="Arial" w:hAnsi="Arial"/>
                <w:sz w:val="17"/>
                <w:szCs w:val="17"/>
                <w:b w:val="1"/>
                <w:bCs w:val="1"/>
                <w:color w:val="auto"/>
              </w:rPr>
              <w:t>ITEM 12.</w:t>
            </w:r>
          </w:p>
        </w:tc>
        <w:tc>
          <w:tcPr>
            <w:tcW w:w="9500" w:type="dxa"/>
            <w:vAlign w:val="bottom"/>
            <w:tcBorders>
              <w:bottom w:val="single" w:sz="8" w:color="0000EE"/>
            </w:tcBorders>
            <w:gridSpan w:val="7"/>
          </w:tcPr>
          <w:p>
            <w:pPr>
              <w:spacing w:after="0"/>
              <w:rPr>
                <w:rFonts w:ascii="Arial" w:cs="Arial" w:eastAsia="Arial" w:hAnsi="Arial"/>
                <w:sz w:val="17"/>
                <w:szCs w:val="17"/>
                <w:b w:val="1"/>
                <w:bCs w:val="1"/>
                <w:color w:val="0000EE"/>
              </w:rPr>
            </w:pPr>
            <w:hyperlink w:anchor="page49">
              <w:r>
                <w:rPr>
                  <w:rFonts w:ascii="Arial" w:cs="Arial" w:eastAsia="Arial" w:hAnsi="Arial"/>
                  <w:sz w:val="17"/>
                  <w:szCs w:val="17"/>
                  <w:b w:val="1"/>
                  <w:bCs w:val="1"/>
                  <w:color w:val="0000EE"/>
                </w:rPr>
                <w:t>SECURITY OWNERSHIP OF CERTAIN BENEFICIAL OWNERS AND MANAGEMENT AND RELATED STOCKHOLDER</w:t>
              </w:r>
            </w:hyperlink>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88"/>
        </w:trPr>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40" w:type="dxa"/>
            <w:vAlign w:val="bottom"/>
            <w:tcBorders>
              <w:bottom w:val="single" w:sz="8" w:color="0000EE"/>
            </w:tcBorders>
            <w:gridSpan w:val="2"/>
          </w:tcPr>
          <w:p>
            <w:pPr>
              <w:spacing w:after="0" w:line="188" w:lineRule="exact"/>
              <w:rPr>
                <w:rFonts w:ascii="Arial" w:cs="Arial" w:eastAsia="Arial" w:hAnsi="Arial"/>
                <w:sz w:val="17"/>
                <w:szCs w:val="17"/>
                <w:b w:val="1"/>
                <w:bCs w:val="1"/>
                <w:color w:val="0000EE"/>
                <w:w w:val="99"/>
              </w:rPr>
            </w:pPr>
            <w:hyperlink w:anchor="page49">
              <w:r>
                <w:rPr>
                  <w:rFonts w:ascii="Arial" w:cs="Arial" w:eastAsia="Arial" w:hAnsi="Arial"/>
                  <w:sz w:val="17"/>
                  <w:szCs w:val="17"/>
                  <w:b w:val="1"/>
                  <w:bCs w:val="1"/>
                  <w:color w:val="0000EE"/>
                  <w:w w:val="99"/>
                </w:rPr>
                <w:t>MATTERS</w:t>
              </w:r>
            </w:hyperlink>
          </w:p>
        </w:tc>
        <w:tc>
          <w:tcPr>
            <w:tcW w:w="8880" w:type="dxa"/>
            <w:vAlign w:val="bottom"/>
            <w:gridSpan w:val="6"/>
          </w:tcPr>
          <w:p>
            <w:pPr>
              <w:spacing w:after="0"/>
              <w:rPr>
                <w:sz w:val="16"/>
                <w:szCs w:val="16"/>
                <w:color w:val="auto"/>
              </w:rPr>
            </w:pPr>
          </w:p>
        </w:tc>
        <w:tc>
          <w:tcPr>
            <w:tcW w:w="420" w:type="dxa"/>
            <w:vAlign w:val="bottom"/>
          </w:tcPr>
          <w:p>
            <w:pPr>
              <w:jc w:val="right"/>
              <w:spacing w:after="0" w:line="188" w:lineRule="exact"/>
              <w:rPr>
                <w:sz w:val="20"/>
                <w:szCs w:val="20"/>
                <w:color w:val="auto"/>
              </w:rPr>
            </w:pPr>
            <w:r>
              <w:rPr>
                <w:rFonts w:ascii="Arial" w:cs="Arial" w:eastAsia="Arial" w:hAnsi="Arial"/>
                <w:sz w:val="17"/>
                <w:szCs w:val="17"/>
                <w:color w:val="auto"/>
              </w:rPr>
              <w:t>45</w:t>
            </w:r>
          </w:p>
        </w:tc>
      </w:tr>
      <w:tr>
        <w:trPr>
          <w:trHeight w:val="291"/>
        </w:trPr>
        <w:tc>
          <w:tcPr>
            <w:tcW w:w="10960" w:type="dxa"/>
            <w:vAlign w:val="bottom"/>
            <w:gridSpan w:val="10"/>
          </w:tcPr>
          <w:p>
            <w:pPr>
              <w:ind w:left="180"/>
              <w:spacing w:after="0"/>
              <w:rPr>
                <w:rFonts w:ascii="Arial" w:cs="Arial" w:eastAsia="Arial" w:hAnsi="Arial"/>
                <w:sz w:val="17"/>
                <w:szCs w:val="17"/>
                <w:b w:val="1"/>
                <w:bCs w:val="1"/>
                <w:color w:val="0000EE"/>
              </w:rPr>
            </w:pPr>
            <w:r>
              <w:rPr>
                <w:rFonts w:ascii="Arial" w:cs="Arial" w:eastAsia="Arial" w:hAnsi="Arial"/>
                <w:sz w:val="17"/>
                <w:szCs w:val="17"/>
                <w:b w:val="1"/>
                <w:bCs w:val="1"/>
                <w:color w:val="auto"/>
              </w:rPr>
              <w:t>ITEM 13.</w:t>
            </w:r>
            <w:hyperlink w:anchor="page49">
              <w:r>
                <w:rPr>
                  <w:rFonts w:ascii="Arial" w:cs="Arial" w:eastAsia="Arial" w:hAnsi="Arial"/>
                  <w:sz w:val="17"/>
                  <w:szCs w:val="17"/>
                  <w:b w:val="1"/>
                  <w:bCs w:val="1"/>
                  <w:color w:val="0000EE"/>
                </w:rPr>
                <w:t>CERTAIN RELATIONSHIPS AND RELATED TRANSACTIONS, AND DIRECTOR INDEPENDENCE</w:t>
              </w:r>
            </w:hyperlink>
          </w:p>
        </w:tc>
        <w:tc>
          <w:tcPr>
            <w:tcW w:w="420" w:type="dxa"/>
            <w:vAlign w:val="bottom"/>
          </w:tcPr>
          <w:p>
            <w:pPr>
              <w:jc w:val="right"/>
              <w:spacing w:after="0"/>
              <w:rPr>
                <w:sz w:val="20"/>
                <w:szCs w:val="20"/>
                <w:color w:val="auto"/>
              </w:rPr>
            </w:pPr>
            <w:r>
              <w:rPr>
                <w:rFonts w:ascii="Arial" w:cs="Arial" w:eastAsia="Arial" w:hAnsi="Arial"/>
                <w:sz w:val="17"/>
                <w:szCs w:val="17"/>
                <w:color w:val="auto"/>
              </w:rPr>
              <w:t>45</w:t>
            </w:r>
          </w:p>
        </w:tc>
      </w:tr>
      <w:tr>
        <w:trPr>
          <w:trHeight w:val="20"/>
        </w:trPr>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00" w:type="dxa"/>
            <w:vAlign w:val="bottom"/>
            <w:gridSpan w:val="3"/>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340" w:type="dxa"/>
            <w:vAlign w:val="bottom"/>
            <w:shd w:val="clear" w:color="auto" w:fill="0000EE"/>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91"/>
        </w:trPr>
        <w:tc>
          <w:tcPr>
            <w:tcW w:w="10960" w:type="dxa"/>
            <w:vAlign w:val="bottom"/>
            <w:gridSpan w:val="10"/>
          </w:tcPr>
          <w:p>
            <w:pPr>
              <w:ind w:left="180"/>
              <w:spacing w:after="0"/>
              <w:rPr>
                <w:rFonts w:ascii="Arial" w:cs="Arial" w:eastAsia="Arial" w:hAnsi="Arial"/>
                <w:sz w:val="17"/>
                <w:szCs w:val="17"/>
                <w:b w:val="1"/>
                <w:bCs w:val="1"/>
                <w:color w:val="0000EE"/>
              </w:rPr>
            </w:pPr>
            <w:r>
              <w:rPr>
                <w:rFonts w:ascii="Arial" w:cs="Arial" w:eastAsia="Arial" w:hAnsi="Arial"/>
                <w:sz w:val="17"/>
                <w:szCs w:val="17"/>
                <w:b w:val="1"/>
                <w:bCs w:val="1"/>
                <w:color w:val="auto"/>
              </w:rPr>
              <w:t>ITEM 14.</w:t>
            </w:r>
            <w:hyperlink w:anchor="page49">
              <w:r>
                <w:rPr>
                  <w:rFonts w:ascii="Arial" w:cs="Arial" w:eastAsia="Arial" w:hAnsi="Arial"/>
                  <w:sz w:val="17"/>
                  <w:szCs w:val="17"/>
                  <w:b w:val="1"/>
                  <w:bCs w:val="1"/>
                  <w:color w:val="0000EE"/>
                </w:rPr>
                <w:t>PRINCIPAL ACCOUNTANT FEES AND SERVICES</w:t>
              </w:r>
            </w:hyperlink>
          </w:p>
        </w:tc>
        <w:tc>
          <w:tcPr>
            <w:tcW w:w="420" w:type="dxa"/>
            <w:vAlign w:val="bottom"/>
          </w:tcPr>
          <w:p>
            <w:pPr>
              <w:jc w:val="right"/>
              <w:spacing w:after="0"/>
              <w:rPr>
                <w:sz w:val="20"/>
                <w:szCs w:val="20"/>
                <w:color w:val="auto"/>
              </w:rPr>
            </w:pPr>
            <w:r>
              <w:rPr>
                <w:rFonts w:ascii="Arial" w:cs="Arial" w:eastAsia="Arial" w:hAnsi="Arial"/>
                <w:sz w:val="17"/>
                <w:szCs w:val="17"/>
                <w:color w:val="auto"/>
              </w:rPr>
              <w:t>45</w:t>
            </w:r>
          </w:p>
        </w:tc>
      </w:tr>
      <w:tr>
        <w:trPr>
          <w:trHeight w:val="291"/>
        </w:trPr>
        <w:tc>
          <w:tcPr>
            <w:tcW w:w="700" w:type="dxa"/>
            <w:vAlign w:val="bottom"/>
            <w:tcBorders>
              <w:bottom w:val="single" w:sz="8" w:color="0000EE"/>
            </w:tcBorders>
          </w:tcPr>
          <w:p>
            <w:pPr>
              <w:spacing w:after="0"/>
              <w:rPr>
                <w:rFonts w:ascii="Arial" w:cs="Arial" w:eastAsia="Arial" w:hAnsi="Arial"/>
                <w:sz w:val="17"/>
                <w:szCs w:val="17"/>
                <w:b w:val="1"/>
                <w:bCs w:val="1"/>
                <w:color w:val="0000EE"/>
              </w:rPr>
            </w:pPr>
            <w:hyperlink w:anchor="page50">
              <w:r>
                <w:rPr>
                  <w:rFonts w:ascii="Arial" w:cs="Arial" w:eastAsia="Arial" w:hAnsi="Arial"/>
                  <w:sz w:val="17"/>
                  <w:szCs w:val="17"/>
                  <w:b w:val="1"/>
                  <w:bCs w:val="1"/>
                  <w:color w:val="0000EE"/>
                </w:rPr>
                <w:t>PART IV</w:t>
              </w:r>
            </w:hyperlink>
          </w:p>
        </w:tc>
        <w:tc>
          <w:tcPr>
            <w:tcW w:w="54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212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46</w:t>
            </w:r>
          </w:p>
        </w:tc>
      </w:tr>
      <w:tr>
        <w:trPr>
          <w:trHeight w:val="291"/>
        </w:trPr>
        <w:tc>
          <w:tcPr>
            <w:tcW w:w="1240" w:type="dxa"/>
            <w:vAlign w:val="bottom"/>
            <w:gridSpan w:val="2"/>
          </w:tcPr>
          <w:p>
            <w:pPr>
              <w:ind w:left="180"/>
              <w:spacing w:after="0"/>
              <w:rPr>
                <w:sz w:val="20"/>
                <w:szCs w:val="20"/>
                <w:color w:val="auto"/>
              </w:rPr>
            </w:pPr>
            <w:r>
              <w:rPr>
                <w:rFonts w:ascii="Arial" w:cs="Arial" w:eastAsia="Arial" w:hAnsi="Arial"/>
                <w:sz w:val="17"/>
                <w:szCs w:val="17"/>
                <w:b w:val="1"/>
                <w:bCs w:val="1"/>
                <w:color w:val="auto"/>
              </w:rPr>
              <w:t>ITEM 15.</w:t>
            </w:r>
          </w:p>
        </w:tc>
        <w:tc>
          <w:tcPr>
            <w:tcW w:w="9720" w:type="dxa"/>
            <w:vAlign w:val="bottom"/>
            <w:gridSpan w:val="8"/>
          </w:tcPr>
          <w:p>
            <w:pPr>
              <w:spacing w:after="0"/>
              <w:rPr>
                <w:rFonts w:ascii="Arial" w:cs="Arial" w:eastAsia="Arial" w:hAnsi="Arial"/>
                <w:sz w:val="17"/>
                <w:szCs w:val="17"/>
                <w:b w:val="1"/>
                <w:bCs w:val="1"/>
                <w:color w:val="0000EE"/>
              </w:rPr>
            </w:pPr>
            <w:hyperlink w:anchor="page50">
              <w:r>
                <w:rPr>
                  <w:rFonts w:ascii="Arial" w:cs="Arial" w:eastAsia="Arial" w:hAnsi="Arial"/>
                  <w:sz w:val="17"/>
                  <w:szCs w:val="17"/>
                  <w:b w:val="1"/>
                  <w:bCs w:val="1"/>
                  <w:color w:val="0000EE"/>
                </w:rPr>
                <w:t>EXHIBITS AND FINANCIAL STATEMENT SCHEDULES</w:t>
              </w:r>
            </w:hyperlink>
          </w:p>
        </w:tc>
        <w:tc>
          <w:tcPr>
            <w:tcW w:w="420" w:type="dxa"/>
            <w:vAlign w:val="bottom"/>
          </w:tcPr>
          <w:p>
            <w:pPr>
              <w:jc w:val="right"/>
              <w:spacing w:after="0"/>
              <w:rPr>
                <w:sz w:val="20"/>
                <w:szCs w:val="20"/>
                <w:color w:val="auto"/>
              </w:rPr>
            </w:pPr>
            <w:r>
              <w:rPr>
                <w:rFonts w:ascii="Arial" w:cs="Arial" w:eastAsia="Arial" w:hAnsi="Arial"/>
                <w:sz w:val="17"/>
                <w:szCs w:val="17"/>
                <w:color w:val="auto"/>
              </w:rPr>
              <w:t>46</w:t>
            </w:r>
          </w:p>
        </w:tc>
      </w:tr>
      <w:tr>
        <w:trPr>
          <w:trHeight w:val="291"/>
        </w:trPr>
        <w:tc>
          <w:tcPr>
            <w:tcW w:w="1240" w:type="dxa"/>
            <w:vAlign w:val="bottom"/>
            <w:gridSpan w:val="2"/>
          </w:tcPr>
          <w:p>
            <w:pPr>
              <w:ind w:left="180"/>
              <w:spacing w:after="0"/>
              <w:rPr>
                <w:sz w:val="20"/>
                <w:szCs w:val="20"/>
                <w:color w:val="auto"/>
              </w:rPr>
            </w:pPr>
            <w:r>
              <w:rPr>
                <w:rFonts w:ascii="Arial" w:cs="Arial" w:eastAsia="Arial" w:hAnsi="Arial"/>
                <w:sz w:val="17"/>
                <w:szCs w:val="17"/>
                <w:b w:val="1"/>
                <w:bCs w:val="1"/>
                <w:color w:val="auto"/>
              </w:rPr>
              <w:t>ITEM 16.</w:t>
            </w:r>
          </w:p>
        </w:tc>
        <w:tc>
          <w:tcPr>
            <w:tcW w:w="1900" w:type="dxa"/>
            <w:vAlign w:val="bottom"/>
            <w:tcBorders>
              <w:top w:val="single" w:sz="8" w:color="0000EE"/>
              <w:bottom w:val="single" w:sz="8" w:color="0000EE"/>
            </w:tcBorders>
            <w:gridSpan w:val="3"/>
          </w:tcPr>
          <w:p>
            <w:pPr>
              <w:spacing w:after="0"/>
              <w:rPr>
                <w:rFonts w:ascii="Arial" w:cs="Arial" w:eastAsia="Arial" w:hAnsi="Arial"/>
                <w:sz w:val="17"/>
                <w:szCs w:val="17"/>
                <w:b w:val="1"/>
                <w:bCs w:val="1"/>
                <w:color w:val="0000EE"/>
              </w:rPr>
            </w:pPr>
            <w:hyperlink w:anchor="page56">
              <w:r>
                <w:rPr>
                  <w:rFonts w:ascii="Arial" w:cs="Arial" w:eastAsia="Arial" w:hAnsi="Arial"/>
                  <w:sz w:val="17"/>
                  <w:szCs w:val="17"/>
                  <w:b w:val="1"/>
                  <w:bCs w:val="1"/>
                  <w:color w:val="0000EE"/>
                </w:rPr>
                <w:t>FORM 10-K SUMMARY</w:t>
              </w:r>
            </w:hyperlink>
          </w:p>
        </w:tc>
        <w:tc>
          <w:tcPr>
            <w:tcW w:w="2560" w:type="dxa"/>
            <w:vAlign w:val="bottom"/>
            <w:tcBorders>
              <w:top w:val="single" w:sz="8" w:color="0000EE"/>
            </w:tcBorders>
            <w:gridSpan w:val="2"/>
          </w:tcPr>
          <w:p>
            <w:pPr>
              <w:spacing w:after="0"/>
              <w:rPr>
                <w:sz w:val="24"/>
                <w:szCs w:val="24"/>
                <w:color w:val="auto"/>
              </w:rPr>
            </w:pPr>
          </w:p>
        </w:tc>
        <w:tc>
          <w:tcPr>
            <w:tcW w:w="5260" w:type="dxa"/>
            <w:vAlign w:val="bottom"/>
            <w:gridSpan w:val="3"/>
          </w:tcPr>
          <w:p>
            <w:pPr>
              <w:spacing w:after="0"/>
              <w:rPr>
                <w:sz w:val="24"/>
                <w:szCs w:val="24"/>
                <w:color w:val="auto"/>
              </w:rPr>
            </w:pPr>
          </w:p>
        </w:tc>
        <w:tc>
          <w:tcPr>
            <w:tcW w:w="420" w:type="dxa"/>
            <w:vAlign w:val="bottom"/>
          </w:tcPr>
          <w:p>
            <w:pPr>
              <w:spacing w:after="0"/>
              <w:rPr>
                <w:sz w:val="24"/>
                <w:szCs w:val="24"/>
                <w:color w:val="auto"/>
              </w:rPr>
            </w:pPr>
          </w:p>
        </w:tc>
      </w:tr>
    </w:tbl>
    <w:p>
      <w:pPr>
        <w:spacing w:after="0" w:line="111" w:lineRule="exact"/>
        <w:rPr>
          <w:sz w:val="20"/>
          <w:szCs w:val="20"/>
          <w:color w:val="auto"/>
        </w:rPr>
      </w:pPr>
    </w:p>
    <w:p>
      <w:pPr>
        <w:spacing w:after="0"/>
        <w:rPr>
          <w:rFonts w:ascii="Arial" w:cs="Arial" w:eastAsia="Arial" w:hAnsi="Arial"/>
          <w:sz w:val="17"/>
          <w:szCs w:val="17"/>
          <w:b w:val="1"/>
          <w:bCs w:val="1"/>
          <w:u w:val="single" w:color="auto"/>
          <w:color w:val="0000EE"/>
        </w:rPr>
      </w:pPr>
      <w:hyperlink w:anchor="page57">
        <w:r>
          <w:rPr>
            <w:rFonts w:ascii="Arial" w:cs="Arial" w:eastAsia="Arial" w:hAnsi="Arial"/>
            <w:sz w:val="17"/>
            <w:szCs w:val="17"/>
            <w:b w:val="1"/>
            <w:bCs w:val="1"/>
            <w:u w:val="single" w:color="auto"/>
            <w:color w:val="0000EE"/>
          </w:rPr>
          <w:t>SIGNATURES</w:t>
        </w:r>
      </w:hyperlink>
    </w:p>
    <w:p>
      <w:pPr>
        <w:sectPr>
          <w:pgSz w:w="11900" w:h="16838" w:orient="portrait"/>
          <w:cols w:equalWidth="0" w:num="1">
            <w:col w:w="11380"/>
          </w:cols>
          <w:pgMar w:left="240" w:top="437" w:right="279" w:bottom="1440" w:gutter="0" w:footer="0" w:header="0"/>
        </w:sectPr>
      </w:pPr>
    </w:p>
    <w:bookmarkStart w:id="4" w:name="page5"/>
    <w:bookmarkEnd w:id="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PART I</w:t>
      </w:r>
    </w:p>
    <w:p>
      <w:pPr>
        <w:spacing w:after="0" w:line="246"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w:t>
      </w:r>
    </w:p>
    <w:p>
      <w:pPr>
        <w:spacing w:after="0" w:line="116" w:lineRule="exact"/>
        <w:rPr>
          <w:sz w:val="20"/>
          <w:szCs w:val="20"/>
          <w:color w:val="auto"/>
        </w:rPr>
      </w:pPr>
    </w:p>
    <w:p>
      <w:pPr>
        <w:ind w:right="60" w:firstLine="457"/>
        <w:spacing w:after="0" w:line="276" w:lineRule="auto"/>
        <w:rPr>
          <w:sz w:val="20"/>
          <w:szCs w:val="20"/>
          <w:color w:val="auto"/>
        </w:rPr>
      </w:pPr>
      <w:r>
        <w:rPr>
          <w:rFonts w:ascii="Arial" w:cs="Arial" w:eastAsia="Arial" w:hAnsi="Arial"/>
          <w:sz w:val="16"/>
          <w:szCs w:val="16"/>
          <w:color w:val="auto"/>
        </w:rPr>
        <w:t>Martin Marietta Materials, Inc. (the “Company” or “Martin Marietta”) is a natural-resource-based building materials company. The Company supplies aggregates (crushed stone, sand and gravel) through its network of 282 quarries and distribution yards to customers in 30 states, Canada, the Bahamas and the Caribbean Islands. In the western United States, Martin Marietta also provides cement and downstream products, namely, ready mixed concrete, asphalt and paving services in markets where the Company has a leading aggregates position. Specifically, the Company has two cement plants in Texas, and ready mixed concrete and asphalt operations in Texas, Colorado, Louisiana and Arkansas. Paving services are exclusively in Colorado. The Company’s heavy-side building materials are used in infrastructure, nonresidential and residential construction projects. Aggregates are also used in agricultural, utility and environmental applications and as railroad ballast. The aggregates, cement, ready mixed concrete, asphalt and paving product lines are reported collectively as the “Building Materials” business. The Company also operates a Magnesia Specialties business with production facilities in Michigan and Ohio. The Magnesia Specialties business produces magnesia-based chemicals products which are used in industrial, agricultural and environmental applications. It also produces dolomitic lime sold primarily to customers in the steel and mining industries. Magnesia Specialties’ products are shipped to customers worldwide.</w:t>
      </w:r>
    </w:p>
    <w:p>
      <w:pPr>
        <w:spacing w:after="0" w:line="168" w:lineRule="exact"/>
        <w:rPr>
          <w:sz w:val="20"/>
          <w:szCs w:val="20"/>
          <w:color w:val="auto"/>
        </w:rPr>
      </w:pPr>
    </w:p>
    <w:p>
      <w:pPr>
        <w:ind w:right="280" w:firstLine="457"/>
        <w:spacing w:after="0" w:line="270" w:lineRule="auto"/>
        <w:rPr>
          <w:sz w:val="20"/>
          <w:szCs w:val="20"/>
          <w:color w:val="auto"/>
        </w:rPr>
      </w:pPr>
      <w:r>
        <w:rPr>
          <w:rFonts w:ascii="Arial" w:cs="Arial" w:eastAsia="Arial" w:hAnsi="Arial"/>
          <w:sz w:val="17"/>
          <w:szCs w:val="17"/>
          <w:color w:val="auto"/>
        </w:rPr>
        <w:t>The Company was formed in 1993 as a North Carolina corporation to serve as successor to the operations of the materials group of the organization that is now Lockheed Martin Corporation. An initial public offering of a portion of the Company’s Common Stock was completed in 1994, followed by a tax-free exchange transaction in 1996 that resulted in 100% of the Company’s Common Stock being publicly traded.</w:t>
      </w:r>
    </w:p>
    <w:p>
      <w:pPr>
        <w:spacing w:after="0" w:line="171" w:lineRule="exact"/>
        <w:rPr>
          <w:sz w:val="20"/>
          <w:szCs w:val="20"/>
          <w:color w:val="auto"/>
        </w:rPr>
      </w:pPr>
    </w:p>
    <w:p>
      <w:pPr>
        <w:ind w:firstLine="457"/>
        <w:spacing w:after="0" w:line="262" w:lineRule="auto"/>
        <w:rPr>
          <w:sz w:val="20"/>
          <w:szCs w:val="20"/>
          <w:color w:val="auto"/>
        </w:rPr>
      </w:pPr>
      <w:r>
        <w:rPr>
          <w:rFonts w:ascii="Arial" w:cs="Arial" w:eastAsia="Arial" w:hAnsi="Arial"/>
          <w:sz w:val="17"/>
          <w:szCs w:val="17"/>
          <w:color w:val="auto"/>
        </w:rPr>
        <w:t>The Company completed over 85 smaller acquisitions from the time of its initial public offering until the present, which allowed the Company to enhance and expand its presence in the aggregates marketplace. This included an exchange of certain assets in 2011 with Lafarge North America Inc. (“Lafarge”), pursuant to which it received aggregates quarry sites, ready mixed concrete and asphalt plants, and a road paving business in and around the metropolitan Denver, Colorado, and the I-25 corridor, in exchange for which Lafarge received properties consisting of quarries, an asphalt plant and distribution yards operated by the Company along the Mississippi River (called the Company’s “River District Operations”) and a cash payment.</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business has developed further through the following transactions over the past five years.</w:t>
      </w:r>
    </w:p>
    <w:p>
      <w:pPr>
        <w:spacing w:after="0" w:line="220" w:lineRule="exact"/>
        <w:rPr>
          <w:sz w:val="20"/>
          <w:szCs w:val="20"/>
          <w:color w:val="auto"/>
        </w:rPr>
      </w:pPr>
    </w:p>
    <w:p>
      <w:pPr>
        <w:ind w:right="240" w:firstLine="457"/>
        <w:spacing w:after="0" w:line="285" w:lineRule="auto"/>
        <w:rPr>
          <w:sz w:val="20"/>
          <w:szCs w:val="20"/>
          <w:color w:val="auto"/>
        </w:rPr>
      </w:pPr>
      <w:r>
        <w:rPr>
          <w:rFonts w:ascii="Arial" w:cs="Arial" w:eastAsia="Arial" w:hAnsi="Arial"/>
          <w:sz w:val="17"/>
          <w:szCs w:val="17"/>
          <w:color w:val="auto"/>
        </w:rPr>
        <w:t>In 2013, the Company acquired three aggregates quarries in the greater Atlanta, Georgia, area. The transaction provided over 800 million tons of permitted aggregates reserves and enhanced the Company’s existing long-term position in this market.</w:t>
      </w:r>
    </w:p>
    <w:p>
      <w:pPr>
        <w:spacing w:after="0" w:line="159" w:lineRule="exact"/>
        <w:rPr>
          <w:sz w:val="20"/>
          <w:szCs w:val="20"/>
          <w:color w:val="auto"/>
        </w:rPr>
      </w:pPr>
    </w:p>
    <w:p>
      <w:pPr>
        <w:ind w:right="40" w:firstLine="457"/>
        <w:spacing w:after="0" w:line="270" w:lineRule="auto"/>
        <w:rPr>
          <w:sz w:val="20"/>
          <w:szCs w:val="20"/>
          <w:color w:val="auto"/>
        </w:rPr>
      </w:pPr>
      <w:r>
        <w:rPr>
          <w:rFonts w:ascii="Arial" w:cs="Arial" w:eastAsia="Arial" w:hAnsi="Arial"/>
          <w:sz w:val="17"/>
          <w:szCs w:val="17"/>
          <w:color w:val="auto"/>
        </w:rPr>
        <w:t>In 2014, the Company completed the acquisition of Texas Industries, Inc. (“TXI”), further augmenting its position as a leading supplier of aggregates and heavy building materials. TXI, as a stand-alone entity, was a leading supplier of heavy construction materials in the southwestern United States and a major supplier of natural aggregates and ready mixed concrete in Texas, northern Louisiana and, to a lesser extent, in Oklahoma</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446" w:right="239" w:bottom="1440" w:gutter="0" w:footer="0" w:header="0"/>
        </w:sectPr>
      </w:pPr>
    </w:p>
    <w:bookmarkStart w:id="5" w:name="page6"/>
    <w:bookmarkEnd w:id="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ind w:right="140"/>
        <w:spacing w:after="0" w:line="355" w:lineRule="auto"/>
        <w:rPr>
          <w:sz w:val="20"/>
          <w:szCs w:val="20"/>
          <w:color w:val="auto"/>
        </w:rPr>
      </w:pPr>
      <w:r>
        <w:rPr>
          <w:rFonts w:ascii="Arial" w:cs="Arial" w:eastAsia="Arial" w:hAnsi="Arial"/>
          <w:sz w:val="15"/>
          <w:szCs w:val="15"/>
          <w:color w:val="auto"/>
        </w:rPr>
        <w:t>and Arkansas. TXI was the largest supplier of cement, ready mixed concrete, and concrete products in Texas. TXI enhanced the Company’s position as an aggregates-led, low-cost operator in large and fast-growing geographies in the United States and provided high-quality assets in cement and ready mixed concrete.</w:t>
      </w:r>
    </w:p>
    <w:p>
      <w:pPr>
        <w:spacing w:after="0" w:line="113" w:lineRule="exact"/>
        <w:rPr>
          <w:sz w:val="20"/>
          <w:szCs w:val="20"/>
          <w:color w:val="auto"/>
        </w:rPr>
      </w:pPr>
    </w:p>
    <w:p>
      <w:pPr>
        <w:ind w:right="80" w:firstLine="457"/>
        <w:spacing w:after="0" w:line="262" w:lineRule="auto"/>
        <w:rPr>
          <w:sz w:val="20"/>
          <w:szCs w:val="20"/>
          <w:color w:val="auto"/>
        </w:rPr>
      </w:pPr>
      <w:r>
        <w:rPr>
          <w:rFonts w:ascii="Arial" w:cs="Arial" w:eastAsia="Arial" w:hAnsi="Arial"/>
          <w:sz w:val="17"/>
          <w:szCs w:val="17"/>
          <w:color w:val="auto"/>
        </w:rPr>
        <w:t>In addition to the cement operations, the Company acquired as part of the TXI acquisition nine quarries and six aggregates distribution terminals located in Texas, Louisiana and Oklahoma. The Company also acquired approximately 120 ready mixed concrete plants, situated primarily in three areas of Texas (the Dallas/Fort Worth/Denton area of north Texas; the Austin area of central Texas; and from Beaumont to Texarkana in east Texas), in north and central Louisiana and in Southwestern Arkansas. As part of an agreement in conjunction with the United States Department of Justice’s review of the transaction, the Company divested its North Troy Quarry in Oklahoma and two related rail distribution yards in Dallas and Frisco, Texas.</w:t>
      </w:r>
    </w:p>
    <w:p>
      <w:pPr>
        <w:spacing w:after="0" w:line="179" w:lineRule="exact"/>
        <w:rPr>
          <w:sz w:val="20"/>
          <w:szCs w:val="20"/>
          <w:color w:val="auto"/>
        </w:rPr>
      </w:pPr>
    </w:p>
    <w:p>
      <w:pPr>
        <w:ind w:firstLine="457"/>
        <w:spacing w:after="0" w:line="262" w:lineRule="auto"/>
        <w:rPr>
          <w:sz w:val="20"/>
          <w:szCs w:val="20"/>
          <w:color w:val="auto"/>
        </w:rPr>
      </w:pPr>
      <w:r>
        <w:rPr>
          <w:rFonts w:ascii="Arial" w:cs="Arial" w:eastAsia="Arial" w:hAnsi="Arial"/>
          <w:sz w:val="17"/>
          <w:szCs w:val="17"/>
          <w:color w:val="auto"/>
        </w:rPr>
        <w:t>TXI was also a cement producer in California. In 2015, the Company divested its California cement operations acquired from TXI. These operations were not in close proximity to aggregates and other core assets of the Company and, unlike other marketplace competitors, were not vertically integrated with ready mixed concrete production. The divestiture primarily included a cement plant, two distribution terminals, mobile equipment, intangible assets and inventory. The Company also completed the integration of the TXI operations in 2015, and completed three smaller acquisitions, which included three aggregates operations and related assets.</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2016, the Company acquired aggregates, ready mixed concrete and asphalt and paving operations in southern Colorado that provided more than</w:t>
      </w:r>
    </w:p>
    <w:p>
      <w:pPr>
        <w:spacing w:after="0" w:line="36" w:lineRule="exact"/>
        <w:rPr>
          <w:sz w:val="20"/>
          <w:szCs w:val="20"/>
          <w:color w:val="auto"/>
        </w:rPr>
      </w:pPr>
    </w:p>
    <w:p>
      <w:pPr>
        <w:ind w:right="40"/>
        <w:spacing w:after="0" w:line="313" w:lineRule="auto"/>
        <w:rPr>
          <w:sz w:val="20"/>
          <w:szCs w:val="20"/>
          <w:color w:val="auto"/>
        </w:rPr>
      </w:pPr>
      <w:r>
        <w:rPr>
          <w:rFonts w:ascii="Arial" w:cs="Arial" w:eastAsia="Arial" w:hAnsi="Arial"/>
          <w:sz w:val="15"/>
          <w:szCs w:val="15"/>
          <w:color w:val="auto"/>
        </w:rPr>
        <w:t>500 million tons of mineral reserves and expanded the Company’s presence along the Front Range of the Rocky Mountains, home to 80% of Colorado’s population. The Company also acquired the remaining interest it had not previously owned in a ready mixed concrete company that serves the I-35 corridor in central Texas between Dallas and Austin, which enhanced the Company’s position and provided additional vertical integration benefits with the Company’s cement product line.</w:t>
      </w:r>
    </w:p>
    <w:p>
      <w:pPr>
        <w:spacing w:after="0" w:line="143" w:lineRule="exact"/>
        <w:rPr>
          <w:sz w:val="20"/>
          <w:szCs w:val="20"/>
          <w:color w:val="auto"/>
        </w:rPr>
      </w:pPr>
    </w:p>
    <w:p>
      <w:pPr>
        <w:ind w:right="180" w:firstLine="457"/>
        <w:spacing w:after="0" w:line="305" w:lineRule="auto"/>
        <w:rPr>
          <w:sz w:val="20"/>
          <w:szCs w:val="20"/>
          <w:color w:val="auto"/>
        </w:rPr>
      </w:pPr>
      <w:r>
        <w:rPr>
          <w:rFonts w:ascii="Arial" w:cs="Arial" w:eastAsia="Arial" w:hAnsi="Arial"/>
          <w:sz w:val="15"/>
          <w:szCs w:val="15"/>
          <w:color w:val="auto"/>
        </w:rPr>
        <w:t>Between 2001 and 2017, the Company disposed of or idled a number of underperforming operations, including aggregates, ready mixed concrete, trucking, and asphalt and road paving operations of its Building Materials business and the refractories business of its Magnesia Specialties business. In some of its divestitures, the Company concurrently entered into supply agreements to provide aggregates at market rates to certain of these divested businesses. During 2015, the Company disposed of certain non-core asphalt operations in San Antonio, Texas and divested its California cement operations. The Company will continue to evaluate opportunities to divest underperforming assets, if appropriate, during 2018 in an effort to redeploy capital for other opportunities.</w:t>
      </w:r>
    </w:p>
    <w:p>
      <w:pPr>
        <w:spacing w:after="0" w:line="150" w:lineRule="exact"/>
        <w:rPr>
          <w:sz w:val="20"/>
          <w:szCs w:val="20"/>
          <w:color w:val="auto"/>
        </w:rPr>
      </w:pPr>
    </w:p>
    <w:p>
      <w:pPr>
        <w:ind w:firstLine="457"/>
        <w:spacing w:after="0" w:line="259" w:lineRule="auto"/>
        <w:rPr>
          <w:sz w:val="20"/>
          <w:szCs w:val="20"/>
          <w:color w:val="auto"/>
        </w:rPr>
      </w:pPr>
      <w:r>
        <w:rPr>
          <w:rFonts w:ascii="Arial" w:cs="Arial" w:eastAsia="Arial" w:hAnsi="Arial"/>
          <w:sz w:val="17"/>
          <w:szCs w:val="17"/>
          <w:color w:val="auto"/>
        </w:rPr>
        <w:t>On June 26, 2017, the Company announced a definitive agreement to acquire Bluegrass Materials Company (“Bluegrass Materials”) for $1.625 billion in cash. The Company will not acquire any of Bluegrass Materials’ cash and cash equivalents nor will it assume any of Bluegrass Materials’ outstanding debt. Bluegrass Materials is the largest privately held, pure-play aggregates business in the United States and has a portfolio of 23 active sites with more than 125 years of strategically-located, high-quality reserves, in Maryland, Georgia, South Carolina, Kentucky, Tennessee and Pennsylvania. These operations complement the Company’s existing southeastern footprint and provide a new growth platform within the southern portion of the Northeast megaregion. The Company and Bluegrass Materials are continuing to work closely and cooperatively with the Department of Justice in its review of the proposed transaction. The parties currently anticipate that the proposed acquisition will be completed in the first half of 2018.</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00"/>
          </w:cols>
          <w:pgMar w:left="240" w:top="446" w:right="259" w:bottom="1440" w:gutter="0" w:footer="0" w:header="0"/>
        </w:sectPr>
      </w:pPr>
    </w:p>
    <w:bookmarkStart w:id="6" w:name="page7"/>
    <w:bookmarkEnd w:id="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Business Segment Information</w:t>
      </w:r>
    </w:p>
    <w:p>
      <w:pPr>
        <w:spacing w:after="0" w:line="116" w:lineRule="exact"/>
        <w:rPr>
          <w:sz w:val="20"/>
          <w:szCs w:val="20"/>
          <w:color w:val="auto"/>
        </w:rPr>
      </w:pPr>
    </w:p>
    <w:p>
      <w:pPr>
        <w:ind w:right="220" w:firstLine="457"/>
        <w:spacing w:after="0" w:line="298" w:lineRule="auto"/>
        <w:rPr>
          <w:sz w:val="20"/>
          <w:szCs w:val="20"/>
          <w:color w:val="auto"/>
        </w:rPr>
      </w:pPr>
      <w:r>
        <w:rPr>
          <w:rFonts w:ascii="Arial" w:cs="Arial" w:eastAsia="Arial" w:hAnsi="Arial"/>
          <w:sz w:val="15"/>
          <w:szCs w:val="15"/>
          <w:color w:val="auto"/>
        </w:rPr>
        <w:t>The Company conducts its Building Materials business through three reportable segments, organized by geography: Mid-America Group, Southeast Group and West Group. The Mid-America and Southeast Groups provide aggregates products only. The West Group provides aggregates, cement and downstream products. The following states accounted for 74% of the Building Materials business net sales in 2017: Texas, Colorado, North Carolina, Iowa and Georgia. The Company also has the Magnesia Specialties segment, which includes its magnesia-based chemicals and dolomitic lime businesses. Information concerning the Company’s total revenues, net sales, gross profit, earnings from operations, assets employed, and certain additional information attributable to each reportable business segment for each year in the three-year period ended December 31, 2017 is included in “Note O: Business Segments” of the “Notes to Financial Statements” of the Company’s 2017 consolidated financial statements (the “2017 Financial Statements”), which are included under Item 8 of this Form 10-K, and are part of the Company’s 2017 Annual Report to Shareholders (the “2017 Annual Report”), which information is incorporated herein by reference.</w:t>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Building Materials Business</w:t>
      </w:r>
    </w:p>
    <w:p>
      <w:pPr>
        <w:spacing w:after="0" w:line="116" w:lineRule="exact"/>
        <w:rPr>
          <w:sz w:val="20"/>
          <w:szCs w:val="20"/>
          <w:color w:val="auto"/>
        </w:rPr>
      </w:pPr>
    </w:p>
    <w:p>
      <w:pPr>
        <w:ind w:right="80" w:firstLine="457"/>
        <w:spacing w:after="0" w:line="259" w:lineRule="auto"/>
        <w:rPr>
          <w:sz w:val="20"/>
          <w:szCs w:val="20"/>
          <w:color w:val="auto"/>
        </w:rPr>
      </w:pPr>
      <w:r>
        <w:rPr>
          <w:rFonts w:ascii="Arial" w:cs="Arial" w:eastAsia="Arial" w:hAnsi="Arial"/>
          <w:sz w:val="17"/>
          <w:szCs w:val="17"/>
          <w:color w:val="auto"/>
        </w:rPr>
        <w:t>This section describes the product lines of the Building Materials business undertaken by the Company within its Mid-America Group, Southeast Group, and West Group. The Company undertakes its aggregates product line of business in all of these geographic segments within its Building Materials business. In 2017, the aggregates product line represented 59% of the Company’s consolidated total revenues. The Company’s cement, ready mixed concrete, and asphalt and paving operations are conducted within the Company’s West Group, with its two cement plants in Texas, and the remaining ready mixed concrete and asphalt product lines in Texas, Colorado, Louisiana, and Arkansas. Paving services are exclusively in Colorado. The Company’s cement product line is described below and in greater detail in the next section. Collectively, in 2017 the Building Materials business generated total revenues and earnings from operations of $3.7 billion and $707 million, respectively.</w:t>
      </w:r>
    </w:p>
    <w:p>
      <w:pPr>
        <w:spacing w:after="0" w:line="185" w:lineRule="exact"/>
        <w:rPr>
          <w:sz w:val="20"/>
          <w:szCs w:val="20"/>
          <w:color w:val="auto"/>
        </w:rPr>
      </w:pPr>
    </w:p>
    <w:p>
      <w:pPr>
        <w:ind w:firstLine="457"/>
        <w:spacing w:after="0" w:line="280" w:lineRule="auto"/>
        <w:rPr>
          <w:sz w:val="20"/>
          <w:szCs w:val="20"/>
          <w:color w:val="auto"/>
        </w:rPr>
      </w:pPr>
      <w:r>
        <w:rPr>
          <w:rFonts w:ascii="Arial" w:cs="Arial" w:eastAsia="Arial" w:hAnsi="Arial"/>
          <w:sz w:val="16"/>
          <w:szCs w:val="16"/>
          <w:color w:val="auto"/>
        </w:rPr>
        <w:t>The Building Materials business serves customers in the construction marketplace. The business’ profitability is sensitive to national, regional and local economic conditions and cyclical swings in construction spending, which are in turn affected by fluctuations in interest rates; access to capital markets; levels of public-sector infrastructure funding; and demographic, geographic, employment and population dynamics. The heavy- side construction business, inclusive of much of the Company’s operations, is conducted outdoors. Therefore, precipitation and other weather-related conditions, including flooding, hurricanes, snowstorms and droughts, can significantly affect production schedules, shipments, costs, efficiencies and profitability. Generally, the financial results for the first and fourth quarters are significantly lower than the second and third quarters due to winter weather.</w:t>
      </w:r>
    </w:p>
    <w:p>
      <w:pPr>
        <w:spacing w:after="0" w:line="166" w:lineRule="exact"/>
        <w:rPr>
          <w:sz w:val="20"/>
          <w:szCs w:val="20"/>
          <w:color w:val="auto"/>
        </w:rPr>
      </w:pPr>
    </w:p>
    <w:p>
      <w:pPr>
        <w:ind w:right="120" w:firstLine="457"/>
        <w:spacing w:after="0" w:line="286" w:lineRule="auto"/>
        <w:rPr>
          <w:sz w:val="20"/>
          <w:szCs w:val="20"/>
          <w:color w:val="auto"/>
        </w:rPr>
      </w:pPr>
      <w:r>
        <w:rPr>
          <w:rFonts w:ascii="Arial" w:cs="Arial" w:eastAsia="Arial" w:hAnsi="Arial"/>
          <w:sz w:val="16"/>
          <w:szCs w:val="16"/>
          <w:color w:val="auto"/>
        </w:rPr>
        <w:t>Aggregates are an engineered granular material consisting of crushed stone, sand and gravel of varying mineralogies, manufactured to specific sizes, grades and chemistry for use primarily in construction applications. The Company’s operations consist primarily of open pit quarries; however, the Company is the largest operator of underground aggregates mines in the United States with14 active underground mines located in the Mid-America Group. On average, the Company’s aggregates reserves exceed 60 years based on normalized production levels and approximate 100 years at current production rates.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Cement is the basic binding agent used to bind water, aggregates and sand, in the production of ready mixed concrete. The Company has a strategic and</w:t>
      </w:r>
    </w:p>
    <w:p>
      <w:pPr>
        <w:spacing w:after="0" w:line="36"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leading cement position in Texas, with production facilities in Midlothian, Texas, south of Dallas-Fort Worth, and Hunter, Texas, north of San Antonio. These plants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446" w:right="239" w:bottom="1440" w:gutter="0" w:footer="0" w:header="0"/>
        </w:sectPr>
      </w:pPr>
    </w:p>
    <w:bookmarkStart w:id="7" w:name="page8"/>
    <w:bookmarkEnd w:id="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jc w:val="both"/>
        <w:ind w:right="60"/>
        <w:spacing w:after="0" w:line="265" w:lineRule="auto"/>
        <w:rPr>
          <w:sz w:val="20"/>
          <w:szCs w:val="20"/>
          <w:color w:val="auto"/>
        </w:rPr>
      </w:pPr>
      <w:r>
        <w:rPr>
          <w:rFonts w:ascii="Arial" w:cs="Arial" w:eastAsia="Arial" w:hAnsi="Arial"/>
          <w:sz w:val="17"/>
          <w:szCs w:val="17"/>
          <w:color w:val="auto"/>
        </w:rPr>
        <w:t>produce Portland and specialty cements, have a combined annual capacity of 4.5 million tons, and operated at 75% to 80% utilization in 2017. The Midlothian plant permit would allow the Company to expand production by up to 800,000 additional tons. In addition to the two production facilities, the Company operates several cement distribution terminals. Calcium carbonate in the form of limestone is the principal raw material used in the production of cement. The Company owns more than 600 million tons of limestone reserves adjacent to its cement production plants.</w:t>
      </w:r>
    </w:p>
    <w:p>
      <w:pPr>
        <w:spacing w:after="0" w:line="175" w:lineRule="exact"/>
        <w:rPr>
          <w:sz w:val="20"/>
          <w:szCs w:val="20"/>
          <w:color w:val="auto"/>
        </w:rPr>
      </w:pPr>
    </w:p>
    <w:p>
      <w:pPr>
        <w:ind w:firstLine="457"/>
        <w:spacing w:after="0" w:line="302" w:lineRule="auto"/>
        <w:rPr>
          <w:sz w:val="20"/>
          <w:szCs w:val="20"/>
          <w:color w:val="auto"/>
        </w:rPr>
      </w:pPr>
      <w:r>
        <w:rPr>
          <w:rFonts w:ascii="Arial" w:cs="Arial" w:eastAsia="Arial" w:hAnsi="Arial"/>
          <w:sz w:val="15"/>
          <w:szCs w:val="15"/>
          <w:color w:val="auto"/>
        </w:rPr>
        <w:t>Ready mixed concrete, a mixture primarily of cement, water, aggregates, and sand, is measured in cubic yards and specifically batched or produced for customers’ construction projects and then transported and poured at the project site. The aggregates used for ready mixed concrete is a washed material with limited amounts of fines (such as dirt and clay). The Company owns 143 ready mix operations in Texas, Colorado, Louisiana and Arkansas. Asphalt is most commonly used in surfacing roads and parking lots and consists of liquid asphalt, the binding medium, and aggregates. Similar to ready mixed concrete, each asphalt batch is produced to customer specifications. The Company’s asphalt operations are located primarily in Colorado; additionally, paving services are offered in Colorado. Market dynamics for these product lines include a highly competitive environment and lower barriers to entry compared with aggregates and cement.</w:t>
      </w:r>
    </w:p>
    <w:p>
      <w:pPr>
        <w:spacing w:after="0" w:line="151" w:lineRule="exact"/>
        <w:rPr>
          <w:sz w:val="20"/>
          <w:szCs w:val="20"/>
          <w:color w:val="auto"/>
        </w:rPr>
      </w:pPr>
    </w:p>
    <w:p>
      <w:pPr>
        <w:ind w:right="20" w:firstLine="457"/>
        <w:spacing w:after="0" w:line="277" w:lineRule="auto"/>
        <w:rPr>
          <w:sz w:val="20"/>
          <w:szCs w:val="20"/>
          <w:color w:val="auto"/>
        </w:rPr>
      </w:pPr>
      <w:r>
        <w:rPr>
          <w:rFonts w:ascii="Arial" w:cs="Arial" w:eastAsia="Arial" w:hAnsi="Arial"/>
          <w:sz w:val="16"/>
          <w:szCs w:val="16"/>
          <w:color w:val="auto"/>
        </w:rPr>
        <w:t>The Building Materials business markets its products primarily to the construction industry, with approximately 40% of the aggregates product line shipments in 2017 made to contractors in connection with highway and other public infrastructure projects and the balance of its shipments made primarily to contractors in connection with nonresidential and residential construction projects. The Company believes public-works projects have historically accounted for approximately 50% of the total annual aggregates and cement consumption in the United States. Therefore, these businesses benefit from public-works construction projects. The Company also believes exposure to fluctuations in nonresidential and residential, or private-sector, construction spending is lessened by the business’ mix of public sector-related shipments. However, after uncertainty regarding the status of the highway bill in 2014, the Company experienced a slight retraction in aggregates product line shipments to the infrastructure end-use market. Consistent with this trend, the infrastructure market accounted for a lower percentage of the Company’s aggregates product line shipments for the past three years compared with the most recent five-year average of 43%.</w:t>
      </w:r>
    </w:p>
    <w:p>
      <w:pPr>
        <w:spacing w:after="0" w:line="170" w:lineRule="exact"/>
        <w:rPr>
          <w:sz w:val="20"/>
          <w:szCs w:val="20"/>
          <w:color w:val="auto"/>
        </w:rPr>
      </w:pPr>
    </w:p>
    <w:p>
      <w:pPr>
        <w:ind w:right="280" w:firstLine="457"/>
        <w:spacing w:after="0" w:line="270" w:lineRule="auto"/>
        <w:rPr>
          <w:sz w:val="20"/>
          <w:szCs w:val="20"/>
          <w:color w:val="auto"/>
        </w:rPr>
      </w:pPr>
      <w:r>
        <w:rPr>
          <w:rFonts w:ascii="Arial" w:cs="Arial" w:eastAsia="Arial" w:hAnsi="Arial"/>
          <w:sz w:val="17"/>
          <w:szCs w:val="17"/>
          <w:color w:val="auto"/>
        </w:rPr>
        <w:t>As a result of dependence upon the construction industry, the profitability of aggregates and cement producers is sensitive to national, regional and local economic conditions, and particularly to cyclical swings in construction spending, which is affected by fluctuations in interest rates, demographic and population shifts, and changes in the level of infrastructure spending funded by the public sector.</w:t>
      </w:r>
    </w:p>
    <w:p>
      <w:pPr>
        <w:spacing w:after="0" w:line="171" w:lineRule="exact"/>
        <w:rPr>
          <w:sz w:val="20"/>
          <w:szCs w:val="20"/>
          <w:color w:val="auto"/>
        </w:rPr>
      </w:pPr>
    </w:p>
    <w:p>
      <w:pPr>
        <w:ind w:firstLine="457"/>
        <w:spacing w:after="0" w:line="259" w:lineRule="auto"/>
        <w:rPr>
          <w:sz w:val="20"/>
          <w:szCs w:val="20"/>
          <w:color w:val="auto"/>
        </w:rPr>
      </w:pPr>
      <w:r>
        <w:rPr>
          <w:rFonts w:ascii="Arial" w:cs="Arial" w:eastAsia="Arial" w:hAnsi="Arial"/>
          <w:sz w:val="17"/>
          <w:szCs w:val="17"/>
          <w:color w:val="auto"/>
        </w:rPr>
        <w:t>The Company’s aggregates product line shipments increased in each of the three years prior to 2017, including a 1.4% increase in 2016, reflecting degrees of stability and modest growth. This trend reversed, however, in 2017, as the Company’s aggregates product line shipments declined 0.6%, reflecting continuing uncertainty about federal infrastructure spending, labor constraints, and project delays. Despite some volume growth in recent years, aggregates volumes are still below historically normal levels. Prior to 2011, the economic recession resulted in United States aggregates consumption declining by almost 40% from peak volumes in 2006. Aggregates product line shipments had also suffered as states continued to balance their construction spending with the uncertainty related to long-term federal highway funding and budget shortfalls caused by decreasing tax revenues. However, most state budgets began to improve starting in 2013 as increased tax revenues helped states resolve or begin to resolve budget deficits.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446" w:right="239" w:bottom="1440" w:gutter="0" w:footer="0" w:header="0"/>
        </w:sectPr>
      </w:pPr>
    </w:p>
    <w:bookmarkStart w:id="8" w:name="page9"/>
    <w:bookmarkEnd w:id="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federal highway bill provides annual funding for public-sector highway construction projects. After a decade of 36 short-term funding provisions since</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expiration of the prior federal highway bill, </w:t>
      </w:r>
      <w:r>
        <w:rPr>
          <w:rFonts w:ascii="Arial" w:cs="Arial" w:eastAsia="Arial" w:hAnsi="Arial"/>
          <w:sz w:val="17"/>
          <w:szCs w:val="17"/>
          <w:i w:val="1"/>
          <w:iCs w:val="1"/>
          <w:color w:val="auto"/>
        </w:rPr>
        <w:t>Moving Ahead for Progress in the 21</w:t>
      </w:r>
      <w:r>
        <w:rPr>
          <w:rFonts w:ascii="Arial" w:cs="Arial" w:eastAsia="Arial" w:hAnsi="Arial"/>
          <w:sz w:val="14"/>
          <w:szCs w:val="14"/>
          <w:i w:val="1"/>
          <w:iCs w:val="1"/>
          <w:color w:val="auto"/>
        </w:rPr>
        <w:t>st</w:t>
      </w:r>
      <w:r>
        <w:rPr>
          <w:rFonts w:ascii="Arial" w:cs="Arial" w:eastAsia="Arial" w:hAnsi="Arial"/>
          <w:sz w:val="17"/>
          <w:szCs w:val="17"/>
          <w:color w:val="auto"/>
        </w:rPr>
        <w:t xml:space="preserve"> </w:t>
      </w:r>
      <w:r>
        <w:rPr>
          <w:rFonts w:ascii="Arial" w:cs="Arial" w:eastAsia="Arial" w:hAnsi="Arial"/>
          <w:sz w:val="17"/>
          <w:szCs w:val="17"/>
          <w:i w:val="1"/>
          <w:iCs w:val="1"/>
          <w:color w:val="auto"/>
        </w:rPr>
        <w:t>Century</w:t>
      </w:r>
      <w:r>
        <w:rPr>
          <w:rFonts w:ascii="Arial" w:cs="Arial" w:eastAsia="Arial" w:hAnsi="Arial"/>
          <w:sz w:val="17"/>
          <w:szCs w:val="17"/>
          <w:color w:val="auto"/>
        </w:rPr>
        <w:t xml:space="preserve"> (“MAP-21”), the five-year, $305 billion highway bill, </w:t>
      </w:r>
      <w:r>
        <w:rPr>
          <w:rFonts w:ascii="Arial" w:cs="Arial" w:eastAsia="Arial" w:hAnsi="Arial"/>
          <w:sz w:val="17"/>
          <w:szCs w:val="17"/>
          <w:i w:val="1"/>
          <w:iCs w:val="1"/>
          <w:color w:val="auto"/>
        </w:rPr>
        <w:t>Fixing</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America’s Surface Transportation Act </w:t>
      </w:r>
      <w:r>
        <w:rPr>
          <w:rFonts w:ascii="Arial" w:cs="Arial" w:eastAsia="Arial" w:hAnsi="Arial"/>
          <w:sz w:val="16"/>
          <w:szCs w:val="16"/>
          <w:color w:val="auto"/>
        </w:rPr>
        <w:t>(the “FAST Act” or the “Act”), was signed into law on December 4, 2015. The FAST Act reauthorizes federal highway and</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public transportation programs and stabilizes the Highway Trust Fund. The FAST Act retains the programs supported under the predecessor bill, MAP-21, but with</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some changes. Specifically, </w:t>
      </w:r>
      <w:r>
        <w:rPr>
          <w:rFonts w:ascii="Arial" w:cs="Arial" w:eastAsia="Arial" w:hAnsi="Arial"/>
          <w:sz w:val="17"/>
          <w:szCs w:val="17"/>
          <w:i w:val="1"/>
          <w:iCs w:val="1"/>
          <w:color w:val="auto"/>
        </w:rPr>
        <w:t>Transportation Infrastructure and Innovation Act</w:t>
      </w:r>
      <w:r>
        <w:rPr>
          <w:rFonts w:ascii="Arial" w:cs="Arial" w:eastAsia="Arial" w:hAnsi="Arial"/>
          <w:sz w:val="17"/>
          <w:szCs w:val="17"/>
          <w:color w:val="auto"/>
        </w:rPr>
        <w:t xml:space="preserve"> (“TIFIA”), a U.S. Department of Transportation (“DOT”) alternative funding</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mechanism, which under MAP-21 provided three types of federal credit assistance for nationally or regionally significant surface transportation projects, now</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allows more diversification of projects. TIFIA is designed to fill market gaps and leverage substantial private co-investment by providing projects with supplemental</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or subordinate debt that is not subject to national debt ceiling challenges or sequestration. Since inception, TIFIA has provided more than $25 billion of credit</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assistance to over 50 projects representing over $90 billion in infrastructure investment. Under the FAST Act, TIFIA annual funding ranges from $275 million to</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$300 million and no longer requires the 20% matching funds from state DOTs. Consequently, states can advance construction projects immediately with potentially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zero upfront outlay of local state DOT dollars. TIFIA requires projects to have a revenue source to pay back the credit assistance within a 30 to 40 year period.</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Moreover, TIFIA funds may represent up to 49% of total eligible project costs for a TIFIA-secured loan and 33% for a TIFIA standby line of credit. Therefore, the</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TIFIA program has the ability to significantly leverage construction dollars. Each dollar of federal funds can provide up to $10 in TIFIA credit assistance and</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support up to $30 in transportation infrastructure investment. Private investment in transportation projects funded through the TIFIA program is particularly</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attractive, in part due to the subordination of public investment to private. Management believes TIFIA could provide a substantial boost for state DOT construction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programs well above what is currently budgeted. As of January 2018, TIFIA funded projects for the Company’s top five sales-generating states (Texas, Colorado,</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North Carolina, Iowa and Georgia) exceeded $25 billion.</w:t>
      </w:r>
    </w:p>
    <w:p>
      <w:pPr>
        <w:spacing w:after="0" w:line="207" w:lineRule="exact"/>
        <w:rPr>
          <w:sz w:val="20"/>
          <w:szCs w:val="20"/>
          <w:color w:val="auto"/>
        </w:rPr>
      </w:pPr>
    </w:p>
    <w:p>
      <w:pPr>
        <w:ind w:right="60" w:firstLine="457"/>
        <w:spacing w:after="0" w:line="280" w:lineRule="auto"/>
        <w:rPr>
          <w:sz w:val="20"/>
          <w:szCs w:val="20"/>
          <w:color w:val="auto"/>
        </w:rPr>
      </w:pPr>
      <w:r>
        <w:rPr>
          <w:rFonts w:ascii="Arial" w:cs="Arial" w:eastAsia="Arial" w:hAnsi="Arial"/>
          <w:sz w:val="16"/>
          <w:szCs w:val="16"/>
          <w:color w:val="auto"/>
        </w:rPr>
        <w:t>Public infrastructure activity has not yet experienced the anticipated benefits from funding provided by the FAST Act and the TIFIA program. State and local initiatives that support infrastructure funding, including gas tax increases and other ballot initiatives, are increasing in size and number as these governments recognize the need to play an expanded role in public infrastructure funding. Specifically, in the November 2017 election, $3.7 billion of transportation funding initiatives were approved in Texas, Colorado, Georgia, South Carolina and Kansas. The pace of construction should accelerate and shipments to the public infrastructure market should return to historical levels as monies from both the federal government and state and local governments become available. A return to historical levels is also predicated on state DOTs and contractors addressing their labor constraints.</w:t>
      </w:r>
    </w:p>
    <w:p>
      <w:pPr>
        <w:spacing w:after="0" w:line="166" w:lineRule="exact"/>
        <w:rPr>
          <w:sz w:val="20"/>
          <w:szCs w:val="20"/>
          <w:color w:val="auto"/>
        </w:rPr>
      </w:pPr>
    </w:p>
    <w:p>
      <w:pPr>
        <w:ind w:firstLine="457"/>
        <w:spacing w:after="0" w:line="305" w:lineRule="auto"/>
        <w:rPr>
          <w:sz w:val="20"/>
          <w:szCs w:val="20"/>
          <w:color w:val="auto"/>
        </w:rPr>
      </w:pPr>
      <w:r>
        <w:rPr>
          <w:rFonts w:ascii="Arial" w:cs="Arial" w:eastAsia="Arial" w:hAnsi="Arial"/>
          <w:sz w:val="15"/>
          <w:szCs w:val="15"/>
          <w:color w:val="auto"/>
        </w:rPr>
        <w:t>The federal highway bill provides spending authorizations, which represent the maximum financial obligation that will result from the immediate or future outlays of federal funds for highway and transit programs. The federal government’s surface transportation programs are financed mostly through the receipts of highway user taxes placed in the Highway Trust Fund, which is divided into the Highway Account and the Mass Transit Account. Revenues credited to the Highway Trust Fund are primarily derived from a federal gas tax, a federal tax on certain other motor fuels and interest on the accounts’ accumulated balances. Of the currently imposed federal gas tax of $0.184 per gallon, which has been static since 1993, $0.15 is allocated to the Highway Account of the Highway Trust Fund.</w:t>
      </w:r>
    </w:p>
    <w:p>
      <w:pPr>
        <w:spacing w:after="0" w:line="150" w:lineRule="exact"/>
        <w:rPr>
          <w:sz w:val="20"/>
          <w:szCs w:val="20"/>
          <w:color w:val="auto"/>
        </w:rPr>
      </w:pPr>
    </w:p>
    <w:p>
      <w:pPr>
        <w:ind w:right="220" w:firstLine="457"/>
        <w:spacing w:after="0" w:line="265" w:lineRule="auto"/>
        <w:rPr>
          <w:sz w:val="20"/>
          <w:szCs w:val="20"/>
          <w:color w:val="auto"/>
        </w:rPr>
      </w:pPr>
      <w:r>
        <w:rPr>
          <w:rFonts w:ascii="Arial" w:cs="Arial" w:eastAsia="Arial" w:hAnsi="Arial"/>
          <w:sz w:val="17"/>
          <w:szCs w:val="17"/>
          <w:color w:val="auto"/>
        </w:rPr>
        <w:t>Transportation investments generally boost the national economy by enhancing mobility and access and by creating jobs, which is a priority of many of the government’s economic plans. According to the Federal Highway Administration, every $1 billion in federal highway investment creates approximately 28,000 jobs. The number of jobs created is dependent on the nature and aggregates intensity of the projects. Approximately half of the Building Materials business’ net sales to the infrastructure market come from federal funding</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446" w:right="239" w:bottom="1440" w:gutter="0" w:footer="0" w:header="0"/>
        </w:sectPr>
      </w:pPr>
    </w:p>
    <w:bookmarkStart w:id="9" w:name="page10"/>
    <w:bookmarkEnd w:id="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jc w:val="both"/>
        <w:ind w:right="200"/>
        <w:spacing w:after="0" w:line="270" w:lineRule="auto"/>
        <w:rPr>
          <w:sz w:val="20"/>
          <w:szCs w:val="20"/>
          <w:color w:val="auto"/>
        </w:rPr>
      </w:pPr>
      <w:r>
        <w:rPr>
          <w:rFonts w:ascii="Arial" w:cs="Arial" w:eastAsia="Arial" w:hAnsi="Arial"/>
          <w:sz w:val="17"/>
          <w:szCs w:val="17"/>
          <w:color w:val="auto"/>
        </w:rPr>
        <w:t>authorizations, including matching funds from the states. For each dollar spent on road, highway and bridge improvements, the Federal Highway Administration estimates an average benefit of $5.20 is recognized in the form of reduced vehicle maintenance costs, reduced delays, reduced fuel consumption, improved safety, reduced road and bridge maintenance costs and reduced emissions as a result of improved traffic flow.</w:t>
      </w:r>
    </w:p>
    <w:p>
      <w:pPr>
        <w:spacing w:after="0" w:line="171" w:lineRule="exact"/>
        <w:rPr>
          <w:sz w:val="20"/>
          <w:szCs w:val="20"/>
          <w:color w:val="auto"/>
        </w:rPr>
      </w:pPr>
    </w:p>
    <w:p>
      <w:pPr>
        <w:ind w:right="20" w:firstLine="457"/>
        <w:spacing w:after="0" w:line="262" w:lineRule="auto"/>
        <w:rPr>
          <w:sz w:val="20"/>
          <w:szCs w:val="20"/>
          <w:color w:val="auto"/>
        </w:rPr>
      </w:pPr>
      <w:r>
        <w:rPr>
          <w:rFonts w:ascii="Arial" w:cs="Arial" w:eastAsia="Arial" w:hAnsi="Arial"/>
          <w:sz w:val="17"/>
          <w:szCs w:val="17"/>
          <w:color w:val="auto"/>
        </w:rPr>
        <w:t>The Company’s Building Materials business covers a wide geographic area. The Company’s five largest sales-generating states (Texas, Colorado, North Carolina, Iowa and Georgia) accounted for 74% of total 2017 net sales by state of destination. The Company’s Building Materials business is accordingly affected by the economies in these regions and has been adversely affected in part by recessions and weaknesses in these economies from time to time. Recent improvements in the national economy and in some of the states in which the Company operates have led to improvements in profitability in the Company’s Building Materials business.</w:t>
      </w:r>
    </w:p>
    <w:p>
      <w:pPr>
        <w:spacing w:after="0" w:line="179" w:lineRule="exact"/>
        <w:rPr>
          <w:sz w:val="20"/>
          <w:szCs w:val="20"/>
          <w:color w:val="auto"/>
        </w:rPr>
      </w:pPr>
    </w:p>
    <w:p>
      <w:pPr>
        <w:ind w:right="160" w:firstLine="457"/>
        <w:spacing w:after="0" w:line="262" w:lineRule="auto"/>
        <w:rPr>
          <w:sz w:val="20"/>
          <w:szCs w:val="20"/>
          <w:color w:val="auto"/>
        </w:rPr>
      </w:pPr>
      <w:r>
        <w:rPr>
          <w:rFonts w:ascii="Arial" w:cs="Arial" w:eastAsia="Arial" w:hAnsi="Arial"/>
          <w:sz w:val="17"/>
          <w:szCs w:val="17"/>
          <w:color w:val="auto"/>
        </w:rPr>
        <w:t>Climate change is defined as a change in global or regional climate patterns. Changes to the climate have been occurring for centuries due to minor shifts in the Earth’s orbit, ultimately changing the amount of solar energy received. More recently, however, this rate of change has accelerated, and climate change is considered a leading cause of erratic weather. Production and shipment levels for the Building Materials business correlate with general construction activity, most of which occurs outdoors and, as a result, is affected by erratic weather patterns, seasonal changes and other unusual or unexpected weather-related conditions, which can significantly affect the business.</w:t>
      </w:r>
    </w:p>
    <w:p>
      <w:pPr>
        <w:spacing w:after="0" w:line="179" w:lineRule="exact"/>
        <w:rPr>
          <w:sz w:val="20"/>
          <w:szCs w:val="20"/>
          <w:color w:val="auto"/>
        </w:rPr>
      </w:pPr>
    </w:p>
    <w:p>
      <w:pPr>
        <w:ind w:right="200" w:firstLine="457"/>
        <w:spacing w:after="0" w:line="297" w:lineRule="auto"/>
        <w:rPr>
          <w:sz w:val="20"/>
          <w:szCs w:val="20"/>
          <w:color w:val="auto"/>
        </w:rPr>
      </w:pPr>
      <w:r>
        <w:rPr>
          <w:rFonts w:ascii="Arial" w:cs="Arial" w:eastAsia="Arial" w:hAnsi="Arial"/>
          <w:sz w:val="15"/>
          <w:szCs w:val="15"/>
          <w:color w:val="auto"/>
        </w:rPr>
        <w:t>Excessive rainfall jeopardizes production, shipments and profitability in all markets served by the Company. In particular, the Company’s operations in the southeastern and Gulf Coast regions of the United States and the Bahamas are at risk for hurricane activity, most notably in August, September and October. Nationally, 2017 marked the 20th wettest year on record, and the fifth consecutive year with above-average precipitation. The last few years brought an unprecedented amount of precipitation to the United States and particularly to Texas. In fact, 2015 set a new rainfall record for Texas; the 24-month period ending September 2016 set a new two-year record for the state, with an average annual rainfall of 75 inches. Hurricane Harvey, a Category 4 storm that made landfall in Houston in August 2017, brought nearly 20 trillion gallons of precipitation. In the Southeast, Hurricane Irma, also a Category 4 storm, made landfall in Florida in September 2017 and brought excessive rainfall to the southeastern United States, notably Florida and Georgia. Additionally, in 2017, Colorado experienced its fifteenth wettest nine-months for the period January through September. In October 2016, rainfall along the eastern seaboard of the United States from Hurricane Matthew, a Category 5 hurricane, approximated 13.6 trillion gallons. Hurricane Matthew was the first major hurricane on record to make landfall in the Bahamas.</w:t>
      </w:r>
    </w:p>
    <w:p>
      <w:pPr>
        <w:spacing w:after="0" w:line="155" w:lineRule="exact"/>
        <w:rPr>
          <w:sz w:val="20"/>
          <w:szCs w:val="20"/>
          <w:color w:val="auto"/>
        </w:rPr>
      </w:pPr>
    </w:p>
    <w:p>
      <w:pPr>
        <w:ind w:firstLine="457"/>
        <w:spacing w:after="0" w:line="259" w:lineRule="auto"/>
        <w:rPr>
          <w:sz w:val="20"/>
          <w:szCs w:val="20"/>
          <w:color w:val="auto"/>
        </w:rPr>
      </w:pPr>
      <w:r>
        <w:rPr>
          <w:rFonts w:ascii="Arial" w:cs="Arial" w:eastAsia="Arial" w:hAnsi="Arial"/>
          <w:sz w:val="17"/>
          <w:szCs w:val="17"/>
          <w:color w:val="auto"/>
        </w:rPr>
        <w:t>NOAA reports that since 1895, the contiguous United States has experienced an average temperature increase of 1.5°F per century, with 2017 averaging 2.6°F above the 20th century average and marking it the third warmest year on record, behind 2012 and 2016. In fact, 2017 marked the 21st consecutive warmer-than-average year for the contiguous United States, and five states, including North Carolina and South Carolina, had a record warmest year. Temperature plays a significant role in the months of March and November, meaningfully affecting the first- and fourth-quarter results, respectively. Warm and/or moderate temperatures in March and November allows the construction season to start earlier and end later, respectively. In 2017, the nation experienced the ninth warmest March on record while Colorado and Texas reported its warmest and its second warmest March, respectively. The weather was also favorable in November 2017, as Colorado set another record and Texas reported its fifth warmest November.</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446" w:right="239" w:bottom="1440" w:gutter="0" w:footer="0" w:header="0"/>
        </w:sectPr>
      </w:pPr>
    </w:p>
    <w:bookmarkStart w:id="10" w:name="page11"/>
    <w:bookmarkEnd w:id="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ind w:right="140" w:firstLine="457"/>
        <w:spacing w:after="0" w:line="305" w:lineRule="auto"/>
        <w:rPr>
          <w:sz w:val="20"/>
          <w:szCs w:val="20"/>
          <w:color w:val="auto"/>
        </w:rPr>
      </w:pPr>
      <w:r>
        <w:rPr>
          <w:rFonts w:ascii="Arial" w:cs="Arial" w:eastAsia="Arial" w:hAnsi="Arial"/>
          <w:sz w:val="15"/>
          <w:szCs w:val="15"/>
          <w:color w:val="auto"/>
        </w:rPr>
        <w:t>Natural aggregates sources can be found in relatively homogeneous deposits in certain areas of the United States. As a general rule, truck shipments from an individual quarry are limited because the cost of transporting processed aggregates to customers is high in relation to the price of the product itself. As described below, the Company’s distribution system mainly uses trucks, but also has access to a river barge and ocean vessel network where the per-mile unit cost of transporting aggregates is much lower. In addition, acquisitions have enabled the Company to extend its customer base through increased access to rail transportation. Proximity of quarry facilities to customers or to long-haul transportation corridors is an important factor in competition for aggregates businesses.</w:t>
      </w:r>
    </w:p>
    <w:p>
      <w:pPr>
        <w:spacing w:after="0" w:line="150" w:lineRule="exact"/>
        <w:rPr>
          <w:sz w:val="20"/>
          <w:szCs w:val="20"/>
          <w:color w:val="auto"/>
        </w:rPr>
      </w:pPr>
    </w:p>
    <w:p>
      <w:pPr>
        <w:ind w:firstLine="457"/>
        <w:spacing w:after="0" w:line="259" w:lineRule="auto"/>
        <w:rPr>
          <w:sz w:val="20"/>
          <w:szCs w:val="20"/>
          <w:color w:val="auto"/>
        </w:rPr>
      </w:pPr>
      <w:r>
        <w:rPr>
          <w:rFonts w:ascii="Arial" w:cs="Arial" w:eastAsia="Arial" w:hAnsi="Arial"/>
          <w:sz w:val="17"/>
          <w:szCs w:val="17"/>
          <w:color w:val="auto"/>
        </w:rPr>
        <w:t>Product shipments are moved by rail and water through the Company’s long-haul distribution network. The Company’s rail network primarily serves its Texas, Florida and Gulf Coast markets while the Company’s Bahamas and Nova Scotia locations transport materials via oceangoing ships. The Company’s strategic focus includes expanding inland and offshore capacity and acquiring distribution yards and port locations to offload transported material. At December 31, 2017, the Company had 81 distribution yards. In 2017, 24.1 million tons of aggregates were sold from distribution yards. The long-haul distribution network can diversify market risk for locations that engage in long-haul transportation of their aggregates products. Particularly where a producing quarry serves a local market and transports products via rail and/or water to be sold in other markets, the risk of a downturn in one market may be somewhat mitigated by other markets served by the location.</w:t>
      </w:r>
    </w:p>
    <w:p>
      <w:pPr>
        <w:spacing w:after="0" w:line="185" w:lineRule="exact"/>
        <w:rPr>
          <w:sz w:val="20"/>
          <w:szCs w:val="20"/>
          <w:color w:val="auto"/>
        </w:rPr>
      </w:pPr>
    </w:p>
    <w:p>
      <w:pPr>
        <w:jc w:val="both"/>
        <w:ind w:right="480" w:firstLine="457"/>
        <w:spacing w:after="0" w:line="322" w:lineRule="auto"/>
        <w:rPr>
          <w:sz w:val="20"/>
          <w:szCs w:val="20"/>
          <w:color w:val="auto"/>
        </w:rPr>
      </w:pPr>
      <w:r>
        <w:rPr>
          <w:rFonts w:ascii="Arial" w:cs="Arial" w:eastAsia="Arial" w:hAnsi="Arial"/>
          <w:sz w:val="15"/>
          <w:szCs w:val="15"/>
          <w:color w:val="auto"/>
        </w:rPr>
        <w:t>The Company generally acquires contiguous property around existing quarry locations. This property can serve as buffer property or additional mineral reserve capacity, assuming the underlying geology supports economical aggregates mining. In either instance, the acquisition of additional property around an existing quarry allows the expansion of the quarry footprint and extension of quarry life. Some locations having limited reserves may be unable to expand.</w:t>
      </w:r>
    </w:p>
    <w:p>
      <w:pPr>
        <w:spacing w:after="0" w:line="136" w:lineRule="exact"/>
        <w:rPr>
          <w:sz w:val="20"/>
          <w:szCs w:val="20"/>
          <w:color w:val="auto"/>
        </w:rPr>
      </w:pPr>
    </w:p>
    <w:p>
      <w:pPr>
        <w:ind w:right="200" w:firstLine="457"/>
        <w:spacing w:after="0" w:line="282" w:lineRule="auto"/>
        <w:rPr>
          <w:sz w:val="20"/>
          <w:szCs w:val="20"/>
          <w:color w:val="auto"/>
        </w:rPr>
      </w:pPr>
      <w:r>
        <w:rPr>
          <w:rFonts w:ascii="Arial" w:cs="Arial" w:eastAsia="Arial" w:hAnsi="Arial"/>
          <w:sz w:val="16"/>
          <w:szCs w:val="16"/>
          <w:color w:val="auto"/>
        </w:rPr>
        <w:t>A long-term capital focus for the Company, primarily in the midwestern United States due to the nature of its indigenous aggregates supply, is underground limestone aggregates mines. The Company operates 14 active underground mines, located in the Mid-America Group, and is the largest operator of underground limestone aggregate mines in the United States. Production costs are generally higher at underground mines than surface quarries since the depth of the aggregate deposits and the access to the reserves result in higher costs related to development, explosives and depreciation costs. However, these locations often possess transportation advantages that can lead to higher average selling prices than more distant surface quarries.</w:t>
      </w:r>
    </w:p>
    <w:p>
      <w:pPr>
        <w:spacing w:after="0" w:line="165" w:lineRule="exact"/>
        <w:rPr>
          <w:sz w:val="20"/>
          <w:szCs w:val="20"/>
          <w:color w:val="auto"/>
        </w:rPr>
      </w:pPr>
    </w:p>
    <w:p>
      <w:pPr>
        <w:ind w:right="40" w:firstLine="457"/>
        <w:spacing w:after="0" w:line="302" w:lineRule="auto"/>
        <w:rPr>
          <w:sz w:val="20"/>
          <w:szCs w:val="20"/>
          <w:color w:val="auto"/>
        </w:rPr>
      </w:pPr>
      <w:r>
        <w:rPr>
          <w:rFonts w:ascii="Arial" w:cs="Arial" w:eastAsia="Arial" w:hAnsi="Arial"/>
          <w:sz w:val="15"/>
          <w:szCs w:val="15"/>
          <w:color w:val="auto"/>
        </w:rPr>
        <w:t>The Company’s acquisitions and capital projects have expanded its ability to move material by rail, as discussed in more detail below. The Company has added additional capacity in a number of locations that can now accommodate larger unit train movements. These expansion projects have enhanced the Company’s long-haul distribution network. The Company’s process improvement efforts have also improved operational effectiveness through plant automation, mobile fleet modernization, right-sizing and other cost control improvements. Accordingly, the Company has enhanced its reach through its ability to provide cost-effective coverage of coastal markets on the east and gulf coasts, as well as geographic areas that can be accessed economically by the Company’s expanded distribution system. This distribution network moves aggregates materials from domestic and offshore sources, via rail and water, to markets where aggregates supply is limited.</w:t>
      </w:r>
    </w:p>
    <w:p>
      <w:pPr>
        <w:spacing w:after="0" w:line="151" w:lineRule="exact"/>
        <w:rPr>
          <w:sz w:val="20"/>
          <w:szCs w:val="20"/>
          <w:color w:val="auto"/>
        </w:rPr>
      </w:pPr>
    </w:p>
    <w:p>
      <w:pPr>
        <w:ind w:right="60" w:firstLine="457"/>
        <w:spacing w:after="0" w:line="282" w:lineRule="auto"/>
        <w:rPr>
          <w:sz w:val="20"/>
          <w:szCs w:val="20"/>
          <w:color w:val="auto"/>
        </w:rPr>
      </w:pPr>
      <w:r>
        <w:rPr>
          <w:rFonts w:ascii="Arial" w:cs="Arial" w:eastAsia="Arial" w:hAnsi="Arial"/>
          <w:sz w:val="16"/>
          <w:szCs w:val="16"/>
          <w:color w:val="auto"/>
        </w:rPr>
        <w:t>As the Company continues to move more aggregates by rail and water, internal freight costs are expected to reduce gross margin. This typically occurs where the Company transports aggregates from a production location to a distribution location by rail or water, and the customer pays a selling price that includes a freight component. Margins are negatively affected because the Company typically does not charge the customer a profit associated with the transportation component of the selling price of the materials. Moreover, the Company’s expansion of its rail-based distribution network, coupled with the extensive use of rail service in the Southeast and West Groups, increases the Company’s dependence on and exposure to railroad performance,</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446" w:right="239" w:bottom="1440" w:gutter="0" w:footer="0" w:header="0"/>
        </w:sectPr>
      </w:pPr>
    </w:p>
    <w:bookmarkStart w:id="11" w:name="page12"/>
    <w:bookmarkEnd w:id="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including track congestion, crew availability, railcar availability, and power availability, and the ability to renegotiate favorable railroad shipping contracts. The waterborne distribution network, primarily located within the Southeast Group, also increases the Company’s exposure to certain risks, including, among other items, meeting minimum tonnage requirements of shipping contracts, demurrage costs, fuel costs, ship availability and weather disruptions. The Company has long-term agreements with shipping companies to provide ships to transport the Company’s aggregates to various coastal ports.</w:t>
      </w:r>
    </w:p>
    <w:p>
      <w:pPr>
        <w:spacing w:after="0" w:line="161" w:lineRule="exact"/>
        <w:rPr>
          <w:sz w:val="20"/>
          <w:szCs w:val="20"/>
          <w:color w:val="auto"/>
        </w:rPr>
      </w:pPr>
    </w:p>
    <w:p>
      <w:pPr>
        <w:ind w:right="20" w:firstLine="457"/>
        <w:spacing w:after="0" w:line="282" w:lineRule="auto"/>
        <w:rPr>
          <w:sz w:val="20"/>
          <w:szCs w:val="20"/>
          <w:color w:val="auto"/>
        </w:rPr>
      </w:pPr>
      <w:r>
        <w:rPr>
          <w:rFonts w:ascii="Arial" w:cs="Arial" w:eastAsia="Arial" w:hAnsi="Arial"/>
          <w:sz w:val="16"/>
          <w:szCs w:val="16"/>
          <w:color w:val="auto"/>
        </w:rPr>
        <w:t>The Company’s long-term shipping contracts for shipment by water are generally take-or-pay contracts with minimum and maximum shipping requirements. These contracts have varying expiration dates ranging from 2023 to 2027 and generally contain renewal options. However, there can be no assurance that these contracts can be renewed upon expiration or that terms will continue without significant increases. If the Company fails to ship the annual minimum tonnages under the agreement, it is still obligated to pay the shipping company the contractually-stated minimum amount for that year. In 2017, the Company did not incur these freight costs; however a charge is possible in 2018 if shipment volumes do not meet the contractually-stated minimums.</w:t>
      </w:r>
    </w:p>
    <w:p>
      <w:pPr>
        <w:spacing w:after="0" w:line="165" w:lineRule="exact"/>
        <w:rPr>
          <w:sz w:val="20"/>
          <w:szCs w:val="20"/>
          <w:color w:val="auto"/>
        </w:rPr>
      </w:pPr>
    </w:p>
    <w:p>
      <w:pPr>
        <w:ind w:right="60" w:firstLine="457"/>
        <w:spacing w:after="0" w:line="278" w:lineRule="auto"/>
        <w:rPr>
          <w:sz w:val="20"/>
          <w:szCs w:val="20"/>
          <w:color w:val="auto"/>
        </w:rPr>
      </w:pPr>
      <w:r>
        <w:rPr>
          <w:rFonts w:ascii="Arial" w:cs="Arial" w:eastAsia="Arial" w:hAnsi="Arial"/>
          <w:sz w:val="16"/>
          <w:szCs w:val="16"/>
          <w:color w:val="auto"/>
        </w:rPr>
        <w:t>From time to time, the Company has experienced rail transportation shortages, particularly in the Southwest and Southeast. These shortages were caused by the downsizing in personnel and equipment by certain railroads during economic downturns. Further, in response to these issues, rail transportation providers focused on increasing the number of cars per unit train under transportation contracts and are generally requiring customers, through the freight rate structure, to accommodate larger unit train movements. A unit train is a freight train moving large tonnages of a single bulk product between two points without intermediate yarding and switching. Certain of the Company’s sales yards have the system capabilities to meet the unit train requirements. Over the last few years, the Company has made capital improvements to a number of its sales yards in order to better accommodate unit train unloadings. Rail availability is seasonal and can impact aggregates shipments depending on competing demands for rail service.</w:t>
      </w:r>
    </w:p>
    <w:p>
      <w:pPr>
        <w:spacing w:after="0" w:line="169" w:lineRule="exact"/>
        <w:rPr>
          <w:sz w:val="20"/>
          <w:szCs w:val="20"/>
          <w:color w:val="auto"/>
        </w:rPr>
      </w:pPr>
    </w:p>
    <w:p>
      <w:pPr>
        <w:ind w:right="260" w:firstLine="457"/>
        <w:spacing w:after="0" w:line="270" w:lineRule="auto"/>
        <w:rPr>
          <w:sz w:val="20"/>
          <w:szCs w:val="20"/>
          <w:color w:val="auto"/>
        </w:rPr>
      </w:pPr>
      <w:r>
        <w:rPr>
          <w:rFonts w:ascii="Arial" w:cs="Arial" w:eastAsia="Arial" w:hAnsi="Arial"/>
          <w:sz w:val="17"/>
          <w:szCs w:val="17"/>
          <w:color w:val="auto"/>
        </w:rPr>
        <w:t>From time to time, we have also experienced rail and trucking shortages due to competition from other products. If there are material changes in the availability or cost of rail or trucking services, we may not be able to arrange alternative and timely means to ship our products at a reasonable cost, which could lead to interruptions or slowdowns in our businesses or increases in our costs.</w:t>
      </w:r>
    </w:p>
    <w:p>
      <w:pPr>
        <w:spacing w:after="0" w:line="171" w:lineRule="exact"/>
        <w:rPr>
          <w:sz w:val="20"/>
          <w:szCs w:val="20"/>
          <w:color w:val="auto"/>
        </w:rPr>
      </w:pPr>
    </w:p>
    <w:p>
      <w:pPr>
        <w:ind w:right="160" w:firstLine="457"/>
        <w:spacing w:after="0" w:line="285" w:lineRule="auto"/>
        <w:rPr>
          <w:sz w:val="20"/>
          <w:szCs w:val="20"/>
          <w:color w:val="auto"/>
        </w:rPr>
      </w:pPr>
      <w:r>
        <w:rPr>
          <w:rFonts w:ascii="Arial" w:cs="Arial" w:eastAsia="Arial" w:hAnsi="Arial"/>
          <w:sz w:val="17"/>
          <w:szCs w:val="17"/>
          <w:color w:val="auto"/>
        </w:rPr>
        <w:t>The Company’s management expects the multiple transportation modes that have been developed with various rail carriers and via deep-water ships should provide the Company with the flexibility to effectively serve customers in the Southwest and Southeast coastal markets.</w:t>
      </w:r>
    </w:p>
    <w:p>
      <w:pPr>
        <w:spacing w:after="0" w:line="159" w:lineRule="exact"/>
        <w:rPr>
          <w:sz w:val="20"/>
          <w:szCs w:val="20"/>
          <w:color w:val="auto"/>
        </w:rPr>
      </w:pPr>
    </w:p>
    <w:p>
      <w:pPr>
        <w:ind w:firstLine="457"/>
        <w:spacing w:after="0" w:line="258" w:lineRule="auto"/>
        <w:rPr>
          <w:sz w:val="20"/>
          <w:szCs w:val="20"/>
          <w:color w:val="auto"/>
        </w:rPr>
      </w:pPr>
      <w:r>
        <w:rPr>
          <w:rFonts w:ascii="Arial" w:cs="Arial" w:eastAsia="Arial" w:hAnsi="Arial"/>
          <w:sz w:val="17"/>
          <w:szCs w:val="17"/>
          <w:color w:val="auto"/>
        </w:rPr>
        <w:t>The construction aggregates industry has been consolidating, and the Company has actively participated in the consolidation of the industry. When acquired, new locations sometimes do not satisfy the Company’s internal safety, maintenance and pit development standards, and may require additional resources before benefits of the acquisitions are fully realized. Industry consolidation slowed several years ago as the number of suitable small to mid-sized acquisition targets in high-growth markets declined. During that period of fewer acquisition opportunities, the Company focused on investing in internal expansion projects in high-growth markets. The number of acquisition opportunities has increased in the last few years as the economy recovered from the protracted recession. Opportunities include public and larger private, family-owned businesses, as well as asset swaps and divestitures from companies executing their strategic plans, rationalizing non-core assets, and repairing financially-constrained balanced sheets. The Company’s Board of Directors and management continue to review and monitor the Company’s strategic long-term plans, which include assessing business combinations and arrangements with other companies engaged in similar businesses, increasing the Company’s presence in its core businesses, investing in internal expansion projects in high-growth markets, and pursuing new opportunities related to the Company’s existing markets.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380"/>
          </w:cols>
          <w:pgMar w:left="240" w:top="446" w:right="279" w:bottom="1440" w:gutter="0" w:footer="0" w:header="0"/>
        </w:sectPr>
      </w:pPr>
    </w:p>
    <w:bookmarkStart w:id="12" w:name="page13"/>
    <w:bookmarkEnd w:id="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ind w:firstLine="457"/>
        <w:spacing w:after="0" w:line="276" w:lineRule="auto"/>
        <w:rPr>
          <w:sz w:val="20"/>
          <w:szCs w:val="20"/>
          <w:color w:val="auto"/>
        </w:rPr>
      </w:pPr>
      <w:r>
        <w:rPr>
          <w:rFonts w:ascii="Arial" w:cs="Arial" w:eastAsia="Arial" w:hAnsi="Arial"/>
          <w:sz w:val="16"/>
          <w:szCs w:val="16"/>
          <w:color w:val="auto"/>
        </w:rPr>
        <w:t>The Company became more vertically integrated through various acquisitions, including the 2014 TXI acquisition, in the West Group, pursuant to which the Company acquired cement, ready mixed concrete, asphalt and paving construction operations, trucking, and other businesses, which complement the Company’s aggregates operations. The Company reports vertically-integrated operations within the Building Materials business segment, and their results are affected by volatile factors, including fuel costs, operating efficiencies, and weather, to an even greater extent than the Company’s aggregates operations. Liquid asphalt and cement serve as key raw materials in the production of hot mix asphalt and ready mixed concrete, respectively. Therefore, fluctuations in prices for these raw materials directly affect the Company’s operating results. During 2017, prices for liquid asphalt were slightly higher than 2016. Liquid asphalt prices may not always follow other energy products (e.g., oil or diesel fuel) because of complexities in the refining process which converts a barrel of oil into other fuels and petrochemical products. We expect the Company’s gross margin to continue to improve for the legacy TXI aggregates-related downstream operations, similar to the pattern experienced at the Colorado aggregates-related downstream operations.</w:t>
      </w:r>
    </w:p>
    <w:p>
      <w:pPr>
        <w:spacing w:after="0" w:line="172" w:lineRule="exact"/>
        <w:rPr>
          <w:sz w:val="20"/>
          <w:szCs w:val="20"/>
          <w:color w:val="auto"/>
        </w:rPr>
      </w:pPr>
    </w:p>
    <w:p>
      <w:pPr>
        <w:ind w:firstLine="457"/>
        <w:spacing w:after="0" w:line="258" w:lineRule="auto"/>
        <w:rPr>
          <w:sz w:val="20"/>
          <w:szCs w:val="20"/>
          <w:color w:val="auto"/>
        </w:rPr>
      </w:pPr>
      <w:r>
        <w:rPr>
          <w:rFonts w:ascii="Arial" w:cs="Arial" w:eastAsia="Arial" w:hAnsi="Arial"/>
          <w:sz w:val="17"/>
          <w:szCs w:val="17"/>
          <w:color w:val="auto"/>
        </w:rPr>
        <w:t xml:space="preserve">While aggregates-led, the Company continues to review its operational portfolio to determine if there are opportunities to divest underperforming assets in an effort to redeploy capital for other opportunities. The Company also reviews other independent Building Materials operations to determine if they might present attractive acquisition opportunities in the best interest of the Company, either as part of their own independent operations or operations that might be vertically integrated with other operations owned by the Company. Based on these assessments, the Company completed the acquisitions described under </w:t>
      </w:r>
      <w:r>
        <w:rPr>
          <w:rFonts w:ascii="Arial" w:cs="Arial" w:eastAsia="Arial" w:hAnsi="Arial"/>
          <w:sz w:val="17"/>
          <w:szCs w:val="17"/>
          <w:i w:val="1"/>
          <w:iCs w:val="1"/>
          <w:color w:val="auto"/>
        </w:rPr>
        <w:t>General</w:t>
      </w:r>
      <w:r>
        <w:rPr>
          <w:rFonts w:ascii="Arial" w:cs="Arial" w:eastAsia="Arial" w:hAnsi="Arial"/>
          <w:sz w:val="17"/>
          <w:szCs w:val="17"/>
          <w:color w:val="auto"/>
        </w:rPr>
        <w:t xml:space="preserve"> above, which included ready mixed concrete and asphalt and paving businesses in the Denver, Colorado, and San Antonio, Texas, markets. The 2014 business combination with TXI described under </w:t>
      </w:r>
      <w:r>
        <w:rPr>
          <w:rFonts w:ascii="Arial" w:cs="Arial" w:eastAsia="Arial" w:hAnsi="Arial"/>
          <w:sz w:val="17"/>
          <w:szCs w:val="17"/>
          <w:i w:val="1"/>
          <w:iCs w:val="1"/>
          <w:color w:val="auto"/>
        </w:rPr>
        <w:t>General</w:t>
      </w:r>
      <w:r>
        <w:rPr>
          <w:rFonts w:ascii="Arial" w:cs="Arial" w:eastAsia="Arial" w:hAnsi="Arial"/>
          <w:sz w:val="17"/>
          <w:szCs w:val="17"/>
          <w:color w:val="auto"/>
        </w:rPr>
        <w:t xml:space="preserve"> above further expanded the Company’s downstream operations with the addition of TXI’s aggregates and ready mixed concrete operations. The TXI combination also added the cement operations, included in the West Group as the cement product line of the Company. The 2016 transactions described under </w:t>
      </w:r>
      <w:r>
        <w:rPr>
          <w:rFonts w:ascii="Arial" w:cs="Arial" w:eastAsia="Arial" w:hAnsi="Arial"/>
          <w:sz w:val="17"/>
          <w:szCs w:val="17"/>
          <w:i w:val="1"/>
          <w:iCs w:val="1"/>
          <w:color w:val="auto"/>
        </w:rPr>
        <w:t>General</w:t>
      </w:r>
      <w:r>
        <w:rPr>
          <w:rFonts w:ascii="Arial" w:cs="Arial" w:eastAsia="Arial" w:hAnsi="Arial"/>
          <w:sz w:val="17"/>
          <w:szCs w:val="17"/>
          <w:color w:val="auto"/>
        </w:rPr>
        <w:t xml:space="preserve"> above further added ready mixed concrete and asphalt and paving operations along the Front Range in Colorado and ready mixed concrete operations in central Texas.</w:t>
      </w:r>
    </w:p>
    <w:p>
      <w:pPr>
        <w:spacing w:after="0" w:line="185" w:lineRule="exact"/>
        <w:rPr>
          <w:sz w:val="20"/>
          <w:szCs w:val="20"/>
          <w:color w:val="auto"/>
        </w:rPr>
      </w:pPr>
    </w:p>
    <w:p>
      <w:pPr>
        <w:ind w:right="100" w:firstLine="457"/>
        <w:spacing w:after="0" w:line="265" w:lineRule="auto"/>
        <w:rPr>
          <w:sz w:val="20"/>
          <w:szCs w:val="20"/>
          <w:color w:val="auto"/>
        </w:rPr>
      </w:pPr>
      <w:r>
        <w:rPr>
          <w:rFonts w:ascii="Arial" w:cs="Arial" w:eastAsia="Arial" w:hAnsi="Arial"/>
          <w:sz w:val="17"/>
          <w:szCs w:val="17"/>
          <w:color w:val="auto"/>
        </w:rPr>
        <w:t>Environmental and zoning regulations have made it increasingly difficult for the aggregates industry to expand existing quarries and to develop new quarry operations. Although it cannot be predicted what policies will be adopted in the future by federal, state, and local governmental bodies regarding these matters, the Company anticipates that future restrictions will likely make zoning and permitting more difficult, thereby potentially enhancing the value of the Company’s existing mineral reserves.</w:t>
      </w:r>
    </w:p>
    <w:p>
      <w:pPr>
        <w:spacing w:after="0" w:line="175" w:lineRule="exact"/>
        <w:rPr>
          <w:sz w:val="20"/>
          <w:szCs w:val="20"/>
          <w:color w:val="auto"/>
        </w:rPr>
      </w:pPr>
    </w:p>
    <w:p>
      <w:pPr>
        <w:ind w:right="60" w:firstLine="457"/>
        <w:spacing w:after="0" w:line="259" w:lineRule="auto"/>
        <w:rPr>
          <w:sz w:val="20"/>
          <w:szCs w:val="20"/>
          <w:color w:val="auto"/>
        </w:rPr>
      </w:pPr>
      <w:r>
        <w:rPr>
          <w:rFonts w:ascii="Arial" w:cs="Arial" w:eastAsia="Arial" w:hAnsi="Arial"/>
          <w:sz w:val="17"/>
          <w:szCs w:val="17"/>
          <w:color w:val="auto"/>
        </w:rPr>
        <w:t>Management believes the aggregates product line’s raw materials, or aggregates reserves, are sufficient to permit production at present operational levels for the foreseeable future. The Company does not anticipate any material difficulty in obtaining the raw materials that it uses for current production in its aggregates product line. The Company’s aggregates reserves on the average exceed 60 years, based on normalized levels of production. However, certain locations may be subject to more limited reserves and may not be able to expand. Moreover, as noted above, environmental and zoning regulations will likely make it harder for the Company to expand its existing quarries or develop new quarry operations. The Company generally sells its aggregates, ready mixed concrete and asphalt products upon receipt of orders or requests from customers. The Company generally maintains inventories of aggregates products in sufficient quantities to meet the requirements of customers.</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360"/>
          </w:cols>
          <w:pgMar w:left="240" w:top="446" w:right="299" w:bottom="1440" w:gutter="0" w:footer="0" w:header="0"/>
        </w:sectPr>
      </w:pPr>
    </w:p>
    <w:bookmarkStart w:id="13" w:name="page14"/>
    <w:bookmarkEnd w:id="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ind w:right="500" w:firstLine="457"/>
        <w:spacing w:after="0" w:line="318" w:lineRule="auto"/>
        <w:rPr>
          <w:sz w:val="20"/>
          <w:szCs w:val="20"/>
          <w:color w:val="auto"/>
        </w:rPr>
      </w:pPr>
      <w:r>
        <w:rPr>
          <w:rFonts w:ascii="Arial" w:cs="Arial" w:eastAsia="Arial" w:hAnsi="Arial"/>
          <w:sz w:val="16"/>
          <w:szCs w:val="16"/>
          <w:color w:val="auto"/>
        </w:rPr>
        <w:t>Less than 1% of the total revenues from the Building Materials business are from foreign jurisdictions, principally Canada and the Bahamas, with total revenues from customers in foreign countries totaling $10.7 million, $12.2 million, and $13.0 million during 2017, 2016, and 2015, respectively.</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Cement Product Line</w:t>
      </w:r>
    </w:p>
    <w:p>
      <w:pPr>
        <w:spacing w:after="0" w:line="116" w:lineRule="exact"/>
        <w:rPr>
          <w:sz w:val="20"/>
          <w:szCs w:val="20"/>
          <w:color w:val="auto"/>
        </w:rPr>
      </w:pPr>
    </w:p>
    <w:p>
      <w:pPr>
        <w:ind w:right="40" w:firstLine="457"/>
        <w:spacing w:after="0" w:line="262" w:lineRule="auto"/>
        <w:rPr>
          <w:sz w:val="20"/>
          <w:szCs w:val="20"/>
          <w:color w:val="auto"/>
        </w:rPr>
      </w:pPr>
      <w:r>
        <w:rPr>
          <w:rFonts w:ascii="Arial" w:cs="Arial" w:eastAsia="Arial" w:hAnsi="Arial"/>
          <w:sz w:val="17"/>
          <w:szCs w:val="17"/>
          <w:color w:val="auto"/>
        </w:rPr>
        <w:t>The cement product line of the Building Materials business produces Portland and specialty cements. Cement is the basic binding agent for concrete, a primary construction material. The principal raw material used in the production of cement is calcium carbonate in the form of limestone. The Company owns more than 600 million tons of limestone reserves adjacent to its two cement production plants in Texas. Similar to aggregates, cement is used in infrastructure projects, nonresidential and residential construction, and the railroad, agricultural, utility and environmental industries. Consequently, the cement industry is cyclical and dependent on the strength of the construction sector.</w:t>
      </w:r>
    </w:p>
    <w:p>
      <w:pPr>
        <w:spacing w:after="0" w:line="179" w:lineRule="exact"/>
        <w:rPr>
          <w:sz w:val="20"/>
          <w:szCs w:val="20"/>
          <w:color w:val="auto"/>
        </w:rPr>
      </w:pPr>
    </w:p>
    <w:p>
      <w:pPr>
        <w:ind w:right="180" w:firstLine="457"/>
        <w:spacing w:after="0" w:line="265" w:lineRule="auto"/>
        <w:rPr>
          <w:sz w:val="20"/>
          <w:szCs w:val="20"/>
          <w:color w:val="auto"/>
        </w:rPr>
      </w:pPr>
      <w:r>
        <w:rPr>
          <w:rFonts w:ascii="Arial" w:cs="Arial" w:eastAsia="Arial" w:hAnsi="Arial"/>
          <w:sz w:val="17"/>
          <w:szCs w:val="17"/>
          <w:color w:val="auto"/>
        </w:rPr>
        <w:t>The Company has a strategic cement position in Texas, with production facilities in Midlothian, Texas, south of Dallas-Fort Worth, and in Hunter, Texas, north of San Antonio. These plants have a combined annual capacity of 4.5 million tons, as well as a current permit that would allow the Company to expand production by up to 800,000 additional tons at the Midlothian plant. In addition to these production facilities, the Company also operates, directly or through third parties, five cement distribution terminals in Texas.</w:t>
      </w:r>
    </w:p>
    <w:p>
      <w:pPr>
        <w:spacing w:after="0" w:line="175" w:lineRule="exact"/>
        <w:rPr>
          <w:sz w:val="20"/>
          <w:szCs w:val="20"/>
          <w:color w:val="auto"/>
        </w:rPr>
      </w:pPr>
    </w:p>
    <w:p>
      <w:pPr>
        <w:ind w:right="80" w:firstLine="457"/>
        <w:spacing w:after="0" w:line="265" w:lineRule="auto"/>
        <w:rPr>
          <w:sz w:val="20"/>
          <w:szCs w:val="20"/>
          <w:color w:val="auto"/>
        </w:rPr>
      </w:pPr>
      <w:r>
        <w:rPr>
          <w:rFonts w:ascii="Arial" w:cs="Arial" w:eastAsia="Arial" w:hAnsi="Arial"/>
          <w:sz w:val="17"/>
          <w:szCs w:val="17"/>
          <w:color w:val="auto"/>
        </w:rPr>
        <w:t>Cement consumption is dependent on the time of year and prevalent weather conditions. According to the Portland Cement Association, nearly two-thirds of U.S. cement consumption occurs in the six months between May and October. Approximately 70% of all cement shipments are sent to ready-mix concrete operators. The rest are shipped to manufacturers of concrete related products, contractors, materials dealers, oil well/mining/drilling companies, as well as government entities.</w:t>
      </w:r>
    </w:p>
    <w:p>
      <w:pPr>
        <w:spacing w:after="0" w:line="175" w:lineRule="exact"/>
        <w:rPr>
          <w:sz w:val="20"/>
          <w:szCs w:val="20"/>
          <w:color w:val="auto"/>
        </w:rPr>
      </w:pPr>
    </w:p>
    <w:p>
      <w:pPr>
        <w:ind w:right="120" w:firstLine="457"/>
        <w:spacing w:after="0" w:line="262" w:lineRule="auto"/>
        <w:rPr>
          <w:sz w:val="20"/>
          <w:szCs w:val="20"/>
          <w:color w:val="auto"/>
        </w:rPr>
      </w:pPr>
      <w:r>
        <w:rPr>
          <w:rFonts w:ascii="Arial" w:cs="Arial" w:eastAsia="Arial" w:hAnsi="Arial"/>
          <w:sz w:val="17"/>
          <w:szCs w:val="17"/>
          <w:color w:val="auto"/>
        </w:rPr>
        <w:t>Energy, including electricity and fossil fuels, accounted for approximately 22% of the cement production cost profile in 2017. Therefore, profitability of the cement product line is affected by changes in energy prices and the available supply of these products. The Company currently has fixed-price supply contracts for coal but also consumes natural gas, alternative fuel and petroleum coke. Further, profitability of the cement product line is also subject to kiln maintenance. This process typically requires a plant to be shut down for a period of time as repairs are made. In 2017 and 2016, the cement product line incurred ordinary kiln maintenance shutdown costs of $12.6 million and $20.9 million, respectively.</w:t>
      </w:r>
    </w:p>
    <w:p>
      <w:pPr>
        <w:spacing w:after="0" w:line="179" w:lineRule="exact"/>
        <w:rPr>
          <w:sz w:val="20"/>
          <w:szCs w:val="20"/>
          <w:color w:val="auto"/>
        </w:rPr>
      </w:pPr>
    </w:p>
    <w:p>
      <w:pPr>
        <w:ind w:firstLine="457"/>
        <w:spacing w:after="0" w:line="262" w:lineRule="auto"/>
        <w:rPr>
          <w:sz w:val="20"/>
          <w:szCs w:val="20"/>
          <w:color w:val="auto"/>
        </w:rPr>
      </w:pPr>
      <w:r>
        <w:rPr>
          <w:rFonts w:ascii="Arial" w:cs="Arial" w:eastAsia="Arial" w:hAnsi="Arial"/>
          <w:sz w:val="17"/>
          <w:szCs w:val="17"/>
          <w:color w:val="auto"/>
        </w:rPr>
        <w:t>The cement product line is benefitting from continued strength in the Texas markets, where current demand exceeds local supply, a trend that is expected to continue for the near future. The Company shipped a total of 3.5 million tons of cement in 2017, with 2.3 million tons shipped to external customers in five states and 1.2 million tons consumed by the Company internally in the Company’s ready mixed concrete product line. Cement shipments in the last two years were negatively affected by significant amounts of rain in Texas. For 2017, the cement product line generated total revenues and earnings from operations of $384 million and $123 million, respectively.</w:t>
      </w:r>
    </w:p>
    <w:p>
      <w:pPr>
        <w:spacing w:after="0" w:line="179" w:lineRule="exact"/>
        <w:rPr>
          <w:sz w:val="20"/>
          <w:szCs w:val="20"/>
          <w:color w:val="auto"/>
        </w:rPr>
      </w:pPr>
    </w:p>
    <w:p>
      <w:pPr>
        <w:ind w:firstLine="457"/>
        <w:spacing w:after="0" w:line="285" w:lineRule="auto"/>
        <w:rPr>
          <w:sz w:val="20"/>
          <w:szCs w:val="20"/>
          <w:color w:val="auto"/>
        </w:rPr>
      </w:pPr>
      <w:r>
        <w:rPr>
          <w:rFonts w:ascii="Arial" w:cs="Arial" w:eastAsia="Arial" w:hAnsi="Arial"/>
          <w:sz w:val="17"/>
          <w:szCs w:val="17"/>
          <w:color w:val="auto"/>
        </w:rPr>
        <w:t>The limestone reserves used as a raw material for cement are located on property, owned by the Company, adjacent to each of the cement plants. Management believes that its reserves of limestone are sufficient to permit production at the current operational levels for the foreseeable future.</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00"/>
          </w:cols>
          <w:pgMar w:left="240" w:top="446" w:right="259" w:bottom="1440" w:gutter="0" w:footer="0" w:header="0"/>
        </w:sectPr>
      </w:pPr>
    </w:p>
    <w:bookmarkStart w:id="14" w:name="page15"/>
    <w:bookmarkEnd w:id="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ind w:right="140" w:firstLine="457"/>
        <w:spacing w:after="0" w:line="285" w:lineRule="auto"/>
        <w:rPr>
          <w:sz w:val="20"/>
          <w:szCs w:val="20"/>
          <w:color w:val="auto"/>
        </w:rPr>
      </w:pPr>
      <w:r>
        <w:rPr>
          <w:rFonts w:ascii="Arial" w:cs="Arial" w:eastAsia="Arial" w:hAnsi="Arial"/>
          <w:sz w:val="17"/>
          <w:szCs w:val="17"/>
          <w:color w:val="auto"/>
        </w:rPr>
        <w:t>The cement product line generally delivers its products upon receipt of orders or requests from customers. Inventory for products is generally maintained in sufficient quantities to meet rapid delivery requirements of customers</w:t>
      </w:r>
      <w:r>
        <w:rPr>
          <w:rFonts w:ascii="Arial" w:cs="Arial" w:eastAsia="Arial" w:hAnsi="Arial"/>
          <w:sz w:val="17"/>
          <w:szCs w:val="17"/>
          <w:b w:val="1"/>
          <w:bCs w:val="1"/>
          <w:color w:val="auto"/>
        </w:rPr>
        <w:t>.</w:t>
      </w:r>
    </w:p>
    <w:p>
      <w:pPr>
        <w:spacing w:after="0" w:line="159" w:lineRule="exact"/>
        <w:rPr>
          <w:sz w:val="20"/>
          <w:szCs w:val="20"/>
          <w:color w:val="auto"/>
        </w:rPr>
      </w:pPr>
    </w:p>
    <w:p>
      <w:pPr>
        <w:ind w:right="80" w:firstLine="457"/>
        <w:spacing w:after="0" w:line="285" w:lineRule="auto"/>
        <w:rPr>
          <w:sz w:val="20"/>
          <w:szCs w:val="20"/>
          <w:color w:val="auto"/>
        </w:rPr>
      </w:pPr>
      <w:r>
        <w:rPr>
          <w:rFonts w:ascii="Arial" w:cs="Arial" w:eastAsia="Arial" w:hAnsi="Arial"/>
          <w:sz w:val="17"/>
          <w:szCs w:val="17"/>
          <w:color w:val="auto"/>
        </w:rPr>
        <w:t>From time to time a small percentage of the Company’s cement sales may be to customers located outside the United States. The Company, however, had no such sales during the last three years.</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Magnesia Specialties Business</w:t>
      </w:r>
    </w:p>
    <w:p>
      <w:pPr>
        <w:spacing w:after="0" w:line="116" w:lineRule="exact"/>
        <w:rPr>
          <w:sz w:val="20"/>
          <w:szCs w:val="20"/>
          <w:color w:val="auto"/>
        </w:rPr>
      </w:pPr>
    </w:p>
    <w:p>
      <w:pPr>
        <w:ind w:right="120" w:firstLine="457"/>
        <w:spacing w:after="0" w:line="282" w:lineRule="auto"/>
        <w:rPr>
          <w:sz w:val="20"/>
          <w:szCs w:val="20"/>
          <w:color w:val="auto"/>
        </w:rPr>
      </w:pPr>
      <w:r>
        <w:rPr>
          <w:rFonts w:ascii="Arial" w:cs="Arial" w:eastAsia="Arial" w:hAnsi="Arial"/>
          <w:sz w:val="16"/>
          <w:szCs w:val="16"/>
          <w:color w:val="auto"/>
        </w:rPr>
        <w:t>The Magnesia Specialties business produces and sells dolomitic lime from its Woodville, Ohio facility. Additionally, at its Manistee, Michigan facility, Magnesia Specialties manufactures magnesia-based chemical products for industrial, agricultural and environmental applications. These chemical products have varying uses, including flame retardants, wastewater treatment, pulp and paper production and other environmental applications. In 2017, 71% of Magnesia Specialties’ total revenues were attributable to chemical products, 28% to lime, and 1% to stone sold as construction materials. For 2017, the Magnesia Specialties business generated record total revenues and earnings from operations of $270 million and $79 million, respectively.</w:t>
      </w:r>
    </w:p>
    <w:p>
      <w:pPr>
        <w:spacing w:after="0" w:line="165" w:lineRule="exact"/>
        <w:rPr>
          <w:sz w:val="20"/>
          <w:szCs w:val="20"/>
          <w:color w:val="auto"/>
        </w:rPr>
      </w:pPr>
    </w:p>
    <w:p>
      <w:pPr>
        <w:ind w:right="20" w:firstLine="457"/>
        <w:spacing w:after="0" w:line="278" w:lineRule="auto"/>
        <w:rPr>
          <w:sz w:val="20"/>
          <w:szCs w:val="20"/>
          <w:color w:val="auto"/>
        </w:rPr>
      </w:pPr>
      <w:r>
        <w:rPr>
          <w:rFonts w:ascii="Arial" w:cs="Arial" w:eastAsia="Arial" w:hAnsi="Arial"/>
          <w:sz w:val="16"/>
          <w:szCs w:val="16"/>
          <w:color w:val="auto"/>
        </w:rPr>
        <w:t>In 2017, 82% of the lime produced was sold to third-party customers, while the remaining 18% was used internally as a raw material in making the business’ chemical products. Dolomitic lime products sold to external customers are used primarily by the steel industry. Products used in the steel industry, either directly as dolomitic lime or indirectly as a component of other industrial products, accounted for 37% of the Magnesia Specialties’ total revenues in 2017, attributable primarily to the sale of dolomitic lime products. Accordingly, a portion of the revenues and profitability of the Magnesia Specialties business is affected by production and inventory trends in the steel industry. These trends are guided by the rate of consumer consumption, the flow of offshore imports, and other economic factors. The dolomitic lime business runs most profitably at 70% or greater steel capacity utilization; domestic capacity utilization averaged 74% in 2017, according to the American Iron and Steel Institute. Average steel production in 2017 increased 4.3% versus 2016.</w:t>
      </w:r>
    </w:p>
    <w:p>
      <w:pPr>
        <w:spacing w:after="0" w:line="169" w:lineRule="exact"/>
        <w:rPr>
          <w:sz w:val="20"/>
          <w:szCs w:val="20"/>
          <w:color w:val="auto"/>
        </w:rPr>
      </w:pPr>
    </w:p>
    <w:p>
      <w:pPr>
        <w:ind w:firstLine="457"/>
        <w:spacing w:after="0" w:line="262" w:lineRule="auto"/>
        <w:rPr>
          <w:sz w:val="20"/>
          <w:szCs w:val="20"/>
          <w:color w:val="auto"/>
        </w:rPr>
      </w:pPr>
      <w:r>
        <w:rPr>
          <w:rFonts w:ascii="Arial" w:cs="Arial" w:eastAsia="Arial" w:hAnsi="Arial"/>
          <w:sz w:val="17"/>
          <w:szCs w:val="17"/>
          <w:color w:val="auto"/>
        </w:rPr>
        <w:t>In the Magnesia Specialties business, a significant portion of costs related to the production of dolomitic lime and magnesia chemical products is of a fixed or semi-fixed nature. The production process requires the use of natural gas, coal and petroleum coke. Therefore, fluctuations in their pricing directly affect operating results. To help mitigate this risk, the Magnesia Specialties business has fixed price agreements for 100% of its 2018 coal needs, approximately 33% of its 2018 natural gas needs and 100% of its 2018 petroleum coke needs. For 2017, the Company’s average cost per MCF (thousand cubic feet) for natural gas increased 33% over 2016.</w:t>
      </w:r>
    </w:p>
    <w:p>
      <w:pPr>
        <w:spacing w:after="0" w:line="179" w:lineRule="exact"/>
        <w:rPr>
          <w:sz w:val="20"/>
          <w:szCs w:val="20"/>
          <w:color w:val="auto"/>
        </w:rPr>
      </w:pPr>
    </w:p>
    <w:p>
      <w:pPr>
        <w:ind w:right="260" w:firstLine="457"/>
        <w:spacing w:after="0" w:line="265" w:lineRule="auto"/>
        <w:rPr>
          <w:sz w:val="20"/>
          <w:szCs w:val="20"/>
          <w:color w:val="auto"/>
        </w:rPr>
      </w:pPr>
      <w:r>
        <w:rPr>
          <w:rFonts w:ascii="Arial" w:cs="Arial" w:eastAsia="Arial" w:hAnsi="Arial"/>
          <w:sz w:val="17"/>
          <w:szCs w:val="17"/>
          <w:color w:val="auto"/>
        </w:rPr>
        <w:t>Given high fixed costs, low capacity utilization can negatively affect the segment’s results from operations. Management expects future organic growth to result from increased pricing, rationalization of the current product portfolio and/or further cost reductions. Management has shifted the strategic focus of the magnesia-based business to specialty chemicals that can be produced at volume levels that support efficient operations. Accordingly, that product line is not as dependent on the steel industry as the dolomitic lime product line.</w:t>
      </w:r>
    </w:p>
    <w:p>
      <w:pPr>
        <w:spacing w:after="0" w:line="175" w:lineRule="exact"/>
        <w:rPr>
          <w:sz w:val="20"/>
          <w:szCs w:val="20"/>
          <w:color w:val="auto"/>
        </w:rPr>
      </w:pPr>
    </w:p>
    <w:p>
      <w:pPr>
        <w:ind w:right="60" w:firstLine="457"/>
        <w:spacing w:after="0" w:line="285" w:lineRule="auto"/>
        <w:rPr>
          <w:sz w:val="20"/>
          <w:szCs w:val="20"/>
          <w:color w:val="auto"/>
        </w:rPr>
      </w:pPr>
      <w:r>
        <w:rPr>
          <w:rFonts w:ascii="Arial" w:cs="Arial" w:eastAsia="Arial" w:hAnsi="Arial"/>
          <w:sz w:val="17"/>
          <w:szCs w:val="17"/>
          <w:color w:val="auto"/>
        </w:rPr>
        <w:t>The principal raw materials used in the Magnesia Specialties business are dolomitic limestone and alkali-rich brine. Management believes that its reserves of dolomitic limestone and brine are sufficient to permit production at the current operational levels for the foreseeable future.</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380"/>
          </w:cols>
          <w:pgMar w:left="240" w:top="446" w:right="279" w:bottom="1440" w:gutter="0" w:footer="0" w:header="0"/>
        </w:sectPr>
      </w:pPr>
    </w:p>
    <w:bookmarkStart w:id="15" w:name="page16"/>
    <w:bookmarkEnd w:id="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ind w:firstLine="457"/>
        <w:spacing w:after="0" w:line="298" w:lineRule="auto"/>
        <w:rPr>
          <w:sz w:val="20"/>
          <w:szCs w:val="20"/>
          <w:color w:val="auto"/>
        </w:rPr>
      </w:pPr>
      <w:r>
        <w:rPr>
          <w:rFonts w:ascii="Arial" w:cs="Arial" w:eastAsia="Arial" w:hAnsi="Arial"/>
          <w:sz w:val="15"/>
          <w:szCs w:val="15"/>
          <w:color w:val="auto"/>
        </w:rPr>
        <w:t>After the brine is used in the production process, the Magnesia Specialties business must dispose of the processed brine. In the past, the business did this by reinjecting the processed brine back into its underground brine reserve network around its facility in Manistee, Michigan. The business has also sold a portion of this processed brine to third parties. In 2003, Magnesia Specialties entered into a long-term processed brine supply agreement with The Dow Chemical Company (“Dow”) pursuant to which Dow purchases processed brine from Magnesia Specialties, at market rates, for use in Dow’s production of calcium chloride products. Magnesia Specialties also entered into a venture with Dow to construct, own and operate a processed brine supply pipeline between the Magnesia Specialties facility in Manistee, Michigan, and Dow’s facility in Ludington, Michigan. Construction of the pipeline was completed in 2003, and Dow began purchasing processed brine from Magnesia Specialties through the pipeline. In 2010, Dow sold the assets of Dow’s facility in Ludington, Michigan to Occidental Chemical Corporation (“Occidental”) and assigned to Occidental its interests in the long-term processed brine supply agreement and the pipeline venture with Magnesia Specialties.</w:t>
      </w:r>
    </w:p>
    <w:p>
      <w:pPr>
        <w:spacing w:after="0" w:line="155" w:lineRule="exact"/>
        <w:rPr>
          <w:sz w:val="20"/>
          <w:szCs w:val="20"/>
          <w:color w:val="auto"/>
        </w:rPr>
      </w:pPr>
    </w:p>
    <w:p>
      <w:pPr>
        <w:ind w:right="160" w:firstLine="457"/>
        <w:spacing w:after="0" w:line="270" w:lineRule="auto"/>
        <w:rPr>
          <w:sz w:val="20"/>
          <w:szCs w:val="20"/>
          <w:color w:val="auto"/>
        </w:rPr>
      </w:pPr>
      <w:r>
        <w:rPr>
          <w:rFonts w:ascii="Arial" w:cs="Arial" w:eastAsia="Arial" w:hAnsi="Arial"/>
          <w:sz w:val="17"/>
          <w:szCs w:val="17"/>
          <w:color w:val="auto"/>
        </w:rPr>
        <w:t>Magnesia Specialties generally delivers its products upon receipt of orders or requests from customers. Inventory for products is generally maintained in sufficient quantities to meet rapid delivery requirements of customers. A significant portion of the 275,000 ton dolomitic lime capacity from a lime kiln completed in 2012 at Woodville, Ohio is committed under a long-term supply contract.</w:t>
      </w:r>
    </w:p>
    <w:p>
      <w:pPr>
        <w:spacing w:after="0" w:line="171" w:lineRule="exact"/>
        <w:rPr>
          <w:sz w:val="20"/>
          <w:szCs w:val="20"/>
          <w:color w:val="auto"/>
        </w:rPr>
      </w:pPr>
    </w:p>
    <w:p>
      <w:pPr>
        <w:ind w:right="240" w:firstLine="457"/>
        <w:spacing w:after="0" w:line="270" w:lineRule="auto"/>
        <w:rPr>
          <w:sz w:val="20"/>
          <w:szCs w:val="20"/>
          <w:color w:val="auto"/>
        </w:rPr>
      </w:pPr>
      <w:r>
        <w:rPr>
          <w:rFonts w:ascii="Arial" w:cs="Arial" w:eastAsia="Arial" w:hAnsi="Arial"/>
          <w:sz w:val="17"/>
          <w:szCs w:val="17"/>
          <w:color w:val="auto"/>
        </w:rPr>
        <w:t>The Magnesia Specialties business is highly dependent on rail transportation, particularly for movement of dolomitic lime from Woodville to Manistee and direct customer shipments of dolomitic lime and magnesia chemicals products from both Woodville and Manistee. The segment can be affected by the specific transportation and other risks and uncertainties outlined under Item IA., Risk Factors, of this Form 10-K.</w:t>
      </w:r>
    </w:p>
    <w:p>
      <w:pPr>
        <w:spacing w:after="0" w:line="171" w:lineRule="exact"/>
        <w:rPr>
          <w:sz w:val="20"/>
          <w:szCs w:val="20"/>
          <w:color w:val="auto"/>
        </w:rPr>
      </w:pPr>
    </w:p>
    <w:p>
      <w:pPr>
        <w:ind w:right="240" w:firstLine="457"/>
        <w:spacing w:after="0" w:line="302" w:lineRule="auto"/>
        <w:rPr>
          <w:sz w:val="20"/>
          <w:szCs w:val="20"/>
          <w:color w:val="auto"/>
        </w:rPr>
      </w:pPr>
      <w:r>
        <w:rPr>
          <w:rFonts w:ascii="Arial" w:cs="Arial" w:eastAsia="Arial" w:hAnsi="Arial"/>
          <w:sz w:val="15"/>
          <w:szCs w:val="15"/>
          <w:color w:val="auto"/>
        </w:rPr>
        <w:t>The revenues of the Magnesia Specialties business in 2017 were predominantly from North America, but a small amount was derived from overseas. No single foreign country accounted for 10% or more of the total revenues of the Company. Total revenues from customers in foreign countries were $53.5 million, $44.9 million, and $32.7 million, in 2017, 2016, and 2015, respectively. As a result of these foreign market sales, the financial results of the Magnesia Specialties business could be affected by foreign currency exchange rates or weak economic conditions in the foreign markets. To mitigate the short-term effects of currency exchange rates, the Magnesia Specialties business’ sales are predominately denominated in the United States dollar. However, the current strength of the United States dollar in foreign markets is negatively affecting the overall price of Magnesia Specialties’ products when compared with foreign-domiciled competitors.</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Patents and Trademarks</w:t>
      </w:r>
    </w:p>
    <w:p>
      <w:pPr>
        <w:spacing w:after="0" w:line="116" w:lineRule="exact"/>
        <w:rPr>
          <w:sz w:val="20"/>
          <w:szCs w:val="20"/>
          <w:color w:val="auto"/>
        </w:rPr>
      </w:pPr>
    </w:p>
    <w:p>
      <w:pPr>
        <w:ind w:right="20" w:firstLine="457"/>
        <w:spacing w:after="0" w:line="265" w:lineRule="auto"/>
        <w:rPr>
          <w:sz w:val="20"/>
          <w:szCs w:val="20"/>
          <w:color w:val="auto"/>
        </w:rPr>
      </w:pPr>
      <w:r>
        <w:rPr>
          <w:rFonts w:ascii="Arial" w:cs="Arial" w:eastAsia="Arial" w:hAnsi="Arial"/>
          <w:sz w:val="17"/>
          <w:szCs w:val="17"/>
          <w:color w:val="auto"/>
        </w:rPr>
        <w:t>As of February 9, 2018, the Company owns, has the right to use, or has pending applications for approximately 22 patents pending or granted by the United States and various countries and approximately 98 trademarks related to business. The Company believes that its rights under its existing patents, patent applications and trademarks are of value to its operations, but no one patent or trademark or group of patents or trademarks is material to the conduct of the Company’s business as a whole.</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Customers</w:t>
      </w:r>
    </w:p>
    <w:p>
      <w:pPr>
        <w:spacing w:after="0" w:line="116" w:lineRule="exact"/>
        <w:rPr>
          <w:sz w:val="20"/>
          <w:szCs w:val="20"/>
          <w:color w:val="auto"/>
        </w:rPr>
      </w:pPr>
    </w:p>
    <w:p>
      <w:pPr>
        <w:ind w:right="160" w:firstLine="457"/>
        <w:spacing w:after="0" w:line="265" w:lineRule="auto"/>
        <w:rPr>
          <w:sz w:val="20"/>
          <w:szCs w:val="20"/>
          <w:color w:val="auto"/>
        </w:rPr>
      </w:pPr>
      <w:r>
        <w:rPr>
          <w:rFonts w:ascii="Arial" w:cs="Arial" w:eastAsia="Arial" w:hAnsi="Arial"/>
          <w:sz w:val="17"/>
          <w:szCs w:val="17"/>
          <w:color w:val="auto"/>
        </w:rPr>
        <w:t>No material part of the business of any segment of the Company is dependent upon a single customer or upon a few customers, the loss of any one of which would have a material adverse effect on the segment. The Company’s products are sold principally to commercial customers in private industry. Although large amounts of construction materials are used in public works projects, relatively insignificant sales are made directly to federal, state, county, or municipal governments, or agencies thereof.</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20"/>
          </w:cols>
          <w:pgMar w:left="240" w:top="446" w:right="239" w:bottom="1440" w:gutter="0" w:footer="0" w:header="0"/>
        </w:sectPr>
      </w:pPr>
    </w:p>
    <w:bookmarkStart w:id="16" w:name="page17"/>
    <w:bookmarkEnd w:id="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Competition</w:t>
      </w:r>
    </w:p>
    <w:p>
      <w:pPr>
        <w:spacing w:after="0" w:line="116" w:lineRule="exact"/>
        <w:rPr>
          <w:sz w:val="20"/>
          <w:szCs w:val="20"/>
          <w:color w:val="auto"/>
        </w:rPr>
      </w:pPr>
    </w:p>
    <w:p>
      <w:pPr>
        <w:ind w:right="120" w:firstLine="457"/>
        <w:spacing w:after="0" w:line="265" w:lineRule="auto"/>
        <w:rPr>
          <w:sz w:val="20"/>
          <w:szCs w:val="20"/>
          <w:color w:val="auto"/>
        </w:rPr>
      </w:pPr>
      <w:r>
        <w:rPr>
          <w:rFonts w:ascii="Arial" w:cs="Arial" w:eastAsia="Arial" w:hAnsi="Arial"/>
          <w:sz w:val="17"/>
          <w:szCs w:val="17"/>
          <w:color w:val="auto"/>
        </w:rPr>
        <w:t>Because of the impact of transportation costs on the aggregates industry, competition in the aggregates product line tends to be limited to producers in proximity to each of the Company’s facilities. Although all of the Company’s locations experience competition, the Company believes that it is generally a leading producer in the areas it serves. Competition is based primarily on quarry or distribution location and price, but quality of aggregates and level of customer service are also factors.</w:t>
      </w:r>
    </w:p>
    <w:p>
      <w:pPr>
        <w:spacing w:after="0" w:line="175" w:lineRule="exact"/>
        <w:rPr>
          <w:sz w:val="20"/>
          <w:szCs w:val="20"/>
          <w:color w:val="auto"/>
        </w:rPr>
      </w:pPr>
    </w:p>
    <w:p>
      <w:pPr>
        <w:ind w:right="40" w:firstLine="457"/>
        <w:spacing w:after="0" w:line="299" w:lineRule="auto"/>
        <w:rPr>
          <w:sz w:val="20"/>
          <w:szCs w:val="20"/>
          <w:color w:val="auto"/>
        </w:rPr>
      </w:pPr>
      <w:r>
        <w:rPr>
          <w:rFonts w:ascii="Arial" w:cs="Arial" w:eastAsia="Arial" w:hAnsi="Arial"/>
          <w:sz w:val="15"/>
          <w:szCs w:val="15"/>
          <w:color w:val="auto"/>
        </w:rPr>
        <w:t>There are over 5,500 companies in the United States that produce construction aggregates. These include active crushed stone companies and active sand and gravel companies. The largest ten producers account for approximately 35% of the total market. The Company’s ready mixed concrete and asphalt and paving operations are also in markets with numerous operators. A national trade association estimates there are about 5,500 ready mixed concrete plants in the United States owned by over 2,200 companies, with approximately 55,000 mixer trucks delivering ready mixed concrete. Similarly, a national trade association estimates there are approximately 3,700 asphalt plants in the United States owned by over 800 companies. The Company, with its Building Materials business, including its ready mixed concrete and asphalt and paving operations, competes with a number of other large and small producers. The Company believes that its ability to transport materials by ocean vessels and rail have enhanced the Company’s ability to compete in the building materials industry.</w:t>
      </w:r>
    </w:p>
    <w:p>
      <w:pPr>
        <w:spacing w:after="0" w:line="157" w:lineRule="exact"/>
        <w:rPr>
          <w:sz w:val="20"/>
          <w:szCs w:val="20"/>
          <w:color w:val="auto"/>
        </w:rPr>
      </w:pPr>
    </w:p>
    <w:p>
      <w:pPr>
        <w:ind w:right="40" w:firstLine="457"/>
        <w:spacing w:after="0" w:line="270" w:lineRule="auto"/>
        <w:rPr>
          <w:sz w:val="20"/>
          <w:szCs w:val="20"/>
          <w:color w:val="auto"/>
        </w:rPr>
      </w:pPr>
      <w:r>
        <w:rPr>
          <w:rFonts w:ascii="Arial" w:cs="Arial" w:eastAsia="Arial" w:hAnsi="Arial"/>
          <w:sz w:val="17"/>
          <w:szCs w:val="17"/>
          <w:color w:val="auto"/>
        </w:rPr>
        <w:t>The Company’s Magnesia Specialties business competes with various companies in different geographic and product areas principally on the basis of quality, price, technological advances, and technical support for its products. While the revenues of the Magnesia Specialties business in 2017 were predominantly from North America, a small amount was derived from customers located outside the United States.</w:t>
      </w:r>
    </w:p>
    <w:p>
      <w:pPr>
        <w:spacing w:after="0" w:line="171" w:lineRule="exact"/>
        <w:rPr>
          <w:sz w:val="20"/>
          <w:szCs w:val="20"/>
          <w:color w:val="auto"/>
        </w:rPr>
      </w:pPr>
    </w:p>
    <w:p>
      <w:pPr>
        <w:ind w:right="20" w:firstLine="457"/>
        <w:spacing w:after="0" w:line="280" w:lineRule="auto"/>
        <w:rPr>
          <w:sz w:val="20"/>
          <w:szCs w:val="20"/>
          <w:color w:val="auto"/>
        </w:rPr>
      </w:pPr>
      <w:r>
        <w:rPr>
          <w:rFonts w:ascii="Arial" w:cs="Arial" w:eastAsia="Arial" w:hAnsi="Arial"/>
          <w:sz w:val="16"/>
          <w:szCs w:val="16"/>
          <w:color w:val="auto"/>
        </w:rPr>
        <w:t>According to the Portland Cement Association, United States cement production is widely dispersed with the operation of 107 cement plants in 36 states. The top five companies collectively operate 49.6% of U.S. clinker capacity with the largest company representing 14.2% of all domestic clinker capacity. An estimated 76.7% of U.S. clinker capacity is owned by companies headquartered outside of the United States. In reviewing these figures for cement plants, capacity is often stated in terms of “clinker” capacity. “Clinker” is the initial product of cement production. Cement producers mine materials such as limestone, shale, or other materials, crush and screen the materials, and place them in a cement kiln. After being heated to extremely high temperatures, these materials form marble-sized balls or pellets called “clinker” that are then very finely ground to produce Portland cement.</w:t>
      </w:r>
    </w:p>
    <w:p>
      <w:pPr>
        <w:spacing w:after="0" w:line="166" w:lineRule="exact"/>
        <w:rPr>
          <w:sz w:val="20"/>
          <w:szCs w:val="20"/>
          <w:color w:val="auto"/>
        </w:rPr>
      </w:pPr>
    </w:p>
    <w:p>
      <w:pPr>
        <w:ind w:right="40" w:firstLine="457"/>
        <w:spacing w:after="0" w:line="265" w:lineRule="auto"/>
        <w:rPr>
          <w:sz w:val="20"/>
          <w:szCs w:val="20"/>
          <w:color w:val="auto"/>
        </w:rPr>
      </w:pPr>
      <w:r>
        <w:rPr>
          <w:rFonts w:ascii="Arial" w:cs="Arial" w:eastAsia="Arial" w:hAnsi="Arial"/>
          <w:sz w:val="17"/>
          <w:szCs w:val="17"/>
          <w:color w:val="auto"/>
        </w:rPr>
        <w:t>The Company’s cement product line competes with various companies in different geographic and product areas principally on the basis of proximity, quality and price for its products, but level of customer service is also a factor. The cement product line also competes with imported cement because of the higher value of the product and the existence of major ports in some of our markets. Certain of the Company’s competitors in the cement product line have greater financial resources than the Company.</w:t>
      </w:r>
    </w:p>
    <w:p>
      <w:pPr>
        <w:spacing w:after="0" w:line="175" w:lineRule="exact"/>
        <w:rPr>
          <w:sz w:val="20"/>
          <w:szCs w:val="20"/>
          <w:color w:val="auto"/>
        </w:rPr>
      </w:pPr>
    </w:p>
    <w:p>
      <w:pPr>
        <w:ind w:firstLine="457"/>
        <w:spacing w:after="0" w:line="311" w:lineRule="auto"/>
        <w:rPr>
          <w:sz w:val="20"/>
          <w:szCs w:val="20"/>
          <w:color w:val="auto"/>
        </w:rPr>
      </w:pPr>
      <w:r>
        <w:rPr>
          <w:rFonts w:ascii="Arial" w:cs="Arial" w:eastAsia="Arial" w:hAnsi="Arial"/>
          <w:sz w:val="15"/>
          <w:szCs w:val="15"/>
          <w:color w:val="auto"/>
        </w:rPr>
        <w:t>The nature of the Company’s competition varies among its product lines due to the widely differing amounts of capital necessary to build production facilities. Crushed stone production from stone quarries or mines, or sand and gravel production by dredging, is moderately capital intensive. The Company’s major competitors in the aggregates markets are typically large, vertically-integrated companies, with international operations. Ready mixed concrete production requires relatively small amounts of capital to build a concrete batching plant and acquire delivery trucks. Accordingly, economics can lead to lower barriers to entry in some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00"/>
          </w:cols>
          <w:pgMar w:left="240" w:top="446" w:right="259" w:bottom="1440" w:gutter="0" w:footer="0" w:header="0"/>
        </w:sectPr>
      </w:pPr>
    </w:p>
    <w:bookmarkStart w:id="17" w:name="page18"/>
    <w:bookmarkEnd w:id="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markets. As a result, depending on the local market, the Company may face competition from small producers as well as large, vertically-integrated companies with facilities in many markets. Construction of cement production facilities is highly capital intensive and requires long lead times to complete engineering design, obtain regulatory permits, acquire equipment and construct a plant. Most domestic producers of cement are owned by large foreign companies operating in multiple international markets. Many of these producers maintain the capability to import cement from foreign production facilities.</w:t>
      </w: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w:t>
      </w:r>
    </w:p>
    <w:p>
      <w:pPr>
        <w:spacing w:after="0" w:line="116" w:lineRule="exact"/>
        <w:rPr>
          <w:sz w:val="20"/>
          <w:szCs w:val="20"/>
          <w:color w:val="auto"/>
        </w:rPr>
      </w:pPr>
    </w:p>
    <w:p>
      <w:pPr>
        <w:ind w:firstLine="457"/>
        <w:spacing w:after="0" w:line="270" w:lineRule="auto"/>
        <w:rPr>
          <w:sz w:val="20"/>
          <w:szCs w:val="20"/>
          <w:color w:val="auto"/>
        </w:rPr>
      </w:pPr>
      <w:r>
        <w:rPr>
          <w:rFonts w:ascii="Arial" w:cs="Arial" w:eastAsia="Arial" w:hAnsi="Arial"/>
          <w:sz w:val="17"/>
          <w:szCs w:val="17"/>
          <w:color w:val="auto"/>
        </w:rPr>
        <w:t>The Company conducts research and development activities, principally for its magnesia-based chemicals business, at its plant in Manistee, Michigan. In general, the Company’s research and development efforts are directed to applied technological development for the use of its chemicals products. The amounts spent by the Company in each of the last two years on research and development activities were not material.</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Environmental and Governmental Regulations</w:t>
      </w:r>
    </w:p>
    <w:p>
      <w:pPr>
        <w:spacing w:after="0" w:line="116" w:lineRule="exact"/>
        <w:rPr>
          <w:sz w:val="20"/>
          <w:szCs w:val="20"/>
          <w:color w:val="auto"/>
        </w:rPr>
      </w:pPr>
    </w:p>
    <w:p>
      <w:pPr>
        <w:ind w:right="20" w:firstLine="457"/>
        <w:spacing w:after="0" w:line="265" w:lineRule="auto"/>
        <w:rPr>
          <w:sz w:val="20"/>
          <w:szCs w:val="20"/>
          <w:color w:val="auto"/>
        </w:rPr>
      </w:pPr>
      <w:r>
        <w:rPr>
          <w:rFonts w:ascii="Arial" w:cs="Arial" w:eastAsia="Arial" w:hAnsi="Arial"/>
          <w:sz w:val="17"/>
          <w:szCs w:val="17"/>
          <w:color w:val="auto"/>
        </w:rPr>
        <w:t>The Company’s operations are subject to and affected by federal, state, and local laws and regulations relating to the environment, health and safety, and other regulatory matters. Certain of the Company’s operations may from time to time involve the use of substances that are classified as toxic or hazardous substances within the meaning of these laws and regulations. Environmental operating permits are, or may be, required for certain of the Company’s operations, and such permits are subject to modification, renewal and revocation.</w:t>
      </w:r>
    </w:p>
    <w:p>
      <w:pPr>
        <w:spacing w:after="0" w:line="175" w:lineRule="exact"/>
        <w:rPr>
          <w:sz w:val="20"/>
          <w:szCs w:val="20"/>
          <w:color w:val="auto"/>
        </w:rPr>
      </w:pPr>
    </w:p>
    <w:p>
      <w:pPr>
        <w:ind w:right="140" w:firstLine="457"/>
        <w:spacing w:after="0" w:line="270" w:lineRule="auto"/>
        <w:rPr>
          <w:sz w:val="20"/>
          <w:szCs w:val="20"/>
          <w:color w:val="auto"/>
        </w:rPr>
      </w:pPr>
      <w:r>
        <w:rPr>
          <w:rFonts w:ascii="Arial" w:cs="Arial" w:eastAsia="Arial" w:hAnsi="Arial"/>
          <w:sz w:val="17"/>
          <w:szCs w:val="17"/>
          <w:color w:val="auto"/>
        </w:rPr>
        <w:t>The Company records an accrual for environmental remediation liabilities in the period in which it is probable that a liability has been incurred and the amounts can be reasonably estimated. Such accruals are adjusted as further information develops or circumstances change. The accruals are not discounted to their present value or offset for potential insurance or other claims or potential gains from future alternative uses for a site.</w:t>
      </w:r>
    </w:p>
    <w:p>
      <w:pPr>
        <w:spacing w:after="0" w:line="171" w:lineRule="exact"/>
        <w:rPr>
          <w:sz w:val="20"/>
          <w:szCs w:val="20"/>
          <w:color w:val="auto"/>
        </w:rPr>
      </w:pPr>
    </w:p>
    <w:p>
      <w:pPr>
        <w:ind w:right="60" w:firstLine="457"/>
        <w:spacing w:after="0" w:line="276" w:lineRule="auto"/>
        <w:rPr>
          <w:sz w:val="20"/>
          <w:szCs w:val="20"/>
          <w:color w:val="auto"/>
        </w:rPr>
      </w:pPr>
      <w:r>
        <w:rPr>
          <w:rFonts w:ascii="Arial" w:cs="Arial" w:eastAsia="Arial" w:hAnsi="Arial"/>
          <w:sz w:val="16"/>
          <w:szCs w:val="16"/>
          <w:color w:val="auto"/>
        </w:rPr>
        <w:t>The Company regularly monitors and reviews its operations, procedures, and policies for compliance with existing laws and regulations, changes in interpretations of existing laws and enforcement policies, new laws that are adopted, and new laws that the Company anticipates will be adopted that could affect its operations. The Company has a full time staff of environmental engineers and managers that perform these responsibilities. The direct costs of ongoing environmental compliance were approximately $23.4 million in 2017 and approximately $21.5 million in 2016 and are related to the Company’s environmental staff, ongoing monitoring costs for various matters (including those matters disclosed in this Annual Report on Form 10-K), and asset retirement costs. Capitalized costs related to environmental control facilities were approximately $20 million in 2017 and are expected to be approximately $20 million in 2018 and 2019. The Company’s capital expenditures for environmental matters were not material to its results of operations or financial condition in 2017 and 2016. However, our expenditures for environmental matters generally have increased over time and are likely to increase in the future. Despite our compliance efforts, risk of environmental liability is inherent in the operation of the Company’s businesses, as it is with other companies engaged in similar businesses, and there can be no assurance that environmental liabilities will not have a material adverse effect on the Company in the future.</w:t>
      </w:r>
    </w:p>
    <w:p>
      <w:pPr>
        <w:spacing w:after="0" w:line="168" w:lineRule="exact"/>
        <w:rPr>
          <w:sz w:val="20"/>
          <w:szCs w:val="20"/>
          <w:color w:val="auto"/>
        </w:rPr>
      </w:pPr>
    </w:p>
    <w:p>
      <w:pPr>
        <w:ind w:right="120" w:firstLine="457"/>
        <w:spacing w:after="0" w:line="355" w:lineRule="auto"/>
        <w:rPr>
          <w:sz w:val="20"/>
          <w:szCs w:val="20"/>
          <w:color w:val="auto"/>
        </w:rPr>
      </w:pPr>
      <w:r>
        <w:rPr>
          <w:rFonts w:ascii="Arial" w:cs="Arial" w:eastAsia="Arial" w:hAnsi="Arial"/>
          <w:sz w:val="15"/>
          <w:szCs w:val="15"/>
          <w:color w:val="auto"/>
        </w:rPr>
        <w:t>Many of the requirements of the environmental laws are satisfied by procedures that the Company adopts as best business practices in the ordinary course of its operations. For example, plant equipment that is used to crush aggregates products may, as an ordinary course of operations, have an attached water spray bar</w:t>
      </w:r>
    </w:p>
    <w:p>
      <w:pPr>
        <w:spacing w:after="0" w:line="4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20"/>
          </w:cols>
          <w:pgMar w:left="240" w:top="446" w:right="239" w:bottom="1440" w:gutter="0" w:footer="0" w:header="0"/>
        </w:sectPr>
      </w:pPr>
    </w:p>
    <w:bookmarkStart w:id="18" w:name="page19"/>
    <w:bookmarkEnd w:id="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ind w:right="80"/>
        <w:spacing w:after="0" w:line="311" w:lineRule="auto"/>
        <w:rPr>
          <w:sz w:val="20"/>
          <w:szCs w:val="20"/>
          <w:color w:val="auto"/>
        </w:rPr>
      </w:pPr>
      <w:r>
        <w:rPr>
          <w:rFonts w:ascii="Arial" w:cs="Arial" w:eastAsia="Arial" w:hAnsi="Arial"/>
          <w:sz w:val="15"/>
          <w:szCs w:val="15"/>
          <w:color w:val="auto"/>
        </w:rPr>
        <w:t>that is used to clean the stone. The water spray bar also suffices as a dust control mechanism that complies with applicable environmental laws. The Company does not break out the portion of the cost, depreciation, and other financial information relating to the water spray bar that is only attributable to environmental purposes, as it would be derived from an arbitrary allocation methodology. The incremental portion of such operating costs that is attributable to environmental compliance rather than best operating practices is impractical to quantify. Accordingly, the Company expenses costs in that category when incurred as operating expenses.</w:t>
      </w:r>
    </w:p>
    <w:p>
      <w:pPr>
        <w:spacing w:after="0" w:line="144" w:lineRule="exact"/>
        <w:rPr>
          <w:sz w:val="20"/>
          <w:szCs w:val="20"/>
          <w:color w:val="auto"/>
        </w:rPr>
      </w:pPr>
    </w:p>
    <w:p>
      <w:pPr>
        <w:ind w:firstLine="457"/>
        <w:spacing w:after="0" w:line="259" w:lineRule="auto"/>
        <w:rPr>
          <w:sz w:val="20"/>
          <w:szCs w:val="20"/>
          <w:color w:val="auto"/>
        </w:rPr>
      </w:pPr>
      <w:r>
        <w:rPr>
          <w:rFonts w:ascii="Arial" w:cs="Arial" w:eastAsia="Arial" w:hAnsi="Arial"/>
          <w:sz w:val="17"/>
          <w:szCs w:val="17"/>
          <w:color w:val="auto"/>
        </w:rPr>
        <w:t>The environmental accruals recorded by the Company are based on internal studies of the required remediation costs and estimates of potential costs that arise from time to time under federal, state and/or local environmental protection laws. Many of these laws and the regulations promulgated under them are complex, and are subject to challenges and new interpretations by regulators and the courts from time to time. In addition, new laws are adopted from time to time. It is often difficult to accurately and fully quantify the costs to comply with new rules until it is determined the type of operations to which they will apply and the manner in which they will be implemented is more accurately defined. This process often takes years to finalize, and the rules often change significantly from the time they are proposed to the time they are final. The Company typically has several appropriate alternatives available to satisfy compliance requirements, which could range from nominal costs to some alternatives that may be satisfied in conjunction with equipment replacement or expansion that also benefits operating efficiencies or capacities and carry significantly higher costs.</w:t>
      </w:r>
    </w:p>
    <w:p>
      <w:pPr>
        <w:spacing w:after="0" w:line="181" w:lineRule="exact"/>
        <w:rPr>
          <w:sz w:val="20"/>
          <w:szCs w:val="20"/>
          <w:color w:val="auto"/>
        </w:rPr>
      </w:pPr>
    </w:p>
    <w:p>
      <w:pPr>
        <w:ind w:right="320" w:firstLine="457"/>
        <w:spacing w:after="0" w:line="294" w:lineRule="auto"/>
        <w:rPr>
          <w:sz w:val="20"/>
          <w:szCs w:val="20"/>
          <w:color w:val="auto"/>
        </w:rPr>
      </w:pPr>
      <w:r>
        <w:rPr>
          <w:rFonts w:ascii="Arial" w:cs="Arial" w:eastAsia="Arial" w:hAnsi="Arial"/>
          <w:sz w:val="16"/>
          <w:szCs w:val="16"/>
          <w:color w:val="auto"/>
        </w:rPr>
        <w:t>Management believes that its current accrual for environmental costs is reasonable, although those amounts may increase or decrease depending on the impact of applicable rules as they are finalized or amended from time to time and changes in facts and circumstances. The Company believes that any additional costs for ongoing environmental compliance would not have a material adverse effect on the Company’s obligations or financial condition.</w:t>
      </w:r>
    </w:p>
    <w:p>
      <w:pPr>
        <w:spacing w:after="0" w:line="154" w:lineRule="exact"/>
        <w:rPr>
          <w:sz w:val="20"/>
          <w:szCs w:val="20"/>
          <w:color w:val="auto"/>
        </w:rPr>
      </w:pPr>
    </w:p>
    <w:p>
      <w:pPr>
        <w:ind w:right="20" w:firstLine="457"/>
        <w:spacing w:after="0" w:line="276" w:lineRule="auto"/>
        <w:rPr>
          <w:sz w:val="20"/>
          <w:szCs w:val="20"/>
          <w:color w:val="auto"/>
        </w:rPr>
      </w:pPr>
      <w:r>
        <w:rPr>
          <w:rFonts w:ascii="Arial" w:cs="Arial" w:eastAsia="Arial" w:hAnsi="Arial"/>
          <w:sz w:val="16"/>
          <w:szCs w:val="16"/>
          <w:color w:val="auto"/>
        </w:rPr>
        <w:t>Future reclamation costs are estimated using statutory reclamation requirements and management’s experience and knowledge in the industry, and are discounted to their present value using a credit-adjusted, risk-free rate of interest. The future reclamation costs are not offset by potential recoveries. For additional information regarding compliance with legal requirements, see “Note N: Commitments and Contingencies” of the “Notes to Financial Statements” of the 2017 Financial Statements and the 2017 Annual Report. The Company is generally required by state or local laws or pursuant to the terms of an applicable lease to reclaim quarry sites after use. The Company performs activities on an ongoing basis that may reduce the ultimate reclamation obligation. These activities are performed as an integral part of the normal quarrying process. For example, the perimeter and interior walls of an open pit quarry are sloped and benched as they are developed to prevent erosion and provide stabilization. This sloping and benching meets dual objectives — safety regulations required by the Mine Safety and Health Administration for ongoing operations and final reclamation requirements. Therefore, these types of activities are included in normal operating costs and are not a part of the asset retirement obligation. Historically, the Company has not incurred substantial reclamation costs in connection with the closing of quarries. Reclaimed quarry sites owned by the Company are available for sale, typically for commercial development or use as reservoirs.</w:t>
      </w:r>
    </w:p>
    <w:p>
      <w:pPr>
        <w:spacing w:after="0" w:line="168" w:lineRule="exact"/>
        <w:rPr>
          <w:sz w:val="20"/>
          <w:szCs w:val="20"/>
          <w:color w:val="auto"/>
        </w:rPr>
      </w:pPr>
    </w:p>
    <w:p>
      <w:pPr>
        <w:ind w:firstLine="457"/>
        <w:spacing w:after="0" w:line="262" w:lineRule="auto"/>
        <w:rPr>
          <w:sz w:val="20"/>
          <w:szCs w:val="20"/>
          <w:color w:val="auto"/>
        </w:rPr>
      </w:pPr>
      <w:r>
        <w:rPr>
          <w:rFonts w:ascii="Arial" w:cs="Arial" w:eastAsia="Arial" w:hAnsi="Arial"/>
          <w:sz w:val="17"/>
          <w:szCs w:val="17"/>
          <w:color w:val="auto"/>
        </w:rPr>
        <w:t>The Company believes that its operations and facilities, both owned or leased, are in substantial compliance with applicable laws and regulations and that any noncompliance is not likely to have a material adverse effect on the Company’s operations or financial condition. See “Legal Proceedings” under Item 3 of this Form 10-K, “Note N: Commitments and Contingencies” of the “Notes to Financial Statements” of the 2017 Financial Statements included under Item 8 of this Form 10-K and the 2017 Annual Report, and “Management’s Discussion and Analysis of Financial Condition and Results of Operations - Environmental Regulation and Litigation” included under Item 7 of this Form 10-K and the 2017 Annual Report. However,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20"/>
          </w:cols>
          <w:pgMar w:left="240" w:top="446" w:right="239" w:bottom="1440" w:gutter="0" w:footer="0" w:header="0"/>
        </w:sectPr>
      </w:pPr>
    </w:p>
    <w:bookmarkStart w:id="19" w:name="page20"/>
    <w:bookmarkEnd w:id="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future events, such as changes in or modified interpretations of existing laws and regulations or enforcement policies, or further investigation or evaluation of the potential health hazards of certain products or business activities, may give rise to additional compliance and other costs that could have a material adverse effect on the Company.</w:t>
      </w:r>
    </w:p>
    <w:p>
      <w:pPr>
        <w:spacing w:after="0" w:line="171" w:lineRule="exact"/>
        <w:rPr>
          <w:sz w:val="20"/>
          <w:szCs w:val="20"/>
          <w:color w:val="auto"/>
        </w:rPr>
      </w:pPr>
    </w:p>
    <w:p>
      <w:pPr>
        <w:ind w:right="100" w:firstLine="457"/>
        <w:spacing w:after="0" w:line="259" w:lineRule="auto"/>
        <w:rPr>
          <w:sz w:val="20"/>
          <w:szCs w:val="20"/>
          <w:color w:val="auto"/>
        </w:rPr>
      </w:pPr>
      <w:r>
        <w:rPr>
          <w:rFonts w:ascii="Arial" w:cs="Arial" w:eastAsia="Arial" w:hAnsi="Arial"/>
          <w:sz w:val="17"/>
          <w:szCs w:val="17"/>
          <w:color w:val="auto"/>
        </w:rPr>
        <w:t>In general, quarry, mining and production facilities for cement, ready mixed concrete, and asphalt must comply with air quality, water quality, and noise regulations, zoning and special use permitting requirements, applicable mining regulations, and federal health and safety requirements. As new quarry and mining sites and production facilities are located and acquired, the Company works closely with local authorities during the zoning and permitting processes to design new quarries, mines and production facilities in such a way as to minimize disturbances. The Company frequently acquires large tracts of land so that quarry, mine, and production facilities can be situated substantial distances from surrounding property owners. Also, in certain markets the Company’s ability to transport material by rail and ship allows it to locate its facilities further away from residential areas. The Company has established policies designed to minimize disturbances to surrounding property owners from its operations.</w:t>
      </w:r>
    </w:p>
    <w:p>
      <w:pPr>
        <w:spacing w:after="0" w:line="185" w:lineRule="exact"/>
        <w:rPr>
          <w:sz w:val="20"/>
          <w:szCs w:val="20"/>
          <w:color w:val="auto"/>
        </w:rPr>
      </w:pPr>
    </w:p>
    <w:p>
      <w:pPr>
        <w:ind w:right="80" w:firstLine="457"/>
        <w:spacing w:after="0" w:line="277" w:lineRule="auto"/>
        <w:rPr>
          <w:sz w:val="20"/>
          <w:szCs w:val="20"/>
          <w:color w:val="auto"/>
        </w:rPr>
      </w:pPr>
      <w:r>
        <w:rPr>
          <w:rFonts w:ascii="Arial" w:cs="Arial" w:eastAsia="Arial" w:hAnsi="Arial"/>
          <w:sz w:val="16"/>
          <w:szCs w:val="16"/>
          <w:color w:val="auto"/>
        </w:rPr>
        <w:t>As is the case with other companies in the same industry, some of the Company’s products contain varying amounts of crystalline silica, a common mineral also known as quartz. Excessive, prolonged inhalation of very small-sized particles of crystalline silica has been associated with lung diseases, including silicosis, and several scientific organizations and some states, such as California, have reported that crystalline silica can cause lung cancer. The Mine Safety and Health Administration and the Occupational Safety and Health Administration have established occupational thresholds for crystalline silica exposure as respirable dust. The Company monitors occupational exposures at its facilities and implements dust control procedures and/or makes available appropriate respiratory protective equipment to maintain the occupational exposures at or below the appropriate levels. The Company, through safety information sheets and other means, also communicates what it believes to be appropriate warnings and cautions its employees and customers about the risks associated with excessive, prolonged inhalation of mineral dust in general and crystalline silica in particular.</w:t>
      </w:r>
    </w:p>
    <w:p>
      <w:pPr>
        <w:spacing w:after="0" w:line="170" w:lineRule="exact"/>
        <w:rPr>
          <w:sz w:val="20"/>
          <w:szCs w:val="20"/>
          <w:color w:val="auto"/>
        </w:rPr>
      </w:pPr>
    </w:p>
    <w:p>
      <w:pPr>
        <w:ind w:firstLine="457"/>
        <w:spacing w:after="0" w:line="262" w:lineRule="auto"/>
        <w:rPr>
          <w:sz w:val="20"/>
          <w:szCs w:val="20"/>
          <w:color w:val="auto"/>
        </w:rPr>
      </w:pPr>
      <w:r>
        <w:rPr>
          <w:rFonts w:ascii="Arial" w:cs="Arial" w:eastAsia="Arial" w:hAnsi="Arial"/>
          <w:sz w:val="17"/>
          <w:szCs w:val="17"/>
          <w:color w:val="auto"/>
        </w:rPr>
        <w:t>As is the case with others in the cement industry, the Company’s cement operations produce varying quantities of cement kiln dust (“CKD”). This production by-product consists of fine-grained, solid, highly alkaline material removed from cement kiln exhaust gas by air pollution control devices. Because much of the CKD is actually unreacted raw materials, it is generally permissible to recycle the CKD back into the production process, and large amounts often are treated in such manner. CKD that is not returned to the production process or sold as a product itself is disposed in landfills. CKD is currently exempted from federal hazardous waste regulations under Subtitle C of the Resource Conservation and Recovery Act.</w:t>
      </w:r>
    </w:p>
    <w:p>
      <w:pPr>
        <w:spacing w:after="0" w:line="179" w:lineRule="exact"/>
        <w:rPr>
          <w:sz w:val="20"/>
          <w:szCs w:val="20"/>
          <w:color w:val="auto"/>
        </w:rPr>
      </w:pPr>
    </w:p>
    <w:p>
      <w:pPr>
        <w:ind w:right="20" w:firstLine="457"/>
        <w:spacing w:after="0" w:line="259" w:lineRule="auto"/>
        <w:rPr>
          <w:sz w:val="20"/>
          <w:szCs w:val="20"/>
          <w:color w:val="auto"/>
        </w:rPr>
      </w:pPr>
      <w:r>
        <w:rPr>
          <w:rFonts w:ascii="Arial" w:cs="Arial" w:eastAsia="Arial" w:hAnsi="Arial"/>
          <w:sz w:val="17"/>
          <w:szCs w:val="17"/>
          <w:color w:val="auto"/>
        </w:rPr>
        <w:t>In 2010, the United States Environmental Protection Agency (“USEPA”) included the lime industry as a national enforcement priority under the federal Clean Air Act (“CAA”). As part of the industry wide effort, the USEPA issued Notices of Violation/Findings of Violation (“NOVs”) to the Company in 2010 and 2011 regarding the Company’s compliance with the CAA New Source Review (“NSR”) program at the Magnesia Specialties dolomitic lime manufacturing plant in Woodville, Ohio. The Company has been providing information to the USEPA in response to these NOVs and has had several meetings with the USEPA. Although the Company believes it is in substantial compliance with the NSR program, it anticipates that it will reach a settlement of this matter with the USEPA. The Company believes that any costs related to any required upgrades will be spread over time and that those costs and any related penalties will not have a material adverse effect on the Company’s operations or its financial condition.</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420"/>
          </w:cols>
          <w:pgMar w:left="240" w:top="446" w:right="239" w:bottom="1440" w:gutter="0" w:footer="0" w:header="0"/>
        </w:sectPr>
      </w:pPr>
    </w:p>
    <w:bookmarkStart w:id="20" w:name="page21"/>
    <w:bookmarkEnd w:id="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ind w:firstLine="457"/>
        <w:spacing w:after="0" w:line="282" w:lineRule="auto"/>
        <w:rPr>
          <w:sz w:val="20"/>
          <w:szCs w:val="20"/>
          <w:color w:val="auto"/>
        </w:rPr>
      </w:pPr>
      <w:r>
        <w:rPr>
          <w:rFonts w:ascii="Arial" w:cs="Arial" w:eastAsia="Arial" w:hAnsi="Arial"/>
          <w:sz w:val="16"/>
          <w:szCs w:val="16"/>
          <w:color w:val="auto"/>
        </w:rPr>
        <w:t>In October 2014, the Company received a CAA Section 114 request for information regarding the Manistee, Michigan, operations from the USEPA, similar to the one initially received at the Woodville, Ohio, plant. The letter seeks information regarding the Company’s compliance with the NSR program at the Magnesia Specialties manufacturing plant in Manistee, Michigan. No notices of violation have been received by the Company relating to alleged non-compliance at the Manistee plant. The Company believes it is in substantial compliance with the NSR program and has submitted information to the USEPA for review and is awaiting a response or additional questions. The Company cannot at this time reasonably estimate the costs, if any, that may be incurred relating to this matter.</w:t>
      </w:r>
    </w:p>
    <w:p>
      <w:pPr>
        <w:spacing w:after="0" w:line="165" w:lineRule="exact"/>
        <w:rPr>
          <w:sz w:val="20"/>
          <w:szCs w:val="20"/>
          <w:color w:val="auto"/>
        </w:rPr>
      </w:pPr>
    </w:p>
    <w:p>
      <w:pPr>
        <w:ind w:right="80" w:firstLine="457"/>
        <w:spacing w:after="0" w:line="274" w:lineRule="auto"/>
        <w:rPr>
          <w:sz w:val="20"/>
          <w:szCs w:val="20"/>
          <w:color w:val="auto"/>
        </w:rPr>
      </w:pPr>
      <w:r>
        <w:rPr>
          <w:rFonts w:ascii="Arial" w:cs="Arial" w:eastAsia="Arial" w:hAnsi="Arial"/>
          <w:sz w:val="16"/>
          <w:szCs w:val="16"/>
          <w:color w:val="auto"/>
        </w:rPr>
        <w:t>The Company has been reviewing its operations with respect to climate change matters and its sources of greenhouse gas emissions. In December 2009, the USEPA made an endangerment finding under the Clean Air Act that the current and projected concentrations of the six key greenhouse gases (“GHG” or “GHGs”) in the atmosphere threaten the public health and welfare of current and future generations. The six GHGs are carbon dioxide, methane, nitrous oxide, hydrofluorocarbons, perfluorocarbons and sulfur hexafluoride. As of 2010, facilities that emitted 25,000 metric tons or more per year of GHGs are required to annually report GHG generation to comply with the USEPA’s Mandatory Greenhouse Gas Reporting Rule. In May 2010, the USEPA issued a final rule (known as the Greenhouse Gas Tailoring Rule) that would have required the Company to incorporate best available GHG control technology in any new plant that it might propose to build and in its existing plants if it modified them in a manner that would increase GHG emissions (in the Company’s case, principally carbon dioxide emissions) by more than 75,000 tons per year. This rule was challenged in court by various public and private parties, and was upheld in part and invalidated in part by the United States Supreme Court in an opinion issued in June 2014. The Court concluded that the USEPA may in fact require best available control technology for GHG, but only if the plant is otherwise subject to Prevention of Significant Deterioration or Title V air permitting under the USEPA’s rules. It is not known whether the USEPA will revise its rules in response to the Court’s decision and, if so, what the impact will be on the Company’s operations. No technologies or methods of operation for reducing or capturing GHGs such as carbon dioxide have been proven successful in large scale applications other than improvements in fuel efficiency, and it is not known what the USEPA will require as best available control technology for plants or conditions it will require for operating permits in the event of modifications to plants or construction of new plants.</w:t>
      </w:r>
    </w:p>
    <w:p>
      <w:pPr>
        <w:spacing w:after="0" w:line="174" w:lineRule="exact"/>
        <w:rPr>
          <w:sz w:val="20"/>
          <w:szCs w:val="20"/>
          <w:color w:val="auto"/>
        </w:rPr>
      </w:pPr>
    </w:p>
    <w:p>
      <w:pPr>
        <w:ind w:right="80" w:firstLine="457"/>
        <w:spacing w:after="0" w:line="259" w:lineRule="auto"/>
        <w:rPr>
          <w:sz w:val="20"/>
          <w:szCs w:val="20"/>
          <w:color w:val="auto"/>
        </w:rPr>
      </w:pPr>
      <w:r>
        <w:rPr>
          <w:rFonts w:ascii="Arial" w:cs="Arial" w:eastAsia="Arial" w:hAnsi="Arial"/>
          <w:sz w:val="17"/>
          <w:szCs w:val="17"/>
          <w:color w:val="auto"/>
        </w:rPr>
        <w:t>In Congress, both the House and Senate had considered climate change legislation, including the “cap-and-trade” approach. Cap-and-trade is an environmental policy tool that delivers results with a mandatory cap on emissions while providing sources flexibility in how they comply by trading credits with other sources whose emissions are below the cap. Another approach that had been proposed was a tax on emissions. The Company believes that climate change legislation is not a priority item in Congress in the near future and that the primary method that greenhouse gases will be regulated is through the USEPA using its rule-making authority. It is not known whether this will be a priority of the USEPA during President Trump’s administration. Various states where the Company has operations are also considering climate change initiatives, and the Company may be subject to state regulations in addition to any federal laws and rules that are passed.</w:t>
      </w:r>
    </w:p>
    <w:p>
      <w:pPr>
        <w:spacing w:after="0" w:line="185" w:lineRule="exact"/>
        <w:rPr>
          <w:sz w:val="20"/>
          <w:szCs w:val="20"/>
          <w:color w:val="auto"/>
        </w:rPr>
      </w:pPr>
    </w:p>
    <w:p>
      <w:pPr>
        <w:ind w:right="240" w:firstLine="457"/>
        <w:spacing w:after="0" w:line="260" w:lineRule="auto"/>
        <w:rPr>
          <w:sz w:val="20"/>
          <w:szCs w:val="20"/>
          <w:color w:val="auto"/>
        </w:rPr>
      </w:pPr>
      <w:r>
        <w:rPr>
          <w:rFonts w:ascii="Arial" w:cs="Arial" w:eastAsia="Arial" w:hAnsi="Arial"/>
          <w:sz w:val="17"/>
          <w:szCs w:val="17"/>
          <w:color w:val="auto"/>
        </w:rPr>
        <w:t>The operations of the Company’s aggregates, ready mixed concrete and asphalt and paving product lines are not major sources of GHG emissions. Most of the GHG emissions from aggregates operations are tailpipe emissions from mobile sources such as heavy construction and earth-moving equipment. The manufacturing operations of the Company’s Magnesia Specialties business in Woodville, Ohio, releases carbon dioxide, methane and nitrous oxide during the production of lime. The Magnesia Specialties operation in Manistee, Michigan, releases carbon dioxide, methane and nitrous oxides in the manufacture of magnesium oxide and hydroxide products. Both of these operations are filing annual reports of their GHG emissions in accordance with the USEPA’s Mandatory Greenhouse Gas Reporting Rule.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420"/>
          </w:cols>
          <w:pgMar w:left="240" w:top="446" w:right="239" w:bottom="1440" w:gutter="0" w:footer="0" w:header="0"/>
        </w:sectPr>
      </w:pPr>
    </w:p>
    <w:bookmarkStart w:id="21" w:name="page22"/>
    <w:bookmarkEnd w:id="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ind w:right="40" w:firstLine="457"/>
        <w:spacing w:after="0" w:line="270" w:lineRule="auto"/>
        <w:rPr>
          <w:sz w:val="20"/>
          <w:szCs w:val="20"/>
          <w:color w:val="auto"/>
        </w:rPr>
      </w:pPr>
      <w:r>
        <w:rPr>
          <w:rFonts w:ascii="Arial" w:cs="Arial" w:eastAsia="Arial" w:hAnsi="Arial"/>
          <w:sz w:val="17"/>
          <w:szCs w:val="17"/>
          <w:color w:val="auto"/>
        </w:rPr>
        <w:t>Cement production worldwide is estimated to comprise approximately 5% to 10% of CO</w:t>
      </w:r>
      <w:r>
        <w:rPr>
          <w:rFonts w:ascii="Arial" w:cs="Arial" w:eastAsia="Arial" w:hAnsi="Arial"/>
          <w:sz w:val="14"/>
          <w:szCs w:val="14"/>
          <w:color w:val="auto"/>
        </w:rPr>
        <w:t>2</w:t>
      </w:r>
      <w:r>
        <w:rPr>
          <w:rFonts w:ascii="Arial" w:cs="Arial" w:eastAsia="Arial" w:hAnsi="Arial"/>
          <w:sz w:val="17"/>
          <w:szCs w:val="17"/>
          <w:color w:val="auto"/>
        </w:rPr>
        <w:t xml:space="preserve"> or GHG emissions, and the USEPA has indicated that CO</w:t>
      </w:r>
      <w:r>
        <w:rPr>
          <w:rFonts w:ascii="Arial" w:cs="Arial" w:eastAsia="Arial" w:hAnsi="Arial"/>
          <w:sz w:val="14"/>
          <w:szCs w:val="14"/>
          <w:color w:val="auto"/>
        </w:rPr>
        <w:t>2</w:t>
      </w:r>
      <w:r>
        <w:rPr>
          <w:rFonts w:ascii="Arial" w:cs="Arial" w:eastAsia="Arial" w:hAnsi="Arial"/>
          <w:sz w:val="17"/>
          <w:szCs w:val="17"/>
          <w:color w:val="auto"/>
        </w:rPr>
        <w:t xml:space="preserve"> emitted from cement production is the second largest source of CO</w:t>
      </w:r>
      <w:r>
        <w:rPr>
          <w:rFonts w:ascii="Arial" w:cs="Arial" w:eastAsia="Arial" w:hAnsi="Arial"/>
          <w:sz w:val="14"/>
          <w:szCs w:val="14"/>
          <w:color w:val="auto"/>
        </w:rPr>
        <w:t>2</w:t>
      </w:r>
      <w:r>
        <w:rPr>
          <w:rFonts w:ascii="Arial" w:cs="Arial" w:eastAsia="Arial" w:hAnsi="Arial"/>
          <w:sz w:val="17"/>
          <w:szCs w:val="17"/>
          <w:color w:val="auto"/>
        </w:rPr>
        <w:t xml:space="preserve"> emissions in the United States. The Company has two cement plants. During 2016, the Company, through its TXI subsidiary, filed annual reports of the GHG emissions relating to its two cement operations in Texas.</w:t>
      </w:r>
    </w:p>
    <w:p>
      <w:pPr>
        <w:spacing w:after="0" w:line="171" w:lineRule="exact"/>
        <w:rPr>
          <w:sz w:val="20"/>
          <w:szCs w:val="20"/>
          <w:color w:val="auto"/>
        </w:rPr>
      </w:pPr>
    </w:p>
    <w:p>
      <w:pPr>
        <w:ind w:right="80" w:firstLine="457"/>
        <w:spacing w:after="0" w:line="258" w:lineRule="auto"/>
        <w:rPr>
          <w:sz w:val="20"/>
          <w:szCs w:val="20"/>
          <w:color w:val="auto"/>
        </w:rPr>
      </w:pPr>
      <w:r>
        <w:rPr>
          <w:rFonts w:ascii="Arial" w:cs="Arial" w:eastAsia="Arial" w:hAnsi="Arial"/>
          <w:sz w:val="17"/>
          <w:szCs w:val="17"/>
          <w:color w:val="auto"/>
        </w:rPr>
        <w:t>If and when Congress passes legislation on GHGs, the Woodville and Manistee operations, as well as the Company’s two cement operations, will likely be subject to the new program. In addition, any additional regulatory restrictions on emissions of GHGs imposed by the USEPA will likely impact the Company’s Woodville, Manistee, and cement operations. The Company anticipates that any increased operating costs or taxes relating to GHG emission limitations at the Woodville or cement operations would be passed on to customers. The magnesium oxide products produced at the Manistee operation compete against other products that emit a lower level of GHGs in their production. Therefore, the Manistee facility may be required to absorb additional costs due to the regulation of GHG emissions in order to remain competitive in pricing in that market. The Company is also continuing to review the obligations of our Manistee facility’s global customer base with regards to climate change treaties and accords. The Company at this time cannot reasonably predict what the costs of compliance will be, but does not believe it will have a material adverse effect on the financial condition or results of the operations of either the Magnesia Specialties or Building Materials businesses.</w:t>
      </w:r>
    </w:p>
    <w:p>
      <w:pPr>
        <w:spacing w:after="0" w:line="185" w:lineRule="exact"/>
        <w:rPr>
          <w:sz w:val="20"/>
          <w:szCs w:val="20"/>
          <w:color w:val="auto"/>
        </w:rPr>
      </w:pPr>
    </w:p>
    <w:p>
      <w:pPr>
        <w:ind w:right="40" w:firstLine="457"/>
        <w:spacing w:after="0" w:line="259" w:lineRule="auto"/>
        <w:rPr>
          <w:sz w:val="20"/>
          <w:szCs w:val="20"/>
          <w:color w:val="auto"/>
        </w:rPr>
      </w:pPr>
      <w:r>
        <w:rPr>
          <w:rFonts w:ascii="Arial" w:cs="Arial" w:eastAsia="Arial" w:hAnsi="Arial"/>
          <w:sz w:val="17"/>
          <w:szCs w:val="17"/>
          <w:color w:val="auto"/>
        </w:rPr>
        <w:t>In 2010, the USEPA issued rules that dramatically reduced the permitted emissions of mercury, total hydrocarbons, particulate matter and hydrochloric acid from cement plants. The compliance date for these new standards was September 2015, but the USEPA granted various extensions to verify monitoring systems are effective for mercury and hydrogen chloride emissions. The Company has conducted tests to analyze the current level of compliance of its cement plants with the new standards. All plants required the installation of continuous emissions monitoring (“CEMs”). The Company, through its subsidiary TXI, identified and installed new control and monitoring equipment for these purposes and believes that the cement plants meet the emission requirements in these rules. The Company does not believe that the costs relating to these controls and equipment will have a material adverse effect on the financial condition or results of the operations of either the Company or the cement product line.</w:t>
      </w: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Employees</w:t>
      </w:r>
    </w:p>
    <w:p>
      <w:pPr>
        <w:spacing w:after="0" w:line="116" w:lineRule="exact"/>
        <w:rPr>
          <w:sz w:val="20"/>
          <w:szCs w:val="20"/>
          <w:color w:val="auto"/>
        </w:rPr>
      </w:pPr>
    </w:p>
    <w:p>
      <w:pPr>
        <w:ind w:firstLine="457"/>
        <w:spacing w:after="0" w:line="259" w:lineRule="auto"/>
        <w:rPr>
          <w:sz w:val="20"/>
          <w:szCs w:val="20"/>
          <w:color w:val="auto"/>
        </w:rPr>
      </w:pPr>
      <w:r>
        <w:rPr>
          <w:rFonts w:ascii="Arial" w:cs="Arial" w:eastAsia="Arial" w:hAnsi="Arial"/>
          <w:sz w:val="17"/>
          <w:szCs w:val="17"/>
          <w:color w:val="auto"/>
        </w:rPr>
        <w:t>As of January 31, 2018, the Company has approximately 8,406 employees, of which 6,344 are hourly employees and 2,062 are salaried employees. Included among these employees are 912 hourly employees represented by labor unions (10.9% of the Company’s employees). Of such amount, 10.5% of our Building Materials business’ hourly employees are members of a labor union and 100% of the Magnesia Specialties segment’s hourly employees are represented by labor unions. The Company’s principal union contracts for the Magnesia Specialties business cover employees at the Manistee, Michigan, magnesia-based chemicals plant and the Woodville, Ohio, lime plant. The Woodville collective bargaining agreement expires in May 2018. The Manistee collective bargaining agreement expires in August 2019. The Company believes it has good relations with all of its employees, including its unionized employees. While the Company’s management does not expect significant difficulties in renewing these labor contracts, there can be no assurance that a successor agreement will be reached at any of these locations.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00"/>
          </w:cols>
          <w:pgMar w:left="240" w:top="446" w:right="259" w:bottom="1440" w:gutter="0" w:footer="0" w:header="0"/>
        </w:sectPr>
      </w:pPr>
    </w:p>
    <w:bookmarkStart w:id="22" w:name="page23"/>
    <w:bookmarkEnd w:id="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Available Information</w:t>
      </w:r>
    </w:p>
    <w:p>
      <w:pPr>
        <w:spacing w:after="0" w:line="116" w:lineRule="exact"/>
        <w:rPr>
          <w:sz w:val="20"/>
          <w:szCs w:val="20"/>
          <w:color w:val="auto"/>
        </w:rPr>
      </w:pPr>
    </w:p>
    <w:p>
      <w:pPr>
        <w:ind w:right="80" w:firstLine="457"/>
        <w:spacing w:after="0" w:line="260" w:lineRule="auto"/>
        <w:rPr>
          <w:sz w:val="20"/>
          <w:szCs w:val="20"/>
          <w:color w:val="auto"/>
        </w:rPr>
      </w:pPr>
      <w:r>
        <w:rPr>
          <w:rFonts w:ascii="Arial" w:cs="Arial" w:eastAsia="Arial" w:hAnsi="Arial"/>
          <w:sz w:val="17"/>
          <w:szCs w:val="17"/>
          <w:color w:val="auto"/>
        </w:rPr>
        <w:t xml:space="preserve">The Company maintains an Internet address at </w:t>
      </w:r>
      <w:r>
        <w:rPr>
          <w:rFonts w:ascii="Arial" w:cs="Arial" w:eastAsia="Arial" w:hAnsi="Arial"/>
          <w:sz w:val="17"/>
          <w:szCs w:val="17"/>
          <w:u w:val="single" w:color="auto"/>
          <w:color w:val="auto"/>
        </w:rPr>
        <w:t>www.martinmarietta.com</w:t>
      </w:r>
      <w:r>
        <w:rPr>
          <w:rFonts w:ascii="Arial" w:cs="Arial" w:eastAsia="Arial" w:hAnsi="Arial"/>
          <w:sz w:val="17"/>
          <w:szCs w:val="17"/>
          <w:color w:val="auto"/>
        </w:rPr>
        <w:t xml:space="preserve">. The Company makes available free of charge through its Internet web site its Annual Report on Form 10-K, Quarterly Reports on Form 10-Q, Current Reports on Form 8-K, and amendments to those reports, if any, filed or furnished pursuant to Section 13(a) or 15(d) of the Exchange Act. These reports and any amendments are accessed via the Company’s web site through a link with the Electronic Data Gathering, Analysis, and Retrieval (“EDGAR”) system maintained by the Securities and Exchange Commission (the “SEC”) at </w:t>
      </w:r>
      <w:r>
        <w:rPr>
          <w:rFonts w:ascii="Arial" w:cs="Arial" w:eastAsia="Arial" w:hAnsi="Arial"/>
          <w:sz w:val="17"/>
          <w:szCs w:val="17"/>
          <w:u w:val="single" w:color="auto"/>
          <w:color w:val="auto"/>
        </w:rPr>
        <w:t>www.sec.gov</w:t>
      </w:r>
      <w:r>
        <w:rPr>
          <w:rFonts w:ascii="Arial" w:cs="Arial" w:eastAsia="Arial" w:hAnsi="Arial"/>
          <w:sz w:val="17"/>
          <w:szCs w:val="17"/>
          <w:color w:val="auto"/>
        </w:rPr>
        <w:t>. Accordingly, the Company’s referenced reports and any amendments are made available as soon as reasonably practicable after the Company electronically files such material with, or furnishes it to, the SEC, once EDGAR places such material in its database.</w:t>
      </w:r>
    </w:p>
    <w:p>
      <w:pPr>
        <w:spacing w:after="0" w:line="183" w:lineRule="exact"/>
        <w:rPr>
          <w:sz w:val="20"/>
          <w:szCs w:val="20"/>
          <w:color w:val="auto"/>
        </w:rPr>
      </w:pPr>
    </w:p>
    <w:p>
      <w:pPr>
        <w:ind w:right="220" w:firstLine="457"/>
        <w:spacing w:after="0" w:line="270" w:lineRule="auto"/>
        <w:rPr>
          <w:sz w:val="20"/>
          <w:szCs w:val="20"/>
          <w:color w:val="auto"/>
        </w:rPr>
      </w:pPr>
      <w:r>
        <w:rPr>
          <w:rFonts w:ascii="Arial" w:cs="Arial" w:eastAsia="Arial" w:hAnsi="Arial"/>
          <w:sz w:val="17"/>
          <w:szCs w:val="17"/>
          <w:color w:val="auto"/>
        </w:rPr>
        <w:t xml:space="preserve">The Company has adopted a </w:t>
      </w:r>
      <w:r>
        <w:rPr>
          <w:rFonts w:ascii="Arial" w:cs="Arial" w:eastAsia="Arial" w:hAnsi="Arial"/>
          <w:sz w:val="17"/>
          <w:szCs w:val="17"/>
          <w:i w:val="1"/>
          <w:iCs w:val="1"/>
          <w:color w:val="auto"/>
        </w:rPr>
        <w:t>Code of Ethical Business Conduct</w:t>
      </w:r>
      <w:r>
        <w:rPr>
          <w:rFonts w:ascii="Arial" w:cs="Arial" w:eastAsia="Arial" w:hAnsi="Arial"/>
          <w:sz w:val="17"/>
          <w:szCs w:val="17"/>
          <w:color w:val="auto"/>
        </w:rPr>
        <w:t xml:space="preserve"> that applies to all of its directors, officers, and employees. The Company’s code of ethics is available on the Company’s web site at </w:t>
      </w:r>
      <w:r>
        <w:rPr>
          <w:rFonts w:ascii="Arial" w:cs="Arial" w:eastAsia="Arial" w:hAnsi="Arial"/>
          <w:sz w:val="17"/>
          <w:szCs w:val="17"/>
          <w:u w:val="single" w:color="auto"/>
          <w:color w:val="auto"/>
        </w:rPr>
        <w:t>www.martinmarietta.com</w:t>
      </w:r>
      <w:r>
        <w:rPr>
          <w:rFonts w:ascii="Arial" w:cs="Arial" w:eastAsia="Arial" w:hAnsi="Arial"/>
          <w:sz w:val="17"/>
          <w:szCs w:val="17"/>
          <w:color w:val="auto"/>
        </w:rPr>
        <w:t>. The Company intends to disclose on its Internet web site any waivers of or amendments to its code of ethics as it applies to its directors and executive officers.</w:t>
      </w:r>
    </w:p>
    <w:p>
      <w:pPr>
        <w:spacing w:after="0" w:line="171" w:lineRule="exact"/>
        <w:rPr>
          <w:sz w:val="20"/>
          <w:szCs w:val="20"/>
          <w:color w:val="auto"/>
        </w:rPr>
      </w:pPr>
    </w:p>
    <w:p>
      <w:pPr>
        <w:ind w:firstLine="457"/>
        <w:spacing w:after="0" w:line="280" w:lineRule="auto"/>
        <w:rPr>
          <w:sz w:val="20"/>
          <w:szCs w:val="20"/>
          <w:color w:val="auto"/>
        </w:rPr>
      </w:pPr>
      <w:r>
        <w:rPr>
          <w:rFonts w:ascii="Arial" w:cs="Arial" w:eastAsia="Arial" w:hAnsi="Arial"/>
          <w:sz w:val="16"/>
          <w:szCs w:val="16"/>
          <w:color w:val="auto"/>
        </w:rPr>
        <w:t xml:space="preserve">The Company has adopted a set of </w:t>
      </w:r>
      <w:r>
        <w:rPr>
          <w:rFonts w:ascii="Arial" w:cs="Arial" w:eastAsia="Arial" w:hAnsi="Arial"/>
          <w:sz w:val="16"/>
          <w:szCs w:val="16"/>
          <w:i w:val="1"/>
          <w:iCs w:val="1"/>
          <w:color w:val="auto"/>
        </w:rPr>
        <w:t>Corporate Governance Guidelines</w:t>
      </w:r>
      <w:r>
        <w:rPr>
          <w:rFonts w:ascii="Arial" w:cs="Arial" w:eastAsia="Arial" w:hAnsi="Arial"/>
          <w:sz w:val="16"/>
          <w:szCs w:val="16"/>
          <w:color w:val="auto"/>
        </w:rPr>
        <w:t xml:space="preserve"> to address issues of fundamental importance relating to the corporate governance of the Company, including director qualifications and responsibilities, responsibilities of key board committees, director compensation, and similar issues. Each of the Audit Committee, the Management Development and Compensation Committee, and the Nominating and Corporate Governance Committee of the Board of Directors of the Company has adopted a written charter addressing various issues of importance relating to each committee, including the committee’s purposes and responsibilities, an annual performance evaluation of each committee, and similar issues. These </w:t>
      </w:r>
      <w:r>
        <w:rPr>
          <w:rFonts w:ascii="Arial" w:cs="Arial" w:eastAsia="Arial" w:hAnsi="Arial"/>
          <w:sz w:val="16"/>
          <w:szCs w:val="16"/>
          <w:i w:val="1"/>
          <w:iCs w:val="1"/>
          <w:color w:val="auto"/>
        </w:rPr>
        <w:t>Corporate Governance Guidelines</w:t>
      </w:r>
      <w:r>
        <w:rPr>
          <w:rFonts w:ascii="Arial" w:cs="Arial" w:eastAsia="Arial" w:hAnsi="Arial"/>
          <w:sz w:val="16"/>
          <w:szCs w:val="16"/>
          <w:color w:val="auto"/>
        </w:rPr>
        <w:t xml:space="preserve">, and the charters of each of these committees, are available on the Company’s web site at </w:t>
      </w:r>
      <w:r>
        <w:rPr>
          <w:rFonts w:ascii="Arial" w:cs="Arial" w:eastAsia="Arial" w:hAnsi="Arial"/>
          <w:sz w:val="16"/>
          <w:szCs w:val="16"/>
          <w:u w:val="single" w:color="auto"/>
          <w:color w:val="auto"/>
        </w:rPr>
        <w:t>www.martinmarietta.com</w:t>
      </w:r>
      <w:r>
        <w:rPr>
          <w:rFonts w:ascii="Arial" w:cs="Arial" w:eastAsia="Arial" w:hAnsi="Arial"/>
          <w:sz w:val="16"/>
          <w:szCs w:val="16"/>
          <w:color w:val="auto"/>
        </w:rPr>
        <w:t>.</w:t>
      </w:r>
    </w:p>
    <w:p>
      <w:pPr>
        <w:spacing w:after="0" w:line="166" w:lineRule="exact"/>
        <w:rPr>
          <w:sz w:val="20"/>
          <w:szCs w:val="20"/>
          <w:color w:val="auto"/>
        </w:rPr>
      </w:pPr>
    </w:p>
    <w:p>
      <w:pPr>
        <w:ind w:right="100" w:firstLine="457"/>
        <w:spacing w:after="0" w:line="265" w:lineRule="auto"/>
        <w:rPr>
          <w:sz w:val="20"/>
          <w:szCs w:val="20"/>
          <w:color w:val="auto"/>
        </w:rPr>
      </w:pPr>
      <w:r>
        <w:rPr>
          <w:rFonts w:ascii="Arial" w:cs="Arial" w:eastAsia="Arial" w:hAnsi="Arial"/>
          <w:sz w:val="17"/>
          <w:szCs w:val="17"/>
          <w:color w:val="auto"/>
        </w:rPr>
        <w:t>The Company’s Chief Executive Officer and Chief Financial Officer are required to file with the SEC each quarter and each year certifications regarding the quality of the Company’s public disclosure of its financial condition. The annual certifications are included as Exhibits to this Annual Report on Form 10-K. The Company’s Chief Executive Officer is also required to certify to the New York Stock Exchange each year that he is not aware of any violation by the Company of the New York Stock Exchange corporate governance listing standards.</w:t>
      </w:r>
    </w:p>
    <w:p>
      <w:pPr>
        <w:spacing w:after="0" w:line="312"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ITEM 1A.</w:t>
        <w:tab/>
        <w:t>RISK FACTORS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 Risk Factors</w:t>
      </w:r>
    </w:p>
    <w:p>
      <w:pPr>
        <w:spacing w:after="0" w:line="116" w:lineRule="exact"/>
        <w:rPr>
          <w:sz w:val="20"/>
          <w:szCs w:val="20"/>
          <w:color w:val="auto"/>
        </w:rPr>
      </w:pPr>
    </w:p>
    <w:p>
      <w:pPr>
        <w:ind w:right="80" w:firstLine="457"/>
        <w:spacing w:after="0" w:line="285" w:lineRule="auto"/>
        <w:rPr>
          <w:sz w:val="20"/>
          <w:szCs w:val="20"/>
          <w:color w:val="auto"/>
        </w:rPr>
      </w:pPr>
      <w:r>
        <w:rPr>
          <w:rFonts w:ascii="Arial" w:cs="Arial" w:eastAsia="Arial" w:hAnsi="Arial"/>
          <w:sz w:val="17"/>
          <w:szCs w:val="17"/>
          <w:color w:val="auto"/>
        </w:rPr>
        <w:t>An investment in our common stock or debt securities involves risks and uncertainties. You should consider the following factors carefully, in addition to the other information contained in this Form 10-K, before deciding to purchase or otherwise trade our securities.</w:t>
      </w:r>
    </w:p>
    <w:p>
      <w:pPr>
        <w:spacing w:after="0" w:line="159" w:lineRule="exact"/>
        <w:rPr>
          <w:sz w:val="20"/>
          <w:szCs w:val="20"/>
          <w:color w:val="auto"/>
        </w:rPr>
      </w:pPr>
    </w:p>
    <w:p>
      <w:pPr>
        <w:ind w:right="240" w:firstLine="457"/>
        <w:spacing w:after="0" w:line="262" w:lineRule="auto"/>
        <w:rPr>
          <w:sz w:val="20"/>
          <w:szCs w:val="20"/>
          <w:color w:val="auto"/>
        </w:rPr>
      </w:pPr>
      <w:r>
        <w:rPr>
          <w:rFonts w:ascii="Arial" w:cs="Arial" w:eastAsia="Arial" w:hAnsi="Arial"/>
          <w:sz w:val="17"/>
          <w:szCs w:val="17"/>
          <w:color w:val="auto"/>
        </w:rPr>
        <w:t>This Form 10-K and other written reports and oral statements made from time to time by the Company contain statements which, to the extent they are not recitations of historical fact, constitute forward-looking statements within the meaning of federal securities law. Investors are cautioned that all forward-looking statements involve risks and uncertainties, and are based on assumptions that the Company believes in good faith are reasonable, but which may be materially different from actual results. Investors can identify these statements by the fact that they do not relate only to historic or current facts. The words “may,” “will,” “could,”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00"/>
          </w:cols>
          <w:pgMar w:left="240" w:top="446" w:right="259" w:bottom="1440" w:gutter="0" w:footer="0" w:header="0"/>
        </w:sectPr>
      </w:pPr>
    </w:p>
    <w:bookmarkStart w:id="23" w:name="page24"/>
    <w:bookmarkEnd w:id="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“should,” “anticipate,” “believe,” “estimate,” “expect,” “forecast,” “intend,” “outlook,” “plan,” “project,” “scheduled,” and similar expressions in connection with future events or future operating or financial performance are intended to identify forward-looking statements. Any or all of the Company’s forward-looking statements in this Form 10-K and in other publications may turn out to be wrong.</w:t>
      </w:r>
    </w:p>
    <w:p>
      <w:pPr>
        <w:spacing w:after="0" w:line="171" w:lineRule="exact"/>
        <w:rPr>
          <w:sz w:val="20"/>
          <w:szCs w:val="20"/>
          <w:color w:val="auto"/>
        </w:rPr>
      </w:pPr>
    </w:p>
    <w:p>
      <w:pPr>
        <w:ind w:right="60" w:firstLine="457"/>
        <w:spacing w:after="0" w:line="270" w:lineRule="auto"/>
        <w:rPr>
          <w:sz w:val="20"/>
          <w:szCs w:val="20"/>
          <w:color w:val="auto"/>
        </w:rPr>
      </w:pPr>
      <w:r>
        <w:rPr>
          <w:rFonts w:ascii="Arial" w:cs="Arial" w:eastAsia="Arial" w:hAnsi="Arial"/>
          <w:sz w:val="17"/>
          <w:szCs w:val="17"/>
          <w:color w:val="auto"/>
        </w:rPr>
        <w:t>Statements and assumptions on future revenues, income and cash flows, performance, economic trends, the outcome of litigation, regulatory compliance, and environmental remediation cost estimates are examples of forward-looking statements. Numerous factors, including potentially the risk factors described in this section, could affect our forward-looking statements and actual performance.</w:t>
      </w:r>
    </w:p>
    <w:p>
      <w:pPr>
        <w:spacing w:after="0" w:line="171" w:lineRule="exact"/>
        <w:rPr>
          <w:sz w:val="20"/>
          <w:szCs w:val="20"/>
          <w:color w:val="auto"/>
        </w:rPr>
      </w:pPr>
    </w:p>
    <w:p>
      <w:pPr>
        <w:ind w:right="140" w:firstLine="457"/>
        <w:spacing w:after="0" w:line="280" w:lineRule="auto"/>
        <w:rPr>
          <w:sz w:val="20"/>
          <w:szCs w:val="20"/>
          <w:color w:val="auto"/>
        </w:rPr>
      </w:pPr>
      <w:r>
        <w:rPr>
          <w:rFonts w:ascii="Arial" w:cs="Arial" w:eastAsia="Arial" w:hAnsi="Arial"/>
          <w:sz w:val="16"/>
          <w:szCs w:val="16"/>
          <w:color w:val="auto"/>
        </w:rPr>
        <w:t>Investors are also cautioned that it is not possible to predict or identify all such factors. Consequently, the reader should not consider any such list to be a complete statement of all potential risks or uncertainties. Other factors besides those listed may also adversely affect the Company and may be material to the Company. The Company has listed the known material risks it considers relevant in evaluating the Company and its operations. The forward-looking statements in this document are intended to be subject to the safe harbor protection provided by Sections 27A and 21E of the Securities Exchange Act of 1934. These forward-looking statements are made as of the date hereof based on management’s current expectations, and the Company does not undertake an obligation to update such statements, whether as a result of new information, future events, or otherwise.</w:t>
      </w:r>
    </w:p>
    <w:p>
      <w:pPr>
        <w:spacing w:after="0" w:line="166" w:lineRule="exact"/>
        <w:rPr>
          <w:sz w:val="20"/>
          <w:szCs w:val="20"/>
          <w:color w:val="auto"/>
        </w:rPr>
      </w:pPr>
    </w:p>
    <w:p>
      <w:pPr>
        <w:ind w:firstLine="457"/>
        <w:spacing w:after="0" w:line="311" w:lineRule="auto"/>
        <w:rPr>
          <w:sz w:val="20"/>
          <w:szCs w:val="20"/>
          <w:color w:val="auto"/>
        </w:rPr>
      </w:pPr>
      <w:r>
        <w:rPr>
          <w:rFonts w:ascii="Arial" w:cs="Arial" w:eastAsia="Arial" w:hAnsi="Arial"/>
          <w:sz w:val="15"/>
          <w:szCs w:val="15"/>
          <w:color w:val="auto"/>
        </w:rPr>
        <w:t>For a discussion identifying some important factors that could cause actual results to vary materially from those anticipated in the forward-looking statements, see the factors listed below, along with the discussion of “Competition” under Item 1 of this Form 10-K, “Management’s Discussion and Analysis of Financial Condition and Results of Operations” under Item 7 of this Form 10-K and the 2017 Annual Report, and “Note A: Accounting Policies” and “Note N: Commitments and Contingencies” of the “Notes to Financial Statements” of the 2017 Financial Statements included under Item 8 of this Form 10-K and the 2017 Annual Report.</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is cyclical and depends on activity within the construction industry.</w:t>
      </w:r>
    </w:p>
    <w:p>
      <w:pPr>
        <w:spacing w:after="0" w:line="116" w:lineRule="exact"/>
        <w:rPr>
          <w:sz w:val="20"/>
          <w:szCs w:val="20"/>
          <w:color w:val="auto"/>
        </w:rPr>
      </w:pPr>
    </w:p>
    <w:p>
      <w:pPr>
        <w:ind w:right="100" w:firstLine="457"/>
        <w:spacing w:after="0" w:line="262" w:lineRule="auto"/>
        <w:rPr>
          <w:sz w:val="20"/>
          <w:szCs w:val="20"/>
          <w:color w:val="auto"/>
        </w:rPr>
      </w:pPr>
      <w:r>
        <w:rPr>
          <w:rFonts w:ascii="Arial" w:cs="Arial" w:eastAsia="Arial" w:hAnsi="Arial"/>
          <w:sz w:val="17"/>
          <w:szCs w:val="17"/>
          <w:color w:val="auto"/>
        </w:rPr>
        <w:t>Economic and political uncertainty can impede growth in the markets in which we operate. Demand for our products, particularly in the nonresidential and residential construction markets, could fall if companies and consumers are unable to get credit for construction projects or if an economic slowdown causes delays or cancellations of capital projects. State and federal budget issues may also hurt the funding available for infrastructure spending. The lack of available credit may limit the ability of states to issue bonds to finance construction projects. Several of our top sales generating states, from time-to-time, stop or slow bidding projects in their transportation departments.</w:t>
      </w:r>
    </w:p>
    <w:p>
      <w:pPr>
        <w:spacing w:after="0" w:line="179" w:lineRule="exact"/>
        <w:rPr>
          <w:sz w:val="20"/>
          <w:szCs w:val="20"/>
          <w:color w:val="auto"/>
        </w:rPr>
      </w:pPr>
    </w:p>
    <w:p>
      <w:pPr>
        <w:ind w:right="80" w:firstLine="457"/>
        <w:spacing w:after="0" w:line="280" w:lineRule="auto"/>
        <w:rPr>
          <w:sz w:val="20"/>
          <w:szCs w:val="20"/>
          <w:color w:val="auto"/>
        </w:rPr>
      </w:pPr>
      <w:r>
        <w:rPr>
          <w:rFonts w:ascii="Arial" w:cs="Arial" w:eastAsia="Arial" w:hAnsi="Arial"/>
          <w:sz w:val="16"/>
          <w:szCs w:val="16"/>
          <w:color w:val="auto"/>
        </w:rPr>
        <w:t>We sell most of our aggregates products, our primary business, and our cement products, to the construction industry, so our results depend on the strength of the construction industry. Since our businesses depend on construction spending, which can be cyclical, our profits are sensitive to national, regional, and local economic conditions and the intensity of the underlying spending on aggregates and cement products. Construction spending is affected by economic conditions, changes in interest rates, demographic and population shifts, and changes in construction spending by federal, state, and local governments. If economic conditions change, a recession in the construction industry may occur and affect the demand for our products. The Great Recession was an example, and our business suffered. Construction spending can also be disrupted by terrorist activity and armed conflicts.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20"/>
          </w:cols>
          <w:pgMar w:left="240" w:top="446" w:right="239" w:bottom="1440" w:gutter="0" w:footer="0" w:header="0"/>
        </w:sectPr>
      </w:pPr>
    </w:p>
    <w:bookmarkStart w:id="24" w:name="page25"/>
    <w:bookmarkEnd w:id="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ind w:right="20" w:firstLine="457"/>
        <w:spacing w:after="0" w:line="265" w:lineRule="auto"/>
        <w:rPr>
          <w:sz w:val="20"/>
          <w:szCs w:val="20"/>
          <w:color w:val="auto"/>
        </w:rPr>
      </w:pPr>
      <w:r>
        <w:rPr>
          <w:rFonts w:ascii="Arial" w:cs="Arial" w:eastAsia="Arial" w:hAnsi="Arial"/>
          <w:sz w:val="17"/>
          <w:szCs w:val="17"/>
          <w:color w:val="auto"/>
        </w:rPr>
        <w:t>While our business operations cover a wide geographic area, our earnings depend on the strength of the local economies in which we operate because of the high cost to transport our products relative to their price. If economic conditions and construction spending decline significantly in one or more areas, particularly in our top five sales-generating states of our Building Materials business (based on net sales by state of destination) of Texas, Colorado, North Carolina, Iowa, and Georgia, our profitability will decrease. We experienced this situation with the Great Recession.</w:t>
      </w:r>
    </w:p>
    <w:p>
      <w:pPr>
        <w:spacing w:after="0" w:line="175" w:lineRule="exact"/>
        <w:rPr>
          <w:sz w:val="20"/>
          <w:szCs w:val="20"/>
          <w:color w:val="auto"/>
        </w:rPr>
      </w:pPr>
    </w:p>
    <w:p>
      <w:pPr>
        <w:ind w:right="40" w:firstLine="457"/>
        <w:spacing w:after="0" w:line="258" w:lineRule="auto"/>
        <w:rPr>
          <w:sz w:val="20"/>
          <w:szCs w:val="20"/>
          <w:color w:val="auto"/>
        </w:rPr>
      </w:pPr>
      <w:r>
        <w:rPr>
          <w:rFonts w:ascii="Arial" w:cs="Arial" w:eastAsia="Arial" w:hAnsi="Arial"/>
          <w:sz w:val="17"/>
          <w:szCs w:val="17"/>
          <w:color w:val="auto"/>
        </w:rPr>
        <w:t>The Great Recession of 2008 resulted in large declines in shipments of aggregates products in our industry. Recent years, however, have shown a slow turnaround in this trend. The United States is currently experiencing the third-longest economic recovery since the Great Depression. As of December 31, 2017, the current expansion, which started in June 2009, the approximate end of the Great Recession, has lasted 102 months. By comparison, the average trough-to-peak expansionary cycle since 1938 was 60 months and, in May 2018, the current cycle will become the second-longest economic recovery since the Great Depression. During this current economic expansion, however, governmental uncertainty, labor shortages and record levels of precipitation have slowed the pace of heavy construction activity, resulting in what we believe to be a slow, steady, extended construction cycle. The Company’s overall aggregates product line shipments remain approximately 10% below mid-cycle demand. Importantly, the level of recovery varies within the Company’s geographic footprint. Specifically, North Carolina and Georgia, key states in the Mid-America and Southeast Groups, respectively, are approximately 20% below mid-cycle demand, while Texas, a key state in the West Group, is modestly above mid-cycle demand. During 2017 our aggregates product line shipments showed a 0.6% decline compared with 2016 levels, after a 1.4% increase in 2016.</w:t>
      </w:r>
    </w:p>
    <w:p>
      <w:pPr>
        <w:spacing w:after="0" w:line="183" w:lineRule="exact"/>
        <w:rPr>
          <w:sz w:val="20"/>
          <w:szCs w:val="20"/>
          <w:color w:val="auto"/>
        </w:rPr>
      </w:pPr>
    </w:p>
    <w:p>
      <w:pPr>
        <w:ind w:right="40" w:firstLine="457"/>
        <w:spacing w:after="0" w:line="282" w:lineRule="auto"/>
        <w:rPr>
          <w:sz w:val="20"/>
          <w:szCs w:val="20"/>
          <w:color w:val="auto"/>
        </w:rPr>
      </w:pPr>
      <w:r>
        <w:rPr>
          <w:rFonts w:ascii="Arial" w:cs="Arial" w:eastAsia="Arial" w:hAnsi="Arial"/>
          <w:sz w:val="16"/>
          <w:szCs w:val="16"/>
          <w:color w:val="auto"/>
        </w:rPr>
        <w:t>While historical spending on public infrastructure projects has been comparatively more stable as governmental appropriations and expenditures are typically less interest rate-sensitive than private sector spending, we experienced a slight retraction in aggregates product line shipments to the infrastructure market after uncertainty regarding the solvency of the federal highway bill in 2014. Contractors were not able to get any certainty on the availability of federal infrastructure funding until late 2015 with the enactment of a new federal highway bill, which has had insignificant impact at the federal level to date. This time lag with commencement of federal infrastructure funding was accompanied by a reduction in some states’ investment in highway maintenance.</w:t>
      </w:r>
    </w:p>
    <w:p>
      <w:pPr>
        <w:spacing w:after="0" w:line="165" w:lineRule="exact"/>
        <w:rPr>
          <w:sz w:val="20"/>
          <w:szCs w:val="20"/>
          <w:color w:val="auto"/>
        </w:rPr>
      </w:pPr>
    </w:p>
    <w:p>
      <w:pPr>
        <w:jc w:val="both"/>
        <w:ind w:right="260" w:firstLine="457"/>
        <w:spacing w:after="0" w:line="311" w:lineRule="auto"/>
        <w:rPr>
          <w:sz w:val="20"/>
          <w:szCs w:val="20"/>
          <w:color w:val="auto"/>
        </w:rPr>
      </w:pPr>
      <w:r>
        <w:rPr>
          <w:rFonts w:ascii="Arial" w:cs="Arial" w:eastAsia="Arial" w:hAnsi="Arial"/>
          <w:sz w:val="15"/>
          <w:szCs w:val="15"/>
          <w:color w:val="auto"/>
        </w:rPr>
        <w:t>The public infrastructure market accounted for approximately 40% of the Company’s aggregates product line shipments in 2017, consistent with 2016 and 2015. Government uncertainty, attendant project delays and tight labor markets have exerted disproportionate downward pressure on public construction activity and, for the past three years, as these headwinds have worsened, the Company’s shipments to this end use market have remained below the most recent five-year average of 43% and ten-year average of 48%. Our aggregates shipments to the infrastructure construction market increased 2% in 2017 compared with 2016.</w:t>
      </w:r>
    </w:p>
    <w:p>
      <w:pPr>
        <w:spacing w:after="0" w:line="144" w:lineRule="exact"/>
        <w:rPr>
          <w:sz w:val="20"/>
          <w:szCs w:val="20"/>
          <w:color w:val="auto"/>
        </w:rPr>
      </w:pPr>
    </w:p>
    <w:p>
      <w:pPr>
        <w:ind w:firstLine="457"/>
        <w:spacing w:after="0" w:line="277" w:lineRule="auto"/>
        <w:rPr>
          <w:sz w:val="20"/>
          <w:szCs w:val="20"/>
          <w:color w:val="auto"/>
        </w:rPr>
      </w:pPr>
      <w:r>
        <w:rPr>
          <w:rFonts w:ascii="Arial" w:cs="Arial" w:eastAsia="Arial" w:hAnsi="Arial"/>
          <w:sz w:val="16"/>
          <w:szCs w:val="16"/>
          <w:color w:val="auto"/>
        </w:rPr>
        <w:t>The nonresidential construction market accounted for approximately 31% of the Company’s aggregates product line shipments in 2017. Our aggregates shipments to the nonresidential construction market decreased 3% in 2017 compared with 2016. According to the U.S. Census Bureau, spending for the private nonresidential construction market increased in 2017 compared with 2016. The Dodge Momentum Index (DMI), a twelve-month leading indicator of construction spending for nonresidential building compiled by McGraw-Hill Construction and where the year 2000 serves as an index basis of 100, remained strong at a nine-year high of 153.9 in December 2017, a 21% increase over prior year. Historically, half of the Company’s nonresidential construction shipments have been used for office and retail projects, while the remainder has been used for heavy industrial and capacity-related projects, including energy-related projects. Since the latter part of 2015, low oil prices have suppressed shipments directly into shale exploration activities. In 2017, the Company shipped approximately 1.8 million tons for shale exploration compared with approximately 1.5 million tons in 2016 and 3.6 million tons in 2015.</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400"/>
          </w:cols>
          <w:pgMar w:left="240" w:top="446" w:right="259" w:bottom="1440" w:gutter="0" w:footer="0" w:header="0"/>
        </w:sectPr>
      </w:pPr>
    </w:p>
    <w:bookmarkStart w:id="25" w:name="page26"/>
    <w:bookmarkEnd w:id="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ind w:firstLine="457"/>
        <w:spacing w:after="0" w:line="276" w:lineRule="auto"/>
        <w:rPr>
          <w:sz w:val="20"/>
          <w:szCs w:val="20"/>
          <w:color w:val="auto"/>
        </w:rPr>
      </w:pPr>
      <w:r>
        <w:rPr>
          <w:rFonts w:ascii="Arial" w:cs="Arial" w:eastAsia="Arial" w:hAnsi="Arial"/>
          <w:sz w:val="16"/>
          <w:szCs w:val="16"/>
          <w:color w:val="auto"/>
        </w:rPr>
        <w:t>The residential construction market accounted for approximately 21% of the Company’s aggregates product line shipments in 2017. Our aggregates shipments to the residential construction market increased 1% in 2017 compared with 2016. Private residential construction spending increased 12% in 2017 compared with 2016, according to the U.S. Census Bureau. The residential construction market, like the nonresidential construction market, is interest rate-sensitive and typically moves in direct correlation with economic cycles. The Company’s exposure to residential construction is split between aggregates used in the construction of subdivisions (including roads, sidewalks, and storm and sewage drainage), aggregates used in new single-family home construction and aggregates used in construction of multi-family units. Construction of both subdivisions and single-family homes is more aggregates intensive than construction of multi-family units. Through an economic cycle, multi-family construction generally begins early in the cycle and then transitions to single-family construction. Therefore, the timing of new subdivision starts, as well as new single-family housing permits, are strong indicators of residential volumes. While residential housing starts were approximately 1.3 million units in 2017, they still remain below the 50-year historical annual average of 1.5 million units.</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is dependent on funding from a combination of federal, state and local sources.</w:t>
      </w:r>
    </w:p>
    <w:p>
      <w:pPr>
        <w:spacing w:after="0" w:line="116" w:lineRule="exact"/>
        <w:rPr>
          <w:sz w:val="20"/>
          <w:szCs w:val="20"/>
          <w:color w:val="auto"/>
        </w:rPr>
      </w:pPr>
    </w:p>
    <w:p>
      <w:pPr>
        <w:ind w:right="120" w:firstLine="457"/>
        <w:spacing w:after="0" w:line="257" w:lineRule="auto"/>
        <w:rPr>
          <w:sz w:val="20"/>
          <w:szCs w:val="20"/>
          <w:color w:val="auto"/>
        </w:rPr>
      </w:pPr>
      <w:r>
        <w:rPr>
          <w:rFonts w:ascii="Arial" w:cs="Arial" w:eastAsia="Arial" w:hAnsi="Arial"/>
          <w:sz w:val="17"/>
          <w:szCs w:val="17"/>
          <w:color w:val="auto"/>
        </w:rPr>
        <w:t xml:space="preserve">Our aggregates and cement products are used in public infrastructure projects, which include the construction, maintenance, and improvement of highways, streets, roads, bridges, schools, and similar projects. Accordingly, our business is dependent on the level of federal, state, and local spending on these projects. The visibility into future federal infrastructure funding was clarified near the end of 2015 with the passage of the current federal highway bill, the FAST Act, which reauthorizes federal highway and transportation funding programs. The FAST Act also changes the </w:t>
      </w:r>
      <w:r>
        <w:rPr>
          <w:rFonts w:ascii="Arial" w:cs="Arial" w:eastAsia="Arial" w:hAnsi="Arial"/>
          <w:sz w:val="17"/>
          <w:szCs w:val="17"/>
          <w:i w:val="1"/>
          <w:iCs w:val="1"/>
          <w:color w:val="auto"/>
        </w:rPr>
        <w:t>Transportation Infrastructure and Innovation Act</w:t>
      </w:r>
      <w:r>
        <w:rPr>
          <w:rFonts w:ascii="Arial" w:cs="Arial" w:eastAsia="Arial" w:hAnsi="Arial"/>
          <w:sz w:val="17"/>
          <w:szCs w:val="17"/>
          <w:color w:val="auto"/>
        </w:rPr>
        <w:t xml:space="preserve"> (“TIFIA”) funding, a federal alternative funding mechanism for transportation projects. Under the FAST Act TIFIA funding ranges from $275 million to $300 million, and no longer requires the 20% matching funds from state DOTs. While the total value of United States overall public-works spending increased in 2017, federal funding through the FAST Act did not impact highway spending in any meaningful way. This increase in overall public works spending in 2017 demonstrates the commitment of states to address the underlying demand for infrastructure investment. We expect to see some increased infrastructure spending at the state level in 2018, but no meaningful impact from the FAST Act funding or an enhanced federal infrastructure bill until 2019 or later. Any enhanced federal infrastructure bill will require Congressional approval. We cannot be assured, however, of such approval or of the existence, amount, and timing of appropriations for spending on future projects.</w:t>
      </w:r>
    </w:p>
    <w:p>
      <w:pPr>
        <w:spacing w:after="0" w:line="189" w:lineRule="exact"/>
        <w:rPr>
          <w:sz w:val="20"/>
          <w:szCs w:val="20"/>
          <w:color w:val="auto"/>
        </w:rPr>
      </w:pPr>
    </w:p>
    <w:p>
      <w:pPr>
        <w:ind w:right="140" w:firstLine="457"/>
        <w:spacing w:after="0" w:line="276" w:lineRule="auto"/>
        <w:rPr>
          <w:sz w:val="20"/>
          <w:szCs w:val="20"/>
          <w:color w:val="auto"/>
        </w:rPr>
      </w:pPr>
      <w:r>
        <w:rPr>
          <w:rFonts w:ascii="Arial" w:cs="Arial" w:eastAsia="Arial" w:hAnsi="Arial"/>
          <w:sz w:val="16"/>
          <w:szCs w:val="16"/>
          <w:color w:val="auto"/>
        </w:rPr>
        <w:t>Federal highway bills provide spending authorizations that represent maximum amounts. Each year, an appropriation act is passed establishing the amount that can actually be used for particular programs. The annual funding level is generally tied to receipts of highway user taxes placed in the Highway Trust Fund. Once the annual appropriation is passed, funds are distributed to each state based on formulas (apportionments) or other procedures (allocations). Apportioned and allocated funds generally must be spent on specific programs as outlined in the federal legislation. The Highway Trust Fund has experienced shortfalls in recent years, due to high gas prices, fewer miles driven and improved automobile fuel efficiency. These shortfalls created a significant decline in federal highway funding levels. In response to the projected shortfalls, money has been transferred from the General Fund into the Highway Trust Fund over the past several years. Timely Congressional action is needed to address the funding mechanism for the Highway Trust Fund. We cannot be assured of the existence, timing or amount of federal highway funding levels in the future. We also cannot be assured of the impact of the recent sharp reduction in gasoline prices on the levels of highway user taxes that might be collected in the future and the corresponding levels of funding to the Highway Trust Fund.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420"/>
          </w:cols>
          <w:pgMar w:left="240" w:top="446" w:right="239" w:bottom="1440" w:gutter="0" w:footer="0" w:header="0"/>
        </w:sectPr>
      </w:pPr>
    </w:p>
    <w:bookmarkStart w:id="26" w:name="page27"/>
    <w:bookmarkEnd w:id="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ind w:right="60" w:firstLine="457"/>
        <w:spacing w:after="0" w:line="260" w:lineRule="auto"/>
        <w:rPr>
          <w:sz w:val="20"/>
          <w:szCs w:val="20"/>
          <w:color w:val="auto"/>
        </w:rPr>
      </w:pPr>
      <w:r>
        <w:rPr>
          <w:rFonts w:ascii="Arial" w:cs="Arial" w:eastAsia="Arial" w:hAnsi="Arial"/>
          <w:sz w:val="17"/>
          <w:szCs w:val="17"/>
          <w:color w:val="auto"/>
        </w:rPr>
        <w:t>At the state level, each state funds its infrastructure spending from specially allocated amounts collected from various taxes, typically gasoline taxes and vehicle fees, along with voter-approved bond programs. Shortages in state tax revenues can reduce the amounts spent on state infrastructure projects, even below amounts awarded under legislative bills. Delays in state infrastructure spending can hurt our business. Many states after the Great Recession experienced state-level funding pressures caused by lower tax revenues and an inability to finance approved projects. For example, North Carolina was among the states that experienced these pressures, and this state disproportionately affects our revenues and profits. Most state budgets, including North Carolina, improved in 2014 and later years as increased tax revenues helped resolve budget deficits.</w:t>
      </w:r>
    </w:p>
    <w:p>
      <w:pPr>
        <w:spacing w:after="0" w:line="183" w:lineRule="exact"/>
        <w:rPr>
          <w:sz w:val="20"/>
          <w:szCs w:val="20"/>
          <w:color w:val="auto"/>
        </w:rPr>
      </w:pPr>
    </w:p>
    <w:p>
      <w:pPr>
        <w:ind w:right="180" w:firstLine="457"/>
        <w:spacing w:after="0" w:line="262" w:lineRule="auto"/>
        <w:rPr>
          <w:sz w:val="20"/>
          <w:szCs w:val="20"/>
          <w:color w:val="auto"/>
        </w:rPr>
      </w:pPr>
      <w:r>
        <w:rPr>
          <w:rFonts w:ascii="Arial" w:cs="Arial" w:eastAsia="Arial" w:hAnsi="Arial"/>
          <w:sz w:val="17"/>
          <w:szCs w:val="17"/>
          <w:color w:val="auto"/>
        </w:rPr>
        <w:t>During the past 36 months, many states have taken on a significantly larger role in funding infrastructure investment, including initiating special-purpose taxes and raising gas taxes. In the November 2017 election, $3.7 billion of transportation funding initiatives were approved in Texas, Colorado, Georgia, South Carolina and Kansas. We anticipate further growth in state-level funding initiatives, such as bond issues, toll roads, and special purpose taxes, as states address infrastructure needs, particularly in periods of federal funding uncertainty. Nevertheless, it is a continuing risk to our business that sufficient funding from federal, state, and local sources will not be available to address infrastructure needs.</w:t>
      </w:r>
    </w:p>
    <w:p>
      <w:pPr>
        <w:spacing w:after="0" w:line="179" w:lineRule="exact"/>
        <w:rPr>
          <w:sz w:val="20"/>
          <w:szCs w:val="20"/>
          <w:color w:val="auto"/>
        </w:rPr>
      </w:pPr>
    </w:p>
    <w:p>
      <w:pPr>
        <w:ind w:right="480" w:firstLine="457"/>
        <w:spacing w:after="0" w:line="270" w:lineRule="auto"/>
        <w:rPr>
          <w:sz w:val="20"/>
          <w:szCs w:val="20"/>
          <w:color w:val="auto"/>
        </w:rPr>
      </w:pPr>
      <w:r>
        <w:rPr>
          <w:rFonts w:ascii="Arial" w:cs="Arial" w:eastAsia="Arial" w:hAnsi="Arial"/>
          <w:sz w:val="17"/>
          <w:szCs w:val="17"/>
          <w:color w:val="auto"/>
        </w:rPr>
        <w:t>With most states in recovery or expansion, the sustained decline in energy costs may be the catalyst in some markets to boost construction and help our business. But those markets that are heavily dependent on the energy sector, namely Oklahoma and West Virginia, may, with the decrease in oil production, experience recessions or continued recessions, which would adversely impact our business.</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Building Materials business is seasonal and subject to the weather, which can significantly impact operations.</w:t>
      </w:r>
    </w:p>
    <w:p>
      <w:pPr>
        <w:spacing w:after="0" w:line="116" w:lineRule="exact"/>
        <w:rPr>
          <w:sz w:val="20"/>
          <w:szCs w:val="20"/>
          <w:color w:val="auto"/>
        </w:rPr>
      </w:pPr>
    </w:p>
    <w:p>
      <w:pPr>
        <w:ind w:firstLine="457"/>
        <w:spacing w:after="0" w:line="274" w:lineRule="auto"/>
        <w:rPr>
          <w:sz w:val="20"/>
          <w:szCs w:val="20"/>
          <w:color w:val="auto"/>
        </w:rPr>
      </w:pPr>
      <w:r>
        <w:rPr>
          <w:rFonts w:ascii="Arial" w:cs="Arial" w:eastAsia="Arial" w:hAnsi="Arial"/>
          <w:sz w:val="16"/>
          <w:szCs w:val="16"/>
          <w:color w:val="auto"/>
        </w:rPr>
        <w:t>Since the heavy-side construction business is conducted outdoors, erratic weather patterns, seasonal changes and other weather-related conditions affect our business. Adverse weather conditions, including hurricanes and tropical storms, cold weather, snow, and heavy or sustained rainfall, reduce construction activity, restrict the demand for our products, and impede our ability to efficiently transport material. Adverse weather conditions also increase our costs and reduce our production output as a result of power loss, needed plant and equipment repairs, time required to remove water from flooded operations, and similar events. Severe drought conditions can restrict available water supplies and restrict production. The Building Materials product lines’ production and shipment levels follow activity in the construction industry, which typically occur in the spring, summer and fall. Because of the weather’s effect on the construction industry’s activity, the production and shipment levels for the Company’s Building Materials business, including all of its aggregates-related downstream operations, vary by quarter. The second and third quarters are generally the most profitable and the first quarter is generally the least profitable. Weather-related hindrances were exacerbated over the last two years by record precipitation in many of our key markets. Nationally, 2017 marked the 20th wettest year on record, and the fifth consecutive year with above-average precipitation. The last few years brought an unprecedented amount of precipitation to the United States and particularly to Texas. Importantly, inclement weather was most significant during the second and third quarters, which represents the zenith of the construction season. For the six-month period from April through September, for the 123 years the National Oceanic Atmospheric Administration (NOAA) has been tracking data, most areas experienced above-average rainfall. These weather events reduced the Company’s overall profitability in 2017 and 2016, so our results for those years, or in comparison to other years, may not be indicative of our future operating results.</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400"/>
          </w:cols>
          <w:pgMar w:left="240" w:top="446" w:right="259" w:bottom="1440" w:gutter="0" w:footer="0" w:header="0"/>
        </w:sectPr>
      </w:pPr>
    </w:p>
    <w:bookmarkStart w:id="27" w:name="page28"/>
    <w:bookmarkEnd w:id="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ind w:right="20" w:firstLine="457"/>
        <w:spacing w:after="0" w:line="259" w:lineRule="auto"/>
        <w:rPr>
          <w:sz w:val="20"/>
          <w:szCs w:val="20"/>
          <w:color w:val="auto"/>
        </w:rPr>
      </w:pPr>
      <w:r>
        <w:rPr>
          <w:rFonts w:ascii="Arial" w:cs="Arial" w:eastAsia="Arial" w:hAnsi="Arial"/>
          <w:sz w:val="17"/>
          <w:szCs w:val="17"/>
          <w:color w:val="auto"/>
        </w:rPr>
        <w:t>The Company’s operations in the southeastern and Gulf Coast regions of the United States and the Bahamas are at risk for hurricane activity, most notably in August, September and October. In Texas, Hurricane Harvey, a Category 4 storm that made landfall in Houston in August 2017, brought nearly 20 trillion gallons of precipitation. In the Southeast, Hurricane Irma, also a Category 4 storm, made landfall in Florida in September 2017 and brought excessive rainfall to the southeastern United States, notably Florida and Georgia. In October 2016, rainfall along the eastern seaboard of the United States from Hurricane Matthew, a category-5 hurricane, approximated 13.6 trillion gallons. Hurricane Matthew was the first major hurricane on record to make landfall in the Bahamas, where the Company has a facility. These hurricanes generated winds, rainfall, and flooding which disrupted operations in Texas, Louisiana, Florida, Georgia, the Carolinas, and the Bahamas.</w:t>
      </w: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Building Materials business depends on the availability of aggregate reserves or deposits and our ability to mine them economically.</w:t>
      </w:r>
    </w:p>
    <w:p>
      <w:pPr>
        <w:spacing w:after="0" w:line="116" w:lineRule="exact"/>
        <w:rPr>
          <w:sz w:val="20"/>
          <w:szCs w:val="20"/>
          <w:color w:val="auto"/>
        </w:rPr>
      </w:pPr>
    </w:p>
    <w:p>
      <w:pPr>
        <w:ind w:firstLine="457"/>
        <w:spacing w:after="0" w:line="260" w:lineRule="auto"/>
        <w:rPr>
          <w:sz w:val="20"/>
          <w:szCs w:val="20"/>
          <w:color w:val="auto"/>
        </w:rPr>
      </w:pPr>
      <w:r>
        <w:rPr>
          <w:rFonts w:ascii="Arial" w:cs="Arial" w:eastAsia="Arial" w:hAnsi="Arial"/>
          <w:sz w:val="17"/>
          <w:szCs w:val="17"/>
          <w:color w:val="auto"/>
        </w:rPr>
        <w:t>Our challenge is to find aggregates deposits that we can mine economically, with appropriate permits, near either growing markets or long-haul transportation corridors that economically serve growing markets. As communities have grown, they have taken up attractive quarrying locations and have imposed restrictions on mining. We try to meet this challenge by identifying and permitting sites prior to economic expansion, buying more land around our existing quarries to increase our mineral reserves, developing underground mines, and developing a distribution network that transports aggregates products by various transportation methods, including rail and water, that allows us to transport our products longer distances than would normally be considered economical, but we can give no assurances that we will be successful.</w:t>
      </w: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is a capital-intensive business.</w:t>
      </w:r>
    </w:p>
    <w:p>
      <w:pPr>
        <w:spacing w:after="0" w:line="116" w:lineRule="exact"/>
        <w:rPr>
          <w:sz w:val="20"/>
          <w:szCs w:val="20"/>
          <w:color w:val="auto"/>
        </w:rPr>
      </w:pPr>
    </w:p>
    <w:p>
      <w:pPr>
        <w:ind w:right="160" w:firstLine="457"/>
        <w:spacing w:after="0" w:line="305" w:lineRule="auto"/>
        <w:rPr>
          <w:sz w:val="20"/>
          <w:szCs w:val="20"/>
          <w:color w:val="auto"/>
        </w:rPr>
      </w:pPr>
      <w:r>
        <w:rPr>
          <w:rFonts w:ascii="Arial" w:cs="Arial" w:eastAsia="Arial" w:hAnsi="Arial"/>
          <w:sz w:val="15"/>
          <w:szCs w:val="15"/>
          <w:color w:val="auto"/>
        </w:rPr>
        <w:t>The property and machinery needed to produce our products are very expensive. Therefore, we require large amounts of cash to operate our businesses. We believe that our cash on hand, along with our projected internal cash flows and our available financing resources, will be enough to give us the cash we need to support our anticipated operating and capital needs. Our ability to generate sufficient cash flow depends on future performance, which will be subject to general economic conditions, industry cycles and financial, business, and other factors affecting our operations, many of which are beyond our control. If we are unable to generate sufficient cash to operate our business, we may be required, among other things, to further reduce or delay planned capital or operating expenditures.</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businesses face many competitors.</w:t>
      </w:r>
    </w:p>
    <w:p>
      <w:pPr>
        <w:spacing w:after="0" w:line="116" w:lineRule="exact"/>
        <w:rPr>
          <w:sz w:val="20"/>
          <w:szCs w:val="20"/>
          <w:color w:val="auto"/>
        </w:rPr>
      </w:pPr>
    </w:p>
    <w:p>
      <w:pPr>
        <w:ind w:right="40" w:firstLine="457"/>
        <w:spacing w:after="0" w:line="259" w:lineRule="auto"/>
        <w:rPr>
          <w:sz w:val="20"/>
          <w:szCs w:val="20"/>
          <w:color w:val="auto"/>
        </w:rPr>
      </w:pPr>
      <w:r>
        <w:rPr>
          <w:rFonts w:ascii="Arial" w:cs="Arial" w:eastAsia="Arial" w:hAnsi="Arial"/>
          <w:sz w:val="17"/>
          <w:szCs w:val="17"/>
          <w:color w:val="auto"/>
        </w:rPr>
        <w:t>Our businesses have many competitors, some of whom are bigger and have more resources than we do. Some of our competitors also operate on a worldwide basis. Our results are affected by the number of competitors in a market, the production capacity that a particular market can accommodate, the pricing practices of other competitors, and the entry of new competitors in a market. We also face competition for some of our products from alternative products. For example, our Magnesia Specialties business may compete with other chemical products that could be used instead of our magnesia-based products. As other examples, our aggregates, ready mix concrete, and asphalt and paving product lines may compete with recycled asphalt and concrete products that could be used instead of new products and our cement product line may compete with international competitors who are importing product to the United States with lower production and regulatory costs.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400"/>
          </w:cols>
          <w:pgMar w:left="240" w:top="446" w:right="259" w:bottom="1440" w:gutter="0" w:footer="0" w:header="0"/>
        </w:sectPr>
      </w:pPr>
    </w:p>
    <w:bookmarkStart w:id="28" w:name="page29"/>
    <w:bookmarkEnd w:id="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businesses could be impacted by rising interest rates.</w:t>
      </w:r>
    </w:p>
    <w:p>
      <w:pPr>
        <w:spacing w:after="0" w:line="116" w:lineRule="exact"/>
        <w:rPr>
          <w:sz w:val="20"/>
          <w:szCs w:val="20"/>
          <w:color w:val="auto"/>
        </w:rPr>
      </w:pPr>
    </w:p>
    <w:p>
      <w:pPr>
        <w:ind w:right="140" w:firstLine="457"/>
        <w:spacing w:after="0" w:line="285" w:lineRule="auto"/>
        <w:rPr>
          <w:sz w:val="20"/>
          <w:szCs w:val="20"/>
          <w:color w:val="auto"/>
        </w:rPr>
      </w:pPr>
      <w:r>
        <w:rPr>
          <w:rFonts w:ascii="Arial" w:cs="Arial" w:eastAsia="Arial" w:hAnsi="Arial"/>
          <w:sz w:val="17"/>
          <w:szCs w:val="17"/>
          <w:color w:val="auto"/>
        </w:rPr>
        <w:t>As discussed previously, our operations are highly dependent upon the interest rate-sensitive construction and steelmaking industries. Therefore, business in these industries and for us may decline if interest rates rise and costs increase.</w:t>
      </w:r>
    </w:p>
    <w:p>
      <w:pPr>
        <w:spacing w:after="0" w:line="159" w:lineRule="exact"/>
        <w:rPr>
          <w:sz w:val="20"/>
          <w:szCs w:val="20"/>
          <w:color w:val="auto"/>
        </w:rPr>
      </w:pPr>
    </w:p>
    <w:p>
      <w:pPr>
        <w:ind w:right="40" w:firstLine="457"/>
        <w:spacing w:after="0" w:line="270" w:lineRule="auto"/>
        <w:rPr>
          <w:sz w:val="20"/>
          <w:szCs w:val="20"/>
          <w:color w:val="auto"/>
        </w:rPr>
      </w:pPr>
      <w:r>
        <w:rPr>
          <w:rFonts w:ascii="Arial" w:cs="Arial" w:eastAsia="Arial" w:hAnsi="Arial"/>
          <w:sz w:val="17"/>
          <w:szCs w:val="17"/>
          <w:color w:val="auto"/>
        </w:rPr>
        <w:t>For example, demand in the residential construction market in which we sell our aggregate products is affected by interest rates. In 2017, the Federal Reserve raised the federal funds rate to over one percent for the first time in nearly a decade. The residential construction market accounted for 21% of our aggregates product line shipments in 2017.</w:t>
      </w:r>
    </w:p>
    <w:p>
      <w:pPr>
        <w:spacing w:after="0" w:line="171" w:lineRule="exact"/>
        <w:rPr>
          <w:sz w:val="20"/>
          <w:szCs w:val="20"/>
          <w:color w:val="auto"/>
        </w:rPr>
      </w:pPr>
    </w:p>
    <w:p>
      <w:pPr>
        <w:ind w:right="320" w:firstLine="457"/>
        <w:spacing w:after="0" w:line="270" w:lineRule="auto"/>
        <w:rPr>
          <w:sz w:val="20"/>
          <w:szCs w:val="20"/>
          <w:color w:val="auto"/>
        </w:rPr>
      </w:pPr>
      <w:r>
        <w:rPr>
          <w:rFonts w:ascii="Arial" w:cs="Arial" w:eastAsia="Arial" w:hAnsi="Arial"/>
          <w:sz w:val="17"/>
          <w:szCs w:val="17"/>
          <w:color w:val="auto"/>
        </w:rPr>
        <w:t>Aside from these inherent risks from within our operations, our earnings are also affected by changes in short-term interest rates. However, rising interest rates are not necessarily predictive of weaker operating results. Historically, our profitability increased during period of rising interest rates. In essence, our underlying business generally serves as a natural hedge to rising interest rates.</w:t>
      </w:r>
    </w:p>
    <w:p>
      <w:pPr>
        <w:spacing w:after="0" w:line="171" w:lineRule="exact"/>
        <w:rPr>
          <w:sz w:val="20"/>
          <w:szCs w:val="20"/>
          <w:color w:val="auto"/>
        </w:rPr>
      </w:pPr>
    </w:p>
    <w:p>
      <w:pPr>
        <w:ind w:right="40" w:firstLine="457"/>
        <w:spacing w:after="0" w:line="285" w:lineRule="auto"/>
        <w:rPr>
          <w:sz w:val="20"/>
          <w:szCs w:val="20"/>
          <w:color w:val="auto"/>
        </w:rPr>
      </w:pPr>
      <w:r>
        <w:rPr>
          <w:rFonts w:ascii="Arial" w:cs="Arial" w:eastAsia="Arial" w:hAnsi="Arial"/>
          <w:sz w:val="17"/>
          <w:szCs w:val="17"/>
          <w:color w:val="auto"/>
        </w:rPr>
        <w:t>Rising interest rates could also result in disruptions in the credit markets, which could affect our business, as described in greater detail under “</w:t>
      </w:r>
      <w:r>
        <w:rPr>
          <w:rFonts w:ascii="Arial" w:cs="Arial" w:eastAsia="Arial" w:hAnsi="Arial"/>
          <w:sz w:val="17"/>
          <w:szCs w:val="17"/>
          <w:i w:val="1"/>
          <w:iCs w:val="1"/>
          <w:color w:val="auto"/>
        </w:rPr>
        <w:t>Disruptions in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the credit markets could affect our business” </w:t>
      </w:r>
      <w:r>
        <w:rPr>
          <w:rFonts w:ascii="Arial" w:cs="Arial" w:eastAsia="Arial" w:hAnsi="Arial"/>
          <w:sz w:val="17"/>
          <w:szCs w:val="17"/>
          <w:color w:val="auto"/>
        </w:rPr>
        <w:t>below.</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future growth may depend in part on acquiring other businesses in our industry.</w:t>
      </w:r>
    </w:p>
    <w:p>
      <w:pPr>
        <w:spacing w:after="0" w:line="116" w:lineRule="exact"/>
        <w:rPr>
          <w:sz w:val="20"/>
          <w:szCs w:val="20"/>
          <w:color w:val="auto"/>
        </w:rPr>
      </w:pPr>
    </w:p>
    <w:p>
      <w:pPr>
        <w:ind w:firstLine="457"/>
        <w:spacing w:after="0" w:line="260" w:lineRule="auto"/>
        <w:rPr>
          <w:sz w:val="20"/>
          <w:szCs w:val="20"/>
          <w:color w:val="auto"/>
        </w:rPr>
      </w:pPr>
      <w:r>
        <w:rPr>
          <w:rFonts w:ascii="Arial" w:cs="Arial" w:eastAsia="Arial" w:hAnsi="Arial"/>
          <w:sz w:val="17"/>
          <w:szCs w:val="17"/>
          <w:color w:val="auto"/>
        </w:rPr>
        <w:t>We expect to continue to grow, in part, by buying other businesses. We will continue to look for strategic businesses to acquire, like our acquisition of TXI in 2014 and our pending acquisition of Bluegrass Materials. In the past, we have made acquisitions to strengthen our existing locations, expand our operations and enter new geographic markets. We will continue to make selective acquisitions, joint ventures or other business arrangements we believe will help our company. However, the continued success of our acquisition program will depend on our ability to find and buy other attractive businesses at a reasonable price and our ability to integrate acquired businesses into our existing operations. We cannot assume there will continue to be attractive acquisition opportunities for sale at reasonable prices that we can successfully integrate into our operations.</w:t>
      </w:r>
    </w:p>
    <w:p>
      <w:pPr>
        <w:spacing w:after="0" w:line="183" w:lineRule="exact"/>
        <w:rPr>
          <w:sz w:val="20"/>
          <w:szCs w:val="20"/>
          <w:color w:val="auto"/>
        </w:rPr>
      </w:pPr>
    </w:p>
    <w:p>
      <w:pPr>
        <w:ind w:right="100" w:firstLine="457"/>
        <w:spacing w:after="0" w:line="265" w:lineRule="auto"/>
        <w:rPr>
          <w:sz w:val="20"/>
          <w:szCs w:val="20"/>
          <w:color w:val="auto"/>
        </w:rPr>
      </w:pPr>
      <w:r>
        <w:rPr>
          <w:rFonts w:ascii="Arial" w:cs="Arial" w:eastAsia="Arial" w:hAnsi="Arial"/>
          <w:sz w:val="17"/>
          <w:szCs w:val="17"/>
          <w:color w:val="auto"/>
        </w:rPr>
        <w:t>We may decide to pay all or part of the purchase price of any future acquisition (excluding Bluegrass Materials) with shares of our common stock. For example, we used our common stock in our acquisition of TXI. We may also use our stock to make strategic investments in other companies to complement and expand our operations. If we use our common stock in this way, the ownership interests of our shareholders will be diluted and the price of our stock could fall. We operate our businesses with the objective of maximizing long-term shareholder return.</w:t>
      </w:r>
    </w:p>
    <w:p>
      <w:pPr>
        <w:spacing w:after="0" w:line="279" w:lineRule="exact"/>
        <w:rPr>
          <w:sz w:val="20"/>
          <w:szCs w:val="20"/>
          <w:color w:val="auto"/>
        </w:rPr>
      </w:pPr>
    </w:p>
    <w:p>
      <w:pPr>
        <w:ind w:right="20"/>
        <w:spacing w:after="0" w:line="285" w:lineRule="auto"/>
        <w:rPr>
          <w:sz w:val="20"/>
          <w:szCs w:val="20"/>
          <w:color w:val="auto"/>
        </w:rPr>
      </w:pPr>
      <w:r>
        <w:rPr>
          <w:rFonts w:ascii="Arial" w:cs="Arial" w:eastAsia="Arial" w:hAnsi="Arial"/>
          <w:sz w:val="17"/>
          <w:szCs w:val="17"/>
          <w:b w:val="1"/>
          <w:bCs w:val="1"/>
          <w:i w:val="1"/>
          <w:iCs w:val="1"/>
          <w:color w:val="auto"/>
        </w:rPr>
        <w:t>We cannot be assured our proposed acquisition of Bluegrass Materials will be completed or will be completed in the timeframe or on the terms or in the manner we currently anticipate.</w:t>
      </w:r>
    </w:p>
    <w:p>
      <w:pPr>
        <w:spacing w:after="0" w:line="55" w:lineRule="exact"/>
        <w:rPr>
          <w:sz w:val="20"/>
          <w:szCs w:val="20"/>
          <w:color w:val="auto"/>
        </w:rPr>
      </w:pPr>
    </w:p>
    <w:p>
      <w:pPr>
        <w:ind w:right="20" w:firstLine="457"/>
        <w:spacing w:after="0" w:line="305" w:lineRule="auto"/>
        <w:rPr>
          <w:sz w:val="20"/>
          <w:szCs w:val="20"/>
          <w:color w:val="auto"/>
        </w:rPr>
      </w:pPr>
      <w:r>
        <w:rPr>
          <w:rFonts w:ascii="Arial" w:cs="Arial" w:eastAsia="Arial" w:hAnsi="Arial"/>
          <w:sz w:val="15"/>
          <w:szCs w:val="15"/>
          <w:color w:val="auto"/>
        </w:rPr>
        <w:t>There are a number of risks and uncertainties relating to our proposed acquisition of Bluegrass Materials. For example, the acquisition may not be completed, or may not be completed in the timeframe, on the terms or in the manner we currently anticipate, as a result of a number of factors, including the failure of one or more of the conditions to closing the proposed acquisition. We cannot be assured the conditions to closing the proposed acquisition will be satisfied or waived or that other events will not intervene to delay or result in the failure to close the acquisition. The acquisition agreement may be terminated by the parties under certain circumstances. Any delay in closing or a failure to close could have a negative impact on our business and the trading prices of our securities.</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400"/>
          </w:cols>
          <w:pgMar w:left="240" w:top="446" w:right="259" w:bottom="1440" w:gutter="0" w:footer="0" w:header="0"/>
        </w:sectPr>
      </w:pPr>
    </w:p>
    <w:bookmarkStart w:id="29" w:name="page30"/>
    <w:bookmarkEnd w:id="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ind w:right="640"/>
        <w:spacing w:after="0" w:line="285" w:lineRule="auto"/>
        <w:rPr>
          <w:sz w:val="20"/>
          <w:szCs w:val="20"/>
          <w:color w:val="auto"/>
        </w:rPr>
      </w:pPr>
      <w:r>
        <w:rPr>
          <w:rFonts w:ascii="Arial" w:cs="Arial" w:eastAsia="Arial" w:hAnsi="Arial"/>
          <w:sz w:val="17"/>
          <w:szCs w:val="17"/>
          <w:b w:val="1"/>
          <w:bCs w:val="1"/>
          <w:i w:val="1"/>
          <w:iCs w:val="1"/>
          <w:color w:val="auto"/>
        </w:rPr>
        <w:t>We and Bluegrass Materials will be subject to business uncertainties while the proposed acquisition is pending that could adversely affect our and their business.</w:t>
      </w:r>
    </w:p>
    <w:p>
      <w:pPr>
        <w:spacing w:after="0" w:line="55" w:lineRule="exact"/>
        <w:rPr>
          <w:sz w:val="20"/>
          <w:szCs w:val="20"/>
          <w:color w:val="auto"/>
        </w:rPr>
      </w:pPr>
    </w:p>
    <w:p>
      <w:pPr>
        <w:ind w:right="80" w:firstLine="457"/>
        <w:spacing w:after="0" w:line="259" w:lineRule="auto"/>
        <w:rPr>
          <w:sz w:val="20"/>
          <w:szCs w:val="20"/>
          <w:color w:val="auto"/>
        </w:rPr>
      </w:pPr>
      <w:r>
        <w:rPr>
          <w:rFonts w:ascii="Arial" w:cs="Arial" w:eastAsia="Arial" w:hAnsi="Arial"/>
          <w:sz w:val="17"/>
          <w:szCs w:val="17"/>
          <w:color w:val="auto"/>
        </w:rPr>
        <w:t>Uncertainty about the effect of the proposed acquisition of Bluegrass Materials on employees and customers may have an adverse effect on us and Bluegrass Materials. Although we and Bluegrass Materials intend to take actions to reduce any adverse effects, these uncertainties may impair our and their ability to attract, retain and motivate key personnel until the proposed acquisition is completed and for a period of time thereafter. These uncertainties could cause customers, suppliers, and others that transact business with us and/or Bluegrass Materials to seek to change existing business relationships. In addition, employee retention could be reduced during the pendency of the proposed acquisition, as employees may experience uncertainty about their future roles. If, despite our and Bluegrass Materials’ retention efforts, key employees depart because of concerns relating to the uncertainty and difficulty of the integration process or a desire not to remain with us, our business could be harmed.</w:t>
      </w:r>
    </w:p>
    <w:p>
      <w:pPr>
        <w:spacing w:after="0" w:line="185" w:lineRule="exact"/>
        <w:rPr>
          <w:sz w:val="20"/>
          <w:szCs w:val="20"/>
          <w:color w:val="auto"/>
        </w:rPr>
      </w:pPr>
    </w:p>
    <w:p>
      <w:pPr>
        <w:ind w:right="100" w:firstLine="457"/>
        <w:spacing w:after="0" w:line="282" w:lineRule="auto"/>
        <w:rPr>
          <w:sz w:val="20"/>
          <w:szCs w:val="20"/>
          <w:color w:val="auto"/>
        </w:rPr>
      </w:pPr>
      <w:r>
        <w:rPr>
          <w:rFonts w:ascii="Arial" w:cs="Arial" w:eastAsia="Arial" w:hAnsi="Arial"/>
          <w:sz w:val="16"/>
          <w:szCs w:val="16"/>
          <w:color w:val="auto"/>
        </w:rPr>
        <w:t>Before the proposed acquisition may be completed, the applicable waiting period must expire or terminate under federal law, and we may be required to divest certain assets in order to obtain all necessary regulatory approvals. In addition to this regulatory approval, the proposed acquisition is subject to certain other conditions that may prevent, delay, or otherwise materially adversely affect completion of the transaction. We cannot predict whether and when these other conditions will be satisfied. The requirements for satisfying such conditions could delay completion of the proposed acquisition of Bluegrass Materials for a period of time, reducing or eliminating some anticipated benefits of the transaction, or prevent completion of the Acquisition from occurring at all.</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integration of the acquisition of or business combination with other businesses may not be as successful as projected.</w:t>
      </w:r>
    </w:p>
    <w:p>
      <w:pPr>
        <w:spacing w:after="0" w:line="116" w:lineRule="exact"/>
        <w:rPr>
          <w:sz w:val="20"/>
          <w:szCs w:val="20"/>
          <w:color w:val="auto"/>
        </w:rPr>
      </w:pPr>
    </w:p>
    <w:p>
      <w:pPr>
        <w:ind w:right="40" w:firstLine="457"/>
        <w:spacing w:after="0" w:line="260" w:lineRule="auto"/>
        <w:rPr>
          <w:sz w:val="20"/>
          <w:szCs w:val="20"/>
          <w:color w:val="auto"/>
        </w:rPr>
      </w:pPr>
      <w:r>
        <w:rPr>
          <w:rFonts w:ascii="Arial" w:cs="Arial" w:eastAsia="Arial" w:hAnsi="Arial"/>
          <w:sz w:val="17"/>
          <w:szCs w:val="17"/>
          <w:color w:val="auto"/>
        </w:rPr>
        <w:t>We have a successful history of business combinations and integration of these businesses into our heritage operations. Our largest business acquisition has been our business combination with TXI, which closed in July 2014. In 2015 we completed the integration of TXI’s operations into our own operations ahead of schedule, which allowed us to achieve and exceed the synergies, cost savings, and operating efficiencies we had forecasted from the TXI acquisition. However, in connection with the integration of any business that we may acquire, including our proposed acquisition of Bluegrass Materials, it is a risk factor that we will not be able to achieve such integration in a successful manner or on the time schedule we have projected or in a way that will achieve the level of synergies, cost savings, or operating efficiencies we have forecast from the acquisition.</w:t>
      </w:r>
    </w:p>
    <w:p>
      <w:pPr>
        <w:spacing w:after="0" w:line="183" w:lineRule="exact"/>
        <w:rPr>
          <w:sz w:val="20"/>
          <w:szCs w:val="20"/>
          <w:color w:val="auto"/>
        </w:rPr>
      </w:pPr>
    </w:p>
    <w:p>
      <w:pPr>
        <w:ind w:firstLine="457"/>
        <w:spacing w:after="0" w:line="262" w:lineRule="auto"/>
        <w:rPr>
          <w:sz w:val="20"/>
          <w:szCs w:val="20"/>
          <w:color w:val="auto"/>
        </w:rPr>
      </w:pPr>
      <w:r>
        <w:rPr>
          <w:rFonts w:ascii="Arial" w:cs="Arial" w:eastAsia="Arial" w:hAnsi="Arial"/>
          <w:sz w:val="17"/>
          <w:szCs w:val="17"/>
          <w:color w:val="auto"/>
        </w:rPr>
        <w:t>Any other significant business acquisition or combination we might choose to do, similar to the acquisition of TXI or Bluegrass Materials, would require that we devote significant management attention and resources to preparing for and then integrating our business practices and operations. We believe we would be successful in this integration process. Nevertheless, we may fail to realize some of the anticipated benefits of any potential acquisition or other business combination that we might choose to pursue in the future, if the integration process takes longer than expected or is more costly than expected. Potential difficulties we may encounter in the integration process include:</w:t>
      </w:r>
    </w:p>
    <w:p>
      <w:pPr>
        <w:spacing w:after="0" w:line="88" w:lineRule="exact"/>
        <w:rPr>
          <w:sz w:val="20"/>
          <w:szCs w:val="20"/>
          <w:color w:val="auto"/>
        </w:rPr>
      </w:pPr>
    </w:p>
    <w:p>
      <w:pPr>
        <w:ind w:left="1480" w:right="260" w:hanging="568"/>
        <w:spacing w:after="0" w:line="270" w:lineRule="auto"/>
        <w:tabs>
          <w:tab w:leader="none" w:pos="14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inability to successfully combine operations in a manner that permits us to achieve the cost savings and revenue synergies anticipated to result from the proposed acquisition or business combination, which would result in the anticipated benefits of the acquisition or business combination not being realized partly or wholly in the time frame currently anticipated or at all;</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400"/>
          </w:cols>
          <w:pgMar w:left="240" w:top="446" w:right="259" w:bottom="1440" w:gutter="0" w:footer="0" w:header="0"/>
        </w:sectPr>
      </w:pPr>
    </w:p>
    <w:bookmarkStart w:id="30" w:name="page31"/>
    <w:bookmarkEnd w:id="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ind w:left="1480" w:right="400" w:hanging="568"/>
        <w:spacing w:after="0" w:line="285" w:lineRule="auto"/>
        <w:tabs>
          <w:tab w:leader="none" w:pos="1480" w:val="left"/>
        </w:tabs>
        <w:numPr>
          <w:ilvl w:val="0"/>
          <w:numId w:val="4"/>
        </w:numPr>
        <w:rPr>
          <w:rFonts w:ascii="Arial" w:cs="Arial" w:eastAsia="Arial" w:hAnsi="Arial"/>
          <w:sz w:val="17"/>
          <w:szCs w:val="17"/>
          <w:color w:val="auto"/>
        </w:rPr>
      </w:pPr>
      <w:r>
        <w:rPr>
          <w:rFonts w:ascii="Arial" w:cs="Arial" w:eastAsia="Arial" w:hAnsi="Arial"/>
          <w:sz w:val="17"/>
          <w:szCs w:val="17"/>
          <w:color w:val="auto"/>
        </w:rPr>
        <w:t>lost sales and customers as a result of certain customers of either the Company or former customers of the acquired or combined company deciding not to do business with the Company;</w:t>
      </w:r>
    </w:p>
    <w:p>
      <w:pPr>
        <w:spacing w:after="0" w:line="67" w:lineRule="exact"/>
        <w:rPr>
          <w:rFonts w:ascii="Arial" w:cs="Arial" w:eastAsia="Arial" w:hAnsi="Arial"/>
          <w:sz w:val="17"/>
          <w:szCs w:val="17"/>
          <w:color w:val="auto"/>
        </w:rPr>
      </w:pPr>
    </w:p>
    <w:p>
      <w:pPr>
        <w:ind w:left="1480" w:hanging="568"/>
        <w:spacing w:after="0"/>
        <w:tabs>
          <w:tab w:leader="none" w:pos="1480" w:val="left"/>
        </w:tabs>
        <w:numPr>
          <w:ilvl w:val="0"/>
          <w:numId w:val="4"/>
        </w:numPr>
        <w:rPr>
          <w:rFonts w:ascii="Arial" w:cs="Arial" w:eastAsia="Arial" w:hAnsi="Arial"/>
          <w:sz w:val="17"/>
          <w:szCs w:val="17"/>
          <w:color w:val="auto"/>
        </w:rPr>
      </w:pPr>
      <w:r>
        <w:rPr>
          <w:rFonts w:ascii="Arial" w:cs="Arial" w:eastAsia="Arial" w:hAnsi="Arial"/>
          <w:sz w:val="17"/>
          <w:szCs w:val="17"/>
          <w:color w:val="auto"/>
        </w:rPr>
        <w:t>complexities associated with managing the combined operations;</w:t>
      </w:r>
    </w:p>
    <w:p>
      <w:pPr>
        <w:spacing w:after="0" w:line="128" w:lineRule="exact"/>
        <w:rPr>
          <w:rFonts w:ascii="Arial" w:cs="Arial" w:eastAsia="Arial" w:hAnsi="Arial"/>
          <w:sz w:val="17"/>
          <w:szCs w:val="17"/>
          <w:color w:val="auto"/>
        </w:rPr>
      </w:pPr>
    </w:p>
    <w:p>
      <w:pPr>
        <w:ind w:left="1480" w:hanging="568"/>
        <w:spacing w:after="0"/>
        <w:tabs>
          <w:tab w:leader="none" w:pos="148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integrating personnel;</w:t>
      </w:r>
    </w:p>
    <w:p>
      <w:pPr>
        <w:spacing w:after="0" w:line="128" w:lineRule="exact"/>
        <w:rPr>
          <w:rFonts w:ascii="Arial" w:cs="Arial" w:eastAsia="Arial" w:hAnsi="Arial"/>
          <w:sz w:val="17"/>
          <w:szCs w:val="17"/>
          <w:color w:val="auto"/>
        </w:rPr>
      </w:pPr>
    </w:p>
    <w:p>
      <w:pPr>
        <w:ind w:left="1480" w:hanging="568"/>
        <w:spacing w:after="0"/>
        <w:tabs>
          <w:tab w:leader="none" w:pos="1480" w:val="left"/>
        </w:tabs>
        <w:numPr>
          <w:ilvl w:val="0"/>
          <w:numId w:val="4"/>
        </w:numPr>
        <w:rPr>
          <w:rFonts w:ascii="Arial" w:cs="Arial" w:eastAsia="Arial" w:hAnsi="Arial"/>
          <w:sz w:val="17"/>
          <w:szCs w:val="17"/>
          <w:color w:val="auto"/>
        </w:rPr>
      </w:pPr>
      <w:r>
        <w:rPr>
          <w:rFonts w:ascii="Arial" w:cs="Arial" w:eastAsia="Arial" w:hAnsi="Arial"/>
          <w:sz w:val="17"/>
          <w:szCs w:val="17"/>
          <w:color w:val="auto"/>
        </w:rPr>
        <w:t>creation of uniform standards, internal controls, procedures, policies and information systems;</w:t>
      </w:r>
    </w:p>
    <w:p>
      <w:pPr>
        <w:spacing w:after="0" w:line="128" w:lineRule="exact"/>
        <w:rPr>
          <w:rFonts w:ascii="Arial" w:cs="Arial" w:eastAsia="Arial" w:hAnsi="Arial"/>
          <w:sz w:val="17"/>
          <w:szCs w:val="17"/>
          <w:color w:val="auto"/>
        </w:rPr>
      </w:pPr>
    </w:p>
    <w:p>
      <w:pPr>
        <w:ind w:left="1480" w:right="680" w:hanging="568"/>
        <w:spacing w:after="0" w:line="285" w:lineRule="auto"/>
        <w:tabs>
          <w:tab w:leader="none" w:pos="1480" w:val="left"/>
        </w:tabs>
        <w:numPr>
          <w:ilvl w:val="0"/>
          <w:numId w:val="4"/>
        </w:numPr>
        <w:rPr>
          <w:rFonts w:ascii="Arial" w:cs="Arial" w:eastAsia="Arial" w:hAnsi="Arial"/>
          <w:sz w:val="17"/>
          <w:szCs w:val="17"/>
          <w:color w:val="auto"/>
        </w:rPr>
      </w:pPr>
      <w:r>
        <w:rPr>
          <w:rFonts w:ascii="Arial" w:cs="Arial" w:eastAsia="Arial" w:hAnsi="Arial"/>
          <w:sz w:val="17"/>
          <w:szCs w:val="17"/>
          <w:color w:val="auto"/>
        </w:rPr>
        <w:t>potential unknown liabilities and unforeseen increased expenses, delays or regulatory issues associated with integrating the remaining operations; and</w:t>
      </w:r>
    </w:p>
    <w:p>
      <w:pPr>
        <w:spacing w:after="0" w:line="67" w:lineRule="exact"/>
        <w:rPr>
          <w:rFonts w:ascii="Arial" w:cs="Arial" w:eastAsia="Arial" w:hAnsi="Arial"/>
          <w:sz w:val="17"/>
          <w:szCs w:val="17"/>
          <w:color w:val="auto"/>
        </w:rPr>
      </w:pPr>
    </w:p>
    <w:p>
      <w:pPr>
        <w:ind w:left="1480" w:right="60" w:hanging="568"/>
        <w:spacing w:after="0" w:line="285" w:lineRule="auto"/>
        <w:tabs>
          <w:tab w:leader="none" w:pos="1480" w:val="left"/>
        </w:tabs>
        <w:numPr>
          <w:ilvl w:val="0"/>
          <w:numId w:val="4"/>
        </w:numPr>
        <w:rPr>
          <w:rFonts w:ascii="Arial" w:cs="Arial" w:eastAsia="Arial" w:hAnsi="Arial"/>
          <w:sz w:val="17"/>
          <w:szCs w:val="17"/>
          <w:color w:val="auto"/>
        </w:rPr>
      </w:pPr>
      <w:r>
        <w:rPr>
          <w:rFonts w:ascii="Arial" w:cs="Arial" w:eastAsia="Arial" w:hAnsi="Arial"/>
          <w:sz w:val="17"/>
          <w:szCs w:val="17"/>
          <w:color w:val="auto"/>
        </w:rPr>
        <w:t>performance shortfalls at business units as a result of the diversion of management attention caused by completing the remaining integration of the operations.</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ready mixed concrete and asphalt and paving product lines have lower profit margins and operating results can be more volatile.</w:t>
      </w:r>
    </w:p>
    <w:p>
      <w:pPr>
        <w:spacing w:after="0" w:line="116" w:lineRule="exact"/>
        <w:rPr>
          <w:sz w:val="20"/>
          <w:szCs w:val="20"/>
          <w:color w:val="auto"/>
        </w:rPr>
      </w:pPr>
    </w:p>
    <w:p>
      <w:pPr>
        <w:ind w:firstLine="457"/>
        <w:spacing w:after="0" w:line="262" w:lineRule="auto"/>
        <w:rPr>
          <w:sz w:val="20"/>
          <w:szCs w:val="20"/>
          <w:color w:val="auto"/>
        </w:rPr>
      </w:pPr>
      <w:r>
        <w:rPr>
          <w:rFonts w:ascii="Arial" w:cs="Arial" w:eastAsia="Arial" w:hAnsi="Arial"/>
          <w:sz w:val="17"/>
          <w:szCs w:val="17"/>
          <w:color w:val="auto"/>
        </w:rPr>
        <w:t>Our ready mixed concrete and asphalt and paving businesses typically provide lower profit margins than our aggregates product line due to potentially volatile input costs, highly competitive market dynamics, and lower barriers to entry. Therefore, as we expand these operations, our overall gross margin is likely to be adversely affected. Our overall ready mixed concrete and asphalt and paving operations’ gross margin was 12.7% for 2017 and 13.1% for 2016. The overall gross margin of our Building Materials business will continue to be reduced by the lower gross margins for our ready mixed concrete and asphalt and paving product lines.</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Short supplies and high costs of fuel, energy and raw materials affect our businesses.</w:t>
      </w:r>
    </w:p>
    <w:p>
      <w:pPr>
        <w:spacing w:after="0" w:line="116" w:lineRule="exact"/>
        <w:rPr>
          <w:sz w:val="20"/>
          <w:szCs w:val="20"/>
          <w:color w:val="auto"/>
        </w:rPr>
      </w:pPr>
    </w:p>
    <w:p>
      <w:pPr>
        <w:ind w:right="20" w:firstLine="457"/>
        <w:spacing w:after="0" w:line="259" w:lineRule="auto"/>
        <w:rPr>
          <w:sz w:val="20"/>
          <w:szCs w:val="20"/>
          <w:color w:val="auto"/>
        </w:rPr>
      </w:pPr>
      <w:r>
        <w:rPr>
          <w:rFonts w:ascii="Arial" w:cs="Arial" w:eastAsia="Arial" w:hAnsi="Arial"/>
          <w:sz w:val="17"/>
          <w:szCs w:val="17"/>
          <w:color w:val="auto"/>
        </w:rPr>
        <w:t>Our businesses require a continued supply of diesel fuel, natural gas, coal, petroleum coke and other energy. The financial results of these businesses have been affected by the short supply or high costs of these fuels and energy. Changes in energy costs also affect the prices that the Company pays for related supplies, including explosives, conveyor belting and tires. While we can contract for some fuels and sources of energy, such as fixed-price supply contracts for coal and petroleum coke, significant increases in costs or reduced availability of these items have and may in the future reduce our financial results. Moreover, fluctuations in the supply and costs of these fuels and energy can make planning our businesses more difficult. Because of the fluctuating trends in diesel fuel prices, we enter into fixed-price fuel agreements from time to time for a portion of our diesel fuel to reduce our diesel fuel price risk. Our last fixed-price commitment for a portion of our diesel fuel requirements expired at the end of 2016.</w:t>
      </w:r>
    </w:p>
    <w:p>
      <w:pPr>
        <w:spacing w:after="0" w:line="185" w:lineRule="exact"/>
        <w:rPr>
          <w:sz w:val="20"/>
          <w:szCs w:val="20"/>
          <w:color w:val="auto"/>
        </w:rPr>
      </w:pPr>
    </w:p>
    <w:p>
      <w:pPr>
        <w:ind w:firstLine="457"/>
        <w:spacing w:after="0" w:line="282" w:lineRule="auto"/>
        <w:rPr>
          <w:sz w:val="20"/>
          <w:szCs w:val="20"/>
          <w:color w:val="auto"/>
        </w:rPr>
      </w:pPr>
      <w:r>
        <w:rPr>
          <w:rFonts w:ascii="Arial" w:cs="Arial" w:eastAsia="Arial" w:hAnsi="Arial"/>
          <w:sz w:val="16"/>
          <w:szCs w:val="16"/>
          <w:color w:val="auto"/>
        </w:rPr>
        <w:t>To illustrate how diesel fuel price fluctuations and other energy costs have impacted our business, consider the recent years. In 2013 the average price we paid per gallon of diesel fuel was 4% lower than we paid in 2012, but the average cost of natural gas was 18% higher than 2012. Similarly, in 2014 the average price we paid per gallon of diesel fuel was 8% lower compared to 2013, but the average cost of natural gas increased 24% from 2013. Diesel fuel, which averaged $2.82 per gallon in 2014 and $2.98 per gallon in 2013, represents the single largest component of energy costs for our aggregates, ready mixed concrete and asphalt and paving product lines. Diesel fuel prices declined rapidly during December 2014, ending the year at a per</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420"/>
          </w:cols>
          <w:pgMar w:left="240" w:top="446" w:right="239" w:bottom="1440" w:gutter="0" w:footer="0" w:header="0"/>
        </w:sectPr>
      </w:pPr>
    </w:p>
    <w:bookmarkStart w:id="31" w:name="page32"/>
    <w:bookmarkEnd w:id="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ind w:right="120"/>
        <w:spacing w:after="0" w:line="260" w:lineRule="auto"/>
        <w:rPr>
          <w:sz w:val="20"/>
          <w:szCs w:val="20"/>
          <w:color w:val="auto"/>
        </w:rPr>
      </w:pPr>
      <w:r>
        <w:rPr>
          <w:rFonts w:ascii="Arial" w:cs="Arial" w:eastAsia="Arial" w:hAnsi="Arial"/>
          <w:sz w:val="17"/>
          <w:szCs w:val="17"/>
          <w:color w:val="auto"/>
        </w:rPr>
        <w:t>gallon price that was 26% below the 2014 average. This trend continued in 2015, as the Company’s average price per gallon of diesel fuel in 2015 was $2.05 compared with $3.02 in 2014. Natural gas costs also declined in 2015, down 28% from the 2014 average cost. These trends continued in 2016 and 2017 for diesel fuel prices. Average diesel fuel prices per gallon fell to $1.81 in 2017 compared to $1.96 in 2016, which compared with $2.05 in 2015. Our average diesel fuel prices for 2015 and 2016 were higher than spot market prices by $0.30 per gallon since we purchased approximately 40% of our diesel fuel under a fixed price fuel agreement, which has expired, that had locked in a higher price at an earlier time. Natural gas costs increased in 2017 approximately 33% from 2016 levels, which had declined in 2016, down 25% from the 2015 average cost.</w:t>
      </w:r>
    </w:p>
    <w:p>
      <w:pPr>
        <w:spacing w:after="0" w:line="183" w:lineRule="exact"/>
        <w:rPr>
          <w:sz w:val="20"/>
          <w:szCs w:val="20"/>
          <w:color w:val="auto"/>
        </w:rPr>
      </w:pPr>
    </w:p>
    <w:p>
      <w:pPr>
        <w:ind w:right="60" w:firstLine="457"/>
        <w:spacing w:after="0" w:line="285" w:lineRule="auto"/>
        <w:rPr>
          <w:sz w:val="20"/>
          <w:szCs w:val="20"/>
          <w:color w:val="auto"/>
        </w:rPr>
      </w:pPr>
      <w:r>
        <w:rPr>
          <w:rFonts w:ascii="Arial" w:cs="Arial" w:eastAsia="Arial" w:hAnsi="Arial"/>
          <w:sz w:val="17"/>
          <w:szCs w:val="17"/>
          <w:color w:val="auto"/>
        </w:rPr>
        <w:t>The Company has fixed price agreements for 100% of its 2018 coal needs, approximately 33% of its 2018 natural gas needs, and 100% of its 2018 petroleum coke needs.</w:t>
      </w:r>
    </w:p>
    <w:p>
      <w:pPr>
        <w:spacing w:after="0" w:line="159" w:lineRule="exact"/>
        <w:rPr>
          <w:sz w:val="20"/>
          <w:szCs w:val="20"/>
          <w:color w:val="auto"/>
        </w:rPr>
      </w:pPr>
    </w:p>
    <w:p>
      <w:pPr>
        <w:ind w:right="100" w:firstLine="457"/>
        <w:spacing w:after="0" w:line="280" w:lineRule="auto"/>
        <w:rPr>
          <w:sz w:val="20"/>
          <w:szCs w:val="20"/>
          <w:color w:val="auto"/>
        </w:rPr>
      </w:pPr>
      <w:r>
        <w:rPr>
          <w:rFonts w:ascii="Arial" w:cs="Arial" w:eastAsia="Arial" w:hAnsi="Arial"/>
          <w:sz w:val="16"/>
          <w:szCs w:val="16"/>
          <w:color w:val="auto"/>
        </w:rPr>
        <w:t>Cement production requires large amounts of energy, including electricity and fossil fuels. Energy costs represented approximately 22% of the 2017 direct production costs of our cement product line. Therefore, the cost of energy is one of our largest expenses. Prices for energy are subject to market forces largely beyond our control and can be quite volatile. Price increases that we are unable to pass through in the form of price increases for our products, or disruption of the uninterrupted supply of fuel and electricity, could adversely affect us. Accordingly, volatility in energy costs can adversely affect the financial results of our cement product line. Profitability of the cement product line is also subject to kiln maintenance, which requires the plant to be shut down for a period of time as repairs are made. The cement product line incurred shutdown costs of $12.6 and $20.9 million during 2017 and 2016, respectively.</w:t>
      </w:r>
    </w:p>
    <w:p>
      <w:pPr>
        <w:spacing w:after="0" w:line="166" w:lineRule="exact"/>
        <w:rPr>
          <w:sz w:val="20"/>
          <w:szCs w:val="20"/>
          <w:color w:val="auto"/>
        </w:rPr>
      </w:pPr>
    </w:p>
    <w:p>
      <w:pPr>
        <w:ind w:firstLine="457"/>
        <w:spacing w:after="0" w:line="277" w:lineRule="auto"/>
        <w:rPr>
          <w:sz w:val="20"/>
          <w:szCs w:val="20"/>
          <w:color w:val="auto"/>
        </w:rPr>
      </w:pPr>
      <w:r>
        <w:rPr>
          <w:rFonts w:ascii="Arial" w:cs="Arial" w:eastAsia="Arial" w:hAnsi="Arial"/>
          <w:sz w:val="16"/>
          <w:szCs w:val="16"/>
          <w:color w:val="auto"/>
        </w:rPr>
        <w:t>Similarly our ready mixed concrete and asphalt and paving operations also require a continued supply of liquid asphalt and cement, which serve as key raw materials in the production of hot mix asphalt and ready mixed concrete, respectively. Some of these raw materials we can produce internally but most are purchased from third parties. These purchased raw materials are subject to potential supply constraints and significant price fluctuations, which are beyond our control. The financial results of our ready mixed concrete and asphalt and paving operations have been affected by the short supply or high costs of these raw materials. We generally see frequent volatility in the costs for these raw materials. For 2014, we saw higher prices for these raw materials than 2013. This trend reversed in 2015, when we saw lower prices for these raw materials than 2014. Liquid asphalt prices in 2016 were again lower than in 2015. The trend reversed itself again in 2017 when liquid asphalt prices were slightly higher than in 2016. Liquid asphalt prices may not always follow other energy products (e.g., oil or diesel fuel) because of complexities in the refining process which converts a barrel of oil into other fuels and petrochemical products.</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Cement is a commodity sensitive to supply and price volatility.</w:t>
      </w:r>
    </w:p>
    <w:p>
      <w:pPr>
        <w:spacing w:after="0" w:line="116" w:lineRule="exact"/>
        <w:rPr>
          <w:sz w:val="20"/>
          <w:szCs w:val="20"/>
          <w:color w:val="auto"/>
        </w:rPr>
      </w:pPr>
    </w:p>
    <w:p>
      <w:pPr>
        <w:ind w:right="220" w:firstLine="457"/>
        <w:spacing w:after="0" w:line="262" w:lineRule="auto"/>
        <w:rPr>
          <w:sz w:val="20"/>
          <w:szCs w:val="20"/>
          <w:color w:val="auto"/>
        </w:rPr>
      </w:pPr>
      <w:r>
        <w:rPr>
          <w:rFonts w:ascii="Arial" w:cs="Arial" w:eastAsia="Arial" w:hAnsi="Arial"/>
          <w:sz w:val="17"/>
          <w:szCs w:val="17"/>
          <w:color w:val="auto"/>
        </w:rPr>
        <w:t>Cement is a commodity, and competition is often based mainly on price, which is highly sensitive to changes in supply and demand. Prices fluctuate significantly in response to relatively minor changes in supply and demand, general economic conditions and other market conditions, which we cannot control. When cement producers increase production capacity or more cement is imported into the market, an oversupply of cement in the market may occur if supply exceeds demand. In that case cement prices generally fall. We cannot be assured that prices for our cement products sold will not decline in the future or that such decline will not have a material adverse effect on our cement product line.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420"/>
          </w:cols>
          <w:pgMar w:left="240" w:top="446" w:right="239" w:bottom="1440" w:gutter="0" w:footer="0" w:header="0"/>
        </w:sectPr>
      </w:pPr>
    </w:p>
    <w:bookmarkStart w:id="32" w:name="page33"/>
    <w:bookmarkEnd w:id="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Unexpected equipment failures, catastrophic events and scheduled maintenance may lead to production curtailments or shutdowns.</w:t>
      </w:r>
    </w:p>
    <w:p>
      <w:pPr>
        <w:spacing w:after="0" w:line="116" w:lineRule="exact"/>
        <w:rPr>
          <w:sz w:val="20"/>
          <w:szCs w:val="20"/>
          <w:color w:val="auto"/>
        </w:rPr>
      </w:pPr>
    </w:p>
    <w:p>
      <w:pPr>
        <w:ind w:right="40" w:firstLine="457"/>
        <w:spacing w:after="0" w:line="280" w:lineRule="auto"/>
        <w:rPr>
          <w:sz w:val="20"/>
          <w:szCs w:val="20"/>
          <w:color w:val="auto"/>
        </w:rPr>
      </w:pPr>
      <w:r>
        <w:rPr>
          <w:rFonts w:ascii="Arial" w:cs="Arial" w:eastAsia="Arial" w:hAnsi="Arial"/>
          <w:sz w:val="16"/>
          <w:szCs w:val="16"/>
          <w:color w:val="auto"/>
        </w:rPr>
        <w:t>Our manufacturing processes are dependent upon critical pieces of equipment, such as our kilns and finishing mills. This equipment, on occasion, may be out of service as a result of unanticipated failures or damage during accidents. In addition to equipment failures, our facilities are also subject to the risk of catastrophic loss due to unanticipated events such as fires, explosions or violent weather conditions. We have one to two-week scheduled outages at least once a year to refurbish our cement and dolomitic lime production facilities. In 2017, the cement product line incurred shutdown costs of $12.6 million during the year. In 2017, the Magnesia Specialties business incurred shutdown costs of $5.1 million during the year. Any significant interruption in production capability may require us to make significant capital expenditures to remedy problems or damage as well as cause us to lose revenue due to lost production time.</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cement product line and Magnesia Specialties business may become capacity constrained.</w:t>
      </w:r>
    </w:p>
    <w:p>
      <w:pPr>
        <w:spacing w:after="0" w:line="116" w:lineRule="exact"/>
        <w:rPr>
          <w:sz w:val="20"/>
          <w:szCs w:val="20"/>
          <w:color w:val="auto"/>
        </w:rPr>
      </w:pPr>
    </w:p>
    <w:p>
      <w:pPr>
        <w:ind w:right="40" w:firstLine="457"/>
        <w:spacing w:after="0" w:line="278" w:lineRule="auto"/>
        <w:rPr>
          <w:sz w:val="20"/>
          <w:szCs w:val="20"/>
          <w:color w:val="auto"/>
        </w:rPr>
      </w:pPr>
      <w:r>
        <w:rPr>
          <w:rFonts w:ascii="Arial" w:cs="Arial" w:eastAsia="Arial" w:hAnsi="Arial"/>
          <w:sz w:val="16"/>
          <w:szCs w:val="16"/>
          <w:color w:val="auto"/>
        </w:rPr>
        <w:t>If our cement product line or Magnesia Specialties business becomes capacity constrained, they may be unable to satisfy on a timely basis the demand for some of their products, and any resulting changes in customers would introduce volatility to the earnings of these segments. We can address capacity needs by enhancing our manufacturing productivity, increasing the operational availability of equipment, reducing machinery down time and extending machinery useful life. Future demand for our products may require us to expand further our manufacturing capacity, particularly through the purchase of additional manufacturing equipment. However, we may not be able to increase our capacity in time to satisfy increases in demand that may occur from time to time. Capacity constraints may prevent us from satisfying customer orders and result in a loss of sales to competitors that are not capacity constrained. In addition, we may suffer excess capacity if we increase our capacity to meet actual or anticipated demand and that demand decreases or does not materialize.</w:t>
      </w:r>
    </w:p>
    <w:p>
      <w:pPr>
        <w:spacing w:after="0" w:line="27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cement product line could suffer if cement imports from other countries significantly increase or are sold in the U.S. in violation of U.S. fair trade laws.</w:t>
      </w:r>
    </w:p>
    <w:p>
      <w:pPr>
        <w:spacing w:after="0" w:line="139" w:lineRule="exact"/>
        <w:rPr>
          <w:sz w:val="20"/>
          <w:szCs w:val="20"/>
          <w:color w:val="auto"/>
        </w:rPr>
      </w:pPr>
    </w:p>
    <w:p>
      <w:pPr>
        <w:ind w:firstLine="457"/>
        <w:spacing w:after="0" w:line="259" w:lineRule="auto"/>
        <w:rPr>
          <w:sz w:val="20"/>
          <w:szCs w:val="20"/>
          <w:color w:val="auto"/>
        </w:rPr>
      </w:pPr>
      <w:r>
        <w:rPr>
          <w:rFonts w:ascii="Arial" w:cs="Arial" w:eastAsia="Arial" w:hAnsi="Arial"/>
          <w:sz w:val="17"/>
          <w:szCs w:val="17"/>
          <w:color w:val="auto"/>
        </w:rPr>
        <w:t>The cement industry has in the past obtained antidumping orders imposing duties on imports of cement and clinker from other countries that violated U.S. fair trade laws. Currently, an antidumping order against cement and clinker from Japan is set to expire but is under review for extension by the Federal Trade Commission. As has always been the case, cement operators with import facilities can purchase cement from other countries, such as those in Latin America and Asia, which could compete with domestic producers. In addition, if environmental regulations increase the costs of domestic producers compared to foreign producers that are not subject to similar regulations, imported cement could achieve a significant cost advantage over domestically produced cement. An influx of cement or clinker products from countries not subject to antidumping orders, or sales of imported cement or clinker in violation of U.S. fair trade laws, could adversely affect our cement product line.</w:t>
      </w: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paving operations present additional risks to our business.</w:t>
      </w:r>
    </w:p>
    <w:p>
      <w:pPr>
        <w:spacing w:after="0" w:line="116" w:lineRule="exact"/>
        <w:rPr>
          <w:sz w:val="20"/>
          <w:szCs w:val="20"/>
          <w:color w:val="auto"/>
        </w:rPr>
      </w:pPr>
    </w:p>
    <w:p>
      <w:pPr>
        <w:ind w:right="120" w:firstLine="457"/>
        <w:spacing w:after="0" w:line="278" w:lineRule="auto"/>
        <w:rPr>
          <w:sz w:val="20"/>
          <w:szCs w:val="20"/>
          <w:color w:val="auto"/>
        </w:rPr>
      </w:pPr>
      <w:r>
        <w:rPr>
          <w:rFonts w:ascii="Arial" w:cs="Arial" w:eastAsia="Arial" w:hAnsi="Arial"/>
          <w:sz w:val="16"/>
          <w:szCs w:val="16"/>
          <w:color w:val="auto"/>
        </w:rPr>
        <w:t>Our paving operations face challenges when our contracts have penalties for late completion. In some instances, including many of our fixed price contracts, we guarantee that we will complete a project by a certain date. If we subsequently fail to complete the project as scheduled we may be held responsible for costs resulting from the delay, generally in the form of contractually agreed-upon liquidated damages. Under these circumstances, the total project cost could exceed our original estimate, and we could experience a loss of profit or a loss on the project. In our paving operations, we also have fixed price and fixed unit price contracts where our profits can be adversely affected by a number of factors beyond our control, which can cause our actual costs to materially exceed the costs estimated at the time of our original bid. These same issues and risks can also impact some of our contacts in our asphalt and ready mixed concrete operations. These risks are somewhat mitigated by the fact that a majority of our road paving contracts are for short duration projects.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420"/>
          </w:cols>
          <w:pgMar w:left="240" w:top="446" w:right="239" w:bottom="1440" w:gutter="0" w:footer="0" w:header="0"/>
        </w:sectPr>
      </w:pPr>
    </w:p>
    <w:bookmarkStart w:id="33" w:name="page34"/>
    <w:bookmarkEnd w:id="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ind w:right="240"/>
        <w:spacing w:after="0" w:line="285" w:lineRule="auto"/>
        <w:rPr>
          <w:sz w:val="20"/>
          <w:szCs w:val="20"/>
          <w:color w:val="auto"/>
        </w:rPr>
      </w:pPr>
      <w:r>
        <w:rPr>
          <w:rFonts w:ascii="Arial" w:cs="Arial" w:eastAsia="Arial" w:hAnsi="Arial"/>
          <w:sz w:val="17"/>
          <w:szCs w:val="17"/>
          <w:b w:val="1"/>
          <w:bCs w:val="1"/>
          <w:i w:val="1"/>
          <w:iCs w:val="1"/>
          <w:color w:val="auto"/>
        </w:rPr>
        <w:t>Changes in legal requirements and governmental policies concerning zoning, land use, the environment, and other areas of the law, and litigation relating to these matters, affect our businesses. Our operations expose us to the risk of material environmental liabilities.</w:t>
      </w:r>
    </w:p>
    <w:p>
      <w:pPr>
        <w:spacing w:after="0" w:line="55" w:lineRule="exact"/>
        <w:rPr>
          <w:sz w:val="20"/>
          <w:szCs w:val="20"/>
          <w:color w:val="auto"/>
        </w:rPr>
      </w:pPr>
    </w:p>
    <w:p>
      <w:pPr>
        <w:ind w:right="240" w:firstLine="457"/>
        <w:spacing w:after="0" w:line="265" w:lineRule="auto"/>
        <w:rPr>
          <w:sz w:val="20"/>
          <w:szCs w:val="20"/>
          <w:color w:val="auto"/>
        </w:rPr>
      </w:pPr>
      <w:r>
        <w:rPr>
          <w:rFonts w:ascii="Arial" w:cs="Arial" w:eastAsia="Arial" w:hAnsi="Arial"/>
          <w:sz w:val="17"/>
          <w:szCs w:val="17"/>
          <w:color w:val="auto"/>
        </w:rPr>
        <w:t>Many federal, state and local laws and regulations relating to zoning, land use, the environment, health, safety and other regulatory matters govern our operations. We take great pride in our operations and try to remain in strict compliance at all times with all applicable laws and regulations. Despite our extensive compliance efforts, risk of liabilities, particularly environmental liabilities, is inherent in the operation of our businesses, as it is with our competitors. We cannot assume that these liabilities will not negatively affect us in the future.</w:t>
      </w:r>
    </w:p>
    <w:p>
      <w:pPr>
        <w:spacing w:after="0" w:line="175" w:lineRule="exact"/>
        <w:rPr>
          <w:sz w:val="20"/>
          <w:szCs w:val="20"/>
          <w:color w:val="auto"/>
        </w:rPr>
      </w:pPr>
    </w:p>
    <w:p>
      <w:pPr>
        <w:jc w:val="both"/>
        <w:ind w:right="240" w:firstLine="457"/>
        <w:spacing w:after="0" w:line="270" w:lineRule="auto"/>
        <w:rPr>
          <w:sz w:val="20"/>
          <w:szCs w:val="20"/>
          <w:color w:val="auto"/>
        </w:rPr>
      </w:pPr>
      <w:r>
        <w:rPr>
          <w:rFonts w:ascii="Arial" w:cs="Arial" w:eastAsia="Arial" w:hAnsi="Arial"/>
          <w:sz w:val="17"/>
          <w:szCs w:val="17"/>
          <w:color w:val="auto"/>
        </w:rPr>
        <w:t>We are also subject to future events, including changes in existing laws or regulations or enforcement policies, or further investigation or evaluation of the potential health hazards of some of our products or business activities, which may result in additional compliance and other costs. We could be forced to invest in preventive or remedial action, like pollution control facilities, which could be substantial.</w:t>
      </w:r>
    </w:p>
    <w:p>
      <w:pPr>
        <w:spacing w:after="0" w:line="171" w:lineRule="exact"/>
        <w:rPr>
          <w:sz w:val="20"/>
          <w:szCs w:val="20"/>
          <w:color w:val="auto"/>
        </w:rPr>
      </w:pPr>
    </w:p>
    <w:p>
      <w:pPr>
        <w:ind w:firstLine="457"/>
        <w:spacing w:after="0" w:line="322" w:lineRule="auto"/>
        <w:rPr>
          <w:sz w:val="20"/>
          <w:szCs w:val="20"/>
          <w:color w:val="auto"/>
        </w:rPr>
      </w:pPr>
      <w:r>
        <w:rPr>
          <w:rFonts w:ascii="Arial" w:cs="Arial" w:eastAsia="Arial" w:hAnsi="Arial"/>
          <w:sz w:val="15"/>
          <w:szCs w:val="15"/>
          <w:color w:val="auto"/>
        </w:rPr>
        <w:t>Our operations are subject to manufacturing, operating, and handling risks associated with the products we produce and the products we use in our operations, including the related storage and transportation of raw materials, products, hazardous substances, and wastes. We are exposed to hazards including storage tank leaks, explosions, discharges or releases of hazardous substances, exposure to dust, and the operation of mobile equipment and manufacturing machinery.</w:t>
      </w:r>
    </w:p>
    <w:p>
      <w:pPr>
        <w:spacing w:after="0" w:line="136" w:lineRule="exact"/>
        <w:rPr>
          <w:sz w:val="20"/>
          <w:szCs w:val="20"/>
          <w:color w:val="auto"/>
        </w:rPr>
      </w:pPr>
    </w:p>
    <w:p>
      <w:pPr>
        <w:ind w:right="180" w:firstLine="457"/>
        <w:spacing w:after="0" w:line="265" w:lineRule="auto"/>
        <w:rPr>
          <w:sz w:val="20"/>
          <w:szCs w:val="20"/>
          <w:color w:val="auto"/>
        </w:rPr>
      </w:pPr>
      <w:r>
        <w:rPr>
          <w:rFonts w:ascii="Arial" w:cs="Arial" w:eastAsia="Arial" w:hAnsi="Arial"/>
          <w:sz w:val="17"/>
          <w:szCs w:val="17"/>
          <w:color w:val="auto"/>
        </w:rPr>
        <w:t>These risks can subject us to potentially significant liabilities relating to personal injury or death, or property damage, and may result in civil or criminal penalties, which could hurt our productivity or profitability. For example, from time to time we investigate and remediate environmental contamination relating to our prior or current operations, as well as operations we have acquired from others, and in some cases we have been or could be named as a defendant in litigation brought by governmental agencies or private parties.</w:t>
      </w:r>
    </w:p>
    <w:p>
      <w:pPr>
        <w:spacing w:after="0" w:line="175" w:lineRule="exact"/>
        <w:rPr>
          <w:sz w:val="20"/>
          <w:szCs w:val="20"/>
          <w:color w:val="auto"/>
        </w:rPr>
      </w:pPr>
    </w:p>
    <w:p>
      <w:pPr>
        <w:ind w:right="320" w:firstLine="457"/>
        <w:spacing w:after="0" w:line="270" w:lineRule="auto"/>
        <w:rPr>
          <w:sz w:val="20"/>
          <w:szCs w:val="20"/>
          <w:color w:val="auto"/>
        </w:rPr>
      </w:pPr>
      <w:r>
        <w:rPr>
          <w:rFonts w:ascii="Arial" w:cs="Arial" w:eastAsia="Arial" w:hAnsi="Arial"/>
          <w:sz w:val="17"/>
          <w:szCs w:val="17"/>
          <w:color w:val="auto"/>
        </w:rPr>
        <w:t>We are involved from time to time in litigation and claims arising from our operations. While we do not believe the outcome of pending or threatened litigation will have a material adverse effect on our operations or our financial condition, we cannot assume that an adverse outcome in a pending or future legal action would not negatively affect us.</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Labor disputes could disrupt operations of our businesses.</w:t>
      </w:r>
    </w:p>
    <w:p>
      <w:pPr>
        <w:spacing w:after="0" w:line="116" w:lineRule="exact"/>
        <w:rPr>
          <w:sz w:val="20"/>
          <w:szCs w:val="20"/>
          <w:color w:val="auto"/>
        </w:rPr>
      </w:pPr>
    </w:p>
    <w:p>
      <w:pPr>
        <w:jc w:val="both"/>
        <w:ind w:right="300" w:firstLine="457"/>
        <w:spacing w:after="0" w:line="270" w:lineRule="auto"/>
        <w:rPr>
          <w:sz w:val="20"/>
          <w:szCs w:val="20"/>
          <w:color w:val="auto"/>
        </w:rPr>
      </w:pPr>
      <w:r>
        <w:rPr>
          <w:rFonts w:ascii="Arial" w:cs="Arial" w:eastAsia="Arial" w:hAnsi="Arial"/>
          <w:sz w:val="17"/>
          <w:szCs w:val="17"/>
          <w:color w:val="auto"/>
        </w:rPr>
        <w:t>Labor unions represent 10.5% of the hourly employees of our Building Materials business and 100% of the hourly employees of our Magnesia Specialties business. Our collective bargaining agreements for employees of our Magnesia Specialties business at the Manistee, Michigan magnesia chemicals plant and the Woodville, Ohio, lime plant expire in August 2019 and May 2018, respectively.</w:t>
      </w:r>
    </w:p>
    <w:p>
      <w:pPr>
        <w:spacing w:after="0" w:line="171" w:lineRule="exact"/>
        <w:rPr>
          <w:sz w:val="20"/>
          <w:szCs w:val="20"/>
          <w:color w:val="auto"/>
        </w:rPr>
      </w:pPr>
    </w:p>
    <w:p>
      <w:pPr>
        <w:jc w:val="both"/>
        <w:ind w:right="280" w:firstLine="457"/>
        <w:spacing w:after="0" w:line="285" w:lineRule="auto"/>
        <w:rPr>
          <w:sz w:val="20"/>
          <w:szCs w:val="20"/>
          <w:color w:val="auto"/>
        </w:rPr>
      </w:pPr>
      <w:r>
        <w:rPr>
          <w:rFonts w:ascii="Arial" w:cs="Arial" w:eastAsia="Arial" w:hAnsi="Arial"/>
          <w:sz w:val="17"/>
          <w:szCs w:val="17"/>
          <w:color w:val="auto"/>
        </w:rPr>
        <w:t>Disputes with our trade unions, or the inability to renew our labor agreements, could lead to strikes or other actions that could disrupt our businesses, raise costs, and reduce revenues and earnings from the affected locations.</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420"/>
          </w:cols>
          <w:pgMar w:left="240" w:top="446" w:right="239" w:bottom="1440" w:gutter="0" w:footer="0" w:header="0"/>
        </w:sectPr>
      </w:pPr>
    </w:p>
    <w:bookmarkStart w:id="34" w:name="page35"/>
    <w:bookmarkEnd w:id="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Delays or interruptions in shipping products of our businesses could affect our operations.</w:t>
      </w:r>
    </w:p>
    <w:p>
      <w:pPr>
        <w:spacing w:after="0" w:line="116" w:lineRule="exact"/>
        <w:rPr>
          <w:sz w:val="20"/>
          <w:szCs w:val="20"/>
          <w:color w:val="auto"/>
        </w:rPr>
      </w:pPr>
    </w:p>
    <w:p>
      <w:pPr>
        <w:ind w:right="40" w:firstLine="457"/>
        <w:spacing w:after="0" w:line="259" w:lineRule="auto"/>
        <w:rPr>
          <w:sz w:val="20"/>
          <w:szCs w:val="20"/>
          <w:color w:val="auto"/>
        </w:rPr>
      </w:pPr>
      <w:r>
        <w:rPr>
          <w:rFonts w:ascii="Arial" w:cs="Arial" w:eastAsia="Arial" w:hAnsi="Arial"/>
          <w:sz w:val="17"/>
          <w:szCs w:val="17"/>
          <w:color w:val="auto"/>
        </w:rPr>
        <w:t>Transportation logistics play an important role in allowing us to supply products to our customers, whether by truck, rail or ship. We also rely heavily on third-party truck and rail transportation to ship coal, natural gas and other fuels to our plants. Any significant delays, disruptions, or the non-availability of our transportation support system could negatively affect our operations. Transportation operations are subject to capacity constraints, high fuel costs and various hazards, including extreme weather conditions and slowdowns due to labor strikes and other work stoppages. In Texas, we compete for third-party trucking services with operations in the oil and gas fields, which can significantly constrain the availability of those services to us. If there are material changes in the availability or cost of transportation services, we may not be able to arrange alternative and timely means to ship our products or fuels at a reasonable cost, which could lead to interruptions or slowdowns in our businesses or increases in our costs.</w:t>
      </w:r>
    </w:p>
    <w:p>
      <w:pPr>
        <w:spacing w:after="0" w:line="185" w:lineRule="exact"/>
        <w:rPr>
          <w:sz w:val="20"/>
          <w:szCs w:val="20"/>
          <w:color w:val="auto"/>
        </w:rPr>
      </w:pPr>
    </w:p>
    <w:p>
      <w:pPr>
        <w:ind w:right="140" w:firstLine="457"/>
        <w:spacing w:after="0" w:line="318" w:lineRule="auto"/>
        <w:rPr>
          <w:sz w:val="20"/>
          <w:szCs w:val="20"/>
          <w:color w:val="auto"/>
        </w:rPr>
      </w:pPr>
      <w:r>
        <w:rPr>
          <w:rFonts w:ascii="Arial" w:cs="Arial" w:eastAsia="Arial" w:hAnsi="Arial"/>
          <w:sz w:val="16"/>
          <w:szCs w:val="16"/>
          <w:color w:val="auto"/>
        </w:rPr>
        <w:t>The availability of rail cars can also affect our ability to transport our products. Rail cars can be used to transport many different types of products across all of our segments. If owners sell or lease rail cars for use in other industries, we may not have enough rail cars to transport our products.</w:t>
      </w:r>
    </w:p>
    <w:p>
      <w:pPr>
        <w:spacing w:after="0" w:line="135" w:lineRule="exact"/>
        <w:rPr>
          <w:sz w:val="20"/>
          <w:szCs w:val="20"/>
          <w:color w:val="auto"/>
        </w:rPr>
      </w:pPr>
    </w:p>
    <w:p>
      <w:pPr>
        <w:ind w:right="60" w:firstLine="457"/>
        <w:spacing w:after="0" w:line="294" w:lineRule="auto"/>
        <w:rPr>
          <w:sz w:val="20"/>
          <w:szCs w:val="20"/>
          <w:color w:val="auto"/>
        </w:rPr>
      </w:pPr>
      <w:r>
        <w:rPr>
          <w:rFonts w:ascii="Arial" w:cs="Arial" w:eastAsia="Arial" w:hAnsi="Arial"/>
          <w:sz w:val="16"/>
          <w:szCs w:val="16"/>
          <w:color w:val="auto"/>
        </w:rPr>
        <w:t>We have long-term agreements with shipping companies to provide ships to transport our aggregates products from our Bahamas and Nova Scotia operations to various coastal ports. These contracts have varying expiration dates ranging from 2023 to 2027 and generally contain renewal options. Our inability to renew these agreements or enter into new ones with other shipping companies could affect our ability to transport our products.</w:t>
      </w:r>
    </w:p>
    <w:p>
      <w:pPr>
        <w:spacing w:after="0" w:line="154" w:lineRule="exact"/>
        <w:rPr>
          <w:sz w:val="20"/>
          <w:szCs w:val="20"/>
          <w:color w:val="auto"/>
        </w:rPr>
      </w:pPr>
    </w:p>
    <w:p>
      <w:pPr>
        <w:ind w:firstLine="457"/>
        <w:spacing w:after="0" w:line="282" w:lineRule="auto"/>
        <w:rPr>
          <w:sz w:val="20"/>
          <w:szCs w:val="20"/>
          <w:color w:val="auto"/>
        </w:rPr>
      </w:pPr>
      <w:r>
        <w:rPr>
          <w:rFonts w:ascii="Arial" w:cs="Arial" w:eastAsia="Arial" w:hAnsi="Arial"/>
          <w:sz w:val="16"/>
          <w:szCs w:val="16"/>
          <w:color w:val="auto"/>
        </w:rPr>
        <w:t>When we sold our River District operations in 2011 as part of our asset exchange with Lafarge, we sold most of our barge long-haul distribution network. As a result, we reduced our risks from distributing our products by barges, especially along the Mississippi River. We still distribute some of our product by barge along rivers in West Virginia. We may continue to experience, to a lesser degree, risks associated with distributing our products by barges, including significant delays, disruptions or the non-availability of our barge transportation system that could negatively affect our operations, water levels that could affect our ability to transport our products by barge, and barges that may not be available in quantities that we might need from time to time to support our operations.</w:t>
      </w:r>
    </w:p>
    <w:p>
      <w:pPr>
        <w:spacing w:after="0" w:line="269" w:lineRule="exact"/>
        <w:rPr>
          <w:sz w:val="20"/>
          <w:szCs w:val="20"/>
          <w:color w:val="auto"/>
        </w:rPr>
      </w:pPr>
    </w:p>
    <w:p>
      <w:pPr>
        <w:ind w:right="100"/>
        <w:spacing w:after="0" w:line="285" w:lineRule="auto"/>
        <w:rPr>
          <w:sz w:val="20"/>
          <w:szCs w:val="20"/>
          <w:color w:val="auto"/>
        </w:rPr>
      </w:pPr>
      <w:r>
        <w:rPr>
          <w:rFonts w:ascii="Arial" w:cs="Arial" w:eastAsia="Arial" w:hAnsi="Arial"/>
          <w:sz w:val="17"/>
          <w:szCs w:val="17"/>
          <w:b w:val="1"/>
          <w:bCs w:val="1"/>
          <w:i w:val="1"/>
          <w:iCs w:val="1"/>
          <w:color w:val="auto"/>
        </w:rPr>
        <w:t>Our earnings are affected by the application of accounting standards and our critical accounting policies, which involve subjective judgments and estimates by our management. Our estimates and assumptions could be wrong.</w:t>
      </w:r>
    </w:p>
    <w:p>
      <w:pPr>
        <w:spacing w:after="0" w:line="55" w:lineRule="exact"/>
        <w:rPr>
          <w:sz w:val="20"/>
          <w:szCs w:val="20"/>
          <w:color w:val="auto"/>
        </w:rPr>
      </w:pPr>
    </w:p>
    <w:p>
      <w:pPr>
        <w:ind w:right="40" w:firstLine="457"/>
        <w:spacing w:after="0" w:line="282" w:lineRule="auto"/>
        <w:rPr>
          <w:sz w:val="20"/>
          <w:szCs w:val="20"/>
          <w:color w:val="auto"/>
        </w:rPr>
      </w:pPr>
      <w:r>
        <w:rPr>
          <w:rFonts w:ascii="Arial" w:cs="Arial" w:eastAsia="Arial" w:hAnsi="Arial"/>
          <w:sz w:val="16"/>
          <w:szCs w:val="16"/>
          <w:color w:val="auto"/>
        </w:rPr>
        <w:t>The accounting standards we use in preparing our financial statements are often complex and require that we make significant estimates and assumptions in interpreting and applying those standards. We make critical estimates and assumptions involving accounting matters including our goodwill impairment testing, our expenses and cash requirements for our pension plans, our estimated income taxes, and how we account for our property, plant and equipment, and inventory. These estimates and assumptions involve matters that are inherently uncertain and require our subjective and complex judgments. If we used different estimates and assumptions or used different ways to determine these estimates, our financial results could differ.</w:t>
      </w:r>
    </w:p>
    <w:p>
      <w:pPr>
        <w:spacing w:after="0" w:line="165" w:lineRule="exact"/>
        <w:rPr>
          <w:sz w:val="20"/>
          <w:szCs w:val="20"/>
          <w:color w:val="auto"/>
        </w:rPr>
      </w:pPr>
    </w:p>
    <w:p>
      <w:pPr>
        <w:ind w:right="180" w:firstLine="457"/>
        <w:spacing w:after="0" w:line="355" w:lineRule="auto"/>
        <w:rPr>
          <w:sz w:val="20"/>
          <w:szCs w:val="20"/>
          <w:color w:val="auto"/>
        </w:rPr>
      </w:pPr>
      <w:r>
        <w:rPr>
          <w:rFonts w:ascii="Arial" w:cs="Arial" w:eastAsia="Arial" w:hAnsi="Arial"/>
          <w:sz w:val="15"/>
          <w:szCs w:val="15"/>
          <w:color w:val="auto"/>
        </w:rPr>
        <w:t>While we believe our estimates and assumptions are appropriate, we could be wrong. Accordingly, our financial results could be different, either higher or lower. We urge you to read about our critical accounting policies in our Management’s Discussion and Analysis of Financial Condition and Results of Operations.</w:t>
      </w:r>
    </w:p>
    <w:p>
      <w:pPr>
        <w:spacing w:after="0" w:line="4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400"/>
          </w:cols>
          <w:pgMar w:left="240" w:top="446" w:right="259" w:bottom="1440" w:gutter="0" w:footer="0" w:header="0"/>
        </w:sectPr>
      </w:pPr>
    </w:p>
    <w:bookmarkStart w:id="35" w:name="page36"/>
    <w:bookmarkEnd w:id="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adoption of new accounting standards may affect our financial results.</w:t>
      </w:r>
    </w:p>
    <w:p>
      <w:pPr>
        <w:spacing w:after="0" w:line="116" w:lineRule="exact"/>
        <w:rPr>
          <w:sz w:val="20"/>
          <w:szCs w:val="20"/>
          <w:color w:val="auto"/>
        </w:rPr>
      </w:pPr>
    </w:p>
    <w:p>
      <w:pPr>
        <w:ind w:right="260" w:firstLine="457"/>
        <w:spacing w:after="0" w:line="265" w:lineRule="auto"/>
        <w:rPr>
          <w:sz w:val="20"/>
          <w:szCs w:val="20"/>
          <w:color w:val="auto"/>
        </w:rPr>
      </w:pPr>
      <w:r>
        <w:rPr>
          <w:rFonts w:ascii="Arial" w:cs="Arial" w:eastAsia="Arial" w:hAnsi="Arial"/>
          <w:sz w:val="17"/>
          <w:szCs w:val="17"/>
          <w:color w:val="auto"/>
        </w:rPr>
        <w:t>The accounting standards we apply in preparing our financial statements are reviewed by regulatory bodies and are changed from time to time. New or revised accounting standards could, either positively or negatively, affect results reported for periods after adoption of the standards as compared to the prior periods, or require retrospective application changing results reported for prior periods. We urge you to read about our accounting policies in Note A of our 2017 Financial Statements.</w:t>
      </w:r>
    </w:p>
    <w:p>
      <w:pPr>
        <w:spacing w:after="0" w:line="175" w:lineRule="exact"/>
        <w:rPr>
          <w:sz w:val="20"/>
          <w:szCs w:val="20"/>
          <w:color w:val="auto"/>
        </w:rPr>
      </w:pPr>
    </w:p>
    <w:p>
      <w:pPr>
        <w:ind w:right="240" w:firstLine="457"/>
        <w:spacing w:after="0" w:line="270" w:lineRule="auto"/>
        <w:rPr>
          <w:sz w:val="20"/>
          <w:szCs w:val="20"/>
          <w:color w:val="auto"/>
        </w:rPr>
      </w:pPr>
      <w:r>
        <w:rPr>
          <w:rFonts w:ascii="Arial" w:cs="Arial" w:eastAsia="Arial" w:hAnsi="Arial"/>
          <w:sz w:val="17"/>
          <w:szCs w:val="17"/>
          <w:color w:val="auto"/>
        </w:rPr>
        <w:t>Reports from the Public Company Accounting Oversight Board’s (“PCAOB”) inspections of public accounting firms continue to outline findings and recommendations which could require these firms to perform additional work as part of their financial statement audits. The Company’s costs to respond to these additional requirements may increase.</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depend on the recruitment and retention of qualified personnel, and our failure to attract and retain such personnel could affect our business.</w:t>
      </w:r>
    </w:p>
    <w:p>
      <w:pPr>
        <w:spacing w:after="0" w:line="127" w:lineRule="exact"/>
        <w:rPr>
          <w:sz w:val="20"/>
          <w:szCs w:val="20"/>
          <w:color w:val="auto"/>
        </w:rPr>
      </w:pPr>
    </w:p>
    <w:p>
      <w:pPr>
        <w:ind w:firstLine="457"/>
        <w:spacing w:after="0" w:line="270" w:lineRule="auto"/>
        <w:rPr>
          <w:sz w:val="20"/>
          <w:szCs w:val="20"/>
          <w:color w:val="auto"/>
        </w:rPr>
      </w:pPr>
      <w:r>
        <w:rPr>
          <w:rFonts w:ascii="Arial" w:cs="Arial" w:eastAsia="Arial" w:hAnsi="Arial"/>
          <w:sz w:val="17"/>
          <w:szCs w:val="17"/>
          <w:color w:val="auto"/>
        </w:rPr>
        <w:t>Our success depends to a significant degree upon the continued services of our key personnel and executive officers. Our prospects depend upon our ability to attract and retain qualified personnel for our operations. Competition for personnel is intense, and we may not be successful in attracting or retaining qualified personnel, which could negatively affect our business.</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Disruptions in the credit markets could affect our business.</w:t>
      </w:r>
    </w:p>
    <w:p>
      <w:pPr>
        <w:spacing w:after="0" w:line="116" w:lineRule="exact"/>
        <w:rPr>
          <w:sz w:val="20"/>
          <w:szCs w:val="20"/>
          <w:color w:val="auto"/>
        </w:rPr>
      </w:pPr>
    </w:p>
    <w:p>
      <w:pPr>
        <w:ind w:right="180" w:firstLine="457"/>
        <w:spacing w:after="0" w:line="262" w:lineRule="auto"/>
        <w:rPr>
          <w:sz w:val="20"/>
          <w:szCs w:val="20"/>
          <w:color w:val="auto"/>
        </w:rPr>
      </w:pPr>
      <w:r>
        <w:rPr>
          <w:rFonts w:ascii="Arial" w:cs="Arial" w:eastAsia="Arial" w:hAnsi="Arial"/>
          <w:sz w:val="17"/>
          <w:szCs w:val="17"/>
          <w:color w:val="auto"/>
        </w:rPr>
        <w:t>We have considered the current economic environment and its potential impact to the Company’s business. Demand for aggregates products, particularly in the infrastructure construction market, has already been negatively affected by federal and state budget and deficit issues and the uncertainty over future highway funding levels, until the recent enactment of a new federal highway bill. Further, delays or cancellations to capital projects in the nonresidential and residential construction markets could occur if companies and consumers are unable to obtain financing for construction projects or if consumer confidence continues to be eroded by economic uncertainty.</w:t>
      </w:r>
    </w:p>
    <w:p>
      <w:pPr>
        <w:spacing w:after="0" w:line="179" w:lineRule="exact"/>
        <w:rPr>
          <w:sz w:val="20"/>
          <w:szCs w:val="20"/>
          <w:color w:val="auto"/>
        </w:rPr>
      </w:pPr>
    </w:p>
    <w:p>
      <w:pPr>
        <w:ind w:firstLine="457"/>
        <w:spacing w:after="0" w:line="265" w:lineRule="auto"/>
        <w:rPr>
          <w:sz w:val="20"/>
          <w:szCs w:val="20"/>
          <w:color w:val="auto"/>
        </w:rPr>
      </w:pPr>
      <w:r>
        <w:rPr>
          <w:rFonts w:ascii="Arial" w:cs="Arial" w:eastAsia="Arial" w:hAnsi="Arial"/>
          <w:sz w:val="17"/>
          <w:szCs w:val="17"/>
          <w:color w:val="auto"/>
        </w:rPr>
        <w:t>A recessionary construction economy can also increase the likelihood we will not be able to collect on all of our accounts receivable with our customers. We are protected in part, however, by payment bonds posted by many of our customers or end-users. Nevertheless, we experienced a delay in payment from some of our customers during the construction downturn, which can negatively affect operating cash flows. Historically, our bad debt write-offs have not been significant to our operating results, and we believe our allowance for doubtful accounts is adequate.</w:t>
      </w:r>
    </w:p>
    <w:p>
      <w:pPr>
        <w:spacing w:after="0" w:line="175" w:lineRule="exact"/>
        <w:rPr>
          <w:sz w:val="20"/>
          <w:szCs w:val="20"/>
          <w:color w:val="auto"/>
        </w:rPr>
      </w:pPr>
    </w:p>
    <w:p>
      <w:pPr>
        <w:ind w:right="80" w:firstLine="457"/>
        <w:spacing w:after="0" w:line="286" w:lineRule="auto"/>
        <w:rPr>
          <w:sz w:val="20"/>
          <w:szCs w:val="20"/>
          <w:color w:val="auto"/>
        </w:rPr>
      </w:pPr>
      <w:r>
        <w:rPr>
          <w:rFonts w:ascii="Arial" w:cs="Arial" w:eastAsia="Arial" w:hAnsi="Arial"/>
          <w:sz w:val="16"/>
          <w:szCs w:val="16"/>
          <w:color w:val="auto"/>
        </w:rPr>
        <w:t>The credit environment could impact the Company’s ability to borrow money in the future. Additional financing or refinancing might not be available and, if available, may not be at economically favorable terms. Further, an increase in leverage could lead to deterioration in our credit ratings. A reduction in our credit ratings, regardless of the cause, could also limit our ability to obtain additional financing and/or increase our cost of obtaining financing. There is no guarantee we will be able to access the capital markets at financially economical interest rates, which could negatively affect our business.</w:t>
      </w:r>
    </w:p>
    <w:p>
      <w:pPr>
        <w:spacing w:after="0" w:line="161" w:lineRule="exact"/>
        <w:rPr>
          <w:sz w:val="20"/>
          <w:szCs w:val="20"/>
          <w:color w:val="auto"/>
        </w:rPr>
      </w:pPr>
    </w:p>
    <w:p>
      <w:pPr>
        <w:jc w:val="both"/>
        <w:ind w:right="200" w:firstLine="457"/>
        <w:spacing w:after="0" w:line="270" w:lineRule="auto"/>
        <w:rPr>
          <w:sz w:val="20"/>
          <w:szCs w:val="20"/>
          <w:color w:val="auto"/>
        </w:rPr>
      </w:pPr>
      <w:r>
        <w:rPr>
          <w:rFonts w:ascii="Arial" w:cs="Arial" w:eastAsia="Arial" w:hAnsi="Arial"/>
          <w:sz w:val="17"/>
          <w:szCs w:val="17"/>
          <w:color w:val="auto"/>
        </w:rPr>
        <w:t>We may be required to obtain financing in order to fund certain strategic acquisitions, if they arise, or to refinance our outstanding debt. Any large strategic acquisition would require that we issue both newly issued equity and debt securities, like we did with the acquisition of TXI, in order to maintain our investment grade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400"/>
          </w:cols>
          <w:pgMar w:left="240" w:top="446" w:right="259" w:bottom="1440" w:gutter="0" w:footer="0" w:header="0"/>
        </w:sectPr>
      </w:pPr>
    </w:p>
    <w:bookmarkStart w:id="36" w:name="page37"/>
    <w:bookmarkEnd w:id="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ind w:right="20"/>
        <w:spacing w:after="0" w:line="311" w:lineRule="auto"/>
        <w:rPr>
          <w:sz w:val="20"/>
          <w:szCs w:val="20"/>
          <w:color w:val="auto"/>
        </w:rPr>
      </w:pPr>
      <w:r>
        <w:rPr>
          <w:rFonts w:ascii="Arial" w:cs="Arial" w:eastAsia="Arial" w:hAnsi="Arial"/>
          <w:sz w:val="15"/>
          <w:szCs w:val="15"/>
          <w:color w:val="auto"/>
        </w:rPr>
        <w:t>credit rating and could result in a ratings downgrade notwithstanding our issuance of equity securities to fund the transaction. We are also exposed to risks from tightening credit markets, through the interest payable on our outstanding debt and the interest cost on our commercial paper program, to the extent it is available to us. While management believes our credit ratings will remain at a composite investment-grade level, we cannot be assured these ratings will remain at those levels. While management believes the Company will continue to have credit available to it adequate to meet its needs, there can be no assurance of that.</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Magnesia Specialties business depends in part on the steel industry and the supply of reasonably priced fuels.</w:t>
      </w:r>
    </w:p>
    <w:p>
      <w:pPr>
        <w:spacing w:after="0" w:line="116" w:lineRule="exact"/>
        <w:rPr>
          <w:sz w:val="20"/>
          <w:szCs w:val="20"/>
          <w:color w:val="auto"/>
        </w:rPr>
      </w:pPr>
    </w:p>
    <w:p>
      <w:pPr>
        <w:jc w:val="both"/>
        <w:ind w:right="80" w:firstLine="457"/>
        <w:spacing w:after="0" w:line="270" w:lineRule="auto"/>
        <w:rPr>
          <w:sz w:val="20"/>
          <w:szCs w:val="20"/>
          <w:color w:val="auto"/>
        </w:rPr>
      </w:pPr>
      <w:r>
        <w:rPr>
          <w:rFonts w:ascii="Arial" w:cs="Arial" w:eastAsia="Arial" w:hAnsi="Arial"/>
          <w:sz w:val="17"/>
          <w:szCs w:val="17"/>
          <w:color w:val="auto"/>
        </w:rPr>
        <w:t>Our Magnesia Specialties business sells some of its products to companies in the steel industry. While we have reduced this risk over the last few years, this business is still dependent, in part, on the strength of the cyclical steel industry. The Magnesia Specialties business also requires significant amounts of natural gas, coal, and petroleum coke, and financial results are negatively affected by increases in fuel prices or shortages.</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Magnesia Specialties business faces currency risks from its overseas operations.</w:t>
      </w:r>
    </w:p>
    <w:p>
      <w:pPr>
        <w:spacing w:after="0" w:line="116" w:lineRule="exact"/>
        <w:rPr>
          <w:sz w:val="20"/>
          <w:szCs w:val="20"/>
          <w:color w:val="auto"/>
        </w:rPr>
      </w:pPr>
    </w:p>
    <w:p>
      <w:pPr>
        <w:ind w:firstLine="457"/>
        <w:spacing w:after="0" w:line="282" w:lineRule="auto"/>
        <w:rPr>
          <w:sz w:val="20"/>
          <w:szCs w:val="20"/>
          <w:color w:val="auto"/>
        </w:rPr>
      </w:pPr>
      <w:r>
        <w:rPr>
          <w:rFonts w:ascii="Arial" w:cs="Arial" w:eastAsia="Arial" w:hAnsi="Arial"/>
          <w:sz w:val="16"/>
          <w:szCs w:val="16"/>
          <w:color w:val="auto"/>
        </w:rPr>
        <w:t>Our Magnesia Specialties business sells some of its products to companies located outside the United States. Therefore the operations of the Magnesia Specialties business are affected from time to time by the fluctuating values of the currency exchange rates of the countries in which it does business in relation to the value of the U.S. Dollar. The business tries to mitigate the short-term effects of currency exchange rates by primarily denominating sales in the U.S. Dollar. This still leaves the business subject to certain risks, depending on the strength of the U.S. Dollar. In 2017, the strength of the U.S. Dollar in foreign markets negatively affected the overall price of the products of the Magnesia Specialties business when compared to foreign-domiciled competitors.</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acquisitions could harm our results of operations.</w:t>
      </w:r>
    </w:p>
    <w:p>
      <w:pPr>
        <w:spacing w:after="0" w:line="116" w:lineRule="exact"/>
        <w:rPr>
          <w:sz w:val="20"/>
          <w:szCs w:val="20"/>
          <w:color w:val="auto"/>
        </w:rPr>
      </w:pPr>
    </w:p>
    <w:p>
      <w:pPr>
        <w:ind w:right="380" w:firstLine="457"/>
        <w:spacing w:after="0" w:line="285" w:lineRule="auto"/>
        <w:rPr>
          <w:sz w:val="20"/>
          <w:szCs w:val="20"/>
          <w:color w:val="auto"/>
        </w:rPr>
      </w:pPr>
      <w:r>
        <w:rPr>
          <w:rFonts w:ascii="Arial" w:cs="Arial" w:eastAsia="Arial" w:hAnsi="Arial"/>
          <w:sz w:val="17"/>
          <w:szCs w:val="17"/>
          <w:color w:val="auto"/>
        </w:rPr>
        <w:t>In pursuing our business strategy, we conduct discussions, evaluate opportunities and enter into acquisition agreements. Acquisitions involve significant challenges and risks, including risks that:</w:t>
      </w:r>
    </w:p>
    <w:p>
      <w:pPr>
        <w:spacing w:after="0" w:line="68" w:lineRule="exact"/>
        <w:rPr>
          <w:sz w:val="20"/>
          <w:szCs w:val="20"/>
          <w:color w:val="auto"/>
        </w:rPr>
      </w:pPr>
    </w:p>
    <w:p>
      <w:pPr>
        <w:ind w:left="900" w:hanging="442"/>
        <w:spacing w:after="0"/>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may not realize a satisfactory return on the investment we make;</w:t>
      </w:r>
    </w:p>
    <w:p>
      <w:pPr>
        <w:spacing w:after="0" w:line="128" w:lineRule="exact"/>
        <w:rPr>
          <w:rFonts w:ascii="Arial" w:cs="Arial" w:eastAsia="Arial" w:hAnsi="Arial"/>
          <w:sz w:val="17"/>
          <w:szCs w:val="17"/>
          <w:color w:val="auto"/>
        </w:rPr>
      </w:pPr>
    </w:p>
    <w:p>
      <w:pPr>
        <w:ind w:left="900" w:hanging="442"/>
        <w:spacing w:after="0"/>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may not be able to retain key personnel of the acquired business;</w:t>
      </w:r>
    </w:p>
    <w:p>
      <w:pPr>
        <w:spacing w:after="0" w:line="128" w:lineRule="exact"/>
        <w:rPr>
          <w:rFonts w:ascii="Arial" w:cs="Arial" w:eastAsia="Arial" w:hAnsi="Arial"/>
          <w:sz w:val="17"/>
          <w:szCs w:val="17"/>
          <w:color w:val="auto"/>
        </w:rPr>
      </w:pPr>
    </w:p>
    <w:p>
      <w:pPr>
        <w:ind w:left="900" w:hanging="442"/>
        <w:spacing w:after="0"/>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may experience difficulty in integrating new employees, business systems and technology;</w:t>
      </w:r>
    </w:p>
    <w:p>
      <w:pPr>
        <w:spacing w:after="0" w:line="128" w:lineRule="exact"/>
        <w:rPr>
          <w:rFonts w:ascii="Arial" w:cs="Arial" w:eastAsia="Arial" w:hAnsi="Arial"/>
          <w:sz w:val="17"/>
          <w:szCs w:val="17"/>
          <w:color w:val="auto"/>
        </w:rPr>
      </w:pPr>
    </w:p>
    <w:p>
      <w:pPr>
        <w:ind w:left="900" w:hanging="442"/>
        <w:spacing w:after="0"/>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due diligence process may not identify compliance issues or other liabilities that are in existence at the time of our acquisition;</w:t>
      </w:r>
    </w:p>
    <w:p>
      <w:pPr>
        <w:spacing w:after="0" w:line="128" w:lineRule="exact"/>
        <w:rPr>
          <w:rFonts w:ascii="Arial" w:cs="Arial" w:eastAsia="Arial" w:hAnsi="Arial"/>
          <w:sz w:val="17"/>
          <w:szCs w:val="17"/>
          <w:color w:val="auto"/>
        </w:rPr>
      </w:pPr>
    </w:p>
    <w:p>
      <w:pPr>
        <w:ind w:left="900" w:hanging="442"/>
        <w:spacing w:after="0"/>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may have difficulty entering into new geographic markets in which we are not experienced; or</w:t>
      </w:r>
    </w:p>
    <w:p>
      <w:pPr>
        <w:spacing w:after="0" w:line="128" w:lineRule="exact"/>
        <w:rPr>
          <w:rFonts w:ascii="Arial" w:cs="Arial" w:eastAsia="Arial" w:hAnsi="Arial"/>
          <w:sz w:val="17"/>
          <w:szCs w:val="17"/>
          <w:color w:val="auto"/>
        </w:rPr>
      </w:pPr>
    </w:p>
    <w:p>
      <w:pPr>
        <w:ind w:left="900" w:hanging="442"/>
        <w:spacing w:after="0"/>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may be unable to retain the customers and partners of acquired businesses following the acquisition.</w:t>
      </w:r>
    </w:p>
    <w:p>
      <w:pPr>
        <w:spacing w:after="0" w:line="15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360"/>
          </w:cols>
          <w:pgMar w:left="240" w:top="446" w:right="299" w:bottom="1440" w:gutter="0" w:footer="0" w:header="0"/>
        </w:sectPr>
      </w:pPr>
    </w:p>
    <w:bookmarkStart w:id="37" w:name="page38"/>
    <w:bookmarkEnd w:id="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articles of incorporation and bylaws and North Carolina law may inhibit a change in control that you may favor.</w:t>
      </w:r>
    </w:p>
    <w:p>
      <w:pPr>
        <w:spacing w:after="0" w:line="116" w:lineRule="exact"/>
        <w:rPr>
          <w:sz w:val="20"/>
          <w:szCs w:val="20"/>
          <w:color w:val="auto"/>
        </w:rPr>
      </w:pPr>
    </w:p>
    <w:p>
      <w:pPr>
        <w:ind w:firstLine="457"/>
        <w:spacing w:after="0" w:line="262" w:lineRule="auto"/>
        <w:rPr>
          <w:sz w:val="20"/>
          <w:szCs w:val="20"/>
          <w:color w:val="auto"/>
        </w:rPr>
      </w:pPr>
      <w:r>
        <w:rPr>
          <w:rFonts w:ascii="Arial" w:cs="Arial" w:eastAsia="Arial" w:hAnsi="Arial"/>
          <w:sz w:val="17"/>
          <w:szCs w:val="17"/>
          <w:color w:val="auto"/>
        </w:rPr>
        <w:t>Our restated articles of incorporation and restated bylaws and North Carolina law contain provisions that may delay, deter or inhibit a future acquisition of us not approved by our Board of Directors. This could occur even if our shareholders are offered an attractive value for their shares or if many or even a majority of our shareholders believe the takeover is in their best interest. These provisions are intended to encourage any person interested in acquiring us to negotiate with and obtain the approval of our Board of Directors in connection with the transaction. Provisions that could delay, deter, or inhibit a future acquisition include the following:</w:t>
      </w:r>
    </w:p>
    <w:p>
      <w:pPr>
        <w:spacing w:after="0" w:line="88" w:lineRule="exact"/>
        <w:rPr>
          <w:sz w:val="20"/>
          <w:szCs w:val="20"/>
          <w:color w:val="auto"/>
        </w:rPr>
      </w:pPr>
    </w:p>
    <w:p>
      <w:pPr>
        <w:ind w:left="900" w:hanging="442"/>
        <w:spacing w:after="0"/>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ability of the Board of Directors to establish the terms of, and issue, preferred stock without shareholder approval;</w:t>
      </w:r>
    </w:p>
    <w:p>
      <w:pPr>
        <w:spacing w:after="0" w:line="128" w:lineRule="exact"/>
        <w:rPr>
          <w:rFonts w:ascii="Arial" w:cs="Arial" w:eastAsia="Arial" w:hAnsi="Arial"/>
          <w:sz w:val="17"/>
          <w:szCs w:val="17"/>
          <w:color w:val="auto"/>
        </w:rPr>
      </w:pPr>
    </w:p>
    <w:p>
      <w:pPr>
        <w:ind w:left="900" w:hanging="442"/>
        <w:spacing w:after="0"/>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requirement that our shareholders may only remove directors for cause;</w:t>
      </w:r>
    </w:p>
    <w:p>
      <w:pPr>
        <w:spacing w:after="0" w:line="128" w:lineRule="exact"/>
        <w:rPr>
          <w:rFonts w:ascii="Arial" w:cs="Arial" w:eastAsia="Arial" w:hAnsi="Arial"/>
          <w:sz w:val="17"/>
          <w:szCs w:val="17"/>
          <w:color w:val="auto"/>
        </w:rPr>
      </w:pPr>
    </w:p>
    <w:p>
      <w:pPr>
        <w:ind w:left="900" w:hanging="442"/>
        <w:spacing w:after="0"/>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inability of shareholders to call special meetings of shareholders; and</w:t>
      </w:r>
    </w:p>
    <w:p>
      <w:pPr>
        <w:spacing w:after="0" w:line="128" w:lineRule="exact"/>
        <w:rPr>
          <w:rFonts w:ascii="Arial" w:cs="Arial" w:eastAsia="Arial" w:hAnsi="Arial"/>
          <w:sz w:val="17"/>
          <w:szCs w:val="17"/>
          <w:color w:val="auto"/>
        </w:rPr>
      </w:pPr>
    </w:p>
    <w:p>
      <w:pPr>
        <w:ind w:left="900" w:hanging="442"/>
        <w:spacing w:after="0"/>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super majority shareholder approval requirements for business combination transactions with certain five percent shareholders.</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Additionally, the occurrence of certain change-of-control events could result in an event of default under certain of our existing or future debt instruments.</w:t>
      </w:r>
    </w:p>
    <w:p>
      <w:pPr>
        <w:spacing w:after="0" w:line="3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Increases in our effective income tax rate may harm our results of operations.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 number of factors may increase our future effective income tax rate, including:</w:t>
      </w:r>
    </w:p>
    <w:p>
      <w:pPr>
        <w:spacing w:after="0" w:line="129" w:lineRule="exact"/>
        <w:rPr>
          <w:sz w:val="20"/>
          <w:szCs w:val="20"/>
          <w:color w:val="auto"/>
        </w:rPr>
      </w:pPr>
    </w:p>
    <w:p>
      <w:pPr>
        <w:ind w:left="900" w:hanging="442"/>
        <w:spacing w:after="0"/>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color w:val="auto"/>
        </w:rPr>
        <w:t>Governmental authorities increasing taxes or eliminating deductions, particularly the depletion deduction;</w:t>
      </w:r>
    </w:p>
    <w:p>
      <w:pPr>
        <w:spacing w:after="0" w:line="128" w:lineRule="exact"/>
        <w:rPr>
          <w:rFonts w:ascii="Arial" w:cs="Arial" w:eastAsia="Arial" w:hAnsi="Arial"/>
          <w:sz w:val="17"/>
          <w:szCs w:val="17"/>
          <w:color w:val="auto"/>
        </w:rPr>
      </w:pPr>
    </w:p>
    <w:p>
      <w:pPr>
        <w:ind w:left="900" w:hanging="442"/>
        <w:spacing w:after="0"/>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jurisdictions in which earnings are taxed;</w:t>
      </w:r>
    </w:p>
    <w:p>
      <w:pPr>
        <w:spacing w:after="0" w:line="128" w:lineRule="exact"/>
        <w:rPr>
          <w:rFonts w:ascii="Arial" w:cs="Arial" w:eastAsia="Arial" w:hAnsi="Arial"/>
          <w:sz w:val="17"/>
          <w:szCs w:val="17"/>
          <w:color w:val="auto"/>
        </w:rPr>
      </w:pPr>
    </w:p>
    <w:p>
      <w:pPr>
        <w:ind w:left="900" w:hanging="442"/>
        <w:spacing w:after="0"/>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resolution of issues arising from tax audits with various tax authorities;</w:t>
      </w:r>
    </w:p>
    <w:p>
      <w:pPr>
        <w:spacing w:after="0" w:line="128" w:lineRule="exact"/>
        <w:rPr>
          <w:rFonts w:ascii="Arial" w:cs="Arial" w:eastAsia="Arial" w:hAnsi="Arial"/>
          <w:sz w:val="17"/>
          <w:szCs w:val="17"/>
          <w:color w:val="auto"/>
        </w:rPr>
      </w:pPr>
    </w:p>
    <w:p>
      <w:pPr>
        <w:ind w:left="900" w:hanging="442"/>
        <w:spacing w:after="0"/>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color w:val="auto"/>
        </w:rPr>
        <w:t>Changes in the valuation of our deferred tax assets and liabilities;</w:t>
      </w:r>
    </w:p>
    <w:p>
      <w:pPr>
        <w:spacing w:after="0" w:line="128" w:lineRule="exact"/>
        <w:rPr>
          <w:rFonts w:ascii="Arial" w:cs="Arial" w:eastAsia="Arial" w:hAnsi="Arial"/>
          <w:sz w:val="17"/>
          <w:szCs w:val="17"/>
          <w:color w:val="auto"/>
        </w:rPr>
      </w:pPr>
    </w:p>
    <w:p>
      <w:pPr>
        <w:ind w:left="900" w:hanging="442"/>
        <w:spacing w:after="0"/>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color w:val="auto"/>
        </w:rPr>
        <w:t>Adjustments to estimated taxes upon finalization of various tax returns;</w:t>
      </w:r>
    </w:p>
    <w:p>
      <w:pPr>
        <w:spacing w:after="0" w:line="128" w:lineRule="exact"/>
        <w:rPr>
          <w:rFonts w:ascii="Arial" w:cs="Arial" w:eastAsia="Arial" w:hAnsi="Arial"/>
          <w:sz w:val="17"/>
          <w:szCs w:val="17"/>
          <w:color w:val="auto"/>
        </w:rPr>
      </w:pPr>
    </w:p>
    <w:p>
      <w:pPr>
        <w:ind w:left="900" w:hanging="442"/>
        <w:spacing w:after="0"/>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color w:val="auto"/>
        </w:rPr>
        <w:t>Changes in available tax credits;</w:t>
      </w:r>
    </w:p>
    <w:p>
      <w:pPr>
        <w:spacing w:after="0" w:line="128" w:lineRule="exact"/>
        <w:rPr>
          <w:rFonts w:ascii="Arial" w:cs="Arial" w:eastAsia="Arial" w:hAnsi="Arial"/>
          <w:sz w:val="17"/>
          <w:szCs w:val="17"/>
          <w:color w:val="auto"/>
        </w:rPr>
      </w:pPr>
    </w:p>
    <w:p>
      <w:pPr>
        <w:ind w:left="900" w:hanging="442"/>
        <w:spacing w:after="0"/>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color w:val="auto"/>
        </w:rPr>
        <w:t>Changes in stock-based compensation;</w:t>
      </w:r>
    </w:p>
    <w:p>
      <w:pPr>
        <w:spacing w:after="0" w:line="128" w:lineRule="exact"/>
        <w:rPr>
          <w:rFonts w:ascii="Arial" w:cs="Arial" w:eastAsia="Arial" w:hAnsi="Arial"/>
          <w:sz w:val="17"/>
          <w:szCs w:val="17"/>
          <w:color w:val="auto"/>
        </w:rPr>
      </w:pPr>
    </w:p>
    <w:p>
      <w:pPr>
        <w:ind w:left="900" w:hanging="442"/>
        <w:spacing w:after="0"/>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color w:val="auto"/>
        </w:rPr>
        <w:t>Other changes in tax laws, and</w:t>
      </w:r>
    </w:p>
    <w:p>
      <w:pPr>
        <w:spacing w:after="0" w:line="128" w:lineRule="exact"/>
        <w:rPr>
          <w:rFonts w:ascii="Arial" w:cs="Arial" w:eastAsia="Arial" w:hAnsi="Arial"/>
          <w:sz w:val="17"/>
          <w:szCs w:val="17"/>
          <w:color w:val="auto"/>
        </w:rPr>
      </w:pPr>
    </w:p>
    <w:p>
      <w:pPr>
        <w:ind w:left="900" w:hanging="442"/>
        <w:spacing w:after="0"/>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interpretation of tax laws and/or administrative practices.</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Any significant increase in our future effective income tax rate could reduce net earnings and free cash flow for future periods.</w:t>
      </w:r>
    </w:p>
    <w:p>
      <w:pPr>
        <w:spacing w:after="0" w:line="155"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420"/>
          </w:cols>
          <w:pgMar w:left="240" w:top="446" w:right="239" w:bottom="1440" w:gutter="0" w:footer="0" w:header="0"/>
        </w:sectPr>
      </w:pPr>
    </w:p>
    <w:bookmarkStart w:id="38" w:name="page39"/>
    <w:bookmarkEnd w:id="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ind w:right="160" w:firstLine="457"/>
        <w:spacing w:after="0" w:line="265" w:lineRule="auto"/>
        <w:rPr>
          <w:sz w:val="20"/>
          <w:szCs w:val="20"/>
          <w:color w:val="auto"/>
        </w:rPr>
      </w:pPr>
      <w:r>
        <w:rPr>
          <w:rFonts w:ascii="Arial" w:cs="Arial" w:eastAsia="Arial" w:hAnsi="Arial"/>
          <w:sz w:val="17"/>
          <w:szCs w:val="17"/>
          <w:color w:val="auto"/>
        </w:rPr>
        <w:t>The 2017 Tax Act, which was signed into law on December 22, 2017, included a reduction in the federal corporate tax rate to 21%. In accordance with U.S. generally accepted accounting practices, we performed a provisional re-measurement of our deferred tax assets and liabilities at the new rate as of December 31, 2017, which resulted in a one-time, non-cash income tax benefit to us of $258.1 million. We recorded this income tax benefit on a provisional basis, subject to adjustment, as described below.</w:t>
      </w:r>
    </w:p>
    <w:p>
      <w:pPr>
        <w:spacing w:after="0" w:line="175" w:lineRule="exact"/>
        <w:rPr>
          <w:sz w:val="20"/>
          <w:szCs w:val="20"/>
          <w:color w:val="auto"/>
        </w:rPr>
      </w:pPr>
    </w:p>
    <w:p>
      <w:pPr>
        <w:ind w:firstLine="457"/>
        <w:spacing w:after="0" w:line="260" w:lineRule="auto"/>
        <w:rPr>
          <w:sz w:val="20"/>
          <w:szCs w:val="20"/>
          <w:color w:val="auto"/>
        </w:rPr>
      </w:pPr>
      <w:r>
        <w:rPr>
          <w:rFonts w:ascii="Arial" w:cs="Arial" w:eastAsia="Arial" w:hAnsi="Arial"/>
          <w:sz w:val="17"/>
          <w:szCs w:val="17"/>
          <w:color w:val="auto"/>
        </w:rPr>
        <w:t>In December 2017, the SEC issued guidance to address the application of authoritative tax accounting guidance in situations where companies do not have the necessary information available, prepared, or analyzed in reasonable detail to complete the accounting for certain income tax effects of the 2017 Tax Act for the reporting period in which the 2017 Tax Act was enacted. In these instances, the SEC’s guidance allows us to record provisional amounts during a measurement period not to extend beyond one year of the enactment date. We have recorded the provisional tax benefit in our 2017 consolidated financial statements to reflect the impact of the 2017 Tax Act, as we have yet to complete our analysis of the impact. Any adjustment to this provisional amount as we complete our analysis could have a material impact on our 2018 results of operations.</w:t>
      </w:r>
    </w:p>
    <w:p>
      <w:pPr>
        <w:spacing w:after="0" w:line="2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dependent on information technology and our systems and infrastructure face certain risks, including cybersecurity risks and data leakage risks.</w:t>
      </w:r>
    </w:p>
    <w:p>
      <w:pPr>
        <w:spacing w:after="0" w:line="139" w:lineRule="exact"/>
        <w:rPr>
          <w:sz w:val="20"/>
          <w:szCs w:val="20"/>
          <w:color w:val="auto"/>
        </w:rPr>
      </w:pPr>
    </w:p>
    <w:p>
      <w:pPr>
        <w:ind w:right="20" w:firstLine="457"/>
        <w:spacing w:after="0" w:line="260" w:lineRule="auto"/>
        <w:rPr>
          <w:sz w:val="20"/>
          <w:szCs w:val="20"/>
          <w:color w:val="auto"/>
        </w:rPr>
      </w:pPr>
      <w:r>
        <w:rPr>
          <w:rFonts w:ascii="Arial" w:cs="Arial" w:eastAsia="Arial" w:hAnsi="Arial"/>
          <w:sz w:val="17"/>
          <w:szCs w:val="17"/>
          <w:color w:val="auto"/>
        </w:rPr>
        <w:t>We are dependent on information technology systems and infrastructure. Any significant breakdown, invasion, destruction or interruption of these systems by employees, others with authorized access to our systems, or unauthorized persons could negatively impact operations. There is also a risk that we could experience a business interruption, theft of information or reputational damage as a result of a cyber-attack, such as an infiltration of a data center, or data leakage of confidential information either internally or at our third-party providers. While we have invested in the protection of our data and information technology to reduce these risks and routinely test the security of our information systems network, there can be no assurance that our efforts will prevent breakdowns or breaches in our systems that could adversely affect our business.</w:t>
      </w:r>
    </w:p>
    <w:p>
      <w:pPr>
        <w:spacing w:after="0" w:line="320"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ITEM 1B.</w:t>
        <w:tab/>
        <w:t>UNRESOLVED STAFF COMMENTS</w:t>
      </w:r>
    </w:p>
    <w:p>
      <w:pPr>
        <w:spacing w:after="0" w:line="122" w:lineRule="exact"/>
        <w:rPr>
          <w:sz w:val="20"/>
          <w:szCs w:val="20"/>
          <w:color w:val="auto"/>
        </w:rPr>
      </w:pPr>
    </w:p>
    <w:p>
      <w:pPr>
        <w:ind w:right="380" w:firstLine="457"/>
        <w:spacing w:after="0" w:line="285" w:lineRule="auto"/>
        <w:rPr>
          <w:sz w:val="20"/>
          <w:szCs w:val="20"/>
          <w:color w:val="auto"/>
        </w:rPr>
      </w:pPr>
      <w:r>
        <w:rPr>
          <w:rFonts w:ascii="Arial" w:cs="Arial" w:eastAsia="Arial" w:hAnsi="Arial"/>
          <w:sz w:val="17"/>
          <w:szCs w:val="17"/>
          <w:color w:val="auto"/>
        </w:rPr>
        <w:t>There are no unresolved written comments that were received from the staff of the SEC one hundred and eighty (180) days or more before the end of our fiscal year relating to our periodic or current reports under the Securities Exchange Act of 1934.</w:t>
      </w:r>
    </w:p>
    <w:p>
      <w:pPr>
        <w:spacing w:after="0" w:line="295"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Building Materials Business</w:t>
      </w:r>
    </w:p>
    <w:p>
      <w:pPr>
        <w:spacing w:after="0" w:line="116" w:lineRule="exact"/>
        <w:rPr>
          <w:sz w:val="20"/>
          <w:szCs w:val="20"/>
          <w:color w:val="auto"/>
        </w:rPr>
      </w:pPr>
    </w:p>
    <w:p>
      <w:pPr>
        <w:ind w:right="80" w:firstLine="457"/>
        <w:spacing w:after="0" w:line="278" w:lineRule="auto"/>
        <w:rPr>
          <w:sz w:val="20"/>
          <w:szCs w:val="20"/>
          <w:color w:val="auto"/>
        </w:rPr>
      </w:pPr>
      <w:r>
        <w:rPr>
          <w:rFonts w:ascii="Arial" w:cs="Arial" w:eastAsia="Arial" w:hAnsi="Arial"/>
          <w:sz w:val="16"/>
          <w:szCs w:val="16"/>
          <w:color w:val="auto"/>
        </w:rPr>
        <w:t>As of December 31, 2017, the Company processed or shipped aggregates from 282 quarries, underground mines, and distribution yards in 26 states, Canada, and the Bahamas, of which 108 are located on land owned by the Company free of major encumbrances, 59 are on land owned in part and leased in part, 107 are on leased land, and eight are on facilities neither owned nor leased, where raw materials are removed under an agreement. The Company’s aggregates reserves, on the average, exceed 60 years based on normalized levels of production, and approximate 100 years at current production rates. However, certain locations may be subject to more limited reserves and may not be able to expand. In addition, as of December 31, 2017, the Company processed and shipped ready mixed concrete and/or asphalt products from 152 properties in five states, of which 127 are located on land owned by the Company free of major encumbrances, one is on land owned in part and leased in part, and 24 are on leased land.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420"/>
          </w:cols>
          <w:pgMar w:left="240" w:top="446" w:right="239" w:bottom="1440" w:gutter="0" w:footer="0" w:header="0"/>
        </w:sectPr>
      </w:pPr>
    </w:p>
    <w:bookmarkStart w:id="39" w:name="page40"/>
    <w:bookmarkEnd w:id="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ind w:right="100" w:firstLine="457"/>
        <w:spacing w:after="0" w:line="282" w:lineRule="auto"/>
        <w:rPr>
          <w:sz w:val="20"/>
          <w:szCs w:val="20"/>
          <w:color w:val="auto"/>
        </w:rPr>
      </w:pPr>
      <w:r>
        <w:rPr>
          <w:rFonts w:ascii="Arial" w:cs="Arial" w:eastAsia="Arial" w:hAnsi="Arial"/>
          <w:sz w:val="16"/>
          <w:szCs w:val="16"/>
          <w:color w:val="auto"/>
        </w:rPr>
        <w:t>The Company uses various drilling methods, depending on the type of aggregate, to estimate aggregates reserves that are economically mineable. The extent of drilling varies and depends on whether the location is a potential new site (greensite), an existing location, or a potential acquisition. More extensive drilling is performed for potential greensites and acquisitions, and in rare cases, the Company may rely on existing geological data or results of prior drilling by third parties. Subsequent to drilling, selected core samples are tested for soundness, abrasion resistance, and other physical properties relevant to the aggregates industry. If the reserves meet the Company’s standards and are economically mineable, then they are either leased or purchased.</w:t>
      </w:r>
    </w:p>
    <w:p>
      <w:pPr>
        <w:spacing w:after="0" w:line="165" w:lineRule="exact"/>
        <w:rPr>
          <w:sz w:val="20"/>
          <w:szCs w:val="20"/>
          <w:color w:val="auto"/>
        </w:rPr>
      </w:pPr>
    </w:p>
    <w:p>
      <w:pPr>
        <w:ind w:firstLine="457"/>
        <w:spacing w:after="0" w:line="257" w:lineRule="auto"/>
        <w:rPr>
          <w:sz w:val="20"/>
          <w:szCs w:val="20"/>
          <w:color w:val="auto"/>
        </w:rPr>
      </w:pPr>
      <w:r>
        <w:rPr>
          <w:rFonts w:ascii="Arial" w:cs="Arial" w:eastAsia="Arial" w:hAnsi="Arial"/>
          <w:sz w:val="17"/>
          <w:szCs w:val="17"/>
          <w:color w:val="auto"/>
        </w:rPr>
        <w:t>The Company estimates proven and probable reserves based on the results of drilling. Proven reserves are reserves of deposits designated using closely spaced drill data, and based on that data the reserves are believed to be relatively homogenous. Proven reserves have a certainty of 85% to 90%. Probable reserves are reserves that are inferred utilizing fewer drill holes and/or assumptions about the economically mineable reserves based on local geology or drill results from adjacent properties. The degree of certainty for probable reserves is 70% to 75%. In determining the amount of reserves, the Company’s policy is to not include calculations that exceed certain depths, so for deposits, such as granite, that typically continue to depths well below the ground, there may be additional deposits that are not included in the reserve calculations. The Company also deducts reserves not available due to property boundaries, set-backs, and plant configurations, as deemed appropriate when estimating reserves. The Company uses the same methods of analysis to evaluate and estimate the amount of its aggregates reserves used in the cement manufacturing process for its cement product line as it does for its aggregates product line. For additional information on the Company’s assessment of reserves, see “Management’s Discussion and Analysis of Financial Condition and Results of Operations – Other Financial Information - Critical Accounting Policies and Estimates- Property, Plant and Equipment” under Item 7 of this Form 10-K and the 2017 Annual Report for discussion of reserves evaluation by the Company.</w:t>
      </w:r>
    </w:p>
    <w:p>
      <w:pPr>
        <w:spacing w:after="0" w:line="189" w:lineRule="exact"/>
        <w:rPr>
          <w:sz w:val="20"/>
          <w:szCs w:val="20"/>
          <w:color w:val="auto"/>
        </w:rPr>
      </w:pPr>
    </w:p>
    <w:p>
      <w:pPr>
        <w:ind w:right="60" w:firstLine="457"/>
        <w:spacing w:after="0" w:line="297" w:lineRule="auto"/>
        <w:rPr>
          <w:sz w:val="20"/>
          <w:szCs w:val="20"/>
          <w:color w:val="auto"/>
        </w:rPr>
      </w:pPr>
      <w:r>
        <w:rPr>
          <w:rFonts w:ascii="Arial" w:cs="Arial" w:eastAsia="Arial" w:hAnsi="Arial"/>
          <w:sz w:val="15"/>
          <w:szCs w:val="15"/>
          <w:color w:val="auto"/>
        </w:rPr>
        <w:t>Set forth in the tables below are the Company’s estimates of reserves of recoverable aggregates of suitable quality for economic extraction, shown on a state-by-state basis, and the Company’s total annual production for the last three years, along with the Company’s estimate of years of production available, shown on a segment-by-segment basis. The number of producing quarries shown on the table includes underground mines. The Company’s reserve estimates for the last two years are shown for comparison purposes on a state-by-state basis. The changes in reserve estimates at a particular state level from year to year reflect the tonnages of reserves on locations that have been opened or closed during the year, whether by acquisition, disposition, or otherwise; production and sales in the normal course of business; additional reserve estimates or refinements of the Company’s existing reserve estimates; opening of additional reserves at existing locations; the depletion of reserves at existing locations; and other factors. The Company evaluates its reserve estimates primarily on a Company-wide, or segment-by-segment basis, and does not believe comparisons of changes in reserve estimates on a state-by-state basis from year to year are particularly meaningful. The Company’s estimate of reserves shown in the tables below include reserves used in the Company’s cement product line and Magnesia Specialties business.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400"/>
          </w:cols>
          <w:pgMar w:left="240" w:top="446" w:right="259" w:bottom="1440" w:gutter="0" w:footer="0" w:header="0"/>
        </w:sectPr>
      </w:pPr>
    </w:p>
    <w:bookmarkStart w:id="40" w:name="page41"/>
    <w:bookmarkEnd w:id="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w w:val="84"/>
              </w:rPr>
              <w:t>Tonnage of Reserves</w:t>
            </w:r>
          </w:p>
        </w:tc>
        <w:tc>
          <w:tcPr>
            <w:tcW w:w="174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w w:val="84"/>
              </w:rPr>
              <w:t>Tonnage of Reserves</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40" w:type="dxa"/>
            <w:vAlign w:val="bottom"/>
            <w:gridSpan w:val="4"/>
            <w:vMerge w:val="restart"/>
          </w:tcPr>
          <w:p>
            <w:pPr>
              <w:jc w:val="center"/>
              <w:ind w:right="280"/>
              <w:spacing w:after="0"/>
              <w:rPr>
                <w:sz w:val="20"/>
                <w:szCs w:val="20"/>
                <w:color w:val="auto"/>
              </w:rPr>
            </w:pPr>
            <w:r>
              <w:rPr>
                <w:rFonts w:ascii="Arial" w:cs="Arial" w:eastAsia="Arial" w:hAnsi="Arial"/>
                <w:sz w:val="14"/>
                <w:szCs w:val="14"/>
                <w:b w:val="1"/>
                <w:bCs w:val="1"/>
                <w:color w:val="auto"/>
                <w:w w:val="85"/>
              </w:rPr>
              <w:t>Percentage of aggregate</w:t>
            </w: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Percentage of</w:t>
            </w:r>
          </w:p>
        </w:tc>
        <w:tc>
          <w:tcPr>
            <w:tcW w:w="1320" w:type="dxa"/>
            <w:vAlign w:val="bottom"/>
            <w:gridSpan w:val="4"/>
            <w:vMerge w:val="restart"/>
          </w:tcPr>
          <w:p>
            <w:pPr>
              <w:jc w:val="center"/>
              <w:ind w:right="240"/>
              <w:spacing w:after="0"/>
              <w:rPr>
                <w:sz w:val="20"/>
                <w:szCs w:val="20"/>
                <w:color w:val="auto"/>
              </w:rPr>
            </w:pPr>
            <w:r>
              <w:rPr>
                <w:rFonts w:ascii="Arial" w:cs="Arial" w:eastAsia="Arial" w:hAnsi="Arial"/>
                <w:sz w:val="14"/>
                <w:szCs w:val="14"/>
                <w:b w:val="1"/>
                <w:bCs w:val="1"/>
                <w:color w:val="auto"/>
                <w:w w:val="87"/>
              </w:rPr>
              <w:t>Percent of</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40" w:type="dxa"/>
            <w:vAlign w:val="bottom"/>
            <w:gridSpan w:val="4"/>
            <w:vMerge w:val="continue"/>
          </w:tcPr>
          <w:p>
            <w:pPr>
              <w:spacing w:after="0"/>
              <w:rPr>
                <w:sz w:val="12"/>
                <w:szCs w:val="12"/>
                <w:color w:val="auto"/>
              </w:rPr>
            </w:pPr>
          </w:p>
        </w:tc>
        <w:tc>
          <w:tcPr>
            <w:tcW w:w="1740" w:type="dxa"/>
            <w:vAlign w:val="bottom"/>
            <w:gridSpan w:val="4"/>
            <w:vMerge w:val="continue"/>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40" w:type="dxa"/>
            <w:vAlign w:val="bottom"/>
            <w:gridSpan w:val="4"/>
            <w:vMerge w:val="continue"/>
          </w:tcPr>
          <w:p>
            <w:pPr>
              <w:spacing w:after="0"/>
              <w:rPr>
                <w:sz w:val="12"/>
                <w:szCs w:val="12"/>
                <w:color w:val="auto"/>
              </w:rPr>
            </w:pPr>
          </w:p>
        </w:tc>
        <w:tc>
          <w:tcPr>
            <w:tcW w:w="1160" w:type="dxa"/>
            <w:vAlign w:val="bottom"/>
            <w:gridSpan w:val="2"/>
          </w:tcPr>
          <w:p>
            <w:pPr>
              <w:jc w:val="center"/>
              <w:ind w:right="280"/>
              <w:spacing w:after="0" w:line="139" w:lineRule="exact"/>
              <w:rPr>
                <w:sz w:val="20"/>
                <w:szCs w:val="20"/>
                <w:color w:val="auto"/>
              </w:rPr>
            </w:pPr>
            <w:r>
              <w:rPr>
                <w:rFonts w:ascii="Arial" w:cs="Arial" w:eastAsia="Arial" w:hAnsi="Arial"/>
                <w:sz w:val="14"/>
                <w:szCs w:val="14"/>
                <w:b w:val="1"/>
                <w:bCs w:val="1"/>
                <w:color w:val="auto"/>
                <w:w w:val="83"/>
              </w:rPr>
              <w:t>aggregate</w:t>
            </w:r>
          </w:p>
        </w:tc>
        <w:tc>
          <w:tcPr>
            <w:tcW w:w="13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8"/>
              </w:rPr>
              <w:t>Number of</w:t>
            </w:r>
          </w:p>
        </w:tc>
        <w:tc>
          <w:tcPr>
            <w:tcW w:w="1740" w:type="dxa"/>
            <w:vAlign w:val="bottom"/>
            <w:gridSpan w:val="4"/>
          </w:tcPr>
          <w:p>
            <w:pPr>
              <w:jc w:val="center"/>
              <w:ind w:right="140"/>
              <w:spacing w:after="0" w:line="143" w:lineRule="exact"/>
              <w:rPr>
                <w:sz w:val="20"/>
                <w:szCs w:val="20"/>
                <w:color w:val="auto"/>
              </w:rPr>
            </w:pPr>
            <w:r>
              <w:rPr>
                <w:rFonts w:ascii="Arial" w:cs="Arial" w:eastAsia="Arial" w:hAnsi="Arial"/>
                <w:sz w:val="14"/>
                <w:szCs w:val="14"/>
                <w:b w:val="1"/>
                <w:bCs w:val="1"/>
                <w:color w:val="auto"/>
                <w:w w:val="88"/>
              </w:rPr>
              <w:t>for each general type</w:t>
            </w:r>
          </w:p>
        </w:tc>
        <w:tc>
          <w:tcPr>
            <w:tcW w:w="1740" w:type="dxa"/>
            <w:vAlign w:val="bottom"/>
            <w:gridSpan w:val="4"/>
          </w:tcPr>
          <w:p>
            <w:pPr>
              <w:jc w:val="center"/>
              <w:ind w:right="140"/>
              <w:spacing w:after="0" w:line="143" w:lineRule="exact"/>
              <w:rPr>
                <w:sz w:val="20"/>
                <w:szCs w:val="20"/>
                <w:color w:val="auto"/>
              </w:rPr>
            </w:pPr>
            <w:r>
              <w:rPr>
                <w:rFonts w:ascii="Arial" w:cs="Arial" w:eastAsia="Arial" w:hAnsi="Arial"/>
                <w:sz w:val="14"/>
                <w:szCs w:val="14"/>
                <w:b w:val="1"/>
                <w:bCs w:val="1"/>
                <w:color w:val="auto"/>
                <w:w w:val="88"/>
              </w:rPr>
              <w:t>for each general type</w:t>
            </w:r>
          </w:p>
        </w:tc>
        <w:tc>
          <w:tcPr>
            <w:tcW w:w="1580" w:type="dxa"/>
            <w:vAlign w:val="bottom"/>
            <w:gridSpan w:val="4"/>
            <w:vMerge w:val="restart"/>
          </w:tcPr>
          <w:p>
            <w:pPr>
              <w:jc w:val="right"/>
              <w:ind w:right="300"/>
              <w:spacing w:after="0"/>
              <w:rPr>
                <w:sz w:val="20"/>
                <w:szCs w:val="20"/>
                <w:color w:val="auto"/>
              </w:rPr>
            </w:pPr>
            <w:r>
              <w:rPr>
                <w:rFonts w:ascii="Arial" w:cs="Arial" w:eastAsia="Arial" w:hAnsi="Arial"/>
                <w:sz w:val="14"/>
                <w:szCs w:val="14"/>
                <w:b w:val="1"/>
                <w:bCs w:val="1"/>
                <w:color w:val="auto"/>
                <w:w w:val="96"/>
              </w:rPr>
              <w:t>Change in Tonnage</w:t>
            </w:r>
          </w:p>
        </w:tc>
        <w:tc>
          <w:tcPr>
            <w:tcW w:w="2040" w:type="dxa"/>
            <w:vAlign w:val="bottom"/>
            <w:gridSpan w:val="4"/>
          </w:tcPr>
          <w:p>
            <w:pPr>
              <w:jc w:val="center"/>
              <w:ind w:right="280"/>
              <w:spacing w:after="0" w:line="143" w:lineRule="exact"/>
              <w:rPr>
                <w:sz w:val="20"/>
                <w:szCs w:val="20"/>
                <w:color w:val="auto"/>
              </w:rPr>
            </w:pPr>
            <w:r>
              <w:rPr>
                <w:rFonts w:ascii="Arial" w:cs="Arial" w:eastAsia="Arial" w:hAnsi="Arial"/>
                <w:sz w:val="14"/>
                <w:szCs w:val="14"/>
                <w:b w:val="1"/>
                <w:bCs w:val="1"/>
                <w:color w:val="auto"/>
                <w:w w:val="87"/>
              </w:rPr>
              <w:t>reserves located at an</w:t>
            </w:r>
          </w:p>
        </w:tc>
        <w:tc>
          <w:tcPr>
            <w:tcW w:w="116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w w:val="83"/>
              </w:rPr>
              <w:t>reserves on</w:t>
            </w:r>
          </w:p>
        </w:tc>
        <w:tc>
          <w:tcPr>
            <w:tcW w:w="1320" w:type="dxa"/>
            <w:vAlign w:val="bottom"/>
            <w:gridSpan w:val="4"/>
          </w:tcPr>
          <w:p>
            <w:pPr>
              <w:jc w:val="center"/>
              <w:ind w:right="240"/>
              <w:spacing w:after="0" w:line="143" w:lineRule="exact"/>
              <w:rPr>
                <w:sz w:val="20"/>
                <w:szCs w:val="20"/>
                <w:color w:val="auto"/>
              </w:rPr>
            </w:pPr>
            <w:r>
              <w:rPr>
                <w:rFonts w:ascii="Arial" w:cs="Arial" w:eastAsia="Arial" w:hAnsi="Arial"/>
                <w:sz w:val="14"/>
                <w:szCs w:val="14"/>
                <w:b w:val="1"/>
                <w:bCs w:val="1"/>
                <w:color w:val="auto"/>
                <w:w w:val="83"/>
              </w:rPr>
              <w:t>reserves</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740" w:type="dxa"/>
            <w:vAlign w:val="bottom"/>
            <w:gridSpan w:val="4"/>
          </w:tcPr>
          <w:p>
            <w:pPr>
              <w:jc w:val="center"/>
              <w:ind w:right="140"/>
              <w:spacing w:after="0" w:line="123" w:lineRule="exact"/>
              <w:rPr>
                <w:sz w:val="20"/>
                <w:szCs w:val="20"/>
                <w:color w:val="auto"/>
              </w:rPr>
            </w:pPr>
            <w:r>
              <w:rPr>
                <w:rFonts w:ascii="Arial" w:cs="Arial" w:eastAsia="Arial" w:hAnsi="Arial"/>
                <w:sz w:val="14"/>
                <w:szCs w:val="14"/>
                <w:b w:val="1"/>
                <w:bCs w:val="1"/>
                <w:color w:val="auto"/>
                <w:w w:val="87"/>
              </w:rPr>
              <w:t>of aggregate at</w:t>
            </w:r>
          </w:p>
        </w:tc>
        <w:tc>
          <w:tcPr>
            <w:tcW w:w="1740" w:type="dxa"/>
            <w:vAlign w:val="bottom"/>
            <w:gridSpan w:val="4"/>
          </w:tcPr>
          <w:p>
            <w:pPr>
              <w:jc w:val="center"/>
              <w:ind w:right="140"/>
              <w:spacing w:after="0" w:line="123" w:lineRule="exact"/>
              <w:rPr>
                <w:sz w:val="20"/>
                <w:szCs w:val="20"/>
                <w:color w:val="auto"/>
              </w:rPr>
            </w:pPr>
            <w:r>
              <w:rPr>
                <w:rFonts w:ascii="Arial" w:cs="Arial" w:eastAsia="Arial" w:hAnsi="Arial"/>
                <w:sz w:val="14"/>
                <w:szCs w:val="14"/>
                <w:b w:val="1"/>
                <w:bCs w:val="1"/>
                <w:color w:val="auto"/>
                <w:w w:val="87"/>
              </w:rPr>
              <w:t>of aggregate at</w:t>
            </w:r>
          </w:p>
        </w:tc>
        <w:tc>
          <w:tcPr>
            <w:tcW w:w="1580" w:type="dxa"/>
            <w:vAlign w:val="bottom"/>
            <w:gridSpan w:val="4"/>
            <w:vMerge w:val="continue"/>
          </w:tcPr>
          <w:p>
            <w:pPr>
              <w:spacing w:after="0"/>
              <w:rPr>
                <w:sz w:val="10"/>
                <w:szCs w:val="10"/>
                <w:color w:val="auto"/>
              </w:rPr>
            </w:pPr>
          </w:p>
        </w:tc>
        <w:tc>
          <w:tcPr>
            <w:tcW w:w="2040" w:type="dxa"/>
            <w:vAlign w:val="bottom"/>
            <w:gridSpan w:val="4"/>
          </w:tcPr>
          <w:p>
            <w:pPr>
              <w:jc w:val="center"/>
              <w:ind w:right="280"/>
              <w:spacing w:after="0" w:line="123" w:lineRule="exact"/>
              <w:rPr>
                <w:sz w:val="20"/>
                <w:szCs w:val="20"/>
                <w:color w:val="auto"/>
              </w:rPr>
            </w:pPr>
            <w:r>
              <w:rPr>
                <w:rFonts w:ascii="Arial" w:cs="Arial" w:eastAsia="Arial" w:hAnsi="Arial"/>
                <w:sz w:val="14"/>
                <w:szCs w:val="14"/>
                <w:b w:val="1"/>
                <w:bCs w:val="1"/>
                <w:color w:val="auto"/>
                <w:w w:val="90"/>
              </w:rPr>
              <w:t>existing quarry, and</w:t>
            </w:r>
          </w:p>
        </w:tc>
        <w:tc>
          <w:tcPr>
            <w:tcW w:w="1160" w:type="dxa"/>
            <w:vAlign w:val="bottom"/>
            <w:gridSpan w:val="2"/>
          </w:tcPr>
          <w:p>
            <w:pPr>
              <w:jc w:val="center"/>
              <w:ind w:right="280"/>
              <w:spacing w:after="0" w:line="123" w:lineRule="exact"/>
              <w:rPr>
                <w:sz w:val="20"/>
                <w:szCs w:val="20"/>
                <w:color w:val="auto"/>
              </w:rPr>
            </w:pPr>
            <w:r>
              <w:rPr>
                <w:rFonts w:ascii="Arial" w:cs="Arial" w:eastAsia="Arial" w:hAnsi="Arial"/>
                <w:sz w:val="14"/>
                <w:szCs w:val="14"/>
                <w:b w:val="1"/>
                <w:bCs w:val="1"/>
                <w:color w:val="auto"/>
                <w:w w:val="87"/>
              </w:rPr>
              <w:t>land that has</w:t>
            </w:r>
          </w:p>
        </w:tc>
        <w:tc>
          <w:tcPr>
            <w:tcW w:w="1320" w:type="dxa"/>
            <w:vAlign w:val="bottom"/>
            <w:gridSpan w:val="4"/>
          </w:tcPr>
          <w:p>
            <w:pPr>
              <w:jc w:val="center"/>
              <w:ind w:right="220"/>
              <w:spacing w:after="0" w:line="123" w:lineRule="exact"/>
              <w:rPr>
                <w:sz w:val="20"/>
                <w:szCs w:val="20"/>
                <w:color w:val="auto"/>
              </w:rPr>
            </w:pPr>
            <w:r>
              <w:rPr>
                <w:rFonts w:ascii="Arial" w:cs="Arial" w:eastAsia="Arial" w:hAnsi="Arial"/>
                <w:sz w:val="14"/>
                <w:szCs w:val="14"/>
                <w:b w:val="1"/>
                <w:bCs w:val="1"/>
                <w:color w:val="auto"/>
                <w:w w:val="90"/>
              </w:rPr>
              <w:t>owned and</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gridSpan w:val="2"/>
          </w:tcPr>
          <w:p>
            <w:pPr>
              <w:jc w:val="center"/>
              <w:ind w:right="140"/>
              <w:spacing w:after="0" w:line="143" w:lineRule="exact"/>
              <w:rPr>
                <w:sz w:val="20"/>
                <w:szCs w:val="20"/>
                <w:color w:val="auto"/>
              </w:rPr>
            </w:pPr>
            <w:r>
              <w:rPr>
                <w:rFonts w:ascii="Arial" w:cs="Arial" w:eastAsia="Arial" w:hAnsi="Arial"/>
                <w:sz w:val="14"/>
                <w:szCs w:val="14"/>
                <w:b w:val="1"/>
                <w:bCs w:val="1"/>
                <w:color w:val="auto"/>
                <w:w w:val="89"/>
              </w:rPr>
              <w:t>Producing</w:t>
            </w:r>
          </w:p>
        </w:tc>
        <w:tc>
          <w:tcPr>
            <w:tcW w:w="1600" w:type="dxa"/>
            <w:vAlign w:val="bottom"/>
            <w:gridSpan w:val="3"/>
          </w:tcPr>
          <w:p>
            <w:pPr>
              <w:jc w:val="center"/>
              <w:spacing w:after="0" w:line="143" w:lineRule="exact"/>
              <w:rPr>
                <w:sz w:val="20"/>
                <w:szCs w:val="20"/>
                <w:color w:val="auto"/>
              </w:rPr>
            </w:pPr>
            <w:r>
              <w:rPr>
                <w:rFonts w:ascii="Arial" w:cs="Arial" w:eastAsia="Arial" w:hAnsi="Arial"/>
                <w:sz w:val="14"/>
                <w:szCs w:val="14"/>
                <w:b w:val="1"/>
                <w:bCs w:val="1"/>
                <w:color w:val="auto"/>
                <w:w w:val="91"/>
              </w:rPr>
              <w:t>12/31/16</w:t>
            </w:r>
          </w:p>
        </w:tc>
        <w:tc>
          <w:tcPr>
            <w:tcW w:w="140" w:type="dxa"/>
            <w:vAlign w:val="bottom"/>
          </w:tcPr>
          <w:p>
            <w:pPr>
              <w:spacing w:after="0"/>
              <w:rPr>
                <w:sz w:val="12"/>
                <w:szCs w:val="12"/>
                <w:color w:val="auto"/>
              </w:rPr>
            </w:pPr>
          </w:p>
        </w:tc>
        <w:tc>
          <w:tcPr>
            <w:tcW w:w="1600" w:type="dxa"/>
            <w:vAlign w:val="bottom"/>
            <w:gridSpan w:val="3"/>
          </w:tcPr>
          <w:p>
            <w:pPr>
              <w:jc w:val="center"/>
              <w:spacing w:after="0" w:line="143" w:lineRule="exact"/>
              <w:rPr>
                <w:sz w:val="20"/>
                <w:szCs w:val="20"/>
                <w:color w:val="auto"/>
              </w:rPr>
            </w:pPr>
            <w:r>
              <w:rPr>
                <w:rFonts w:ascii="Arial" w:cs="Arial" w:eastAsia="Arial" w:hAnsi="Arial"/>
                <w:sz w:val="14"/>
                <w:szCs w:val="14"/>
                <w:b w:val="1"/>
                <w:bCs w:val="1"/>
                <w:color w:val="auto"/>
                <w:w w:val="91"/>
              </w:rPr>
              <w:t>12/31/17</w:t>
            </w:r>
          </w:p>
        </w:tc>
        <w:tc>
          <w:tcPr>
            <w:tcW w:w="140" w:type="dxa"/>
            <w:vAlign w:val="bottom"/>
          </w:tcPr>
          <w:p>
            <w:pPr>
              <w:spacing w:after="0"/>
              <w:rPr>
                <w:sz w:val="12"/>
                <w:szCs w:val="12"/>
                <w:color w:val="auto"/>
              </w:rPr>
            </w:pPr>
          </w:p>
        </w:tc>
        <w:tc>
          <w:tcPr>
            <w:tcW w:w="1580" w:type="dxa"/>
            <w:vAlign w:val="bottom"/>
            <w:gridSpan w:val="4"/>
          </w:tcPr>
          <w:p>
            <w:pPr>
              <w:jc w:val="right"/>
              <w:ind w:right="580"/>
              <w:spacing w:after="0" w:line="143" w:lineRule="exact"/>
              <w:rPr>
                <w:sz w:val="20"/>
                <w:szCs w:val="20"/>
                <w:color w:val="auto"/>
              </w:rPr>
            </w:pPr>
            <w:r>
              <w:rPr>
                <w:rFonts w:ascii="Arial" w:cs="Arial" w:eastAsia="Arial" w:hAnsi="Arial"/>
                <w:sz w:val="14"/>
                <w:szCs w:val="14"/>
                <w:b w:val="1"/>
                <w:bCs w:val="1"/>
                <w:color w:val="auto"/>
              </w:rPr>
              <w:t>from 2016</w:t>
            </w:r>
          </w:p>
        </w:tc>
        <w:tc>
          <w:tcPr>
            <w:tcW w:w="2040" w:type="dxa"/>
            <w:vAlign w:val="bottom"/>
            <w:gridSpan w:val="4"/>
          </w:tcPr>
          <w:p>
            <w:pPr>
              <w:jc w:val="center"/>
              <w:ind w:right="280"/>
              <w:spacing w:after="0" w:line="143" w:lineRule="exact"/>
              <w:rPr>
                <w:sz w:val="20"/>
                <w:szCs w:val="20"/>
                <w:color w:val="auto"/>
              </w:rPr>
            </w:pPr>
            <w:r>
              <w:rPr>
                <w:rFonts w:ascii="Arial" w:cs="Arial" w:eastAsia="Arial" w:hAnsi="Arial"/>
                <w:sz w:val="14"/>
                <w:szCs w:val="14"/>
                <w:b w:val="1"/>
                <w:bCs w:val="1"/>
                <w:color w:val="auto"/>
                <w:w w:val="86"/>
              </w:rPr>
              <w:t>reserves not located at</w:t>
            </w:r>
          </w:p>
        </w:tc>
        <w:tc>
          <w:tcPr>
            <w:tcW w:w="116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w w:val="85"/>
              </w:rPr>
              <w:t>not been</w:t>
            </w:r>
          </w:p>
        </w:tc>
        <w:tc>
          <w:tcPr>
            <w:tcW w:w="1320" w:type="dxa"/>
            <w:vAlign w:val="bottom"/>
            <w:gridSpan w:val="4"/>
          </w:tcPr>
          <w:p>
            <w:pPr>
              <w:jc w:val="center"/>
              <w:ind w:right="220"/>
              <w:spacing w:after="0" w:line="143" w:lineRule="exact"/>
              <w:rPr>
                <w:sz w:val="20"/>
                <w:szCs w:val="20"/>
                <w:color w:val="auto"/>
              </w:rPr>
            </w:pPr>
            <w:r>
              <w:rPr>
                <w:rFonts w:ascii="Arial" w:cs="Arial" w:eastAsia="Arial" w:hAnsi="Arial"/>
                <w:sz w:val="14"/>
                <w:szCs w:val="14"/>
                <w:b w:val="1"/>
                <w:bCs w:val="1"/>
                <w:color w:val="auto"/>
                <w:w w:val="90"/>
              </w:rPr>
              <w:t>percent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Quarries</w:t>
            </w:r>
          </w:p>
        </w:tc>
        <w:tc>
          <w:tcPr>
            <w:tcW w:w="140" w:type="dxa"/>
            <w:vAlign w:val="bottom"/>
          </w:tcPr>
          <w:p>
            <w:pPr>
              <w:spacing w:after="0"/>
              <w:rPr>
                <w:sz w:val="12"/>
                <w:szCs w:val="12"/>
                <w:color w:val="auto"/>
              </w:rPr>
            </w:pPr>
          </w:p>
        </w:tc>
        <w:tc>
          <w:tcPr>
            <w:tcW w:w="1600" w:type="dxa"/>
            <w:vAlign w:val="bottom"/>
            <w:tcBorders>
              <w:bottom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90"/>
              </w:rPr>
              <w:t>(Add 000)</w:t>
            </w:r>
          </w:p>
        </w:tc>
        <w:tc>
          <w:tcPr>
            <w:tcW w:w="140" w:type="dxa"/>
            <w:vAlign w:val="bottom"/>
          </w:tcPr>
          <w:p>
            <w:pPr>
              <w:spacing w:after="0"/>
              <w:rPr>
                <w:sz w:val="12"/>
                <w:szCs w:val="12"/>
                <w:color w:val="auto"/>
              </w:rPr>
            </w:pPr>
          </w:p>
        </w:tc>
        <w:tc>
          <w:tcPr>
            <w:tcW w:w="1600" w:type="dxa"/>
            <w:vAlign w:val="bottom"/>
            <w:tcBorders>
              <w:bottom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90"/>
              </w:rPr>
              <w:t>(Add 000)</w:t>
            </w:r>
          </w:p>
        </w:tc>
        <w:tc>
          <w:tcPr>
            <w:tcW w:w="140" w:type="dxa"/>
            <w:vAlign w:val="bottom"/>
          </w:tcPr>
          <w:p>
            <w:pPr>
              <w:spacing w:after="0"/>
              <w:rPr>
                <w:sz w:val="12"/>
                <w:szCs w:val="12"/>
                <w:color w:val="auto"/>
              </w:rPr>
            </w:pPr>
          </w:p>
        </w:tc>
        <w:tc>
          <w:tcPr>
            <w:tcW w:w="1420" w:type="dxa"/>
            <w:vAlign w:val="bottom"/>
            <w:tcBorders>
              <w:bottom w:val="single" w:sz="8" w:color="auto"/>
            </w:tcBorders>
            <w:gridSpan w:val="3"/>
          </w:tcPr>
          <w:p>
            <w:pPr>
              <w:jc w:val="right"/>
              <w:ind w:right="334"/>
              <w:spacing w:after="0" w:line="129" w:lineRule="exact"/>
              <w:rPr>
                <w:sz w:val="20"/>
                <w:szCs w:val="20"/>
                <w:color w:val="auto"/>
              </w:rPr>
            </w:pPr>
            <w:r>
              <w:rPr>
                <w:rFonts w:ascii="Arial" w:cs="Arial" w:eastAsia="Arial" w:hAnsi="Arial"/>
                <w:sz w:val="14"/>
                <w:szCs w:val="14"/>
                <w:b w:val="1"/>
                <w:bCs w:val="1"/>
                <w:color w:val="auto"/>
              </w:rPr>
              <w:t>(Add 000)</w:t>
            </w:r>
          </w:p>
        </w:tc>
        <w:tc>
          <w:tcPr>
            <w:tcW w:w="160" w:type="dxa"/>
            <w:vAlign w:val="bottom"/>
          </w:tcPr>
          <w:p>
            <w:pPr>
              <w:spacing w:after="0"/>
              <w:rPr>
                <w:sz w:val="12"/>
                <w:szCs w:val="12"/>
                <w:color w:val="auto"/>
              </w:rPr>
            </w:pPr>
          </w:p>
        </w:tc>
        <w:tc>
          <w:tcPr>
            <w:tcW w:w="1760" w:type="dxa"/>
            <w:vAlign w:val="bottom"/>
            <w:tcBorders>
              <w:bottom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89"/>
              </w:rPr>
              <w:t>an existing quarry.</w:t>
            </w:r>
          </w:p>
        </w:tc>
        <w:tc>
          <w:tcPr>
            <w:tcW w:w="280" w:type="dxa"/>
            <w:vAlign w:val="bottom"/>
          </w:tcPr>
          <w:p>
            <w:pPr>
              <w:spacing w:after="0"/>
              <w:rPr>
                <w:sz w:val="12"/>
                <w:szCs w:val="12"/>
                <w:color w:val="auto"/>
              </w:rPr>
            </w:pPr>
          </w:p>
        </w:tc>
        <w:tc>
          <w:tcPr>
            <w:tcW w:w="116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88"/>
              </w:rPr>
              <w:t>zoned for</w:t>
            </w:r>
          </w:p>
        </w:tc>
        <w:tc>
          <w:tcPr>
            <w:tcW w:w="1100" w:type="dxa"/>
            <w:vAlign w:val="bottom"/>
            <w:tcBorders>
              <w:bottom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87"/>
              </w:rPr>
              <w:t>leased</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State</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3"/>
              </w:rPr>
              <w:t>2017</w:t>
            </w:r>
          </w:p>
        </w:tc>
        <w:tc>
          <w:tcPr>
            <w:tcW w:w="14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Hard Rock</w:t>
            </w:r>
          </w:p>
        </w:tc>
        <w:tc>
          <w:tcPr>
            <w:tcW w:w="760" w:type="dxa"/>
            <w:vAlign w:val="bottom"/>
            <w:gridSpan w:val="2"/>
          </w:tcPr>
          <w:p>
            <w:pPr>
              <w:ind w:left="120"/>
              <w:spacing w:after="0"/>
              <w:rPr>
                <w:sz w:val="20"/>
                <w:szCs w:val="20"/>
                <w:color w:val="auto"/>
              </w:rPr>
            </w:pPr>
            <w:r>
              <w:rPr>
                <w:rFonts w:ascii="Arial" w:cs="Arial" w:eastAsia="Arial" w:hAnsi="Arial"/>
                <w:sz w:val="14"/>
                <w:szCs w:val="14"/>
                <w:b w:val="1"/>
                <w:bCs w:val="1"/>
                <w:color w:val="auto"/>
              </w:rPr>
              <w:t>S &amp; G</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Hard Rock</w:t>
            </w:r>
          </w:p>
        </w:tc>
        <w:tc>
          <w:tcPr>
            <w:tcW w:w="780" w:type="dxa"/>
            <w:vAlign w:val="bottom"/>
            <w:gridSpan w:val="2"/>
          </w:tcPr>
          <w:p>
            <w:pPr>
              <w:ind w:left="140"/>
              <w:spacing w:after="0"/>
              <w:rPr>
                <w:sz w:val="20"/>
                <w:szCs w:val="20"/>
                <w:color w:val="auto"/>
              </w:rPr>
            </w:pPr>
            <w:r>
              <w:rPr>
                <w:rFonts w:ascii="Arial" w:cs="Arial" w:eastAsia="Arial" w:hAnsi="Arial"/>
                <w:sz w:val="14"/>
                <w:szCs w:val="14"/>
                <w:b w:val="1"/>
                <w:bCs w:val="1"/>
                <w:color w:val="auto"/>
              </w:rPr>
              <w:t>S &amp; G</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1"/>
              </w:rPr>
              <w:t>Hard Rock</w:t>
            </w:r>
          </w:p>
        </w:tc>
        <w:tc>
          <w:tcPr>
            <w:tcW w:w="7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S &amp; G</w:t>
            </w:r>
          </w:p>
        </w:tc>
        <w:tc>
          <w:tcPr>
            <w:tcW w:w="9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2"/>
              </w:rPr>
              <w:t>At Quarry</w:t>
            </w:r>
          </w:p>
        </w:tc>
        <w:tc>
          <w:tcPr>
            <w:tcW w:w="11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Not at Quarry</w:t>
            </w: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quarrying.* **</w:t>
            </w: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5"/>
              </w:rPr>
              <w:t>Owned</w:t>
            </w:r>
          </w:p>
        </w:tc>
        <w:tc>
          <w:tcPr>
            <w:tcW w:w="6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78"/>
              </w:rPr>
              <w:t>Leased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Borders>
              <w:bottom w:val="single" w:sz="8" w:color="auto"/>
            </w:tcBorders>
            <w:shd w:val="clear" w:color="auto" w:fill="CCEEFF"/>
          </w:tcPr>
          <w:p>
            <w:pPr>
              <w:spacing w:after="0" w:line="20" w:lineRule="exact"/>
              <w:rPr>
                <w:sz w:val="1"/>
                <w:szCs w:val="1"/>
                <w:color w:val="auto"/>
              </w:rPr>
            </w:pPr>
          </w:p>
        </w:tc>
        <w:tc>
          <w:tcPr>
            <w:tcW w:w="840" w:type="dxa"/>
            <w:vAlign w:val="bottom"/>
            <w:tcBorders>
              <w:bottom w:val="single" w:sz="8" w:color="CCEEFF"/>
            </w:tcBorders>
            <w:shd w:val="clear" w:color="auto" w:fill="CCEEFF"/>
          </w:tcPr>
          <w:p>
            <w:pPr>
              <w:spacing w:after="0" w:line="20" w:lineRule="exact"/>
              <w:rPr>
                <w:sz w:val="1"/>
                <w:szCs w:val="1"/>
                <w:color w:val="auto"/>
              </w:rPr>
            </w:pPr>
          </w:p>
        </w:tc>
        <w:tc>
          <w:tcPr>
            <w:tcW w:w="660" w:type="dxa"/>
            <w:vAlign w:val="bottom"/>
            <w:tcBorders>
              <w:bottom w:val="single" w:sz="8" w:color="CCEEFF"/>
            </w:tcBorders>
            <w:shd w:val="clear" w:color="auto" w:fill="000000"/>
          </w:tcPr>
          <w:p>
            <w:pPr>
              <w:spacing w:after="0" w:line="20" w:lineRule="exact"/>
              <w:rPr>
                <w:sz w:val="1"/>
                <w:szCs w:val="1"/>
                <w:color w:val="auto"/>
              </w:rPr>
            </w:pPr>
          </w:p>
        </w:tc>
        <w:tc>
          <w:tcPr>
            <w:tcW w:w="140" w:type="dxa"/>
            <w:vAlign w:val="bottom"/>
            <w:tcBorders>
              <w:bottom w:val="single" w:sz="8" w:color="CCEEFF"/>
            </w:tcBorders>
            <w:shd w:val="clear" w:color="auto" w:fill="CCEEFF"/>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160" w:type="dxa"/>
            <w:vAlign w:val="bottom"/>
            <w:tcBorders>
              <w:bottom w:val="single" w:sz="8" w:color="CCEEFF"/>
            </w:tcBorders>
            <w:shd w:val="clear" w:color="auto" w:fill="CCEEFF"/>
          </w:tcPr>
          <w:p>
            <w:pPr>
              <w:spacing w:after="0" w:line="20" w:lineRule="exact"/>
              <w:rPr>
                <w:sz w:val="1"/>
                <w:szCs w:val="1"/>
                <w:color w:val="auto"/>
              </w:rPr>
            </w:pPr>
          </w:p>
        </w:tc>
        <w:tc>
          <w:tcPr>
            <w:tcW w:w="620" w:type="dxa"/>
            <w:vAlign w:val="bottom"/>
            <w:tcBorders>
              <w:bottom w:val="single" w:sz="8" w:color="CCEEFF"/>
            </w:tcBorders>
            <w:shd w:val="clear" w:color="auto" w:fill="000000"/>
          </w:tcPr>
          <w:p>
            <w:pPr>
              <w:spacing w:after="0" w:line="20" w:lineRule="exact"/>
              <w:rPr>
                <w:sz w:val="1"/>
                <w:szCs w:val="1"/>
                <w:color w:val="auto"/>
              </w:rPr>
            </w:pPr>
          </w:p>
        </w:tc>
        <w:tc>
          <w:tcPr>
            <w:tcW w:w="140" w:type="dxa"/>
            <w:vAlign w:val="bottom"/>
            <w:tcBorders>
              <w:bottom w:val="single" w:sz="8" w:color="CCEEFF"/>
            </w:tcBorders>
            <w:shd w:val="clear" w:color="auto" w:fill="CCEEFF"/>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140" w:type="dxa"/>
            <w:vAlign w:val="bottom"/>
            <w:tcBorders>
              <w:bottom w:val="single" w:sz="8" w:color="CCEEFF"/>
            </w:tcBorders>
            <w:shd w:val="clear" w:color="auto" w:fill="CCEEFF"/>
          </w:tcPr>
          <w:p>
            <w:pPr>
              <w:spacing w:after="0" w:line="20" w:lineRule="exact"/>
              <w:rPr>
                <w:sz w:val="1"/>
                <w:szCs w:val="1"/>
                <w:color w:val="auto"/>
              </w:rPr>
            </w:pPr>
          </w:p>
        </w:tc>
        <w:tc>
          <w:tcPr>
            <w:tcW w:w="640" w:type="dxa"/>
            <w:vAlign w:val="bottom"/>
            <w:tcBorders>
              <w:bottom w:val="single" w:sz="8" w:color="CCEEFF"/>
            </w:tcBorders>
            <w:shd w:val="clear" w:color="auto" w:fill="000000"/>
          </w:tcPr>
          <w:p>
            <w:pPr>
              <w:spacing w:after="0" w:line="20" w:lineRule="exact"/>
              <w:rPr>
                <w:sz w:val="1"/>
                <w:szCs w:val="1"/>
                <w:color w:val="auto"/>
              </w:rPr>
            </w:pPr>
          </w:p>
        </w:tc>
        <w:tc>
          <w:tcPr>
            <w:tcW w:w="140" w:type="dxa"/>
            <w:vAlign w:val="bottom"/>
            <w:tcBorders>
              <w:bottom w:val="single" w:sz="8" w:color="CCEEFF"/>
            </w:tcBorders>
            <w:shd w:val="clear" w:color="auto" w:fill="CCEEFF"/>
          </w:tcPr>
          <w:p>
            <w:pPr>
              <w:spacing w:after="0" w:line="20" w:lineRule="exact"/>
              <w:rPr>
                <w:sz w:val="1"/>
                <w:szCs w:val="1"/>
                <w:color w:val="auto"/>
              </w:rPr>
            </w:pPr>
          </w:p>
        </w:tc>
        <w:tc>
          <w:tcPr>
            <w:tcW w:w="680" w:type="dxa"/>
            <w:vAlign w:val="bottom"/>
            <w:tcBorders>
              <w:bottom w:val="single" w:sz="8" w:color="CCEEFF"/>
            </w:tcBorders>
            <w:shd w:val="clear" w:color="auto" w:fill="000000"/>
          </w:tcPr>
          <w:p>
            <w:pPr>
              <w:spacing w:after="0" w:line="20" w:lineRule="exact"/>
              <w:rPr>
                <w:sz w:val="1"/>
                <w:szCs w:val="1"/>
                <w:color w:val="auto"/>
              </w:rPr>
            </w:pPr>
          </w:p>
        </w:tc>
        <w:tc>
          <w:tcPr>
            <w:tcW w:w="140" w:type="dxa"/>
            <w:vAlign w:val="bottom"/>
            <w:tcBorders>
              <w:bottom w:val="single" w:sz="8" w:color="CCEEFF"/>
            </w:tcBorders>
            <w:shd w:val="clear" w:color="auto" w:fill="CCEEFF"/>
          </w:tcPr>
          <w:p>
            <w:pPr>
              <w:spacing w:after="0" w:line="20" w:lineRule="exact"/>
              <w:rPr>
                <w:sz w:val="1"/>
                <w:szCs w:val="1"/>
                <w:color w:val="auto"/>
              </w:rPr>
            </w:pPr>
          </w:p>
        </w:tc>
        <w:tc>
          <w:tcPr>
            <w:tcW w:w="600" w:type="dxa"/>
            <w:vAlign w:val="bottom"/>
            <w:tcBorders>
              <w:bottom w:val="single" w:sz="8" w:color="CCEEFF"/>
            </w:tcBorders>
            <w:shd w:val="clear" w:color="auto" w:fill="000000"/>
          </w:tcPr>
          <w:p>
            <w:pPr>
              <w:spacing w:after="0" w:line="20" w:lineRule="exact"/>
              <w:rPr>
                <w:sz w:val="1"/>
                <w:szCs w:val="1"/>
                <w:color w:val="auto"/>
              </w:rPr>
            </w:pPr>
          </w:p>
        </w:tc>
        <w:tc>
          <w:tcPr>
            <w:tcW w:w="160" w:type="dxa"/>
            <w:vAlign w:val="bottom"/>
            <w:tcBorders>
              <w:bottom w:val="single" w:sz="8" w:color="CCEEFF"/>
            </w:tcBorders>
            <w:shd w:val="clear" w:color="auto" w:fill="CCEEFF"/>
          </w:tcPr>
          <w:p>
            <w:pPr>
              <w:spacing w:after="0" w:line="20" w:lineRule="exact"/>
              <w:rPr>
                <w:sz w:val="1"/>
                <w:szCs w:val="1"/>
                <w:color w:val="auto"/>
              </w:rPr>
            </w:pPr>
          </w:p>
        </w:tc>
        <w:tc>
          <w:tcPr>
            <w:tcW w:w="640" w:type="dxa"/>
            <w:vAlign w:val="bottom"/>
            <w:tcBorders>
              <w:bottom w:val="single" w:sz="8" w:color="CCEEFF"/>
            </w:tcBorders>
            <w:shd w:val="clear" w:color="auto" w:fill="000000"/>
          </w:tcPr>
          <w:p>
            <w:pPr>
              <w:spacing w:after="0" w:line="20" w:lineRule="exact"/>
              <w:rPr>
                <w:sz w:val="1"/>
                <w:szCs w:val="1"/>
                <w:color w:val="auto"/>
              </w:rPr>
            </w:pPr>
          </w:p>
        </w:tc>
        <w:tc>
          <w:tcPr>
            <w:tcW w:w="260" w:type="dxa"/>
            <w:vAlign w:val="bottom"/>
            <w:tcBorders>
              <w:bottom w:val="single" w:sz="8" w:color="CCEEFF"/>
            </w:tcBorders>
            <w:shd w:val="clear" w:color="auto" w:fill="CCEEFF"/>
          </w:tcPr>
          <w:p>
            <w:pPr>
              <w:spacing w:after="0" w:line="20" w:lineRule="exact"/>
              <w:rPr>
                <w:sz w:val="1"/>
                <w:szCs w:val="1"/>
                <w:color w:val="auto"/>
              </w:rPr>
            </w:pPr>
          </w:p>
        </w:tc>
        <w:tc>
          <w:tcPr>
            <w:tcW w:w="860" w:type="dxa"/>
            <w:vAlign w:val="bottom"/>
            <w:tcBorders>
              <w:bottom w:val="single" w:sz="8" w:color="CCEEFF"/>
            </w:tcBorders>
            <w:shd w:val="clear" w:color="auto" w:fill="000000"/>
          </w:tcPr>
          <w:p>
            <w:pPr>
              <w:spacing w:after="0" w:line="20" w:lineRule="exact"/>
              <w:rPr>
                <w:sz w:val="1"/>
                <w:szCs w:val="1"/>
                <w:color w:val="auto"/>
              </w:rPr>
            </w:pPr>
          </w:p>
        </w:tc>
        <w:tc>
          <w:tcPr>
            <w:tcW w:w="280" w:type="dxa"/>
            <w:vAlign w:val="bottom"/>
            <w:tcBorders>
              <w:bottom w:val="single" w:sz="8" w:color="CCEEFF"/>
            </w:tcBorders>
            <w:shd w:val="clear" w:color="auto" w:fill="CCEEFF"/>
          </w:tcPr>
          <w:p>
            <w:pPr>
              <w:spacing w:after="0" w:line="20" w:lineRule="exact"/>
              <w:rPr>
                <w:sz w:val="1"/>
                <w:szCs w:val="1"/>
                <w:color w:val="auto"/>
              </w:rPr>
            </w:pPr>
          </w:p>
        </w:tc>
        <w:tc>
          <w:tcPr>
            <w:tcW w:w="880" w:type="dxa"/>
            <w:vAlign w:val="bottom"/>
            <w:tcBorders>
              <w:bottom w:val="single" w:sz="8" w:color="CCEEFF"/>
            </w:tcBorders>
            <w:shd w:val="clear" w:color="auto" w:fill="000000"/>
          </w:tcPr>
          <w:p>
            <w:pPr>
              <w:spacing w:after="0" w:line="20" w:lineRule="exact"/>
              <w:rPr>
                <w:sz w:val="1"/>
                <w:szCs w:val="1"/>
                <w:color w:val="auto"/>
              </w:rPr>
            </w:pPr>
          </w:p>
        </w:tc>
        <w:tc>
          <w:tcPr>
            <w:tcW w:w="280" w:type="dxa"/>
            <w:vAlign w:val="bottom"/>
            <w:tcBorders>
              <w:bottom w:val="single" w:sz="8" w:color="CCEEFF"/>
            </w:tcBorders>
            <w:shd w:val="clear" w:color="auto" w:fill="CCEEFF"/>
          </w:tcPr>
          <w:p>
            <w:pPr>
              <w:spacing w:after="0" w:line="20" w:lineRule="exact"/>
              <w:rPr>
                <w:sz w:val="1"/>
                <w:szCs w:val="1"/>
                <w:color w:val="auto"/>
              </w:rPr>
            </w:pPr>
          </w:p>
        </w:tc>
        <w:tc>
          <w:tcPr>
            <w:tcW w:w="420" w:type="dxa"/>
            <w:vAlign w:val="bottom"/>
            <w:tcBorders>
              <w:bottom w:val="single" w:sz="8" w:color="CCEEFF"/>
            </w:tcBorders>
            <w:shd w:val="clear" w:color="auto" w:fill="000000"/>
          </w:tcPr>
          <w:p>
            <w:pPr>
              <w:spacing w:after="0" w:line="20" w:lineRule="exact"/>
              <w:rPr>
                <w:sz w:val="1"/>
                <w:szCs w:val="1"/>
                <w:color w:val="auto"/>
              </w:rPr>
            </w:pPr>
          </w:p>
        </w:tc>
        <w:tc>
          <w:tcPr>
            <w:tcW w:w="280" w:type="dxa"/>
            <w:vAlign w:val="bottom"/>
            <w:tcBorders>
              <w:bottom w:val="single" w:sz="8" w:color="CCEEFF"/>
            </w:tcBorders>
            <w:shd w:val="clear" w:color="auto" w:fill="CCEEFF"/>
          </w:tcPr>
          <w:p>
            <w:pPr>
              <w:spacing w:after="0" w:line="20" w:lineRule="exact"/>
              <w:rPr>
                <w:sz w:val="1"/>
                <w:szCs w:val="1"/>
                <w:color w:val="auto"/>
              </w:rPr>
            </w:pPr>
          </w:p>
        </w:tc>
        <w:tc>
          <w:tcPr>
            <w:tcW w:w="400" w:type="dxa"/>
            <w:vAlign w:val="bottom"/>
            <w:tcBorders>
              <w:bottom w:val="single" w:sz="8" w:color="CCEEFF"/>
            </w:tcBorders>
            <w:shd w:val="clear" w:color="auto" w:fill="000000"/>
          </w:tcPr>
          <w:p>
            <w:pPr>
              <w:spacing w:after="0" w:line="20" w:lineRule="exact"/>
              <w:rPr>
                <w:sz w:val="1"/>
                <w:szCs w:val="1"/>
                <w:color w:val="auto"/>
              </w:rPr>
            </w:pPr>
          </w:p>
        </w:tc>
        <w:tc>
          <w:tcPr>
            <w:tcW w:w="220" w:type="dxa"/>
            <w:vAlign w:val="bottom"/>
            <w:tcBorders>
              <w:bottom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1120" w:type="dxa"/>
            <w:vAlign w:val="bottom"/>
            <w:gridSpan w:val="2"/>
            <w:shd w:val="clear" w:color="auto" w:fill="CCEEFF"/>
          </w:tcPr>
          <w:p>
            <w:pPr>
              <w:spacing w:after="0" w:line="180" w:lineRule="exact"/>
              <w:rPr>
                <w:sz w:val="20"/>
                <w:szCs w:val="20"/>
                <w:color w:val="auto"/>
              </w:rPr>
            </w:pPr>
            <w:r>
              <w:rPr>
                <w:rFonts w:ascii="Arial" w:cs="Arial" w:eastAsia="Arial" w:hAnsi="Arial"/>
                <w:sz w:val="17"/>
                <w:szCs w:val="17"/>
                <w:color w:val="auto"/>
              </w:rPr>
              <w:t>Alabama</w:t>
            </w:r>
          </w:p>
        </w:tc>
        <w:tc>
          <w:tcPr>
            <w:tcW w:w="660" w:type="dxa"/>
            <w:vAlign w:val="bottom"/>
            <w:shd w:val="clear" w:color="auto" w:fill="CCEEFF"/>
          </w:tcPr>
          <w:p>
            <w:pPr>
              <w:jc w:val="right"/>
              <w:spacing w:after="0" w:line="180" w:lineRule="exact"/>
              <w:rPr>
                <w:sz w:val="20"/>
                <w:szCs w:val="20"/>
                <w:color w:val="auto"/>
              </w:rPr>
            </w:pPr>
            <w:r>
              <w:rPr>
                <w:rFonts w:ascii="Arial" w:cs="Arial" w:eastAsia="Arial" w:hAnsi="Arial"/>
                <w:sz w:val="17"/>
                <w:szCs w:val="17"/>
                <w:color w:val="auto"/>
              </w:rPr>
              <w:t>4</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80" w:lineRule="exact"/>
              <w:rPr>
                <w:sz w:val="20"/>
                <w:szCs w:val="20"/>
                <w:color w:val="auto"/>
              </w:rPr>
            </w:pPr>
            <w:r>
              <w:rPr>
                <w:rFonts w:ascii="Arial" w:cs="Arial" w:eastAsia="Arial" w:hAnsi="Arial"/>
                <w:sz w:val="17"/>
                <w:szCs w:val="17"/>
                <w:color w:val="auto"/>
              </w:rPr>
              <w:t>127,485</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80" w:lineRule="exact"/>
              <w:rPr>
                <w:sz w:val="20"/>
                <w:szCs w:val="20"/>
                <w:color w:val="auto"/>
              </w:rPr>
            </w:pPr>
            <w:r>
              <w:rPr>
                <w:rFonts w:ascii="Arial" w:cs="Arial" w:eastAsia="Arial" w:hAnsi="Arial"/>
                <w:sz w:val="17"/>
                <w:szCs w:val="17"/>
                <w:color w:val="auto"/>
              </w:rPr>
              <w:t>11,623</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80" w:lineRule="exact"/>
              <w:rPr>
                <w:sz w:val="20"/>
                <w:szCs w:val="20"/>
                <w:color w:val="auto"/>
              </w:rPr>
            </w:pPr>
            <w:r>
              <w:rPr>
                <w:rFonts w:ascii="Arial" w:cs="Arial" w:eastAsia="Arial" w:hAnsi="Arial"/>
                <w:sz w:val="17"/>
                <w:szCs w:val="17"/>
                <w:color w:val="auto"/>
              </w:rPr>
              <w:t>126,447</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80" w:lineRule="exact"/>
              <w:rPr>
                <w:sz w:val="20"/>
                <w:szCs w:val="20"/>
                <w:color w:val="auto"/>
              </w:rPr>
            </w:pPr>
            <w:r>
              <w:rPr>
                <w:rFonts w:ascii="Arial" w:cs="Arial" w:eastAsia="Arial" w:hAnsi="Arial"/>
                <w:sz w:val="17"/>
                <w:szCs w:val="17"/>
                <w:color w:val="auto"/>
              </w:rPr>
              <w:t>11,623</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80" w:lineRule="exact"/>
              <w:rPr>
                <w:sz w:val="20"/>
                <w:szCs w:val="20"/>
                <w:color w:val="auto"/>
              </w:rPr>
            </w:pPr>
            <w:r>
              <w:rPr>
                <w:rFonts w:ascii="Arial" w:cs="Arial" w:eastAsia="Arial" w:hAnsi="Arial"/>
                <w:sz w:val="17"/>
                <w:szCs w:val="17"/>
                <w:color w:val="auto"/>
              </w:rPr>
              <w:t>(1,038)</w:t>
            </w: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0" w:lineRule="exact"/>
              <w:rPr>
                <w:sz w:val="20"/>
                <w:szCs w:val="20"/>
                <w:color w:val="auto"/>
              </w:rPr>
            </w:pPr>
            <w:r>
              <w:rPr>
                <w:rFonts w:ascii="Arial" w:cs="Arial" w:eastAsia="Arial" w:hAnsi="Arial"/>
                <w:sz w:val="17"/>
                <w:szCs w:val="17"/>
                <w:color w:val="auto"/>
              </w:rPr>
              <w:t>0</w:t>
            </w: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20"/>
              <w:spacing w:after="0" w:line="180" w:lineRule="exact"/>
              <w:rPr>
                <w:sz w:val="20"/>
                <w:szCs w:val="20"/>
                <w:color w:val="auto"/>
              </w:rPr>
            </w:pPr>
            <w:r>
              <w:rPr>
                <w:rFonts w:ascii="Arial" w:cs="Arial" w:eastAsia="Arial" w:hAnsi="Arial"/>
                <w:sz w:val="17"/>
                <w:szCs w:val="17"/>
                <w:color w:val="auto"/>
              </w:rPr>
              <w:t>100%</w:t>
            </w:r>
          </w:p>
        </w:tc>
        <w:tc>
          <w:tcPr>
            <w:tcW w:w="1140" w:type="dxa"/>
            <w:vAlign w:val="bottom"/>
            <w:gridSpan w:val="2"/>
            <w:shd w:val="clear" w:color="auto" w:fill="CCEEFF"/>
          </w:tcPr>
          <w:p>
            <w:pPr>
              <w:jc w:val="right"/>
              <w:ind w:right="140"/>
              <w:spacing w:after="0" w:line="180" w:lineRule="exact"/>
              <w:rPr>
                <w:sz w:val="20"/>
                <w:szCs w:val="20"/>
                <w:color w:val="auto"/>
              </w:rPr>
            </w:pPr>
            <w:r>
              <w:rPr>
                <w:rFonts w:ascii="Arial" w:cs="Arial" w:eastAsia="Arial" w:hAnsi="Arial"/>
                <w:sz w:val="17"/>
                <w:szCs w:val="17"/>
                <w:color w:val="auto"/>
              </w:rPr>
              <w:t>0%</w:t>
            </w:r>
          </w:p>
        </w:tc>
        <w:tc>
          <w:tcPr>
            <w:tcW w:w="1160" w:type="dxa"/>
            <w:vAlign w:val="bottom"/>
            <w:gridSpan w:val="2"/>
            <w:shd w:val="clear" w:color="auto" w:fill="CCEEFF"/>
          </w:tcPr>
          <w:p>
            <w:pPr>
              <w:ind w:left="800"/>
              <w:spacing w:after="0" w:line="180" w:lineRule="exact"/>
              <w:rPr>
                <w:sz w:val="20"/>
                <w:szCs w:val="20"/>
                <w:color w:val="auto"/>
              </w:rPr>
            </w:pPr>
            <w:r>
              <w:rPr>
                <w:rFonts w:ascii="Arial" w:cs="Arial" w:eastAsia="Arial" w:hAnsi="Arial"/>
                <w:sz w:val="17"/>
                <w:szCs w:val="17"/>
                <w:color w:val="auto"/>
              </w:rPr>
              <w:t>0%</w:t>
            </w:r>
          </w:p>
        </w:tc>
        <w:tc>
          <w:tcPr>
            <w:tcW w:w="700" w:type="dxa"/>
            <w:vAlign w:val="bottom"/>
            <w:gridSpan w:val="2"/>
            <w:shd w:val="clear" w:color="auto" w:fill="CCEEFF"/>
          </w:tcPr>
          <w:p>
            <w:pPr>
              <w:jc w:val="right"/>
              <w:ind w:right="140"/>
              <w:spacing w:after="0" w:line="180" w:lineRule="exact"/>
              <w:rPr>
                <w:sz w:val="20"/>
                <w:szCs w:val="20"/>
                <w:color w:val="auto"/>
              </w:rPr>
            </w:pPr>
            <w:r>
              <w:rPr>
                <w:rFonts w:ascii="Arial" w:cs="Arial" w:eastAsia="Arial" w:hAnsi="Arial"/>
                <w:sz w:val="17"/>
                <w:szCs w:val="17"/>
                <w:color w:val="auto"/>
              </w:rPr>
              <w:t>14%</w:t>
            </w:r>
          </w:p>
        </w:tc>
        <w:tc>
          <w:tcPr>
            <w:tcW w:w="620" w:type="dxa"/>
            <w:vAlign w:val="bottom"/>
            <w:gridSpan w:val="2"/>
            <w:shd w:val="clear" w:color="auto" w:fill="CCEEFF"/>
          </w:tcPr>
          <w:p>
            <w:pPr>
              <w:jc w:val="right"/>
              <w:ind w:right="60"/>
              <w:spacing w:after="0" w:line="180" w:lineRule="exact"/>
              <w:rPr>
                <w:sz w:val="20"/>
                <w:szCs w:val="20"/>
                <w:color w:val="auto"/>
              </w:rPr>
            </w:pPr>
            <w:r>
              <w:rPr>
                <w:rFonts w:ascii="Arial" w:cs="Arial" w:eastAsia="Arial" w:hAnsi="Arial"/>
                <w:sz w:val="17"/>
                <w:szCs w:val="17"/>
                <w:color w:val="auto"/>
              </w:rPr>
              <w:t>86%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7"/>
                <w:szCs w:val="17"/>
                <w:color w:val="auto"/>
              </w:rPr>
              <w:t>Arkansas</w:t>
            </w: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3</w:t>
            </w: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218,333</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0</w:t>
            </w: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223,326</w:t>
            </w: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0</w:t>
            </w: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4,993</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0</w:t>
            </w: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100%</w:t>
            </w: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0%</w:t>
            </w:r>
          </w:p>
        </w:tc>
        <w:tc>
          <w:tcPr>
            <w:tcW w:w="1160" w:type="dxa"/>
            <w:vAlign w:val="bottom"/>
            <w:gridSpan w:val="2"/>
          </w:tcPr>
          <w:p>
            <w:pPr>
              <w:ind w:left="800"/>
              <w:spacing w:after="0"/>
              <w:rPr>
                <w:sz w:val="20"/>
                <w:szCs w:val="20"/>
                <w:color w:val="auto"/>
              </w:rPr>
            </w:pPr>
            <w:r>
              <w:rPr>
                <w:rFonts w:ascii="Arial" w:cs="Arial" w:eastAsia="Arial" w:hAnsi="Arial"/>
                <w:sz w:val="17"/>
                <w:szCs w:val="17"/>
                <w:color w:val="auto"/>
              </w:rPr>
              <w:t>0%</w:t>
            </w: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47%</w:t>
            </w:r>
          </w:p>
        </w:tc>
        <w:tc>
          <w:tcPr>
            <w:tcW w:w="620" w:type="dxa"/>
            <w:vAlign w:val="bottom"/>
            <w:gridSpan w:val="2"/>
          </w:tcPr>
          <w:p>
            <w:pPr>
              <w:jc w:val="right"/>
              <w:ind w:right="60"/>
              <w:spacing w:after="0"/>
              <w:rPr>
                <w:sz w:val="20"/>
                <w:szCs w:val="20"/>
                <w:color w:val="auto"/>
              </w:rPr>
            </w:pPr>
            <w:r>
              <w:rPr>
                <w:rFonts w:ascii="Arial" w:cs="Arial" w:eastAsia="Arial" w:hAnsi="Arial"/>
                <w:sz w:val="17"/>
                <w:szCs w:val="17"/>
                <w:color w:val="auto"/>
              </w:rPr>
              <w:t>53%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Colorado</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754,369</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7"/>
              </w:rPr>
              <w:t>103,346</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749,238</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98,888</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(5,132)</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(4,457)</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99%</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w:t>
            </w: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7"/>
                <w:szCs w:val="17"/>
                <w:color w:val="auto"/>
              </w:rPr>
              <w:t>0%</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7"/>
                <w:szCs w:val="17"/>
                <w:color w:val="auto"/>
              </w:rPr>
              <w:t>Florida</w:t>
            </w: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1</w:t>
            </w: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123,892</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0</w:t>
            </w: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123,385</w:t>
            </w: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0</w:t>
            </w: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(507)</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0</w:t>
            </w: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100%</w:t>
            </w: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0%</w:t>
            </w:r>
          </w:p>
        </w:tc>
        <w:tc>
          <w:tcPr>
            <w:tcW w:w="1160" w:type="dxa"/>
            <w:vAlign w:val="bottom"/>
            <w:gridSpan w:val="2"/>
          </w:tcPr>
          <w:p>
            <w:pPr>
              <w:ind w:left="800"/>
              <w:spacing w:after="0"/>
              <w:rPr>
                <w:sz w:val="20"/>
                <w:szCs w:val="20"/>
                <w:color w:val="auto"/>
              </w:rPr>
            </w:pPr>
            <w:r>
              <w:rPr>
                <w:rFonts w:ascii="Arial" w:cs="Arial" w:eastAsia="Arial" w:hAnsi="Arial"/>
                <w:sz w:val="17"/>
                <w:szCs w:val="17"/>
                <w:color w:val="auto"/>
              </w:rPr>
              <w:t>0%</w:t>
            </w: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35%</w:t>
            </w:r>
          </w:p>
        </w:tc>
        <w:tc>
          <w:tcPr>
            <w:tcW w:w="620" w:type="dxa"/>
            <w:vAlign w:val="bottom"/>
            <w:gridSpan w:val="2"/>
          </w:tcPr>
          <w:p>
            <w:pPr>
              <w:jc w:val="right"/>
              <w:ind w:right="60"/>
              <w:spacing w:after="0"/>
              <w:rPr>
                <w:sz w:val="20"/>
                <w:szCs w:val="20"/>
                <w:color w:val="auto"/>
              </w:rPr>
            </w:pPr>
            <w:r>
              <w:rPr>
                <w:rFonts w:ascii="Arial" w:cs="Arial" w:eastAsia="Arial" w:hAnsi="Arial"/>
                <w:sz w:val="17"/>
                <w:szCs w:val="17"/>
                <w:color w:val="auto"/>
              </w:rPr>
              <w:t>65%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Georgia</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2,078,744</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2,062,738</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(16,006)</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97%</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w:t>
            </w: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7"/>
                <w:szCs w:val="17"/>
                <w:color w:val="auto"/>
              </w:rPr>
              <w:t>0%</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87%</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7"/>
                <w:szCs w:val="17"/>
                <w:color w:val="auto"/>
              </w:rPr>
              <w:t>Indiana</w:t>
            </w: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10</w:t>
            </w: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491,197</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48,814</w:t>
            </w: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486,057</w:t>
            </w: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46,530</w:t>
            </w: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(5,139)</w:t>
            </w: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(2,284)</w:t>
            </w: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100%</w:t>
            </w: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0%</w:t>
            </w:r>
          </w:p>
        </w:tc>
        <w:tc>
          <w:tcPr>
            <w:tcW w:w="1160" w:type="dxa"/>
            <w:vAlign w:val="bottom"/>
            <w:gridSpan w:val="2"/>
          </w:tcPr>
          <w:p>
            <w:pPr>
              <w:ind w:left="800"/>
              <w:spacing w:after="0"/>
              <w:rPr>
                <w:sz w:val="20"/>
                <w:szCs w:val="20"/>
                <w:color w:val="auto"/>
              </w:rPr>
            </w:pPr>
            <w:r>
              <w:rPr>
                <w:rFonts w:ascii="Arial" w:cs="Arial" w:eastAsia="Arial" w:hAnsi="Arial"/>
                <w:sz w:val="17"/>
                <w:szCs w:val="17"/>
                <w:color w:val="auto"/>
              </w:rPr>
              <w:t>0%</w:t>
            </w: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35%</w:t>
            </w:r>
          </w:p>
        </w:tc>
        <w:tc>
          <w:tcPr>
            <w:tcW w:w="620" w:type="dxa"/>
            <w:vAlign w:val="bottom"/>
            <w:gridSpan w:val="2"/>
          </w:tcPr>
          <w:p>
            <w:pPr>
              <w:jc w:val="right"/>
              <w:ind w:right="60"/>
              <w:spacing w:after="0"/>
              <w:rPr>
                <w:sz w:val="20"/>
                <w:szCs w:val="20"/>
                <w:color w:val="auto"/>
              </w:rPr>
            </w:pPr>
            <w:r>
              <w:rPr>
                <w:rFonts w:ascii="Arial" w:cs="Arial" w:eastAsia="Arial" w:hAnsi="Arial"/>
                <w:sz w:val="17"/>
                <w:szCs w:val="17"/>
                <w:color w:val="auto"/>
              </w:rPr>
              <w:t>65%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Iowa</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26</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750,749</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18,811</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738,800</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17,150</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(11,949)</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(1,661)</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100%</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w:t>
            </w: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7"/>
                <w:szCs w:val="17"/>
                <w:color w:val="auto"/>
              </w:rPr>
              <w:t>0%</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29%</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7"/>
                <w:szCs w:val="17"/>
                <w:color w:val="auto"/>
              </w:rPr>
              <w:t>Kansas</w:t>
            </w: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3</w:t>
            </w: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79,250</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0</w:t>
            </w: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78,102</w:t>
            </w: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0</w:t>
            </w: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(1,148)</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0</w:t>
            </w: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100%</w:t>
            </w: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0%</w:t>
            </w:r>
          </w:p>
        </w:tc>
        <w:tc>
          <w:tcPr>
            <w:tcW w:w="1160" w:type="dxa"/>
            <w:vAlign w:val="bottom"/>
            <w:gridSpan w:val="2"/>
          </w:tcPr>
          <w:p>
            <w:pPr>
              <w:ind w:left="800"/>
              <w:spacing w:after="0"/>
              <w:rPr>
                <w:sz w:val="20"/>
                <w:szCs w:val="20"/>
                <w:color w:val="auto"/>
              </w:rPr>
            </w:pPr>
            <w:r>
              <w:rPr>
                <w:rFonts w:ascii="Arial" w:cs="Arial" w:eastAsia="Arial" w:hAnsi="Arial"/>
                <w:sz w:val="17"/>
                <w:szCs w:val="17"/>
                <w:color w:val="auto"/>
              </w:rPr>
              <w:t>8%</w:t>
            </w: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36%</w:t>
            </w:r>
          </w:p>
        </w:tc>
        <w:tc>
          <w:tcPr>
            <w:tcW w:w="620" w:type="dxa"/>
            <w:vAlign w:val="bottom"/>
            <w:gridSpan w:val="2"/>
          </w:tcPr>
          <w:p>
            <w:pPr>
              <w:jc w:val="right"/>
              <w:ind w:right="60"/>
              <w:spacing w:after="0"/>
              <w:rPr>
                <w:sz w:val="20"/>
                <w:szCs w:val="20"/>
                <w:color w:val="auto"/>
              </w:rPr>
            </w:pPr>
            <w:r>
              <w:rPr>
                <w:rFonts w:ascii="Arial" w:cs="Arial" w:eastAsia="Arial" w:hAnsi="Arial"/>
                <w:sz w:val="17"/>
                <w:szCs w:val="17"/>
                <w:color w:val="auto"/>
              </w:rPr>
              <w:t>64%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Kentucky</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24,891</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24,595</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(297)</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100%</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w:t>
            </w: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7"/>
                <w:szCs w:val="17"/>
                <w:color w:val="auto"/>
              </w:rPr>
              <w:t>0%</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100%</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7"/>
                <w:szCs w:val="17"/>
                <w:color w:val="auto"/>
              </w:rPr>
              <w:t>Louisiana</w:t>
            </w: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3</w:t>
            </w: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0</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8,545</w:t>
            </w: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0</w:t>
            </w: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8,158</w:t>
            </w: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0</w:t>
            </w: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(388)</w:t>
            </w: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100%</w:t>
            </w: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0%</w:t>
            </w:r>
          </w:p>
        </w:tc>
        <w:tc>
          <w:tcPr>
            <w:tcW w:w="1160" w:type="dxa"/>
            <w:vAlign w:val="bottom"/>
            <w:gridSpan w:val="2"/>
          </w:tcPr>
          <w:p>
            <w:pPr>
              <w:ind w:left="800"/>
              <w:spacing w:after="0"/>
              <w:rPr>
                <w:sz w:val="20"/>
                <w:szCs w:val="20"/>
                <w:color w:val="auto"/>
              </w:rPr>
            </w:pPr>
            <w:r>
              <w:rPr>
                <w:rFonts w:ascii="Arial" w:cs="Arial" w:eastAsia="Arial" w:hAnsi="Arial"/>
                <w:sz w:val="17"/>
                <w:szCs w:val="17"/>
                <w:color w:val="auto"/>
              </w:rPr>
              <w:t>0%</w:t>
            </w: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0%</w:t>
            </w:r>
          </w:p>
        </w:tc>
        <w:tc>
          <w:tcPr>
            <w:tcW w:w="620" w:type="dxa"/>
            <w:vAlign w:val="bottom"/>
            <w:gridSpan w:val="2"/>
          </w:tcPr>
          <w:p>
            <w:pPr>
              <w:jc w:val="right"/>
              <w:ind w:right="6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Maryland</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121,757</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120,524</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(1,233)</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100%</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w:t>
            </w: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7"/>
                <w:szCs w:val="17"/>
                <w:color w:val="auto"/>
              </w:rPr>
              <w:t>0%</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100%</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7"/>
                <w:szCs w:val="17"/>
                <w:color w:val="auto"/>
              </w:rPr>
              <w:t>Minnesota</w:t>
            </w: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2</w:t>
            </w: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325,774</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0</w:t>
            </w: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323,298</w:t>
            </w: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0</w:t>
            </w: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(2,476)</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0</w:t>
            </w: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67%</w:t>
            </w: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33%</w:t>
            </w:r>
          </w:p>
        </w:tc>
        <w:tc>
          <w:tcPr>
            <w:tcW w:w="1160" w:type="dxa"/>
            <w:vAlign w:val="bottom"/>
            <w:gridSpan w:val="2"/>
          </w:tcPr>
          <w:p>
            <w:pPr>
              <w:ind w:left="800"/>
              <w:spacing w:after="0"/>
              <w:rPr>
                <w:sz w:val="20"/>
                <w:szCs w:val="20"/>
                <w:color w:val="auto"/>
              </w:rPr>
            </w:pPr>
            <w:r>
              <w:rPr>
                <w:rFonts w:ascii="Arial" w:cs="Arial" w:eastAsia="Arial" w:hAnsi="Arial"/>
                <w:sz w:val="17"/>
                <w:szCs w:val="17"/>
                <w:color w:val="auto"/>
              </w:rPr>
              <w:t>0%</w:t>
            </w: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64%</w:t>
            </w:r>
          </w:p>
        </w:tc>
        <w:tc>
          <w:tcPr>
            <w:tcW w:w="620" w:type="dxa"/>
            <w:vAlign w:val="bottom"/>
            <w:gridSpan w:val="2"/>
          </w:tcPr>
          <w:p>
            <w:pPr>
              <w:jc w:val="right"/>
              <w:ind w:right="60"/>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Mississippi</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67,238</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67,238</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100%</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w:t>
            </w: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7"/>
                <w:szCs w:val="17"/>
                <w:color w:val="auto"/>
              </w:rPr>
              <w:t>0%</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100%</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7"/>
                <w:szCs w:val="17"/>
                <w:color w:val="auto"/>
              </w:rPr>
              <w:t>Missouri</w:t>
            </w: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4</w:t>
            </w: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374,160</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0</w:t>
            </w: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362,892</w:t>
            </w: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0</w:t>
            </w: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(11,268)</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0</w:t>
            </w: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90%</w:t>
            </w: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10%</w:t>
            </w:r>
          </w:p>
        </w:tc>
        <w:tc>
          <w:tcPr>
            <w:tcW w:w="1160" w:type="dxa"/>
            <w:vAlign w:val="bottom"/>
            <w:gridSpan w:val="2"/>
          </w:tcPr>
          <w:p>
            <w:pPr>
              <w:ind w:left="800"/>
              <w:spacing w:after="0"/>
              <w:rPr>
                <w:sz w:val="20"/>
                <w:szCs w:val="20"/>
                <w:color w:val="auto"/>
              </w:rPr>
            </w:pPr>
            <w:r>
              <w:rPr>
                <w:rFonts w:ascii="Arial" w:cs="Arial" w:eastAsia="Arial" w:hAnsi="Arial"/>
                <w:sz w:val="17"/>
                <w:szCs w:val="17"/>
                <w:color w:val="auto"/>
              </w:rPr>
              <w:t>0%</w:t>
            </w: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6%</w:t>
            </w:r>
          </w:p>
        </w:tc>
        <w:tc>
          <w:tcPr>
            <w:tcW w:w="620" w:type="dxa"/>
            <w:vAlign w:val="bottom"/>
            <w:gridSpan w:val="2"/>
          </w:tcPr>
          <w:p>
            <w:pPr>
              <w:jc w:val="right"/>
              <w:ind w:right="60"/>
              <w:spacing w:after="0"/>
              <w:rPr>
                <w:sz w:val="20"/>
                <w:szCs w:val="20"/>
                <w:color w:val="auto"/>
              </w:rPr>
            </w:pPr>
            <w:r>
              <w:rPr>
                <w:rFonts w:ascii="Arial" w:cs="Arial" w:eastAsia="Arial" w:hAnsi="Arial"/>
                <w:sz w:val="17"/>
                <w:szCs w:val="17"/>
                <w:color w:val="auto"/>
              </w:rPr>
              <w:t>94%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Nebraska</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176,446</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171,174</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(5,272)</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100%</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w:t>
            </w: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7"/>
                <w:szCs w:val="17"/>
                <w:color w:val="auto"/>
              </w:rPr>
              <w:t>0%</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53%</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7"/>
                <w:szCs w:val="17"/>
                <w:color w:val="auto"/>
              </w:rPr>
              <w:t>Nevada</w:t>
            </w: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1</w:t>
            </w: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136,189</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0</w:t>
            </w: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135,338</w:t>
            </w: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0</w:t>
            </w: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(851)</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0</w:t>
            </w: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100%</w:t>
            </w: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0%</w:t>
            </w:r>
          </w:p>
        </w:tc>
        <w:tc>
          <w:tcPr>
            <w:tcW w:w="1160" w:type="dxa"/>
            <w:vAlign w:val="bottom"/>
            <w:gridSpan w:val="2"/>
          </w:tcPr>
          <w:p>
            <w:pPr>
              <w:ind w:left="800"/>
              <w:spacing w:after="0"/>
              <w:rPr>
                <w:sz w:val="20"/>
                <w:szCs w:val="20"/>
                <w:color w:val="auto"/>
              </w:rPr>
            </w:pPr>
            <w:r>
              <w:rPr>
                <w:rFonts w:ascii="Arial" w:cs="Arial" w:eastAsia="Arial" w:hAnsi="Arial"/>
                <w:sz w:val="17"/>
                <w:szCs w:val="17"/>
                <w:color w:val="auto"/>
              </w:rPr>
              <w:t>0%</w:t>
            </w: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91%</w:t>
            </w:r>
          </w:p>
        </w:tc>
        <w:tc>
          <w:tcPr>
            <w:tcW w:w="620" w:type="dxa"/>
            <w:vAlign w:val="bottom"/>
            <w:gridSpan w:val="2"/>
          </w:tcPr>
          <w:p>
            <w:pPr>
              <w:jc w:val="right"/>
              <w:ind w:right="60"/>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North Carolina</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37</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3,354,993</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2,500</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3,266,317</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1,807</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(88,676)</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(693)</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74%</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26%</w:t>
            </w: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7"/>
                <w:szCs w:val="17"/>
                <w:color w:val="auto"/>
              </w:rPr>
              <w:t>0%</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70%</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7"/>
                <w:szCs w:val="17"/>
                <w:color w:val="auto"/>
              </w:rPr>
              <w:t>Ohio***</w:t>
            </w: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10</w:t>
            </w: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564,657</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w w:val="97"/>
              </w:rPr>
              <w:t>124,919</w:t>
            </w: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576,166</w:t>
            </w: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117,978</w:t>
            </w: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11,510</w:t>
            </w: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(6,941)</w:t>
            </w: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46%</w:t>
            </w: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54%</w:t>
            </w:r>
          </w:p>
        </w:tc>
        <w:tc>
          <w:tcPr>
            <w:tcW w:w="1160" w:type="dxa"/>
            <w:vAlign w:val="bottom"/>
            <w:gridSpan w:val="2"/>
          </w:tcPr>
          <w:p>
            <w:pPr>
              <w:ind w:left="800"/>
              <w:spacing w:after="0"/>
              <w:rPr>
                <w:sz w:val="20"/>
                <w:szCs w:val="20"/>
                <w:color w:val="auto"/>
              </w:rPr>
            </w:pPr>
            <w:r>
              <w:rPr>
                <w:rFonts w:ascii="Arial" w:cs="Arial" w:eastAsia="Arial" w:hAnsi="Arial"/>
                <w:sz w:val="17"/>
                <w:szCs w:val="17"/>
                <w:color w:val="auto"/>
              </w:rPr>
              <w:t>0%</w:t>
            </w: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96%</w:t>
            </w:r>
          </w:p>
        </w:tc>
        <w:tc>
          <w:tcPr>
            <w:tcW w:w="620" w:type="dxa"/>
            <w:vAlign w:val="bottom"/>
            <w:gridSpan w:val="2"/>
          </w:tcPr>
          <w:p>
            <w:pPr>
              <w:jc w:val="right"/>
              <w:ind w:right="6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Oklahoma</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1,213,986</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13,101</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1,203,406</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11,892</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(10,580)</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(1,209)</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100%</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w:t>
            </w: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7"/>
                <w:szCs w:val="17"/>
                <w:color w:val="auto"/>
              </w:rPr>
              <w:t>0%</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86%</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7"/>
                <w:szCs w:val="17"/>
                <w:color w:val="auto"/>
                <w:w w:val="97"/>
              </w:rPr>
              <w:t>South Carolina</w:t>
            </w: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6</w:t>
            </w: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702,995</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28,123</w:t>
            </w: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707,437</w:t>
            </w: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27,481</w:t>
            </w: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4,442</w:t>
            </w: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(642)</w:t>
            </w: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96%</w:t>
            </w: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4%</w:t>
            </w:r>
          </w:p>
        </w:tc>
        <w:tc>
          <w:tcPr>
            <w:tcW w:w="1160" w:type="dxa"/>
            <w:vAlign w:val="bottom"/>
            <w:gridSpan w:val="2"/>
          </w:tcPr>
          <w:p>
            <w:pPr>
              <w:ind w:left="800"/>
              <w:spacing w:after="0"/>
              <w:rPr>
                <w:sz w:val="20"/>
                <w:szCs w:val="20"/>
                <w:color w:val="auto"/>
              </w:rPr>
            </w:pPr>
            <w:r>
              <w:rPr>
                <w:rFonts w:ascii="Arial" w:cs="Arial" w:eastAsia="Arial" w:hAnsi="Arial"/>
                <w:sz w:val="17"/>
                <w:szCs w:val="17"/>
                <w:color w:val="auto"/>
              </w:rPr>
              <w:t>0%</w:t>
            </w: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44%</w:t>
            </w:r>
          </w:p>
        </w:tc>
        <w:tc>
          <w:tcPr>
            <w:tcW w:w="620" w:type="dxa"/>
            <w:vAlign w:val="bottom"/>
            <w:gridSpan w:val="2"/>
          </w:tcPr>
          <w:p>
            <w:pPr>
              <w:jc w:val="right"/>
              <w:ind w:right="60"/>
              <w:spacing w:after="0"/>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Tennessee</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35,483</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35,101</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(381)</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100%</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w:t>
            </w: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7"/>
                <w:szCs w:val="17"/>
                <w:color w:val="auto"/>
              </w:rPr>
              <w:t>0%</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100%</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7"/>
                <w:szCs w:val="17"/>
                <w:color w:val="auto"/>
              </w:rPr>
              <w:t>Texas****</w:t>
            </w: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25</w:t>
            </w:r>
          </w:p>
        </w:tc>
        <w:tc>
          <w:tcPr>
            <w:tcW w:w="820" w:type="dxa"/>
            <w:vAlign w:val="bottom"/>
          </w:tcPr>
          <w:p>
            <w:pPr>
              <w:jc w:val="right"/>
              <w:spacing w:after="0"/>
              <w:rPr>
                <w:sz w:val="20"/>
                <w:szCs w:val="20"/>
                <w:color w:val="auto"/>
              </w:rPr>
            </w:pPr>
            <w:r>
              <w:rPr>
                <w:rFonts w:ascii="Arial" w:cs="Arial" w:eastAsia="Arial" w:hAnsi="Arial"/>
                <w:sz w:val="17"/>
                <w:szCs w:val="17"/>
                <w:color w:val="auto"/>
              </w:rPr>
              <w:t>2,465,161</w:t>
            </w: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w w:val="97"/>
              </w:rPr>
              <w:t>145,089</w:t>
            </w:r>
          </w:p>
        </w:tc>
        <w:tc>
          <w:tcPr>
            <w:tcW w:w="820" w:type="dxa"/>
            <w:vAlign w:val="bottom"/>
          </w:tcPr>
          <w:p>
            <w:pPr>
              <w:jc w:val="right"/>
              <w:spacing w:after="0"/>
              <w:rPr>
                <w:sz w:val="20"/>
                <w:szCs w:val="20"/>
                <w:color w:val="auto"/>
              </w:rPr>
            </w:pPr>
            <w:r>
              <w:rPr>
                <w:rFonts w:ascii="Arial" w:cs="Arial" w:eastAsia="Arial" w:hAnsi="Arial"/>
                <w:sz w:val="17"/>
                <w:szCs w:val="17"/>
                <w:color w:val="auto"/>
              </w:rPr>
              <w:t>2,462,794</w:t>
            </w: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125,561</w:t>
            </w: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(2,367)</w:t>
            </w: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(19,528)</w:t>
            </w: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100%</w:t>
            </w: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0%</w:t>
            </w:r>
          </w:p>
        </w:tc>
        <w:tc>
          <w:tcPr>
            <w:tcW w:w="1160" w:type="dxa"/>
            <w:vAlign w:val="bottom"/>
            <w:gridSpan w:val="2"/>
          </w:tcPr>
          <w:p>
            <w:pPr>
              <w:ind w:left="800"/>
              <w:spacing w:after="0"/>
              <w:rPr>
                <w:sz w:val="20"/>
                <w:szCs w:val="20"/>
                <w:color w:val="auto"/>
              </w:rPr>
            </w:pPr>
            <w:r>
              <w:rPr>
                <w:rFonts w:ascii="Arial" w:cs="Arial" w:eastAsia="Arial" w:hAnsi="Arial"/>
                <w:sz w:val="17"/>
                <w:szCs w:val="17"/>
                <w:color w:val="auto"/>
              </w:rPr>
              <w:t>0%</w:t>
            </w: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59%</w:t>
            </w:r>
          </w:p>
        </w:tc>
        <w:tc>
          <w:tcPr>
            <w:tcW w:w="620" w:type="dxa"/>
            <w:vAlign w:val="bottom"/>
            <w:gridSpan w:val="2"/>
          </w:tcPr>
          <w:p>
            <w:pPr>
              <w:jc w:val="right"/>
              <w:ind w:right="60"/>
              <w:spacing w:after="0"/>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Utah</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23,636</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22,472</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(1,165)</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100%</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w:t>
            </w: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7"/>
                <w:szCs w:val="17"/>
                <w:color w:val="auto"/>
              </w:rPr>
              <w:t>0%</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7"/>
                <w:szCs w:val="17"/>
                <w:color w:val="auto"/>
              </w:rPr>
              <w:t>Virginia</w:t>
            </w: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5</w:t>
            </w: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357,068</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0</w:t>
            </w: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337,285</w:t>
            </w: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0</w:t>
            </w: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(19,783)</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0</w:t>
            </w: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100%</w:t>
            </w: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0%</w:t>
            </w:r>
          </w:p>
        </w:tc>
        <w:tc>
          <w:tcPr>
            <w:tcW w:w="1160" w:type="dxa"/>
            <w:vAlign w:val="bottom"/>
            <w:gridSpan w:val="2"/>
          </w:tcPr>
          <w:p>
            <w:pPr>
              <w:ind w:left="800"/>
              <w:spacing w:after="0"/>
              <w:rPr>
                <w:sz w:val="20"/>
                <w:szCs w:val="20"/>
                <w:color w:val="auto"/>
              </w:rPr>
            </w:pPr>
            <w:r>
              <w:rPr>
                <w:rFonts w:ascii="Arial" w:cs="Arial" w:eastAsia="Arial" w:hAnsi="Arial"/>
                <w:sz w:val="17"/>
                <w:szCs w:val="17"/>
                <w:color w:val="auto"/>
              </w:rPr>
              <w:t>0%</w:t>
            </w: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60%</w:t>
            </w:r>
          </w:p>
        </w:tc>
        <w:tc>
          <w:tcPr>
            <w:tcW w:w="620" w:type="dxa"/>
            <w:vAlign w:val="bottom"/>
            <w:gridSpan w:val="2"/>
          </w:tcPr>
          <w:p>
            <w:pPr>
              <w:jc w:val="right"/>
              <w:ind w:right="60"/>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Washington</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21,780</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6,585</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17,484</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(15,195)</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17,484</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100%</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w:t>
            </w: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7"/>
                <w:szCs w:val="17"/>
                <w:color w:val="auto"/>
              </w:rPr>
              <w:t>0%</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73%</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7"/>
                <w:szCs w:val="17"/>
                <w:color w:val="auto"/>
              </w:rPr>
              <w:t>West Virginia</w:t>
            </w: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1</w:t>
            </w: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44,087</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0</w:t>
            </w: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23,956</w:t>
            </w: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0</w:t>
            </w: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(20,130)</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0</w:t>
            </w: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100%</w:t>
            </w: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0%</w:t>
            </w:r>
          </w:p>
        </w:tc>
        <w:tc>
          <w:tcPr>
            <w:tcW w:w="1160" w:type="dxa"/>
            <w:vAlign w:val="bottom"/>
            <w:gridSpan w:val="2"/>
          </w:tcPr>
          <w:p>
            <w:pPr>
              <w:ind w:left="800"/>
              <w:spacing w:after="0"/>
              <w:rPr>
                <w:sz w:val="20"/>
                <w:szCs w:val="20"/>
                <w:color w:val="auto"/>
              </w:rPr>
            </w:pPr>
            <w:r>
              <w:rPr>
                <w:rFonts w:ascii="Arial" w:cs="Arial" w:eastAsia="Arial" w:hAnsi="Arial"/>
                <w:sz w:val="17"/>
                <w:szCs w:val="17"/>
                <w:color w:val="auto"/>
              </w:rPr>
              <w:t>0%</w:t>
            </w: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76%</w:t>
            </w:r>
          </w:p>
        </w:tc>
        <w:tc>
          <w:tcPr>
            <w:tcW w:w="620" w:type="dxa"/>
            <w:vAlign w:val="bottom"/>
            <w:gridSpan w:val="2"/>
          </w:tcPr>
          <w:p>
            <w:pPr>
              <w:jc w:val="right"/>
              <w:ind w:right="60"/>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Wyoming</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156,943</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156,891</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(52)</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100%</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w:t>
            </w: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7"/>
                <w:szCs w:val="17"/>
                <w:color w:val="auto"/>
              </w:rPr>
              <w:t>0%</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41%</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312"/>
        </w:trPr>
        <w:tc>
          <w:tcPr>
            <w:tcW w:w="1140" w:type="dxa"/>
            <w:vAlign w:val="bottom"/>
            <w:gridSpan w:val="3"/>
          </w:tcPr>
          <w:p>
            <w:pPr>
              <w:spacing w:after="0"/>
              <w:rPr>
                <w:sz w:val="20"/>
                <w:szCs w:val="20"/>
                <w:color w:val="auto"/>
              </w:rPr>
            </w:pPr>
            <w:r>
              <w:rPr>
                <w:rFonts w:ascii="Arial" w:cs="Arial" w:eastAsia="Arial" w:hAnsi="Arial"/>
                <w:sz w:val="17"/>
                <w:szCs w:val="17"/>
                <w:b w:val="1"/>
                <w:bCs w:val="1"/>
                <w:color w:val="auto"/>
              </w:rPr>
              <w:t>U. S. Total</w:t>
            </w:r>
          </w:p>
        </w:tc>
        <w:tc>
          <w:tcPr>
            <w:tcW w:w="80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188</w:t>
            </w:r>
          </w:p>
        </w:tc>
        <w:tc>
          <w:tcPr>
            <w:tcW w:w="98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w w:val="93"/>
              </w:rPr>
              <w:t>14,699,134</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w w:val="97"/>
              </w:rPr>
              <w:t>597,001</w:t>
            </w:r>
          </w:p>
        </w:tc>
        <w:tc>
          <w:tcPr>
            <w:tcW w:w="96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w w:val="93"/>
              </w:rPr>
              <w:t>14,499,731</w:t>
            </w:r>
          </w:p>
        </w:tc>
        <w:tc>
          <w:tcPr>
            <w:tcW w:w="78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576,386</w:t>
            </w:r>
          </w:p>
        </w:tc>
        <w:tc>
          <w:tcPr>
            <w:tcW w:w="8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w w:val="96"/>
              </w:rPr>
              <w:t>(199,404)</w:t>
            </w:r>
          </w:p>
        </w:tc>
        <w:tc>
          <w:tcPr>
            <w:tcW w:w="76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(20,615)</w:t>
            </w:r>
          </w:p>
        </w:tc>
        <w:tc>
          <w:tcPr>
            <w:tcW w:w="90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90%</w:t>
            </w:r>
          </w:p>
        </w:tc>
        <w:tc>
          <w:tcPr>
            <w:tcW w:w="114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10%</w:t>
            </w:r>
          </w:p>
        </w:tc>
        <w:tc>
          <w:tcPr>
            <w:tcW w:w="1160" w:type="dxa"/>
            <w:vAlign w:val="bottom"/>
            <w:gridSpan w:val="2"/>
          </w:tcPr>
          <w:p>
            <w:pPr>
              <w:ind w:left="800"/>
              <w:spacing w:after="0"/>
              <w:rPr>
                <w:sz w:val="20"/>
                <w:szCs w:val="20"/>
                <w:color w:val="auto"/>
              </w:rPr>
            </w:pPr>
            <w:r>
              <w:rPr>
                <w:rFonts w:ascii="Arial" w:cs="Arial" w:eastAsia="Arial" w:hAnsi="Arial"/>
                <w:sz w:val="17"/>
                <w:szCs w:val="17"/>
                <w:b w:val="1"/>
                <w:bCs w:val="1"/>
                <w:color w:val="auto"/>
              </w:rPr>
              <w:t>0%</w:t>
            </w:r>
          </w:p>
        </w:tc>
        <w:tc>
          <w:tcPr>
            <w:tcW w:w="70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63%</w:t>
            </w:r>
          </w:p>
        </w:tc>
        <w:tc>
          <w:tcPr>
            <w:tcW w:w="62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37%</w:t>
            </w:r>
          </w:p>
        </w:tc>
        <w:tc>
          <w:tcPr>
            <w:tcW w:w="0" w:type="dxa"/>
            <w:vAlign w:val="bottom"/>
          </w:tcPr>
          <w:p>
            <w:pPr>
              <w:spacing w:after="0"/>
              <w:rPr>
                <w:sz w:val="1"/>
                <w:szCs w:val="1"/>
                <w:color w:val="auto"/>
              </w:rPr>
            </w:pPr>
          </w:p>
        </w:tc>
      </w:tr>
      <w:tr>
        <w:trPr>
          <w:trHeight w:val="104"/>
        </w:trPr>
        <w:tc>
          <w:tcPr>
            <w:tcW w:w="20" w:type="dxa"/>
            <w:vAlign w:val="bottom"/>
            <w:vMerge w:val="restart"/>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Non-U. S.</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855,364</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848,190</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(7,175)</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100%</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w:t>
            </w: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7"/>
                <w:szCs w:val="17"/>
                <w:color w:val="auto"/>
              </w:rPr>
              <w:t>0%</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100%</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0"/>
        </w:trPr>
        <w:tc>
          <w:tcPr>
            <w:tcW w:w="1140" w:type="dxa"/>
            <w:vAlign w:val="bottom"/>
            <w:gridSpan w:val="3"/>
            <w:vMerge w:val="restart"/>
          </w:tcPr>
          <w:p>
            <w:pPr>
              <w:spacing w:after="0"/>
              <w:rPr>
                <w:sz w:val="20"/>
                <w:szCs w:val="20"/>
                <w:color w:val="auto"/>
              </w:rPr>
            </w:pPr>
            <w:r>
              <w:rPr>
                <w:rFonts w:ascii="Arial" w:cs="Arial" w:eastAsia="Arial" w:hAnsi="Arial"/>
                <w:sz w:val="17"/>
                <w:szCs w:val="17"/>
                <w:b w:val="1"/>
                <w:bCs w:val="1"/>
                <w:color w:val="auto"/>
              </w:rPr>
              <w:t>Grand Total</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140" w:type="dxa"/>
            <w:vAlign w:val="bottom"/>
            <w:gridSpan w:val="3"/>
            <w:vMerge w:val="continue"/>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b w:val="1"/>
                <w:bCs w:val="1"/>
                <w:color w:val="auto"/>
              </w:rPr>
              <w:t>190</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w w:val="93"/>
              </w:rPr>
              <w:t>15,554,498</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b w:val="1"/>
                <w:bCs w:val="1"/>
                <w:color w:val="auto"/>
                <w:w w:val="97"/>
              </w:rPr>
              <w:t>597,001</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w w:val="93"/>
              </w:rPr>
              <w:t>15,347,920</w:t>
            </w: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576,386</w:t>
            </w: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w w:val="90"/>
              </w:rPr>
              <w:t>(206,578)</w:t>
            </w: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w w:val="91"/>
              </w:rPr>
              <w:t>(20,615)</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580" w:right="260" w:hanging="576"/>
        <w:spacing w:after="0" w:line="262" w:lineRule="auto"/>
        <w:tabs>
          <w:tab w:leader="none" w:pos="5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Company calculates its aggregate reserves for purposes of this table based on land that has been zoned for quarrying and land for which the Company has determined zoning is not required.</w:t>
      </w:r>
    </w:p>
    <w:p>
      <w:pPr>
        <w:spacing w:after="0" w:line="1" w:lineRule="exact"/>
        <w:rPr>
          <w:sz w:val="20"/>
          <w:szCs w:val="20"/>
          <w:color w:val="auto"/>
        </w:rPr>
      </w:pPr>
    </w:p>
    <w:p>
      <w:pPr>
        <w:ind w:left="580" w:right="500" w:hanging="576"/>
        <w:spacing w:after="0" w:line="254" w:lineRule="auto"/>
        <w:tabs>
          <w:tab w:leader="none" w:pos="5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Company may own additional land adjacent or near existing quarries on which reserves may be located but does not include such reserves in these calculations if zoning is required but has not been obtained.</w:t>
      </w:r>
    </w:p>
    <w:p>
      <w:pPr>
        <w:spacing w:after="0" w:line="1" w:lineRule="exact"/>
        <w:rPr>
          <w:rFonts w:ascii="Arial" w:cs="Arial" w:eastAsia="Arial" w:hAnsi="Arial"/>
          <w:sz w:val="17"/>
          <w:szCs w:val="17"/>
          <w:color w:val="auto"/>
        </w:rPr>
      </w:pPr>
    </w:p>
    <w:p>
      <w:pPr>
        <w:ind w:left="580" w:hanging="576"/>
        <w:spacing w:after="0"/>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Company’s reserves presented in the State of Ohio include dolomitic limestone reserves used in the business of the Magnesia Specialties segment.</w:t>
      </w:r>
    </w:p>
    <w:p>
      <w:pPr>
        <w:spacing w:after="0" w:line="23" w:lineRule="exact"/>
        <w:rPr>
          <w:rFonts w:ascii="Arial" w:cs="Arial" w:eastAsia="Arial" w:hAnsi="Arial"/>
          <w:sz w:val="16"/>
          <w:szCs w:val="16"/>
          <w:color w:val="auto"/>
        </w:rPr>
      </w:pPr>
    </w:p>
    <w:p>
      <w:pPr>
        <w:ind w:left="580" w:hanging="576"/>
        <w:spacing w:after="0"/>
        <w:tabs>
          <w:tab w:leader="none" w:pos="5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Company’s reserves presented in the State of Texas include limestone reserves used in the business of the cement product line.</w:t>
      </w:r>
    </w:p>
    <w:p>
      <w:pPr>
        <w:spacing w:after="0" w:line="14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520"/>
          </w:cols>
          <w:pgMar w:left="240" w:top="446" w:right="139" w:bottom="1440" w:gutter="0" w:footer="0" w:header="0"/>
        </w:sectPr>
      </w:pPr>
    </w:p>
    <w:bookmarkStart w:id="41" w:name="page42"/>
    <w:bookmarkEnd w:id="4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7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3300" w:type="dxa"/>
            <w:vAlign w:val="bottom"/>
            <w:gridSpan w:val="5"/>
          </w:tcPr>
          <w:p>
            <w:pPr>
              <w:jc w:val="center"/>
              <w:spacing w:after="0"/>
              <w:rPr>
                <w:sz w:val="20"/>
                <w:szCs w:val="20"/>
                <w:color w:val="auto"/>
              </w:rPr>
            </w:pPr>
            <w:r>
              <w:rPr>
                <w:rFonts w:ascii="Arial" w:cs="Arial" w:eastAsia="Arial" w:hAnsi="Arial"/>
                <w:sz w:val="14"/>
                <w:szCs w:val="14"/>
                <w:b w:val="1"/>
                <w:bCs w:val="1"/>
                <w:color w:val="auto"/>
                <w:w w:val="89"/>
              </w:rPr>
              <w:t>Total Annual Production (in tons) (add 000)</w:t>
            </w:r>
          </w:p>
        </w:tc>
        <w:tc>
          <w:tcPr>
            <w:tcW w:w="5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8"/>
              </w:rPr>
              <w:t>For year ended December 31</w:t>
            </w:r>
          </w:p>
        </w:tc>
        <w:tc>
          <w:tcPr>
            <w:tcW w:w="780" w:type="dxa"/>
            <w:vAlign w:val="bottom"/>
            <w:tcBorders>
              <w:bottom w:val="single" w:sz="8" w:color="auto"/>
            </w:tcBorders>
          </w:tcPr>
          <w:p>
            <w:pPr>
              <w:spacing w:after="0"/>
              <w:rPr>
                <w:sz w:val="14"/>
                <w:szCs w:val="14"/>
                <w:color w:val="auto"/>
              </w:rPr>
            </w:pPr>
          </w:p>
        </w:tc>
        <w:tc>
          <w:tcPr>
            <w:tcW w:w="2400" w:type="dxa"/>
            <w:vAlign w:val="bottom"/>
            <w:gridSpan w:val="3"/>
          </w:tcPr>
          <w:p>
            <w:pPr>
              <w:ind w:left="520"/>
              <w:spacing w:after="0"/>
              <w:rPr>
                <w:sz w:val="20"/>
                <w:szCs w:val="20"/>
                <w:color w:val="auto"/>
              </w:rPr>
            </w:pPr>
            <w:r>
              <w:rPr>
                <w:rFonts w:ascii="Arial" w:cs="Arial" w:eastAsia="Arial" w:hAnsi="Arial"/>
                <w:sz w:val="14"/>
                <w:szCs w:val="14"/>
                <w:b w:val="1"/>
                <w:bCs w:val="1"/>
                <w:color w:val="auto"/>
                <w:w w:val="90"/>
              </w:rPr>
              <w:t>Number of years of production</w:t>
            </w:r>
          </w:p>
        </w:tc>
        <w:tc>
          <w:tcPr>
            <w:tcW w:w="0" w:type="dxa"/>
            <w:vAlign w:val="bottom"/>
          </w:tcPr>
          <w:p>
            <w:pPr>
              <w:spacing w:after="0"/>
              <w:rPr>
                <w:sz w:val="1"/>
                <w:szCs w:val="1"/>
                <w:color w:val="auto"/>
              </w:rPr>
            </w:pPr>
          </w:p>
        </w:tc>
      </w:tr>
      <w:tr>
        <w:trPr>
          <w:trHeight w:val="136"/>
        </w:trPr>
        <w:tc>
          <w:tcPr>
            <w:tcW w:w="4800" w:type="dxa"/>
            <w:vAlign w:val="bottom"/>
            <w:gridSpan w:val="3"/>
          </w:tcPr>
          <w:p>
            <w:pPr>
              <w:spacing w:after="0" w:line="136" w:lineRule="exact"/>
              <w:rPr>
                <w:sz w:val="20"/>
                <w:szCs w:val="20"/>
                <w:color w:val="auto"/>
              </w:rPr>
            </w:pPr>
            <w:r>
              <w:rPr>
                <w:rFonts w:ascii="Arial" w:cs="Arial" w:eastAsia="Arial" w:hAnsi="Arial"/>
                <w:sz w:val="14"/>
                <w:szCs w:val="14"/>
                <w:b w:val="1"/>
                <w:bCs w:val="1"/>
                <w:color w:val="auto"/>
              </w:rPr>
              <w:t>Reportable Segment*</w:t>
            </w:r>
          </w:p>
        </w:tc>
        <w:tc>
          <w:tcPr>
            <w:tcW w:w="720" w:type="dxa"/>
            <w:vAlign w:val="bottom"/>
          </w:tcPr>
          <w:p>
            <w:pPr>
              <w:jc w:val="right"/>
              <w:ind w:right="139"/>
              <w:spacing w:after="0" w:line="136" w:lineRule="exact"/>
              <w:rPr>
                <w:sz w:val="20"/>
                <w:szCs w:val="20"/>
                <w:color w:val="auto"/>
              </w:rPr>
            </w:pPr>
            <w:r>
              <w:rPr>
                <w:rFonts w:ascii="Arial" w:cs="Arial" w:eastAsia="Arial" w:hAnsi="Arial"/>
                <w:sz w:val="14"/>
                <w:szCs w:val="14"/>
                <w:b w:val="1"/>
                <w:bCs w:val="1"/>
                <w:color w:val="auto"/>
              </w:rPr>
              <w:t>2017</w:t>
            </w:r>
          </w:p>
        </w:tc>
        <w:tc>
          <w:tcPr>
            <w:tcW w:w="1280" w:type="dxa"/>
            <w:vAlign w:val="bottom"/>
            <w:gridSpan w:val="2"/>
          </w:tcPr>
          <w:p>
            <w:pPr>
              <w:jc w:val="right"/>
              <w:ind w:right="154"/>
              <w:spacing w:after="0" w:line="136" w:lineRule="exact"/>
              <w:rPr>
                <w:sz w:val="20"/>
                <w:szCs w:val="20"/>
                <w:color w:val="auto"/>
              </w:rPr>
            </w:pPr>
            <w:r>
              <w:rPr>
                <w:rFonts w:ascii="Arial" w:cs="Arial" w:eastAsia="Arial" w:hAnsi="Arial"/>
                <w:sz w:val="14"/>
                <w:szCs w:val="14"/>
                <w:b w:val="1"/>
                <w:bCs w:val="1"/>
                <w:color w:val="auto"/>
              </w:rPr>
              <w:t>2016</w:t>
            </w:r>
          </w:p>
        </w:tc>
        <w:tc>
          <w:tcPr>
            <w:tcW w:w="520" w:type="dxa"/>
            <w:vAlign w:val="bottom"/>
          </w:tcPr>
          <w:p>
            <w:pPr>
              <w:spacing w:after="0"/>
              <w:rPr>
                <w:sz w:val="11"/>
                <w:szCs w:val="11"/>
                <w:color w:val="auto"/>
              </w:rPr>
            </w:pPr>
          </w:p>
        </w:tc>
        <w:tc>
          <w:tcPr>
            <w:tcW w:w="780" w:type="dxa"/>
            <w:vAlign w:val="bottom"/>
          </w:tcPr>
          <w:p>
            <w:pPr>
              <w:jc w:val="right"/>
              <w:ind w:right="177"/>
              <w:spacing w:after="0" w:line="136" w:lineRule="exact"/>
              <w:rPr>
                <w:sz w:val="20"/>
                <w:szCs w:val="20"/>
                <w:color w:val="auto"/>
              </w:rPr>
            </w:pPr>
            <w:r>
              <w:rPr>
                <w:rFonts w:ascii="Arial" w:cs="Arial" w:eastAsia="Arial" w:hAnsi="Arial"/>
                <w:sz w:val="14"/>
                <w:szCs w:val="14"/>
                <w:b w:val="1"/>
                <w:bCs w:val="1"/>
                <w:color w:val="auto"/>
              </w:rPr>
              <w:t>2015</w:t>
            </w:r>
          </w:p>
        </w:tc>
        <w:tc>
          <w:tcPr>
            <w:tcW w:w="2400" w:type="dxa"/>
            <w:vAlign w:val="bottom"/>
            <w:gridSpan w:val="3"/>
          </w:tcPr>
          <w:p>
            <w:pPr>
              <w:ind w:left="520"/>
              <w:spacing w:after="0" w:line="136" w:lineRule="exact"/>
              <w:rPr>
                <w:sz w:val="20"/>
                <w:szCs w:val="20"/>
                <w:color w:val="auto"/>
              </w:rPr>
            </w:pPr>
            <w:r>
              <w:rPr>
                <w:rFonts w:ascii="Arial" w:cs="Arial" w:eastAsia="Arial" w:hAnsi="Arial"/>
                <w:sz w:val="14"/>
                <w:szCs w:val="14"/>
                <w:b w:val="1"/>
                <w:bCs w:val="1"/>
                <w:color w:val="auto"/>
                <w:w w:val="90"/>
              </w:rPr>
              <w:t>available at December 31, 2017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Borders>
              <w:top w:val="single" w:sz="8" w:color="CCEEFF"/>
            </w:tcBorders>
            <w:shd w:val="clear" w:color="auto" w:fill="000000"/>
          </w:tcPr>
          <w:p>
            <w:pPr>
              <w:spacing w:after="0" w:line="20" w:lineRule="exact"/>
              <w:rPr>
                <w:sz w:val="1"/>
                <w:szCs w:val="1"/>
                <w:color w:val="auto"/>
              </w:rPr>
            </w:pPr>
          </w:p>
        </w:tc>
        <w:tc>
          <w:tcPr>
            <w:tcW w:w="35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70,340</w:t>
            </w: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67,431</w:t>
            </w: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62,846</w:t>
            </w: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100.8</w:t>
            </w: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4780" w:type="dxa"/>
            <w:vAlign w:val="bottom"/>
            <w:gridSpan w:val="2"/>
            <w:shd w:val="clear" w:color="auto" w:fill="CCEEFF"/>
          </w:tcPr>
          <w:p>
            <w:pPr>
              <w:spacing w:after="0" w:line="180" w:lineRule="exact"/>
              <w:rPr>
                <w:sz w:val="20"/>
                <w:szCs w:val="20"/>
                <w:color w:val="auto"/>
              </w:rPr>
            </w:pPr>
            <w:r>
              <w:rPr>
                <w:rFonts w:ascii="Arial" w:cs="Arial" w:eastAsia="Arial" w:hAnsi="Arial"/>
                <w:sz w:val="17"/>
                <w:szCs w:val="17"/>
                <w:color w:val="auto"/>
              </w:rPr>
              <w:t>Mid-America Group</w:t>
            </w:r>
          </w:p>
        </w:tc>
        <w:tc>
          <w:tcPr>
            <w:tcW w:w="720" w:type="dxa"/>
            <w:vAlign w:val="bottom"/>
            <w:vMerge w:val="continue"/>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84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7"/>
                <w:szCs w:val="17"/>
                <w:color w:val="auto"/>
              </w:rPr>
              <w:t>Southeast Group</w:t>
            </w:r>
          </w:p>
        </w:tc>
        <w:tc>
          <w:tcPr>
            <w:tcW w:w="720" w:type="dxa"/>
            <w:vAlign w:val="bottom"/>
          </w:tcPr>
          <w:p>
            <w:pPr>
              <w:jc w:val="right"/>
              <w:spacing w:after="0"/>
              <w:rPr>
                <w:sz w:val="20"/>
                <w:szCs w:val="20"/>
                <w:color w:val="auto"/>
              </w:rPr>
            </w:pPr>
            <w:r>
              <w:rPr>
                <w:rFonts w:ascii="Arial" w:cs="Arial" w:eastAsia="Arial" w:hAnsi="Arial"/>
                <w:sz w:val="17"/>
                <w:szCs w:val="17"/>
                <w:color w:val="auto"/>
              </w:rPr>
              <w:t>22,274</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20,468</w:t>
            </w:r>
          </w:p>
        </w:tc>
        <w:tc>
          <w:tcPr>
            <w:tcW w:w="5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21,148</w:t>
            </w:r>
          </w:p>
        </w:tc>
        <w:tc>
          <w:tcPr>
            <w:tcW w:w="2360" w:type="dxa"/>
            <w:vAlign w:val="bottom"/>
            <w:gridSpan w:val="2"/>
          </w:tcPr>
          <w:p>
            <w:pPr>
              <w:jc w:val="right"/>
              <w:spacing w:after="0"/>
              <w:rPr>
                <w:sz w:val="20"/>
                <w:szCs w:val="20"/>
                <w:color w:val="auto"/>
              </w:rPr>
            </w:pPr>
            <w:r>
              <w:rPr>
                <w:rFonts w:ascii="Arial" w:cs="Arial" w:eastAsia="Arial" w:hAnsi="Arial"/>
                <w:sz w:val="17"/>
                <w:szCs w:val="17"/>
                <w:color w:val="auto"/>
              </w:rPr>
              <w:t>147.0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West Group</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74,184</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75,421</w:t>
            </w:r>
          </w:p>
        </w:tc>
        <w:tc>
          <w:tcPr>
            <w:tcW w:w="5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69,223</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75.0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0" w:type="dxa"/>
            <w:vAlign w:val="bottom"/>
            <w:gridSpan w:val="3"/>
          </w:tcPr>
          <w:p>
            <w:pPr>
              <w:spacing w:after="0"/>
              <w:rPr>
                <w:sz w:val="20"/>
                <w:szCs w:val="20"/>
                <w:color w:val="auto"/>
              </w:rPr>
            </w:pPr>
            <w:r>
              <w:rPr>
                <w:rFonts w:ascii="Arial" w:cs="Arial" w:eastAsia="Arial" w:hAnsi="Arial"/>
                <w:sz w:val="17"/>
                <w:szCs w:val="17"/>
                <w:b w:val="1"/>
                <w:bCs w:val="1"/>
                <w:color w:val="auto"/>
              </w:rPr>
              <w:t>Total Aggregates Product Line</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166,798</w:t>
            </w:r>
          </w:p>
        </w:tc>
        <w:tc>
          <w:tcPr>
            <w:tcW w:w="52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163,320</w:t>
            </w:r>
          </w:p>
        </w:tc>
        <w:tc>
          <w:tcPr>
            <w:tcW w:w="52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153,217</w:t>
            </w:r>
          </w:p>
        </w:tc>
        <w:tc>
          <w:tcPr>
            <w:tcW w:w="2360" w:type="dxa"/>
            <w:vAlign w:val="bottom"/>
            <w:gridSpan w:val="2"/>
          </w:tcPr>
          <w:p>
            <w:pPr>
              <w:jc w:val="right"/>
              <w:spacing w:after="0"/>
              <w:rPr>
                <w:sz w:val="20"/>
                <w:szCs w:val="20"/>
                <w:color w:val="auto"/>
              </w:rPr>
            </w:pPr>
            <w:r>
              <w:rPr>
                <w:rFonts w:ascii="Arial" w:cs="Arial" w:eastAsia="Arial" w:hAnsi="Arial"/>
                <w:sz w:val="17"/>
                <w:szCs w:val="17"/>
                <w:b w:val="1"/>
                <w:bCs w:val="1"/>
                <w:color w:val="auto"/>
              </w:rPr>
              <w:t>95.5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  Prior year segment information has been reclassified to conform to the presentation of the Company’s current reportable segments.</w:t>
      </w:r>
    </w:p>
    <w:p>
      <w:pPr>
        <w:spacing w:after="0" w:line="3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Cement Product Line</w:t>
      </w:r>
    </w:p>
    <w:p>
      <w:pPr>
        <w:spacing w:after="0" w:line="116" w:lineRule="exact"/>
        <w:rPr>
          <w:sz w:val="20"/>
          <w:szCs w:val="20"/>
          <w:color w:val="auto"/>
        </w:rPr>
      </w:pPr>
    </w:p>
    <w:p>
      <w:pPr>
        <w:jc w:val="both"/>
        <w:ind w:right="180" w:firstLine="457"/>
        <w:spacing w:after="0" w:line="265" w:lineRule="auto"/>
        <w:rPr>
          <w:sz w:val="20"/>
          <w:szCs w:val="20"/>
          <w:color w:val="auto"/>
        </w:rPr>
      </w:pPr>
      <w:r>
        <w:rPr>
          <w:rFonts w:ascii="Arial" w:cs="Arial" w:eastAsia="Arial" w:hAnsi="Arial"/>
          <w:sz w:val="17"/>
          <w:szCs w:val="17"/>
          <w:color w:val="auto"/>
        </w:rPr>
        <w:t>As of December 31, 2017, the Company, through its subsidiaries, processed or shipped cement from six properties in one state, of which four are located on land owned by the Company free of major encumbrances and two are on leased land. The Company’s cement product line has production facilities located at two sites in Texas: Midlothian, Texas, south of Dallas/Fort Worth; Hunter, Texas, north of San Antonio. The following table summarizes certain information about the Company’s cement manufacturing facilities at December 31, 2017:</w:t>
      </w:r>
    </w:p>
    <w:p>
      <w:pPr>
        <w:spacing w:after="0" w:line="17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w w:val="90"/>
              </w:rPr>
              <w:t>Rated Annual</w:t>
            </w: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Internally</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860" w:type="dxa"/>
            <w:vAlign w:val="bottom"/>
          </w:tcPr>
          <w:p>
            <w:pPr>
              <w:jc w:val="right"/>
              <w:ind w:right="46"/>
              <w:spacing w:after="0" w:line="143" w:lineRule="exact"/>
              <w:rPr>
                <w:sz w:val="20"/>
                <w:szCs w:val="20"/>
                <w:color w:val="auto"/>
              </w:rPr>
            </w:pPr>
            <w:r>
              <w:rPr>
                <w:rFonts w:ascii="Arial" w:cs="Arial" w:eastAsia="Arial" w:hAnsi="Arial"/>
                <w:sz w:val="14"/>
                <w:szCs w:val="14"/>
                <w:b w:val="1"/>
                <w:bCs w:val="1"/>
                <w:color w:val="auto"/>
                <w:w w:val="99"/>
              </w:rPr>
              <w:t>Productive</w:t>
            </w:r>
          </w:p>
        </w:tc>
        <w:tc>
          <w:tcPr>
            <w:tcW w:w="2040" w:type="dxa"/>
            <w:vAlign w:val="bottom"/>
            <w:gridSpan w:val="3"/>
            <w:vMerge w:val="restart"/>
          </w:tcPr>
          <w:p>
            <w:pPr>
              <w:jc w:val="right"/>
              <w:ind w:right="580"/>
              <w:spacing w:after="0"/>
              <w:rPr>
                <w:sz w:val="20"/>
                <w:szCs w:val="20"/>
                <w:color w:val="auto"/>
              </w:rPr>
            </w:pPr>
            <w:r>
              <w:rPr>
                <w:rFonts w:ascii="Arial" w:cs="Arial" w:eastAsia="Arial" w:hAnsi="Arial"/>
                <w:sz w:val="14"/>
                <w:szCs w:val="14"/>
                <w:b w:val="1"/>
                <w:bCs w:val="1"/>
                <w:color w:val="auto"/>
              </w:rPr>
              <w:t>Manufacturing</w:t>
            </w: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40" w:type="dxa"/>
            <w:vAlign w:val="bottom"/>
            <w:gridSpan w:val="2"/>
          </w:tcPr>
          <w:p>
            <w:pPr>
              <w:jc w:val="center"/>
              <w:ind w:right="40"/>
              <w:spacing w:after="0" w:line="143" w:lineRule="exact"/>
              <w:rPr>
                <w:sz w:val="20"/>
                <w:szCs w:val="20"/>
                <w:color w:val="auto"/>
              </w:rPr>
            </w:pPr>
            <w:r>
              <w:rPr>
                <w:rFonts w:ascii="Arial" w:cs="Arial" w:eastAsia="Arial" w:hAnsi="Arial"/>
                <w:sz w:val="14"/>
                <w:szCs w:val="14"/>
                <w:b w:val="1"/>
                <w:bCs w:val="1"/>
                <w:color w:val="auto"/>
                <w:w w:val="89"/>
              </w:rPr>
              <w:t>Estimated</w:t>
            </w:r>
          </w:p>
        </w:tc>
        <w:tc>
          <w:tcPr>
            <w:tcW w:w="0" w:type="dxa"/>
            <w:vAlign w:val="bottom"/>
          </w:tcPr>
          <w:p>
            <w:pPr>
              <w:spacing w:after="0"/>
              <w:rPr>
                <w:sz w:val="1"/>
                <w:szCs w:val="1"/>
                <w:color w:val="auto"/>
              </w:rPr>
            </w:pPr>
          </w:p>
        </w:tc>
      </w:tr>
      <w:tr>
        <w:trPr>
          <w:trHeight w:val="143"/>
        </w:trPr>
        <w:tc>
          <w:tcPr>
            <w:tcW w:w="3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Plant</w:t>
            </w:r>
          </w:p>
        </w:tc>
        <w:tc>
          <w:tcPr>
            <w:tcW w:w="2760" w:type="dxa"/>
            <w:vAlign w:val="bottom"/>
            <w:gridSpan w:val="2"/>
          </w:tcPr>
          <w:p>
            <w:pPr>
              <w:jc w:val="right"/>
              <w:spacing w:after="0" w:line="143" w:lineRule="exact"/>
              <w:rPr>
                <w:sz w:val="20"/>
                <w:szCs w:val="20"/>
                <w:color w:val="auto"/>
              </w:rPr>
            </w:pPr>
            <w:r>
              <w:rPr>
                <w:rFonts w:ascii="Arial" w:cs="Arial" w:eastAsia="Arial" w:hAnsi="Arial"/>
                <w:sz w:val="14"/>
                <w:szCs w:val="14"/>
                <w:b w:val="1"/>
                <w:bCs w:val="1"/>
                <w:color w:val="auto"/>
              </w:rPr>
              <w:t>Capacity-Tons</w:t>
            </w:r>
          </w:p>
        </w:tc>
        <w:tc>
          <w:tcPr>
            <w:tcW w:w="2040" w:type="dxa"/>
            <w:vAlign w:val="bottom"/>
            <w:gridSpan w:val="3"/>
            <w:vMerge w:val="continue"/>
          </w:tcPr>
          <w:p>
            <w:pPr>
              <w:spacing w:after="0"/>
              <w:rPr>
                <w:sz w:val="12"/>
                <w:szCs w:val="12"/>
                <w:color w:val="auto"/>
              </w:rPr>
            </w:pPr>
          </w:p>
        </w:tc>
        <w:tc>
          <w:tcPr>
            <w:tcW w:w="108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Service Date</w:t>
            </w:r>
          </w:p>
        </w:tc>
        <w:tc>
          <w:tcPr>
            <w:tcW w:w="580" w:type="dxa"/>
            <w:vAlign w:val="bottom"/>
          </w:tcPr>
          <w:p>
            <w:pPr>
              <w:spacing w:after="0"/>
              <w:rPr>
                <w:sz w:val="12"/>
                <w:szCs w:val="12"/>
                <w:color w:val="auto"/>
              </w:rPr>
            </w:pPr>
          </w:p>
        </w:tc>
        <w:tc>
          <w:tcPr>
            <w:tcW w:w="1040" w:type="dxa"/>
            <w:vAlign w:val="bottom"/>
            <w:gridSpan w:val="2"/>
          </w:tcPr>
          <w:p>
            <w:pPr>
              <w:jc w:val="center"/>
              <w:ind w:right="60"/>
              <w:spacing w:after="0" w:line="143" w:lineRule="exact"/>
              <w:rPr>
                <w:sz w:val="20"/>
                <w:szCs w:val="20"/>
                <w:color w:val="auto"/>
              </w:rPr>
            </w:pPr>
            <w:r>
              <w:rPr>
                <w:rFonts w:ascii="Arial" w:cs="Arial" w:eastAsia="Arial" w:hAnsi="Arial"/>
                <w:sz w:val="14"/>
                <w:szCs w:val="14"/>
                <w:b w:val="1"/>
                <w:bCs w:val="1"/>
                <w:color w:val="auto"/>
                <w:w w:val="94"/>
              </w:rPr>
              <w:t>Minimum</w:t>
            </w:r>
          </w:p>
        </w:tc>
        <w:tc>
          <w:tcPr>
            <w:tcW w:w="0" w:type="dxa"/>
            <w:vAlign w:val="bottom"/>
          </w:tcPr>
          <w:p>
            <w:pPr>
              <w:spacing w:after="0"/>
              <w:rPr>
                <w:sz w:val="1"/>
                <w:szCs w:val="1"/>
                <w:color w:val="auto"/>
              </w:rPr>
            </w:pPr>
          </w:p>
        </w:tc>
      </w:tr>
      <w:tr>
        <w:trPr>
          <w:trHeight w:val="165"/>
        </w:trPr>
        <w:tc>
          <w:tcPr>
            <w:tcW w:w="3000" w:type="dxa"/>
            <w:vAlign w:val="bottom"/>
            <w:gridSpan w:val="3"/>
            <w:vMerge w:val="continue"/>
          </w:tcPr>
          <w:p>
            <w:pPr>
              <w:spacing w:after="0"/>
              <w:rPr>
                <w:sz w:val="14"/>
                <w:szCs w:val="14"/>
                <w:color w:val="auto"/>
              </w:rPr>
            </w:pPr>
          </w:p>
        </w:tc>
        <w:tc>
          <w:tcPr>
            <w:tcW w:w="1900" w:type="dxa"/>
            <w:vAlign w:val="bottom"/>
          </w:tcPr>
          <w:p>
            <w:pPr>
              <w:spacing w:after="0"/>
              <w:rPr>
                <w:sz w:val="14"/>
                <w:szCs w:val="14"/>
                <w:color w:val="auto"/>
              </w:rPr>
            </w:pPr>
          </w:p>
        </w:tc>
        <w:tc>
          <w:tcPr>
            <w:tcW w:w="860" w:type="dxa"/>
            <w:vAlign w:val="bottom"/>
          </w:tcPr>
          <w:p>
            <w:pPr>
              <w:jc w:val="right"/>
              <w:ind w:right="66"/>
              <w:spacing w:after="0"/>
              <w:rPr>
                <w:sz w:val="20"/>
                <w:szCs w:val="20"/>
                <w:color w:val="auto"/>
              </w:rPr>
            </w:pPr>
            <w:r>
              <w:rPr>
                <w:rFonts w:ascii="Arial" w:cs="Arial" w:eastAsia="Arial" w:hAnsi="Arial"/>
                <w:sz w:val="14"/>
                <w:szCs w:val="14"/>
                <w:b w:val="1"/>
                <w:bCs w:val="1"/>
                <w:color w:val="auto"/>
              </w:rPr>
              <w:t>of Clinker</w:t>
            </w:r>
          </w:p>
        </w:tc>
        <w:tc>
          <w:tcPr>
            <w:tcW w:w="560" w:type="dxa"/>
            <w:vAlign w:val="bottom"/>
          </w:tcPr>
          <w:p>
            <w:pPr>
              <w:spacing w:after="0"/>
              <w:rPr>
                <w:sz w:val="14"/>
                <w:szCs w:val="14"/>
                <w:color w:val="auto"/>
              </w:rPr>
            </w:pPr>
          </w:p>
        </w:tc>
        <w:tc>
          <w:tcPr>
            <w:tcW w:w="148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Process</w:t>
            </w:r>
          </w:p>
        </w:tc>
        <w:tc>
          <w:tcPr>
            <w:tcW w:w="1080" w:type="dxa"/>
            <w:vAlign w:val="bottom"/>
            <w:vMerge w:val="continue"/>
          </w:tcPr>
          <w:p>
            <w:pPr>
              <w:spacing w:after="0"/>
              <w:rPr>
                <w:sz w:val="14"/>
                <w:szCs w:val="14"/>
                <w:color w:val="auto"/>
              </w:rPr>
            </w:pPr>
          </w:p>
        </w:tc>
        <w:tc>
          <w:tcPr>
            <w:tcW w:w="1620" w:type="dxa"/>
            <w:vAlign w:val="bottom"/>
            <w:gridSpan w:val="3"/>
          </w:tcPr>
          <w:p>
            <w:pPr>
              <w:jc w:val="center"/>
              <w:ind w:left="442"/>
              <w:spacing w:after="0"/>
              <w:rPr>
                <w:sz w:val="20"/>
                <w:szCs w:val="20"/>
                <w:color w:val="auto"/>
              </w:rPr>
            </w:pPr>
            <w:r>
              <w:rPr>
                <w:rFonts w:ascii="Arial" w:cs="Arial" w:eastAsia="Arial" w:hAnsi="Arial"/>
                <w:sz w:val="14"/>
                <w:szCs w:val="14"/>
                <w:b w:val="1"/>
                <w:bCs w:val="1"/>
                <w:color w:val="auto"/>
                <w:w w:val="85"/>
              </w:rPr>
              <w:t>Reserves—Years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000000"/>
          </w:tcPr>
          <w:p>
            <w:pPr>
              <w:spacing w:after="0" w:line="20" w:lineRule="exact"/>
              <w:rPr>
                <w:sz w:val="1"/>
                <w:szCs w:val="1"/>
                <w:color w:val="auto"/>
              </w:rPr>
            </w:pPr>
          </w:p>
        </w:tc>
        <w:tc>
          <w:tcPr>
            <w:tcW w:w="268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2,200,000</w:t>
            </w: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Dry</w:t>
            </w: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vMerge w:val="restart"/>
            <w:shd w:val="clear" w:color="auto" w:fill="CCEEFF"/>
          </w:tcPr>
          <w:p>
            <w:pPr>
              <w:jc w:val="right"/>
              <w:ind w:right="259"/>
              <w:spacing w:after="0"/>
              <w:rPr>
                <w:sz w:val="20"/>
                <w:szCs w:val="20"/>
                <w:color w:val="auto"/>
              </w:rPr>
            </w:pPr>
            <w:r>
              <w:rPr>
                <w:rFonts w:ascii="Arial" w:cs="Arial" w:eastAsia="Arial" w:hAnsi="Arial"/>
                <w:sz w:val="17"/>
                <w:szCs w:val="17"/>
                <w:color w:val="auto"/>
              </w:rPr>
              <w:t>2001</w:t>
            </w: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2980" w:type="dxa"/>
            <w:vAlign w:val="bottom"/>
            <w:gridSpan w:val="2"/>
            <w:shd w:val="clear" w:color="auto" w:fill="CCEEFF"/>
          </w:tcPr>
          <w:p>
            <w:pPr>
              <w:spacing w:after="0" w:line="180" w:lineRule="exact"/>
              <w:rPr>
                <w:sz w:val="20"/>
                <w:szCs w:val="20"/>
                <w:color w:val="auto"/>
              </w:rPr>
            </w:pPr>
            <w:r>
              <w:rPr>
                <w:rFonts w:ascii="Arial" w:cs="Arial" w:eastAsia="Arial" w:hAnsi="Arial"/>
                <w:sz w:val="17"/>
                <w:szCs w:val="17"/>
                <w:color w:val="auto"/>
              </w:rPr>
              <w:t>Midlothian, TX</w:t>
            </w:r>
          </w:p>
        </w:tc>
        <w:tc>
          <w:tcPr>
            <w:tcW w:w="1900" w:type="dxa"/>
            <w:vAlign w:val="bottom"/>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80" w:type="dxa"/>
            <w:vAlign w:val="bottom"/>
            <w:vMerge w:val="continue"/>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7"/>
                <w:szCs w:val="17"/>
                <w:color w:val="auto"/>
              </w:rPr>
              <w:t>Hunter, TX</w:t>
            </w:r>
          </w:p>
        </w:tc>
        <w:tc>
          <w:tcPr>
            <w:tcW w:w="2760" w:type="dxa"/>
            <w:vAlign w:val="bottom"/>
            <w:gridSpan w:val="2"/>
          </w:tcPr>
          <w:p>
            <w:pPr>
              <w:jc w:val="right"/>
              <w:spacing w:after="0"/>
              <w:rPr>
                <w:sz w:val="20"/>
                <w:szCs w:val="20"/>
                <w:color w:val="auto"/>
              </w:rPr>
            </w:pPr>
            <w:r>
              <w:rPr>
                <w:rFonts w:ascii="Arial" w:cs="Arial" w:eastAsia="Arial" w:hAnsi="Arial"/>
                <w:sz w:val="17"/>
                <w:szCs w:val="17"/>
                <w:color w:val="auto"/>
              </w:rPr>
              <w:t>2,250,000</w:t>
            </w:r>
          </w:p>
        </w:tc>
        <w:tc>
          <w:tcPr>
            <w:tcW w:w="560" w:type="dxa"/>
            <w:vAlign w:val="bottom"/>
          </w:tcPr>
          <w:p>
            <w:pPr>
              <w:spacing w:after="0"/>
              <w:rPr>
                <w:sz w:val="18"/>
                <w:szCs w:val="18"/>
                <w:color w:val="auto"/>
              </w:rPr>
            </w:pPr>
          </w:p>
        </w:tc>
        <w:tc>
          <w:tcPr>
            <w:tcW w:w="1480" w:type="dxa"/>
            <w:vAlign w:val="bottom"/>
            <w:gridSpan w:val="2"/>
          </w:tcPr>
          <w:p>
            <w:pPr>
              <w:jc w:val="right"/>
              <w:ind w:right="580"/>
              <w:spacing w:after="0"/>
              <w:rPr>
                <w:sz w:val="20"/>
                <w:szCs w:val="20"/>
                <w:color w:val="auto"/>
              </w:rPr>
            </w:pPr>
            <w:r>
              <w:rPr>
                <w:rFonts w:ascii="Arial" w:cs="Arial" w:eastAsia="Arial" w:hAnsi="Arial"/>
                <w:sz w:val="17"/>
                <w:szCs w:val="17"/>
                <w:color w:val="auto"/>
              </w:rPr>
              <w:t>Dry</w:t>
            </w:r>
          </w:p>
        </w:tc>
        <w:tc>
          <w:tcPr>
            <w:tcW w:w="1080" w:type="dxa"/>
            <w:vAlign w:val="bottom"/>
          </w:tcPr>
          <w:p>
            <w:pPr>
              <w:jc w:val="center"/>
              <w:spacing w:after="0"/>
              <w:rPr>
                <w:sz w:val="20"/>
                <w:szCs w:val="20"/>
                <w:color w:val="auto"/>
              </w:rPr>
            </w:pPr>
            <w:r>
              <w:rPr>
                <w:rFonts w:ascii="Arial" w:cs="Arial" w:eastAsia="Arial" w:hAnsi="Arial"/>
                <w:sz w:val="17"/>
                <w:szCs w:val="17"/>
                <w:color w:val="auto"/>
                <w:w w:val="91"/>
              </w:rPr>
              <w:t>2013 and 1981</w:t>
            </w:r>
          </w:p>
        </w:tc>
        <w:tc>
          <w:tcPr>
            <w:tcW w:w="1580" w:type="dxa"/>
            <w:vAlign w:val="bottom"/>
            <w:gridSpan w:val="2"/>
          </w:tcPr>
          <w:p>
            <w:pPr>
              <w:jc w:val="right"/>
              <w:spacing w:after="0"/>
              <w:rPr>
                <w:sz w:val="20"/>
                <w:szCs w:val="20"/>
                <w:color w:val="auto"/>
              </w:rPr>
            </w:pPr>
            <w:r>
              <w:rPr>
                <w:rFonts w:ascii="Arial" w:cs="Arial" w:eastAsia="Arial" w:hAnsi="Arial"/>
                <w:sz w:val="17"/>
                <w:szCs w:val="17"/>
                <w:color w:val="auto"/>
              </w:rPr>
              <w:t>140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Total</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4,450,000</w:t>
            </w: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457"/>
        <w:spacing w:after="0" w:line="285" w:lineRule="auto"/>
        <w:rPr>
          <w:sz w:val="20"/>
          <w:szCs w:val="20"/>
          <w:color w:val="auto"/>
        </w:rPr>
      </w:pPr>
      <w:r>
        <w:rPr>
          <w:rFonts w:ascii="Arial" w:cs="Arial" w:eastAsia="Arial" w:hAnsi="Arial"/>
          <w:sz w:val="17"/>
          <w:szCs w:val="17"/>
          <w:color w:val="auto"/>
        </w:rPr>
        <w:t>Reserves identified with the facilities shown above are contained on approximately 2,844 acres of land owned by the Company. As of December 31, 2017, the Company estimated its total proven and probable limestone reserves on such land to be approximately 692 million tons.</w:t>
      </w:r>
    </w:p>
    <w:p>
      <w:pPr>
        <w:spacing w:after="0" w:line="159" w:lineRule="exact"/>
        <w:rPr>
          <w:sz w:val="20"/>
          <w:szCs w:val="20"/>
          <w:color w:val="auto"/>
        </w:rPr>
      </w:pPr>
    </w:p>
    <w:p>
      <w:pPr>
        <w:ind w:right="500" w:firstLine="457"/>
        <w:spacing w:after="0" w:line="270" w:lineRule="auto"/>
        <w:rPr>
          <w:sz w:val="20"/>
          <w:szCs w:val="20"/>
          <w:color w:val="auto"/>
        </w:rPr>
      </w:pPr>
      <w:r>
        <w:rPr>
          <w:rFonts w:ascii="Arial" w:cs="Arial" w:eastAsia="Arial" w:hAnsi="Arial"/>
          <w:sz w:val="17"/>
          <w:szCs w:val="17"/>
          <w:color w:val="auto"/>
        </w:rPr>
        <w:t>The Company’s cement manufacturing facilities include kilns, crushers, pre-heaters/calciners, coolers, finish mills and other equipment used to process limestone and other raw materials into cement, as well as equipment used to extract and transport the limestone from the adjacent quarries. These cement manufacturing facilities are served by rail and truck.</w:t>
      </w:r>
    </w:p>
    <w:p>
      <w:pPr>
        <w:spacing w:after="0" w:line="171" w:lineRule="exact"/>
        <w:rPr>
          <w:sz w:val="20"/>
          <w:szCs w:val="20"/>
          <w:color w:val="auto"/>
        </w:rPr>
      </w:pPr>
    </w:p>
    <w:p>
      <w:pPr>
        <w:ind w:firstLine="457"/>
        <w:spacing w:after="0" w:line="318" w:lineRule="auto"/>
        <w:rPr>
          <w:sz w:val="20"/>
          <w:szCs w:val="20"/>
          <w:color w:val="auto"/>
        </w:rPr>
      </w:pPr>
      <w:r>
        <w:rPr>
          <w:rFonts w:ascii="Arial" w:cs="Arial" w:eastAsia="Arial" w:hAnsi="Arial"/>
          <w:sz w:val="16"/>
          <w:szCs w:val="16"/>
          <w:color w:val="auto"/>
        </w:rPr>
        <w:t>As of December 31, 2017, the Company, through its subsidiaries, also operated, directly or through third parties, five cement distribution terminals and owned the real estate at the California cement grinding and packaging facility it sold on September 30, 2015, which it expects to sell for non-cement use.</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420"/>
          </w:cols>
          <w:pgMar w:left="240" w:top="446" w:right="239" w:bottom="1440" w:gutter="0" w:footer="0" w:header="0"/>
        </w:sectPr>
      </w:pPr>
    </w:p>
    <w:bookmarkStart w:id="42" w:name="page43"/>
    <w:bookmarkEnd w:id="4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Magnesia Specialties Business</w:t>
      </w:r>
    </w:p>
    <w:p>
      <w:pPr>
        <w:spacing w:after="0" w:line="116" w:lineRule="exact"/>
        <w:rPr>
          <w:sz w:val="20"/>
          <w:szCs w:val="20"/>
          <w:color w:val="auto"/>
        </w:rPr>
      </w:pPr>
    </w:p>
    <w:p>
      <w:pPr>
        <w:ind w:right="60" w:firstLine="457"/>
        <w:spacing w:after="0" w:line="285" w:lineRule="auto"/>
        <w:rPr>
          <w:sz w:val="20"/>
          <w:szCs w:val="20"/>
          <w:color w:val="auto"/>
        </w:rPr>
      </w:pPr>
      <w:r>
        <w:rPr>
          <w:rFonts w:ascii="Arial" w:cs="Arial" w:eastAsia="Arial" w:hAnsi="Arial"/>
          <w:sz w:val="17"/>
          <w:szCs w:val="17"/>
          <w:color w:val="auto"/>
        </w:rPr>
        <w:t>The Magnesia Specialties business currently operates major manufacturing facilities in Manistee, Michigan, and Woodville, Ohio. Both of these facilities are owned.</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Properties</w:t>
      </w:r>
    </w:p>
    <w:p>
      <w:pPr>
        <w:spacing w:after="0" w:line="116" w:lineRule="exact"/>
        <w:rPr>
          <w:sz w:val="20"/>
          <w:szCs w:val="20"/>
          <w:color w:val="auto"/>
        </w:rPr>
      </w:pPr>
    </w:p>
    <w:p>
      <w:pPr>
        <w:ind w:firstLine="457"/>
        <w:spacing w:after="0" w:line="285" w:lineRule="auto"/>
        <w:rPr>
          <w:sz w:val="20"/>
          <w:szCs w:val="20"/>
          <w:color w:val="auto"/>
        </w:rPr>
      </w:pPr>
      <w:r>
        <w:rPr>
          <w:rFonts w:ascii="Arial" w:cs="Arial" w:eastAsia="Arial" w:hAnsi="Arial"/>
          <w:sz w:val="17"/>
          <w:szCs w:val="17"/>
          <w:color w:val="auto"/>
        </w:rPr>
        <w:t>The Company’s principal corporate office, which it owns, is located in Raleigh, North Carolina. The Company owns and leases various administrative offices for its five reportable business segments.</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Condition and Utilization</w:t>
      </w:r>
    </w:p>
    <w:p>
      <w:pPr>
        <w:spacing w:after="0" w:line="116" w:lineRule="exact"/>
        <w:rPr>
          <w:sz w:val="20"/>
          <w:szCs w:val="20"/>
          <w:color w:val="auto"/>
        </w:rPr>
      </w:pPr>
    </w:p>
    <w:p>
      <w:pPr>
        <w:ind w:right="320" w:firstLine="457"/>
        <w:spacing w:after="0" w:line="285" w:lineRule="auto"/>
        <w:rPr>
          <w:sz w:val="20"/>
          <w:szCs w:val="20"/>
          <w:color w:val="auto"/>
        </w:rPr>
      </w:pPr>
      <w:r>
        <w:rPr>
          <w:rFonts w:ascii="Arial" w:cs="Arial" w:eastAsia="Arial" w:hAnsi="Arial"/>
          <w:sz w:val="17"/>
          <w:szCs w:val="17"/>
          <w:color w:val="auto"/>
        </w:rPr>
        <w:t>The Company’s principal properties, which are of varying ages and are of different construction types, are believed to be generally in good condition, are generally well maintained, and are generally suitable and adequate for the purposes for which they are used.</w:t>
      </w:r>
    </w:p>
    <w:p>
      <w:pPr>
        <w:spacing w:after="0" w:line="159" w:lineRule="exact"/>
        <w:rPr>
          <w:sz w:val="20"/>
          <w:szCs w:val="20"/>
          <w:color w:val="auto"/>
        </w:rPr>
      </w:pPr>
    </w:p>
    <w:p>
      <w:pPr>
        <w:ind w:right="40" w:firstLine="457"/>
        <w:spacing w:after="0" w:line="292" w:lineRule="auto"/>
        <w:rPr>
          <w:sz w:val="20"/>
          <w:szCs w:val="20"/>
          <w:color w:val="auto"/>
        </w:rPr>
      </w:pPr>
      <w:r>
        <w:rPr>
          <w:rFonts w:ascii="Arial" w:cs="Arial" w:eastAsia="Arial" w:hAnsi="Arial"/>
          <w:sz w:val="15"/>
          <w:szCs w:val="15"/>
          <w:color w:val="auto"/>
        </w:rPr>
        <w:t>During 2017, the principal properties of the aggregates product line were believed to be utilized at average productive capacities of approximately 65% and were capable of supporting a higher level of market demand. However, during the Great Recession, the Company adjusted its production schedules to meet reduced demand for its products. For example, the Company has reduced operating hours at a number of its facilities, closed some of its facilities, and temporarily idled some of its facilities. In 2017, the Company’s aggregates product line operated at a level significantly below capacity, which restricted the Company’s ability to capitalize $36.5 million of costs that could have been inventoried under normal operating conditions. If demand does not improve over the near term,</w:t>
      </w:r>
    </w:p>
    <w:p>
      <w:pPr>
        <w:spacing w:after="0" w:line="1"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such reductions and temporary idling could continue. The Company expects, however, as the economy continues to recover, it will be able to resume production at its normalized levels and increase production again as demand for its products increases.</w:t>
      </w:r>
    </w:p>
    <w:p>
      <w:pPr>
        <w:spacing w:after="0" w:line="172" w:lineRule="exact"/>
        <w:rPr>
          <w:sz w:val="20"/>
          <w:szCs w:val="20"/>
          <w:color w:val="auto"/>
        </w:rPr>
      </w:pPr>
    </w:p>
    <w:p>
      <w:pPr>
        <w:ind w:right="20" w:firstLine="457"/>
        <w:spacing w:after="0" w:line="265" w:lineRule="auto"/>
        <w:rPr>
          <w:sz w:val="20"/>
          <w:szCs w:val="20"/>
          <w:color w:val="auto"/>
        </w:rPr>
      </w:pPr>
      <w:r>
        <w:rPr>
          <w:rFonts w:ascii="Arial" w:cs="Arial" w:eastAsia="Arial" w:hAnsi="Arial"/>
          <w:sz w:val="17"/>
          <w:szCs w:val="17"/>
          <w:color w:val="auto"/>
        </w:rPr>
        <w:t>During 2017 the Texas cement plants operated on average at 75% to 80% utilization. The Portland Cement Association (“PCA”) forecasts a 2.6% increase in demand in Texas in 2018 over 2017. The cement product line’s leadership, in collaboration with the aggregates and ready mixed concrete teams, have developed strategic plans regarding interplant efficiencies, as well as tactical plans addressing plant utilization and efficiency. Due to the 24/7/365 nature of cement operations, significant gains in plant utilization and efficiency are typically achieved only during plant shutdowns.</w:t>
      </w:r>
    </w:p>
    <w:p>
      <w:pPr>
        <w:spacing w:after="0" w:line="175" w:lineRule="exact"/>
        <w:rPr>
          <w:sz w:val="20"/>
          <w:szCs w:val="20"/>
          <w:color w:val="auto"/>
        </w:rPr>
      </w:pPr>
    </w:p>
    <w:p>
      <w:pPr>
        <w:jc w:val="both"/>
        <w:ind w:right="380" w:firstLine="457"/>
        <w:spacing w:after="0" w:line="286" w:lineRule="auto"/>
        <w:rPr>
          <w:sz w:val="20"/>
          <w:szCs w:val="20"/>
          <w:color w:val="auto"/>
        </w:rPr>
      </w:pPr>
      <w:r>
        <w:rPr>
          <w:rFonts w:ascii="Arial" w:cs="Arial" w:eastAsia="Arial" w:hAnsi="Arial"/>
          <w:sz w:val="16"/>
          <w:szCs w:val="16"/>
          <w:color w:val="auto"/>
        </w:rPr>
        <w:t>The Company expects future organic earnings growth to result from increased pricing, rationalization of the current product portfolio and/or further cost reductions. In the current operating environment where steel utilization is at levels close to or below 70% and the strength of the United States dollar pressures product competitiveness in international markets, any unplanned change in costs or customers introduces volatility to the earnings of the Magnesia Specialties segment. The dolomitic lime business of the Magnesia Specialties segment operated at 71% utilization in 2017.</w:t>
      </w:r>
    </w:p>
    <w:p>
      <w:pPr>
        <w:spacing w:after="0" w:line="9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380"/>
          </w:cols>
          <w:pgMar w:left="240" w:top="446" w:right="279" w:bottom="1440" w:gutter="0" w:footer="0" w:header="0"/>
        </w:sectPr>
      </w:pPr>
    </w:p>
    <w:bookmarkStart w:id="43" w:name="page44"/>
    <w:bookmarkEnd w:id="4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122" w:lineRule="exact"/>
        <w:rPr>
          <w:sz w:val="20"/>
          <w:szCs w:val="20"/>
          <w:color w:val="auto"/>
        </w:rPr>
      </w:pPr>
    </w:p>
    <w:p>
      <w:pPr>
        <w:ind w:right="80" w:firstLine="457"/>
        <w:spacing w:after="0" w:line="259" w:lineRule="auto"/>
        <w:rPr>
          <w:sz w:val="20"/>
          <w:szCs w:val="20"/>
          <w:color w:val="auto"/>
        </w:rPr>
      </w:pPr>
      <w:r>
        <w:rPr>
          <w:rFonts w:ascii="Arial" w:cs="Arial" w:eastAsia="Arial" w:hAnsi="Arial"/>
          <w:sz w:val="17"/>
          <w:szCs w:val="17"/>
          <w:color w:val="auto"/>
        </w:rPr>
        <w:t>From time to time claims of various types are asserted against the Company arising out of its operations in the normal course of business, including claims relating to land use and permits, safety, health, and environmental matters (such as noise abatement, blasting, vibrations, air emissions, and water discharges). Such matters are subject to many uncertainties, and it is not possible to determine the probable outcome of, or the amount of liability, if any, from, these matters. In the opinion of management of the Company (which opinion is based in part upon consideration of the opinion of counsel), based upon currently-available facts, it is remote that the ultimate outcome of any litigation and other proceedings will have a material adverse effect on the overall results of the Company’s operations, its cash flows, or its financial condition. However, there can be no assurance that an adverse outcome in any of such litigation would not have a material adverse effect on the Company or its operating segments.</w:t>
      </w:r>
    </w:p>
    <w:p>
      <w:pPr>
        <w:spacing w:after="0" w:line="185" w:lineRule="exact"/>
        <w:rPr>
          <w:sz w:val="20"/>
          <w:szCs w:val="20"/>
          <w:color w:val="auto"/>
        </w:rPr>
      </w:pPr>
    </w:p>
    <w:p>
      <w:pPr>
        <w:ind w:right="460" w:firstLine="457"/>
        <w:spacing w:after="0" w:line="285" w:lineRule="auto"/>
        <w:rPr>
          <w:sz w:val="20"/>
          <w:szCs w:val="20"/>
          <w:color w:val="auto"/>
        </w:rPr>
      </w:pPr>
      <w:r>
        <w:rPr>
          <w:rFonts w:ascii="Arial" w:cs="Arial" w:eastAsia="Arial" w:hAnsi="Arial"/>
          <w:sz w:val="17"/>
          <w:szCs w:val="17"/>
          <w:color w:val="auto"/>
        </w:rPr>
        <w:t>The Company was not required to pay any penalties in 2017 for failure to disclose certain “reportable transactions” under Section 6707A of the Internal Revenue Code.</w:t>
      </w:r>
    </w:p>
    <w:p>
      <w:pPr>
        <w:spacing w:after="0" w:line="159" w:lineRule="exact"/>
        <w:rPr>
          <w:sz w:val="20"/>
          <w:szCs w:val="20"/>
          <w:color w:val="auto"/>
        </w:rPr>
      </w:pPr>
    </w:p>
    <w:p>
      <w:pPr>
        <w:ind w:right="40" w:firstLine="457"/>
        <w:spacing w:after="0" w:line="270" w:lineRule="auto"/>
        <w:rPr>
          <w:sz w:val="20"/>
          <w:szCs w:val="20"/>
          <w:color w:val="auto"/>
        </w:rPr>
      </w:pPr>
      <w:r>
        <w:rPr>
          <w:rFonts w:ascii="Arial" w:cs="Arial" w:eastAsia="Arial" w:hAnsi="Arial"/>
          <w:sz w:val="17"/>
          <w:szCs w:val="17"/>
          <w:color w:val="auto"/>
        </w:rPr>
        <w:t>See also “Note N: Commitments and Contingencies” of the “Notes to Financial Statements” of the 2017 Financial Statements included under Item 8 of this Form 10-K and the 2017 Annual Report and “Management’s Discussion and Analysis of Financial Condition and Results of Operations - Environmental Regulation and Litigation” under Item 7 of this Form 10-K and the 2017 Annual Report.</w:t>
      </w:r>
    </w:p>
    <w:p>
      <w:pPr>
        <w:spacing w:after="0" w:line="308"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2" w:lineRule="exact"/>
        <w:rPr>
          <w:sz w:val="20"/>
          <w:szCs w:val="20"/>
          <w:color w:val="auto"/>
        </w:rPr>
      </w:pPr>
    </w:p>
    <w:p>
      <w:pPr>
        <w:ind w:right="560" w:firstLine="457"/>
        <w:spacing w:after="0" w:line="318" w:lineRule="auto"/>
        <w:rPr>
          <w:sz w:val="20"/>
          <w:szCs w:val="20"/>
          <w:color w:val="auto"/>
        </w:rPr>
      </w:pPr>
      <w:r>
        <w:rPr>
          <w:rFonts w:ascii="Arial" w:cs="Arial" w:eastAsia="Arial" w:hAnsi="Arial"/>
          <w:sz w:val="16"/>
          <w:szCs w:val="16"/>
          <w:color w:val="auto"/>
        </w:rPr>
        <w:t>The information concerning mine safety violations or other regulatory matters required by Section 1503(a) of the Dodd-Frank Wall Street Reform and Consumer Protection Act and Item 104 of Regulation S-K (17 CFR 229.104) is included in Exhibit 95 to this Annual Report on Form 10-K.</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EXECUTIVE OFFICERS OF THE REGISTRANT</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sets forth certain information regarding the executive officers of Martin Marietta Materials, Inc. as of February 9, 2018:</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i w:val="1"/>
                <w:iCs w:val="1"/>
                <w:color w:val="auto"/>
                <w:w w:val="82"/>
              </w:rPr>
              <w:t>Year Assumed</w:t>
            </w:r>
          </w:p>
        </w:tc>
        <w:tc>
          <w:tcPr>
            <w:tcW w:w="288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4"/>
              </w:rPr>
              <w:t>Other Positions and Other Business</w:t>
            </w:r>
          </w:p>
        </w:tc>
      </w:tr>
      <w:tr>
        <w:trPr>
          <w:trHeight w:val="189"/>
        </w:trPr>
        <w:tc>
          <w:tcPr>
            <w:tcW w:w="350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Name</w:t>
            </w:r>
          </w:p>
        </w:tc>
        <w:tc>
          <w:tcPr>
            <w:tcW w:w="22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3"/>
              </w:rPr>
              <w:t>Age</w:t>
            </w:r>
          </w:p>
        </w:tc>
        <w:tc>
          <w:tcPr>
            <w:tcW w:w="340" w:type="dxa"/>
            <w:vAlign w:val="bottom"/>
          </w:tcPr>
          <w:p>
            <w:pPr>
              <w:spacing w:after="0"/>
              <w:rPr>
                <w:sz w:val="16"/>
                <w:szCs w:val="16"/>
                <w:color w:val="auto"/>
              </w:rPr>
            </w:pPr>
          </w:p>
        </w:tc>
        <w:tc>
          <w:tcPr>
            <w:tcW w:w="3220" w:type="dxa"/>
            <w:vAlign w:val="bottom"/>
            <w:gridSpan w:val="2"/>
          </w:tcPr>
          <w:p>
            <w:pPr>
              <w:ind w:left="980"/>
              <w:spacing w:after="0"/>
              <w:rPr>
                <w:sz w:val="20"/>
                <w:szCs w:val="20"/>
                <w:color w:val="auto"/>
              </w:rPr>
            </w:pPr>
            <w:r>
              <w:rPr>
                <w:rFonts w:ascii="Arial" w:cs="Arial" w:eastAsia="Arial" w:hAnsi="Arial"/>
                <w:sz w:val="14"/>
                <w:szCs w:val="14"/>
                <w:b w:val="1"/>
                <w:bCs w:val="1"/>
                <w:i w:val="1"/>
                <w:iCs w:val="1"/>
                <w:color w:val="auto"/>
              </w:rPr>
              <w:t>Present Position</w:t>
            </w: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i w:val="1"/>
                <w:iCs w:val="1"/>
                <w:color w:val="auto"/>
                <w:w w:val="83"/>
              </w:rPr>
              <w:t>Present Position</w:t>
            </w:r>
          </w:p>
        </w:tc>
        <w:tc>
          <w:tcPr>
            <w:tcW w:w="288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6"/>
              </w:rPr>
              <w:t>Experience Within the Last Five Years</w:t>
            </w:r>
          </w:p>
        </w:tc>
      </w:tr>
      <w:tr>
        <w:trPr>
          <w:trHeight w:val="168"/>
        </w:trPr>
        <w:tc>
          <w:tcPr>
            <w:tcW w:w="20" w:type="dxa"/>
            <w:vAlign w:val="bottom"/>
          </w:tcPr>
          <w:p>
            <w:pPr>
              <w:spacing w:after="0"/>
              <w:rPr>
                <w:sz w:val="14"/>
                <w:szCs w:val="14"/>
                <w:color w:val="auto"/>
              </w:rPr>
            </w:pPr>
          </w:p>
        </w:tc>
        <w:tc>
          <w:tcPr>
            <w:tcW w:w="320" w:type="dxa"/>
            <w:vAlign w:val="bottom"/>
            <w:tcBorders>
              <w:top w:val="single" w:sz="8" w:color="auto"/>
            </w:tcBorders>
          </w:tcPr>
          <w:p>
            <w:pPr>
              <w:spacing w:after="0" w:line="168" w:lineRule="exact"/>
              <w:rPr>
                <w:sz w:val="20"/>
                <w:szCs w:val="20"/>
                <w:color w:val="auto"/>
              </w:rPr>
            </w:pPr>
            <w:r>
              <w:rPr>
                <w:rFonts w:ascii="Arial" w:cs="Arial" w:eastAsia="Arial" w:hAnsi="Arial"/>
                <w:sz w:val="17"/>
                <w:szCs w:val="17"/>
                <w:color w:val="auto"/>
              </w:rPr>
              <w:t>C.</w:t>
            </w:r>
          </w:p>
        </w:tc>
        <w:tc>
          <w:tcPr>
            <w:tcW w:w="3160" w:type="dxa"/>
            <w:vAlign w:val="bottom"/>
          </w:tcPr>
          <w:p>
            <w:pPr>
              <w:spacing w:after="0" w:line="168" w:lineRule="exact"/>
              <w:rPr>
                <w:sz w:val="20"/>
                <w:szCs w:val="20"/>
                <w:color w:val="auto"/>
              </w:rPr>
            </w:pPr>
            <w:r>
              <w:rPr>
                <w:rFonts w:ascii="Arial" w:cs="Arial" w:eastAsia="Arial" w:hAnsi="Arial"/>
                <w:sz w:val="17"/>
                <w:szCs w:val="17"/>
                <w:color w:val="auto"/>
              </w:rPr>
              <w:t>Howard Nye</w:t>
            </w:r>
          </w:p>
        </w:tc>
        <w:tc>
          <w:tcPr>
            <w:tcW w:w="220" w:type="dxa"/>
            <w:vAlign w:val="bottom"/>
            <w:tcBorders>
              <w:top w:val="single" w:sz="8" w:color="auto"/>
            </w:tcBorders>
          </w:tcPr>
          <w:p>
            <w:pPr>
              <w:jc w:val="right"/>
              <w:spacing w:after="0" w:line="168" w:lineRule="exact"/>
              <w:rPr>
                <w:sz w:val="20"/>
                <w:szCs w:val="20"/>
                <w:color w:val="auto"/>
              </w:rPr>
            </w:pPr>
            <w:r>
              <w:rPr>
                <w:rFonts w:ascii="Arial" w:cs="Arial" w:eastAsia="Arial" w:hAnsi="Arial"/>
                <w:sz w:val="17"/>
                <w:szCs w:val="17"/>
                <w:color w:val="auto"/>
                <w:w w:val="94"/>
              </w:rPr>
              <w:t>55</w:t>
            </w:r>
          </w:p>
        </w:tc>
        <w:tc>
          <w:tcPr>
            <w:tcW w:w="340" w:type="dxa"/>
            <w:vAlign w:val="bottom"/>
          </w:tcPr>
          <w:p>
            <w:pPr>
              <w:spacing w:after="0"/>
              <w:rPr>
                <w:sz w:val="14"/>
                <w:szCs w:val="14"/>
                <w:color w:val="auto"/>
              </w:rPr>
            </w:pPr>
          </w:p>
        </w:tc>
        <w:tc>
          <w:tcPr>
            <w:tcW w:w="2880" w:type="dxa"/>
            <w:vAlign w:val="bottom"/>
            <w:tcBorders>
              <w:top w:val="single" w:sz="8" w:color="auto"/>
            </w:tcBorders>
          </w:tcPr>
          <w:p>
            <w:pPr>
              <w:spacing w:after="0" w:line="168" w:lineRule="exact"/>
              <w:rPr>
                <w:sz w:val="20"/>
                <w:szCs w:val="20"/>
                <w:color w:val="auto"/>
              </w:rPr>
            </w:pPr>
            <w:r>
              <w:rPr>
                <w:rFonts w:ascii="Arial" w:cs="Arial" w:eastAsia="Arial" w:hAnsi="Arial"/>
                <w:sz w:val="17"/>
                <w:szCs w:val="17"/>
                <w:color w:val="auto"/>
              </w:rPr>
              <w:t>Chairman of the Board;</w:t>
            </w:r>
          </w:p>
        </w:tc>
        <w:tc>
          <w:tcPr>
            <w:tcW w:w="340" w:type="dxa"/>
            <w:vAlign w:val="bottom"/>
          </w:tcPr>
          <w:p>
            <w:pPr>
              <w:spacing w:after="0"/>
              <w:rPr>
                <w:sz w:val="14"/>
                <w:szCs w:val="14"/>
                <w:color w:val="auto"/>
              </w:rPr>
            </w:pPr>
          </w:p>
        </w:tc>
        <w:tc>
          <w:tcPr>
            <w:tcW w:w="920" w:type="dxa"/>
            <w:vAlign w:val="bottom"/>
            <w:tcBorders>
              <w:top w:val="single" w:sz="8" w:color="auto"/>
            </w:tcBorders>
          </w:tcPr>
          <w:p>
            <w:pPr>
              <w:jc w:val="center"/>
              <w:spacing w:after="0" w:line="168" w:lineRule="exact"/>
              <w:rPr>
                <w:sz w:val="20"/>
                <w:szCs w:val="20"/>
                <w:color w:val="auto"/>
              </w:rPr>
            </w:pPr>
            <w:r>
              <w:rPr>
                <w:rFonts w:ascii="Arial" w:cs="Arial" w:eastAsia="Arial" w:hAnsi="Arial"/>
                <w:sz w:val="17"/>
                <w:szCs w:val="17"/>
                <w:color w:val="auto"/>
                <w:w w:val="95"/>
              </w:rPr>
              <w:t>2014</w:t>
            </w:r>
          </w:p>
        </w:tc>
        <w:tc>
          <w:tcPr>
            <w:tcW w:w="340" w:type="dxa"/>
            <w:vAlign w:val="bottom"/>
          </w:tcPr>
          <w:p>
            <w:pPr>
              <w:spacing w:after="0"/>
              <w:rPr>
                <w:sz w:val="14"/>
                <w:szCs w:val="14"/>
                <w:color w:val="auto"/>
              </w:rPr>
            </w:pPr>
          </w:p>
        </w:tc>
        <w:tc>
          <w:tcPr>
            <w:tcW w:w="2880" w:type="dxa"/>
            <w:vAlign w:val="bottom"/>
            <w:tcBorders>
              <w:top w:val="single" w:sz="8" w:color="auto"/>
            </w:tcBorders>
          </w:tcPr>
          <w:p>
            <w:pPr>
              <w:spacing w:after="0"/>
              <w:rPr>
                <w:sz w:val="14"/>
                <w:szCs w:val="14"/>
                <w:color w:val="auto"/>
              </w:rPr>
            </w:pPr>
          </w:p>
        </w:tc>
      </w:tr>
      <w:tr>
        <w:trPr>
          <w:trHeight w:val="208"/>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60" w:type="dxa"/>
            <w:vAlign w:val="bottom"/>
            <w:gridSpan w:val="3"/>
          </w:tcPr>
          <w:p>
            <w:pPr>
              <w:ind w:left="340"/>
              <w:spacing w:after="0"/>
              <w:rPr>
                <w:sz w:val="20"/>
                <w:szCs w:val="20"/>
                <w:color w:val="auto"/>
              </w:rPr>
            </w:pPr>
            <w:r>
              <w:rPr>
                <w:rFonts w:ascii="Arial" w:cs="Arial" w:eastAsia="Arial" w:hAnsi="Arial"/>
                <w:sz w:val="17"/>
                <w:szCs w:val="17"/>
                <w:color w:val="auto"/>
              </w:rPr>
              <w:t>Chief Executive Officer;</w:t>
            </w:r>
          </w:p>
        </w:tc>
        <w:tc>
          <w:tcPr>
            <w:tcW w:w="920" w:type="dxa"/>
            <w:vAlign w:val="bottom"/>
          </w:tcPr>
          <w:p>
            <w:pPr>
              <w:jc w:val="center"/>
              <w:spacing w:after="0"/>
              <w:rPr>
                <w:sz w:val="20"/>
                <w:szCs w:val="20"/>
                <w:color w:val="auto"/>
              </w:rPr>
            </w:pPr>
            <w:r>
              <w:rPr>
                <w:rFonts w:ascii="Arial" w:cs="Arial" w:eastAsia="Arial" w:hAnsi="Arial"/>
                <w:sz w:val="17"/>
                <w:szCs w:val="17"/>
                <w:color w:val="auto"/>
                <w:w w:val="95"/>
              </w:rPr>
              <w:t>2010</w:t>
            </w:r>
          </w:p>
        </w:tc>
        <w:tc>
          <w:tcPr>
            <w:tcW w:w="340" w:type="dxa"/>
            <w:vAlign w:val="bottom"/>
          </w:tcPr>
          <w:p>
            <w:pPr>
              <w:spacing w:after="0"/>
              <w:rPr>
                <w:sz w:val="18"/>
                <w:szCs w:val="18"/>
                <w:color w:val="auto"/>
              </w:rPr>
            </w:pPr>
          </w:p>
        </w:tc>
        <w:tc>
          <w:tcPr>
            <w:tcW w:w="288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60" w:type="dxa"/>
            <w:vAlign w:val="bottom"/>
            <w:gridSpan w:val="3"/>
          </w:tcPr>
          <w:p>
            <w:pPr>
              <w:ind w:left="340"/>
              <w:spacing w:after="0"/>
              <w:rPr>
                <w:sz w:val="20"/>
                <w:szCs w:val="20"/>
                <w:color w:val="auto"/>
              </w:rPr>
            </w:pPr>
            <w:r>
              <w:rPr>
                <w:rFonts w:ascii="Arial" w:cs="Arial" w:eastAsia="Arial" w:hAnsi="Arial"/>
                <w:sz w:val="17"/>
                <w:szCs w:val="17"/>
                <w:color w:val="auto"/>
              </w:rPr>
              <w:t>President;</w:t>
            </w:r>
          </w:p>
        </w:tc>
        <w:tc>
          <w:tcPr>
            <w:tcW w:w="920" w:type="dxa"/>
            <w:vAlign w:val="bottom"/>
          </w:tcPr>
          <w:p>
            <w:pPr>
              <w:jc w:val="center"/>
              <w:spacing w:after="0"/>
              <w:rPr>
                <w:sz w:val="20"/>
                <w:szCs w:val="20"/>
                <w:color w:val="auto"/>
              </w:rPr>
            </w:pPr>
            <w:r>
              <w:rPr>
                <w:rFonts w:ascii="Arial" w:cs="Arial" w:eastAsia="Arial" w:hAnsi="Arial"/>
                <w:sz w:val="17"/>
                <w:szCs w:val="17"/>
                <w:color w:val="auto"/>
                <w:w w:val="95"/>
              </w:rPr>
              <w:t>2006</w:t>
            </w:r>
          </w:p>
        </w:tc>
        <w:tc>
          <w:tcPr>
            <w:tcW w:w="340" w:type="dxa"/>
            <w:vAlign w:val="bottom"/>
          </w:tcPr>
          <w:p>
            <w:pPr>
              <w:spacing w:after="0"/>
              <w:rPr>
                <w:sz w:val="18"/>
                <w:szCs w:val="18"/>
                <w:color w:val="auto"/>
              </w:rPr>
            </w:pPr>
          </w:p>
        </w:tc>
        <w:tc>
          <w:tcPr>
            <w:tcW w:w="288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60" w:type="dxa"/>
            <w:vAlign w:val="bottom"/>
            <w:gridSpan w:val="3"/>
          </w:tcPr>
          <w:p>
            <w:pPr>
              <w:ind w:left="340"/>
              <w:spacing w:after="0"/>
              <w:rPr>
                <w:sz w:val="20"/>
                <w:szCs w:val="20"/>
                <w:color w:val="auto"/>
              </w:rPr>
            </w:pPr>
            <w:r>
              <w:rPr>
                <w:rFonts w:ascii="Arial" w:cs="Arial" w:eastAsia="Arial" w:hAnsi="Arial"/>
                <w:sz w:val="17"/>
                <w:szCs w:val="17"/>
                <w:color w:val="auto"/>
              </w:rPr>
              <w:t>President of Aggregates</w:t>
            </w:r>
          </w:p>
        </w:tc>
        <w:tc>
          <w:tcPr>
            <w:tcW w:w="920" w:type="dxa"/>
            <w:vAlign w:val="bottom"/>
          </w:tcPr>
          <w:p>
            <w:pPr>
              <w:jc w:val="center"/>
              <w:spacing w:after="0"/>
              <w:rPr>
                <w:sz w:val="20"/>
                <w:szCs w:val="20"/>
                <w:color w:val="auto"/>
              </w:rPr>
            </w:pPr>
            <w:r>
              <w:rPr>
                <w:rFonts w:ascii="Arial" w:cs="Arial" w:eastAsia="Arial" w:hAnsi="Arial"/>
                <w:sz w:val="17"/>
                <w:szCs w:val="17"/>
                <w:color w:val="auto"/>
                <w:w w:val="95"/>
              </w:rPr>
              <w:t>2010</w:t>
            </w:r>
          </w:p>
        </w:tc>
        <w:tc>
          <w:tcPr>
            <w:tcW w:w="340" w:type="dxa"/>
            <w:vAlign w:val="bottom"/>
          </w:tcPr>
          <w:p>
            <w:pPr>
              <w:spacing w:after="0"/>
              <w:rPr>
                <w:sz w:val="18"/>
                <w:szCs w:val="18"/>
                <w:color w:val="auto"/>
              </w:rPr>
            </w:pPr>
          </w:p>
        </w:tc>
        <w:tc>
          <w:tcPr>
            <w:tcW w:w="288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60" w:type="dxa"/>
            <w:vAlign w:val="bottom"/>
            <w:gridSpan w:val="3"/>
          </w:tcPr>
          <w:p>
            <w:pPr>
              <w:ind w:left="340"/>
              <w:spacing w:after="0"/>
              <w:rPr>
                <w:sz w:val="20"/>
                <w:szCs w:val="20"/>
                <w:color w:val="auto"/>
              </w:rPr>
            </w:pPr>
            <w:r>
              <w:rPr>
                <w:rFonts w:ascii="Arial" w:cs="Arial" w:eastAsia="Arial" w:hAnsi="Arial"/>
                <w:sz w:val="17"/>
                <w:szCs w:val="17"/>
                <w:color w:val="auto"/>
              </w:rPr>
              <w:t>Business;</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8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60" w:type="dxa"/>
            <w:vAlign w:val="bottom"/>
            <w:gridSpan w:val="3"/>
          </w:tcPr>
          <w:p>
            <w:pPr>
              <w:ind w:left="340"/>
              <w:spacing w:after="0"/>
              <w:rPr>
                <w:sz w:val="20"/>
                <w:szCs w:val="20"/>
                <w:color w:val="auto"/>
              </w:rPr>
            </w:pPr>
            <w:r>
              <w:rPr>
                <w:rFonts w:ascii="Arial" w:cs="Arial" w:eastAsia="Arial" w:hAnsi="Arial"/>
                <w:sz w:val="17"/>
                <w:szCs w:val="17"/>
                <w:color w:val="auto"/>
              </w:rPr>
              <w:t>Chairman of Magnesia</w:t>
            </w:r>
          </w:p>
        </w:tc>
        <w:tc>
          <w:tcPr>
            <w:tcW w:w="920" w:type="dxa"/>
            <w:vAlign w:val="bottom"/>
          </w:tcPr>
          <w:p>
            <w:pPr>
              <w:jc w:val="center"/>
              <w:spacing w:after="0"/>
              <w:rPr>
                <w:sz w:val="20"/>
                <w:szCs w:val="20"/>
                <w:color w:val="auto"/>
              </w:rPr>
            </w:pPr>
            <w:r>
              <w:rPr>
                <w:rFonts w:ascii="Arial" w:cs="Arial" w:eastAsia="Arial" w:hAnsi="Arial"/>
                <w:sz w:val="17"/>
                <w:szCs w:val="17"/>
                <w:color w:val="auto"/>
                <w:w w:val="95"/>
              </w:rPr>
              <w:t>2007</w:t>
            </w:r>
          </w:p>
        </w:tc>
        <w:tc>
          <w:tcPr>
            <w:tcW w:w="340" w:type="dxa"/>
            <w:vAlign w:val="bottom"/>
          </w:tcPr>
          <w:p>
            <w:pPr>
              <w:spacing w:after="0"/>
              <w:rPr>
                <w:sz w:val="18"/>
                <w:szCs w:val="18"/>
                <w:color w:val="auto"/>
              </w:rPr>
            </w:pPr>
          </w:p>
        </w:tc>
        <w:tc>
          <w:tcPr>
            <w:tcW w:w="2880" w:type="dxa"/>
            <w:vAlign w:val="bottom"/>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560" w:type="dxa"/>
            <w:vAlign w:val="bottom"/>
            <w:gridSpan w:val="3"/>
          </w:tcPr>
          <w:p>
            <w:pPr>
              <w:ind w:left="340"/>
              <w:spacing w:after="0"/>
              <w:rPr>
                <w:sz w:val="20"/>
                <w:szCs w:val="20"/>
                <w:color w:val="auto"/>
              </w:rPr>
            </w:pPr>
            <w:r>
              <w:rPr>
                <w:rFonts w:ascii="Arial" w:cs="Arial" w:eastAsia="Arial" w:hAnsi="Arial"/>
                <w:sz w:val="17"/>
                <w:szCs w:val="17"/>
                <w:color w:val="auto"/>
              </w:rPr>
              <w:t>Specialties Business</w:t>
            </w: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80" w:type="dxa"/>
            <w:vAlign w:val="bottom"/>
          </w:tcPr>
          <w:p>
            <w:pPr>
              <w:spacing w:after="0"/>
              <w:rPr>
                <w:sz w:val="19"/>
                <w:szCs w:val="19"/>
                <w:color w:val="auto"/>
              </w:rPr>
            </w:pPr>
          </w:p>
        </w:tc>
      </w:tr>
      <w:tr>
        <w:trPr>
          <w:trHeight w:val="35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20" w:type="dxa"/>
            <w:vAlign w:val="bottom"/>
            <w:gridSpan w:val="2"/>
          </w:tcPr>
          <w:p>
            <w:pPr>
              <w:ind w:left="1900"/>
              <w:spacing w:after="0"/>
              <w:rPr>
                <w:sz w:val="20"/>
                <w:szCs w:val="20"/>
                <w:color w:val="auto"/>
              </w:rPr>
            </w:pPr>
            <w:r>
              <w:rPr>
                <w:rFonts w:ascii="Arial" w:cs="Arial" w:eastAsia="Arial" w:hAnsi="Arial"/>
                <w:sz w:val="17"/>
                <w:szCs w:val="17"/>
                <w:color w:val="auto"/>
              </w:rPr>
              <w:t>40</w:t>
            </w: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80" w:type="dxa"/>
            <w:vAlign w:val="bottom"/>
          </w:tcPr>
          <w:p>
            <w:pPr>
              <w:spacing w:after="0"/>
              <w:rPr>
                <w:sz w:val="24"/>
                <w:szCs w:val="24"/>
                <w:color w:val="auto"/>
              </w:rPr>
            </w:pPr>
          </w:p>
        </w:tc>
      </w:tr>
    </w:tbl>
    <w:p>
      <w:pPr>
        <w:sectPr>
          <w:pgSz w:w="11900" w:h="16838" w:orient="portrait"/>
          <w:cols w:equalWidth="0" w:num="1">
            <w:col w:w="11420"/>
          </w:cols>
          <w:pgMar w:left="240" w:top="446" w:right="239" w:bottom="1440" w:gutter="0" w:footer="0" w:header="0"/>
        </w:sectPr>
      </w:pPr>
    </w:p>
    <w:bookmarkStart w:id="44" w:name="page45"/>
    <w:bookmarkEnd w:id="4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5"/>
        </w:trPr>
        <w:tc>
          <w:tcPr>
            <w:tcW w:w="1300" w:type="dxa"/>
            <w:vAlign w:val="bottom"/>
            <w:tcBorders>
              <w:bottom w:val="single" w:sz="8" w:color="0000EE"/>
            </w:tcBorders>
          </w:tcPr>
          <w:p>
            <w:pPr>
              <w:spacing w:after="0"/>
              <w:rPr>
                <w:rFonts w:ascii="Arial" w:cs="Arial" w:eastAsia="Arial" w:hAnsi="Arial"/>
                <w:sz w:val="17"/>
                <w:szCs w:val="17"/>
                <w:b w:val="1"/>
                <w:bCs w:val="1"/>
                <w:color w:val="0000EE"/>
                <w:w w:val="89"/>
              </w:rPr>
            </w:pPr>
            <w:hyperlink w:anchor="page3">
              <w:r>
                <w:rPr>
                  <w:rFonts w:ascii="Arial" w:cs="Arial" w:eastAsia="Arial" w:hAnsi="Arial"/>
                  <w:sz w:val="17"/>
                  <w:szCs w:val="17"/>
                  <w:b w:val="1"/>
                  <w:bCs w:val="1"/>
                  <w:color w:val="0000EE"/>
                  <w:w w:val="89"/>
                </w:rPr>
                <w:t>Table of Contents</w:t>
              </w:r>
            </w:hyperlink>
          </w:p>
        </w:tc>
        <w:tc>
          <w:tcPr>
            <w:tcW w:w="13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180" w:type="dxa"/>
            <w:vAlign w:val="bottom"/>
          </w:tcPr>
          <w:p>
            <w:pPr>
              <w:spacing w:after="0"/>
              <w:rPr>
                <w:sz w:val="16"/>
                <w:szCs w:val="16"/>
                <w:color w:val="auto"/>
              </w:rPr>
            </w:pPr>
          </w:p>
        </w:tc>
      </w:tr>
      <w:tr>
        <w:trPr>
          <w:trHeight w:val="500"/>
        </w:trPr>
        <w:tc>
          <w:tcPr>
            <w:tcW w:w="2640" w:type="dxa"/>
            <w:vAlign w:val="bottom"/>
            <w:gridSpan w:val="2"/>
          </w:tcPr>
          <w:p>
            <w:pPr>
              <w:spacing w:after="0"/>
              <w:rPr>
                <w:sz w:val="20"/>
                <w:szCs w:val="20"/>
                <w:color w:val="auto"/>
              </w:rPr>
            </w:pPr>
            <w:r>
              <w:rPr>
                <w:rFonts w:ascii="Arial" w:cs="Arial" w:eastAsia="Arial" w:hAnsi="Arial"/>
                <w:sz w:val="17"/>
                <w:szCs w:val="17"/>
                <w:color w:val="auto"/>
              </w:rPr>
              <w:t>James A. J. Nickolas</w:t>
            </w:r>
          </w:p>
        </w:tc>
        <w:tc>
          <w:tcPr>
            <w:tcW w:w="1440" w:type="dxa"/>
            <w:vAlign w:val="bottom"/>
          </w:tcPr>
          <w:p>
            <w:pPr>
              <w:jc w:val="right"/>
              <w:ind w:right="74"/>
              <w:spacing w:after="0"/>
              <w:rPr>
                <w:sz w:val="20"/>
                <w:szCs w:val="20"/>
                <w:color w:val="auto"/>
              </w:rPr>
            </w:pPr>
            <w:r>
              <w:rPr>
                <w:rFonts w:ascii="Arial" w:cs="Arial" w:eastAsia="Arial" w:hAnsi="Arial"/>
                <w:sz w:val="17"/>
                <w:szCs w:val="17"/>
                <w:color w:val="auto"/>
              </w:rPr>
              <w:t>47</w:t>
            </w:r>
          </w:p>
        </w:tc>
        <w:tc>
          <w:tcPr>
            <w:tcW w:w="2800" w:type="dxa"/>
            <w:vAlign w:val="bottom"/>
          </w:tcPr>
          <w:p>
            <w:pPr>
              <w:ind w:left="180"/>
              <w:spacing w:after="0"/>
              <w:rPr>
                <w:sz w:val="20"/>
                <w:szCs w:val="20"/>
                <w:color w:val="auto"/>
              </w:rPr>
            </w:pPr>
            <w:r>
              <w:rPr>
                <w:rFonts w:ascii="Arial" w:cs="Arial" w:eastAsia="Arial" w:hAnsi="Arial"/>
                <w:sz w:val="17"/>
                <w:szCs w:val="17"/>
                <w:color w:val="auto"/>
              </w:rPr>
              <w:t>Senior Vice President,</w:t>
            </w:r>
          </w:p>
        </w:tc>
        <w:tc>
          <w:tcPr>
            <w:tcW w:w="1300" w:type="dxa"/>
            <w:vAlign w:val="bottom"/>
          </w:tcPr>
          <w:p>
            <w:pPr>
              <w:jc w:val="right"/>
              <w:ind w:right="94"/>
              <w:spacing w:after="0"/>
              <w:rPr>
                <w:sz w:val="20"/>
                <w:szCs w:val="20"/>
                <w:color w:val="auto"/>
              </w:rPr>
            </w:pPr>
            <w:r>
              <w:rPr>
                <w:rFonts w:ascii="Arial" w:cs="Arial" w:eastAsia="Arial" w:hAnsi="Arial"/>
                <w:sz w:val="17"/>
                <w:szCs w:val="17"/>
                <w:color w:val="auto"/>
              </w:rPr>
              <w:t>2017</w:t>
            </w:r>
          </w:p>
        </w:tc>
        <w:tc>
          <w:tcPr>
            <w:tcW w:w="3180" w:type="dxa"/>
            <w:vAlign w:val="bottom"/>
          </w:tcPr>
          <w:p>
            <w:pPr>
              <w:ind w:left="160"/>
              <w:spacing w:after="0"/>
              <w:rPr>
                <w:sz w:val="20"/>
                <w:szCs w:val="20"/>
                <w:color w:val="auto"/>
              </w:rPr>
            </w:pPr>
            <w:r>
              <w:rPr>
                <w:rFonts w:ascii="Arial" w:cs="Arial" w:eastAsia="Arial" w:hAnsi="Arial"/>
                <w:sz w:val="17"/>
                <w:szCs w:val="17"/>
                <w:color w:val="auto"/>
              </w:rPr>
              <w:t>Head, Corporate Development group,</w:t>
            </w:r>
          </w:p>
        </w:tc>
      </w:tr>
      <w:tr>
        <w:trPr>
          <w:trHeight w:val="208"/>
        </w:trPr>
        <w:tc>
          <w:tcPr>
            <w:tcW w:w="1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0" w:type="dxa"/>
            <w:vAlign w:val="bottom"/>
          </w:tcPr>
          <w:p>
            <w:pPr>
              <w:ind w:left="180"/>
              <w:spacing w:after="0"/>
              <w:rPr>
                <w:sz w:val="20"/>
                <w:szCs w:val="20"/>
                <w:color w:val="auto"/>
              </w:rPr>
            </w:pPr>
            <w:r>
              <w:rPr>
                <w:rFonts w:ascii="Arial" w:cs="Arial" w:eastAsia="Arial" w:hAnsi="Arial"/>
                <w:sz w:val="17"/>
                <w:szCs w:val="17"/>
                <w:color w:val="auto"/>
              </w:rPr>
              <w:t>Chief Financial Officer</w:t>
            </w:r>
          </w:p>
        </w:tc>
        <w:tc>
          <w:tcPr>
            <w:tcW w:w="1300" w:type="dxa"/>
            <w:vAlign w:val="bottom"/>
          </w:tcPr>
          <w:p>
            <w:pPr>
              <w:spacing w:after="0"/>
              <w:rPr>
                <w:sz w:val="18"/>
                <w:szCs w:val="18"/>
                <w:color w:val="auto"/>
              </w:rPr>
            </w:pPr>
          </w:p>
        </w:tc>
        <w:tc>
          <w:tcPr>
            <w:tcW w:w="3180" w:type="dxa"/>
            <w:vAlign w:val="bottom"/>
          </w:tcPr>
          <w:p>
            <w:pPr>
              <w:ind w:left="160"/>
              <w:spacing w:after="0"/>
              <w:rPr>
                <w:sz w:val="20"/>
                <w:szCs w:val="20"/>
                <w:color w:val="auto"/>
              </w:rPr>
            </w:pPr>
            <w:r>
              <w:rPr>
                <w:rFonts w:ascii="Arial" w:cs="Arial" w:eastAsia="Arial" w:hAnsi="Arial"/>
                <w:sz w:val="17"/>
                <w:szCs w:val="17"/>
                <w:color w:val="auto"/>
                <w:w w:val="93"/>
              </w:rPr>
              <w:t>Caterpillar Inc. (January-July 2017), Group</w:t>
            </w:r>
          </w:p>
        </w:tc>
      </w:tr>
      <w:tr>
        <w:trPr>
          <w:trHeight w:val="208"/>
        </w:trPr>
        <w:tc>
          <w:tcPr>
            <w:tcW w:w="1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180" w:type="dxa"/>
            <w:vAlign w:val="bottom"/>
          </w:tcPr>
          <w:p>
            <w:pPr>
              <w:ind w:left="160"/>
              <w:spacing w:after="0"/>
              <w:rPr>
                <w:sz w:val="20"/>
                <w:szCs w:val="20"/>
                <w:color w:val="auto"/>
              </w:rPr>
            </w:pPr>
            <w:r>
              <w:rPr>
                <w:rFonts w:ascii="Arial" w:cs="Arial" w:eastAsia="Arial" w:hAnsi="Arial"/>
                <w:sz w:val="17"/>
                <w:szCs w:val="17"/>
                <w:color w:val="auto"/>
              </w:rPr>
              <w:t>Chief Financial Officer of Caterpillar’s</w:t>
            </w:r>
          </w:p>
        </w:tc>
      </w:tr>
      <w:tr>
        <w:trPr>
          <w:trHeight w:val="208"/>
        </w:trPr>
        <w:tc>
          <w:tcPr>
            <w:tcW w:w="1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180" w:type="dxa"/>
            <w:vAlign w:val="bottom"/>
          </w:tcPr>
          <w:p>
            <w:pPr>
              <w:ind w:left="160"/>
              <w:spacing w:after="0"/>
              <w:rPr>
                <w:sz w:val="20"/>
                <w:szCs w:val="20"/>
                <w:color w:val="auto"/>
              </w:rPr>
            </w:pPr>
            <w:r>
              <w:rPr>
                <w:rFonts w:ascii="Arial" w:cs="Arial" w:eastAsia="Arial" w:hAnsi="Arial"/>
                <w:sz w:val="17"/>
                <w:szCs w:val="17"/>
                <w:color w:val="auto"/>
                <w:w w:val="99"/>
              </w:rPr>
              <w:t>Resources Industries segment (October</w:t>
            </w:r>
          </w:p>
        </w:tc>
      </w:tr>
      <w:tr>
        <w:trPr>
          <w:trHeight w:val="208"/>
        </w:trPr>
        <w:tc>
          <w:tcPr>
            <w:tcW w:w="1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180" w:type="dxa"/>
            <w:vAlign w:val="bottom"/>
          </w:tcPr>
          <w:p>
            <w:pPr>
              <w:ind w:left="160"/>
              <w:spacing w:after="0"/>
              <w:rPr>
                <w:sz w:val="20"/>
                <w:szCs w:val="20"/>
                <w:color w:val="auto"/>
              </w:rPr>
            </w:pPr>
            <w:r>
              <w:rPr>
                <w:rFonts w:ascii="Arial" w:cs="Arial" w:eastAsia="Arial" w:hAnsi="Arial"/>
                <w:sz w:val="17"/>
                <w:szCs w:val="17"/>
                <w:color w:val="auto"/>
              </w:rPr>
              <w:t>2014-December 2016), Group Chief</w:t>
            </w:r>
          </w:p>
        </w:tc>
      </w:tr>
      <w:tr>
        <w:trPr>
          <w:trHeight w:val="208"/>
        </w:trPr>
        <w:tc>
          <w:tcPr>
            <w:tcW w:w="1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180" w:type="dxa"/>
            <w:vAlign w:val="bottom"/>
          </w:tcPr>
          <w:p>
            <w:pPr>
              <w:ind w:left="160"/>
              <w:spacing w:after="0"/>
              <w:rPr>
                <w:sz w:val="20"/>
                <w:szCs w:val="20"/>
                <w:color w:val="auto"/>
              </w:rPr>
            </w:pPr>
            <w:r>
              <w:rPr>
                <w:rFonts w:ascii="Arial" w:cs="Arial" w:eastAsia="Arial" w:hAnsi="Arial"/>
                <w:sz w:val="17"/>
                <w:szCs w:val="17"/>
                <w:color w:val="auto"/>
              </w:rPr>
              <w:t>Financial Officer of Caterpillar’s Global</w:t>
            </w:r>
          </w:p>
        </w:tc>
      </w:tr>
      <w:tr>
        <w:trPr>
          <w:trHeight w:val="208"/>
        </w:trPr>
        <w:tc>
          <w:tcPr>
            <w:tcW w:w="1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180" w:type="dxa"/>
            <w:vAlign w:val="bottom"/>
          </w:tcPr>
          <w:p>
            <w:pPr>
              <w:ind w:left="160"/>
              <w:spacing w:after="0"/>
              <w:rPr>
                <w:sz w:val="20"/>
                <w:szCs w:val="20"/>
                <w:color w:val="auto"/>
              </w:rPr>
            </w:pPr>
            <w:r>
              <w:rPr>
                <w:rFonts w:ascii="Arial" w:cs="Arial" w:eastAsia="Arial" w:hAnsi="Arial"/>
                <w:sz w:val="17"/>
                <w:szCs w:val="17"/>
                <w:color w:val="auto"/>
              </w:rPr>
              <w:t>Mining business unit (December 2012-</w:t>
            </w:r>
          </w:p>
        </w:tc>
      </w:tr>
      <w:tr>
        <w:trPr>
          <w:trHeight w:val="220"/>
        </w:trPr>
        <w:tc>
          <w:tcPr>
            <w:tcW w:w="1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180" w:type="dxa"/>
            <w:vAlign w:val="bottom"/>
          </w:tcPr>
          <w:p>
            <w:pPr>
              <w:ind w:left="160"/>
              <w:spacing w:after="0"/>
              <w:rPr>
                <w:sz w:val="20"/>
                <w:szCs w:val="20"/>
                <w:color w:val="auto"/>
              </w:rPr>
            </w:pPr>
            <w:r>
              <w:rPr>
                <w:rFonts w:ascii="Arial" w:cs="Arial" w:eastAsia="Arial" w:hAnsi="Arial"/>
                <w:sz w:val="17"/>
                <w:szCs w:val="17"/>
                <w:color w:val="auto"/>
              </w:rPr>
              <w:t>September 2014)</w:t>
            </w:r>
          </w:p>
        </w:tc>
      </w:tr>
      <w:tr>
        <w:trPr>
          <w:trHeight w:val="299"/>
        </w:trPr>
        <w:tc>
          <w:tcPr>
            <w:tcW w:w="2640" w:type="dxa"/>
            <w:vAlign w:val="bottom"/>
            <w:gridSpan w:val="2"/>
          </w:tcPr>
          <w:p>
            <w:pPr>
              <w:spacing w:after="0"/>
              <w:rPr>
                <w:sz w:val="20"/>
                <w:szCs w:val="20"/>
                <w:color w:val="auto"/>
              </w:rPr>
            </w:pPr>
            <w:r>
              <w:rPr>
                <w:rFonts w:ascii="Arial" w:cs="Arial" w:eastAsia="Arial" w:hAnsi="Arial"/>
                <w:sz w:val="17"/>
                <w:szCs w:val="17"/>
                <w:color w:val="auto"/>
              </w:rPr>
              <w:t>Roselyn R. Bar</w:t>
            </w:r>
          </w:p>
        </w:tc>
        <w:tc>
          <w:tcPr>
            <w:tcW w:w="1440" w:type="dxa"/>
            <w:vAlign w:val="bottom"/>
          </w:tcPr>
          <w:p>
            <w:pPr>
              <w:jc w:val="right"/>
              <w:ind w:right="74"/>
              <w:spacing w:after="0"/>
              <w:rPr>
                <w:sz w:val="20"/>
                <w:szCs w:val="20"/>
                <w:color w:val="auto"/>
              </w:rPr>
            </w:pPr>
            <w:r>
              <w:rPr>
                <w:rFonts w:ascii="Arial" w:cs="Arial" w:eastAsia="Arial" w:hAnsi="Arial"/>
                <w:sz w:val="17"/>
                <w:szCs w:val="17"/>
                <w:color w:val="auto"/>
              </w:rPr>
              <w:t>59</w:t>
            </w:r>
          </w:p>
        </w:tc>
        <w:tc>
          <w:tcPr>
            <w:tcW w:w="2800" w:type="dxa"/>
            <w:vAlign w:val="bottom"/>
          </w:tcPr>
          <w:p>
            <w:pPr>
              <w:ind w:left="180"/>
              <w:spacing w:after="0"/>
              <w:rPr>
                <w:sz w:val="20"/>
                <w:szCs w:val="20"/>
                <w:color w:val="auto"/>
              </w:rPr>
            </w:pPr>
            <w:r>
              <w:rPr>
                <w:rFonts w:ascii="Arial" w:cs="Arial" w:eastAsia="Arial" w:hAnsi="Arial"/>
                <w:sz w:val="17"/>
                <w:szCs w:val="17"/>
                <w:color w:val="auto"/>
              </w:rPr>
              <w:t>Executive Vice President;</w:t>
            </w:r>
          </w:p>
        </w:tc>
        <w:tc>
          <w:tcPr>
            <w:tcW w:w="1300" w:type="dxa"/>
            <w:vAlign w:val="bottom"/>
          </w:tcPr>
          <w:p>
            <w:pPr>
              <w:jc w:val="right"/>
              <w:ind w:right="94"/>
              <w:spacing w:after="0"/>
              <w:rPr>
                <w:sz w:val="20"/>
                <w:szCs w:val="20"/>
                <w:color w:val="auto"/>
              </w:rPr>
            </w:pPr>
            <w:r>
              <w:rPr>
                <w:rFonts w:ascii="Arial" w:cs="Arial" w:eastAsia="Arial" w:hAnsi="Arial"/>
                <w:sz w:val="17"/>
                <w:szCs w:val="17"/>
                <w:color w:val="auto"/>
              </w:rPr>
              <w:t>2015</w:t>
            </w:r>
          </w:p>
        </w:tc>
        <w:tc>
          <w:tcPr>
            <w:tcW w:w="3180" w:type="dxa"/>
            <w:vAlign w:val="bottom"/>
          </w:tcPr>
          <w:p>
            <w:pPr>
              <w:ind w:left="160"/>
              <w:spacing w:after="0"/>
              <w:rPr>
                <w:sz w:val="20"/>
                <w:szCs w:val="20"/>
                <w:color w:val="auto"/>
              </w:rPr>
            </w:pPr>
            <w:r>
              <w:rPr>
                <w:rFonts w:ascii="Arial" w:cs="Arial" w:eastAsia="Arial" w:hAnsi="Arial"/>
                <w:sz w:val="17"/>
                <w:szCs w:val="17"/>
                <w:color w:val="auto"/>
              </w:rPr>
              <w:t>Senior Vice President (2005-2015)</w:t>
            </w:r>
          </w:p>
        </w:tc>
      </w:tr>
      <w:tr>
        <w:trPr>
          <w:trHeight w:val="208"/>
        </w:trPr>
        <w:tc>
          <w:tcPr>
            <w:tcW w:w="1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0" w:type="dxa"/>
            <w:vAlign w:val="bottom"/>
          </w:tcPr>
          <w:p>
            <w:pPr>
              <w:ind w:left="180"/>
              <w:spacing w:after="0"/>
              <w:rPr>
                <w:sz w:val="20"/>
                <w:szCs w:val="20"/>
                <w:color w:val="auto"/>
              </w:rPr>
            </w:pPr>
            <w:r>
              <w:rPr>
                <w:rFonts w:ascii="Arial" w:cs="Arial" w:eastAsia="Arial" w:hAnsi="Arial"/>
                <w:sz w:val="17"/>
                <w:szCs w:val="17"/>
                <w:color w:val="auto"/>
              </w:rPr>
              <w:t>General Counsel;</w:t>
            </w:r>
          </w:p>
        </w:tc>
        <w:tc>
          <w:tcPr>
            <w:tcW w:w="1300" w:type="dxa"/>
            <w:vAlign w:val="bottom"/>
          </w:tcPr>
          <w:p>
            <w:pPr>
              <w:jc w:val="right"/>
              <w:ind w:right="94"/>
              <w:spacing w:after="0"/>
              <w:rPr>
                <w:sz w:val="20"/>
                <w:szCs w:val="20"/>
                <w:color w:val="auto"/>
              </w:rPr>
            </w:pPr>
            <w:r>
              <w:rPr>
                <w:rFonts w:ascii="Arial" w:cs="Arial" w:eastAsia="Arial" w:hAnsi="Arial"/>
                <w:sz w:val="17"/>
                <w:szCs w:val="17"/>
                <w:color w:val="auto"/>
              </w:rPr>
              <w:t>2001</w:t>
            </w:r>
          </w:p>
        </w:tc>
        <w:tc>
          <w:tcPr>
            <w:tcW w:w="3180" w:type="dxa"/>
            <w:vAlign w:val="bottom"/>
          </w:tcPr>
          <w:p>
            <w:pPr>
              <w:spacing w:after="0"/>
              <w:rPr>
                <w:sz w:val="18"/>
                <w:szCs w:val="18"/>
                <w:color w:val="auto"/>
              </w:rPr>
            </w:pPr>
          </w:p>
        </w:tc>
      </w:tr>
      <w:tr>
        <w:trPr>
          <w:trHeight w:val="220"/>
        </w:trPr>
        <w:tc>
          <w:tcPr>
            <w:tcW w:w="1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800" w:type="dxa"/>
            <w:vAlign w:val="bottom"/>
          </w:tcPr>
          <w:p>
            <w:pPr>
              <w:ind w:left="180"/>
              <w:spacing w:after="0"/>
              <w:rPr>
                <w:sz w:val="20"/>
                <w:szCs w:val="20"/>
                <w:color w:val="auto"/>
              </w:rPr>
            </w:pPr>
            <w:r>
              <w:rPr>
                <w:rFonts w:ascii="Arial" w:cs="Arial" w:eastAsia="Arial" w:hAnsi="Arial"/>
                <w:sz w:val="17"/>
                <w:szCs w:val="17"/>
                <w:color w:val="auto"/>
              </w:rPr>
              <w:t>Corporate Secretary</w:t>
            </w:r>
          </w:p>
        </w:tc>
        <w:tc>
          <w:tcPr>
            <w:tcW w:w="1300" w:type="dxa"/>
            <w:vAlign w:val="bottom"/>
          </w:tcPr>
          <w:p>
            <w:pPr>
              <w:jc w:val="right"/>
              <w:ind w:right="94"/>
              <w:spacing w:after="0"/>
              <w:rPr>
                <w:sz w:val="20"/>
                <w:szCs w:val="20"/>
                <w:color w:val="auto"/>
              </w:rPr>
            </w:pPr>
            <w:r>
              <w:rPr>
                <w:rFonts w:ascii="Arial" w:cs="Arial" w:eastAsia="Arial" w:hAnsi="Arial"/>
                <w:sz w:val="17"/>
                <w:szCs w:val="17"/>
                <w:color w:val="auto"/>
              </w:rPr>
              <w:t>1997</w:t>
            </w:r>
          </w:p>
        </w:tc>
        <w:tc>
          <w:tcPr>
            <w:tcW w:w="3180" w:type="dxa"/>
            <w:vAlign w:val="bottom"/>
          </w:tcPr>
          <w:p>
            <w:pPr>
              <w:spacing w:after="0"/>
              <w:rPr>
                <w:sz w:val="19"/>
                <w:szCs w:val="19"/>
                <w:color w:val="auto"/>
              </w:rPr>
            </w:pPr>
          </w:p>
        </w:tc>
      </w:tr>
      <w:tr>
        <w:trPr>
          <w:trHeight w:val="299"/>
        </w:trPr>
        <w:tc>
          <w:tcPr>
            <w:tcW w:w="2640" w:type="dxa"/>
            <w:vAlign w:val="bottom"/>
            <w:gridSpan w:val="2"/>
          </w:tcPr>
          <w:p>
            <w:pPr>
              <w:spacing w:after="0"/>
              <w:rPr>
                <w:sz w:val="20"/>
                <w:szCs w:val="20"/>
                <w:color w:val="auto"/>
              </w:rPr>
            </w:pPr>
            <w:r>
              <w:rPr>
                <w:rFonts w:ascii="Arial" w:cs="Arial" w:eastAsia="Arial" w:hAnsi="Arial"/>
                <w:sz w:val="17"/>
                <w:szCs w:val="17"/>
                <w:color w:val="auto"/>
              </w:rPr>
              <w:t>Daniel L. Grant</w:t>
            </w:r>
          </w:p>
        </w:tc>
        <w:tc>
          <w:tcPr>
            <w:tcW w:w="1440" w:type="dxa"/>
            <w:vAlign w:val="bottom"/>
          </w:tcPr>
          <w:p>
            <w:pPr>
              <w:jc w:val="right"/>
              <w:ind w:right="74"/>
              <w:spacing w:after="0"/>
              <w:rPr>
                <w:sz w:val="20"/>
                <w:szCs w:val="20"/>
                <w:color w:val="auto"/>
              </w:rPr>
            </w:pPr>
            <w:r>
              <w:rPr>
                <w:rFonts w:ascii="Arial" w:cs="Arial" w:eastAsia="Arial" w:hAnsi="Arial"/>
                <w:sz w:val="17"/>
                <w:szCs w:val="17"/>
                <w:color w:val="auto"/>
              </w:rPr>
              <w:t>63</w:t>
            </w:r>
          </w:p>
        </w:tc>
        <w:tc>
          <w:tcPr>
            <w:tcW w:w="2800" w:type="dxa"/>
            <w:vAlign w:val="bottom"/>
          </w:tcPr>
          <w:p>
            <w:pPr>
              <w:ind w:left="180"/>
              <w:spacing w:after="0"/>
              <w:rPr>
                <w:sz w:val="20"/>
                <w:szCs w:val="20"/>
                <w:color w:val="auto"/>
              </w:rPr>
            </w:pPr>
            <w:r>
              <w:rPr>
                <w:rFonts w:ascii="Arial" w:cs="Arial" w:eastAsia="Arial" w:hAnsi="Arial"/>
                <w:sz w:val="17"/>
                <w:szCs w:val="17"/>
                <w:color w:val="auto"/>
              </w:rPr>
              <w:t>Senior Vice President,</w:t>
            </w:r>
          </w:p>
        </w:tc>
        <w:tc>
          <w:tcPr>
            <w:tcW w:w="1300" w:type="dxa"/>
            <w:vAlign w:val="bottom"/>
          </w:tcPr>
          <w:p>
            <w:pPr>
              <w:jc w:val="right"/>
              <w:ind w:right="94"/>
              <w:spacing w:after="0"/>
              <w:rPr>
                <w:sz w:val="20"/>
                <w:szCs w:val="20"/>
                <w:color w:val="auto"/>
              </w:rPr>
            </w:pPr>
            <w:r>
              <w:rPr>
                <w:rFonts w:ascii="Arial" w:cs="Arial" w:eastAsia="Arial" w:hAnsi="Arial"/>
                <w:sz w:val="17"/>
                <w:szCs w:val="17"/>
                <w:color w:val="auto"/>
              </w:rPr>
              <w:t>2013</w:t>
            </w:r>
          </w:p>
        </w:tc>
        <w:tc>
          <w:tcPr>
            <w:tcW w:w="3180" w:type="dxa"/>
            <w:vAlign w:val="bottom"/>
          </w:tcPr>
          <w:p>
            <w:pPr>
              <w:ind w:left="160"/>
              <w:spacing w:after="0"/>
              <w:rPr>
                <w:sz w:val="20"/>
                <w:szCs w:val="20"/>
                <w:color w:val="auto"/>
              </w:rPr>
            </w:pPr>
            <w:r>
              <w:rPr>
                <w:rFonts w:ascii="Arial" w:cs="Arial" w:eastAsia="Arial" w:hAnsi="Arial"/>
                <w:sz w:val="17"/>
                <w:szCs w:val="17"/>
                <w:color w:val="auto"/>
              </w:rPr>
              <w:t>Senior Vice President, Strategy &amp;</w:t>
            </w:r>
          </w:p>
        </w:tc>
      </w:tr>
      <w:tr>
        <w:trPr>
          <w:trHeight w:val="208"/>
        </w:trPr>
        <w:tc>
          <w:tcPr>
            <w:tcW w:w="1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0" w:type="dxa"/>
            <w:vAlign w:val="bottom"/>
          </w:tcPr>
          <w:p>
            <w:pPr>
              <w:ind w:left="180"/>
              <w:spacing w:after="0"/>
              <w:rPr>
                <w:sz w:val="20"/>
                <w:szCs w:val="20"/>
                <w:color w:val="auto"/>
              </w:rPr>
            </w:pPr>
            <w:r>
              <w:rPr>
                <w:rFonts w:ascii="Arial" w:cs="Arial" w:eastAsia="Arial" w:hAnsi="Arial"/>
                <w:sz w:val="17"/>
                <w:szCs w:val="17"/>
                <w:color w:val="auto"/>
              </w:rPr>
              <w:t>Strategy &amp; Development</w:t>
            </w:r>
          </w:p>
        </w:tc>
        <w:tc>
          <w:tcPr>
            <w:tcW w:w="1300" w:type="dxa"/>
            <w:vAlign w:val="bottom"/>
          </w:tcPr>
          <w:p>
            <w:pPr>
              <w:spacing w:after="0"/>
              <w:rPr>
                <w:sz w:val="18"/>
                <w:szCs w:val="18"/>
                <w:color w:val="auto"/>
              </w:rPr>
            </w:pPr>
          </w:p>
        </w:tc>
        <w:tc>
          <w:tcPr>
            <w:tcW w:w="3180" w:type="dxa"/>
            <w:vAlign w:val="bottom"/>
          </w:tcPr>
          <w:p>
            <w:pPr>
              <w:ind w:left="160"/>
              <w:spacing w:after="0"/>
              <w:rPr>
                <w:sz w:val="20"/>
                <w:szCs w:val="20"/>
                <w:color w:val="auto"/>
              </w:rPr>
            </w:pPr>
            <w:r>
              <w:rPr>
                <w:rFonts w:ascii="Arial" w:cs="Arial" w:eastAsia="Arial" w:hAnsi="Arial"/>
                <w:sz w:val="17"/>
                <w:szCs w:val="17"/>
                <w:color w:val="auto"/>
              </w:rPr>
              <w:t>Development, Lehigh Hanson, Inc., a</w:t>
            </w:r>
          </w:p>
        </w:tc>
      </w:tr>
      <w:tr>
        <w:trPr>
          <w:trHeight w:val="208"/>
        </w:trPr>
        <w:tc>
          <w:tcPr>
            <w:tcW w:w="1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180" w:type="dxa"/>
            <w:vAlign w:val="bottom"/>
          </w:tcPr>
          <w:p>
            <w:pPr>
              <w:ind w:left="160"/>
              <w:spacing w:after="0"/>
              <w:rPr>
                <w:sz w:val="20"/>
                <w:szCs w:val="20"/>
                <w:color w:val="auto"/>
              </w:rPr>
            </w:pPr>
            <w:r>
              <w:rPr>
                <w:rFonts w:ascii="Arial" w:cs="Arial" w:eastAsia="Arial" w:hAnsi="Arial"/>
                <w:sz w:val="17"/>
                <w:szCs w:val="17"/>
                <w:color w:val="auto"/>
                <w:w w:val="97"/>
              </w:rPr>
              <w:t>producer of construction materials, and a</w:t>
            </w:r>
          </w:p>
        </w:tc>
      </w:tr>
      <w:tr>
        <w:trPr>
          <w:trHeight w:val="208"/>
        </w:trPr>
        <w:tc>
          <w:tcPr>
            <w:tcW w:w="1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180" w:type="dxa"/>
            <w:vAlign w:val="bottom"/>
          </w:tcPr>
          <w:p>
            <w:pPr>
              <w:ind w:left="160"/>
              <w:spacing w:after="0"/>
              <w:rPr>
                <w:sz w:val="20"/>
                <w:szCs w:val="20"/>
                <w:color w:val="auto"/>
              </w:rPr>
            </w:pPr>
            <w:r>
              <w:rPr>
                <w:rFonts w:ascii="Arial" w:cs="Arial" w:eastAsia="Arial" w:hAnsi="Arial"/>
                <w:sz w:val="17"/>
                <w:szCs w:val="17"/>
                <w:color w:val="auto"/>
                <w:w w:val="99"/>
              </w:rPr>
              <w:t>subsidiary of Heidelberg Cement (1995-</w:t>
            </w:r>
          </w:p>
        </w:tc>
      </w:tr>
      <w:tr>
        <w:trPr>
          <w:trHeight w:val="220"/>
        </w:trPr>
        <w:tc>
          <w:tcPr>
            <w:tcW w:w="1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180" w:type="dxa"/>
            <w:vAlign w:val="bottom"/>
          </w:tcPr>
          <w:p>
            <w:pPr>
              <w:ind w:left="160"/>
              <w:spacing w:after="0"/>
              <w:rPr>
                <w:sz w:val="20"/>
                <w:szCs w:val="20"/>
                <w:color w:val="auto"/>
              </w:rPr>
            </w:pPr>
            <w:r>
              <w:rPr>
                <w:rFonts w:ascii="Arial" w:cs="Arial" w:eastAsia="Arial" w:hAnsi="Arial"/>
                <w:sz w:val="17"/>
                <w:szCs w:val="17"/>
                <w:color w:val="auto"/>
              </w:rPr>
              <w:t>2013)</w:t>
            </w:r>
          </w:p>
        </w:tc>
      </w:tr>
      <w:tr>
        <w:trPr>
          <w:trHeight w:val="299"/>
        </w:trPr>
        <w:tc>
          <w:tcPr>
            <w:tcW w:w="2640" w:type="dxa"/>
            <w:vAlign w:val="bottom"/>
            <w:gridSpan w:val="2"/>
          </w:tcPr>
          <w:p>
            <w:pPr>
              <w:spacing w:after="0"/>
              <w:rPr>
                <w:sz w:val="20"/>
                <w:szCs w:val="20"/>
                <w:color w:val="auto"/>
              </w:rPr>
            </w:pPr>
            <w:r>
              <w:rPr>
                <w:rFonts w:ascii="Arial" w:cs="Arial" w:eastAsia="Arial" w:hAnsi="Arial"/>
                <w:sz w:val="17"/>
                <w:szCs w:val="17"/>
                <w:color w:val="auto"/>
              </w:rPr>
              <w:t>Dana F. Guzzo</w:t>
            </w:r>
          </w:p>
        </w:tc>
        <w:tc>
          <w:tcPr>
            <w:tcW w:w="1440" w:type="dxa"/>
            <w:vAlign w:val="bottom"/>
          </w:tcPr>
          <w:p>
            <w:pPr>
              <w:jc w:val="right"/>
              <w:ind w:right="74"/>
              <w:spacing w:after="0"/>
              <w:rPr>
                <w:sz w:val="20"/>
                <w:szCs w:val="20"/>
                <w:color w:val="auto"/>
              </w:rPr>
            </w:pPr>
            <w:r>
              <w:rPr>
                <w:rFonts w:ascii="Arial" w:cs="Arial" w:eastAsia="Arial" w:hAnsi="Arial"/>
                <w:sz w:val="17"/>
                <w:szCs w:val="17"/>
                <w:color w:val="auto"/>
              </w:rPr>
              <w:t>52</w:t>
            </w:r>
          </w:p>
        </w:tc>
        <w:tc>
          <w:tcPr>
            <w:tcW w:w="2800" w:type="dxa"/>
            <w:vAlign w:val="bottom"/>
          </w:tcPr>
          <w:p>
            <w:pPr>
              <w:ind w:left="180"/>
              <w:spacing w:after="0"/>
              <w:rPr>
                <w:sz w:val="20"/>
                <w:szCs w:val="20"/>
                <w:color w:val="auto"/>
              </w:rPr>
            </w:pPr>
            <w:r>
              <w:rPr>
                <w:rFonts w:ascii="Arial" w:cs="Arial" w:eastAsia="Arial" w:hAnsi="Arial"/>
                <w:sz w:val="17"/>
                <w:szCs w:val="17"/>
                <w:color w:val="auto"/>
              </w:rPr>
              <w:t>Senior Vice President;</w:t>
            </w:r>
          </w:p>
        </w:tc>
        <w:tc>
          <w:tcPr>
            <w:tcW w:w="1300" w:type="dxa"/>
            <w:vAlign w:val="bottom"/>
          </w:tcPr>
          <w:p>
            <w:pPr>
              <w:jc w:val="right"/>
              <w:ind w:right="94"/>
              <w:spacing w:after="0"/>
              <w:rPr>
                <w:sz w:val="20"/>
                <w:szCs w:val="20"/>
                <w:color w:val="auto"/>
              </w:rPr>
            </w:pPr>
            <w:r>
              <w:rPr>
                <w:rFonts w:ascii="Arial" w:cs="Arial" w:eastAsia="Arial" w:hAnsi="Arial"/>
                <w:sz w:val="17"/>
                <w:szCs w:val="17"/>
                <w:color w:val="auto"/>
              </w:rPr>
              <w:t>2011</w:t>
            </w:r>
          </w:p>
        </w:tc>
        <w:tc>
          <w:tcPr>
            <w:tcW w:w="3180" w:type="dxa"/>
            <w:vAlign w:val="bottom"/>
          </w:tcPr>
          <w:p>
            <w:pPr>
              <w:ind w:left="160"/>
              <w:spacing w:after="0"/>
              <w:rPr>
                <w:sz w:val="20"/>
                <w:szCs w:val="20"/>
                <w:color w:val="auto"/>
              </w:rPr>
            </w:pPr>
            <w:r>
              <w:rPr>
                <w:rFonts w:ascii="Arial" w:cs="Arial" w:eastAsia="Arial" w:hAnsi="Arial"/>
                <w:sz w:val="17"/>
                <w:szCs w:val="17"/>
                <w:color w:val="auto"/>
              </w:rPr>
              <w:t>Chief Information Officer (2011-2015)</w:t>
            </w:r>
          </w:p>
        </w:tc>
      </w:tr>
      <w:tr>
        <w:trPr>
          <w:trHeight w:val="208"/>
        </w:trPr>
        <w:tc>
          <w:tcPr>
            <w:tcW w:w="1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0" w:type="dxa"/>
            <w:vAlign w:val="bottom"/>
          </w:tcPr>
          <w:p>
            <w:pPr>
              <w:ind w:left="180"/>
              <w:spacing w:after="0"/>
              <w:rPr>
                <w:sz w:val="20"/>
                <w:szCs w:val="20"/>
                <w:color w:val="auto"/>
              </w:rPr>
            </w:pPr>
            <w:r>
              <w:rPr>
                <w:rFonts w:ascii="Arial" w:cs="Arial" w:eastAsia="Arial" w:hAnsi="Arial"/>
                <w:sz w:val="17"/>
                <w:szCs w:val="17"/>
                <w:color w:val="auto"/>
              </w:rPr>
              <w:t>Chief Accounting Officer;</w:t>
            </w:r>
          </w:p>
        </w:tc>
        <w:tc>
          <w:tcPr>
            <w:tcW w:w="1300" w:type="dxa"/>
            <w:vAlign w:val="bottom"/>
          </w:tcPr>
          <w:p>
            <w:pPr>
              <w:jc w:val="right"/>
              <w:ind w:right="94"/>
              <w:spacing w:after="0"/>
              <w:rPr>
                <w:sz w:val="20"/>
                <w:szCs w:val="20"/>
                <w:color w:val="auto"/>
              </w:rPr>
            </w:pPr>
            <w:r>
              <w:rPr>
                <w:rFonts w:ascii="Arial" w:cs="Arial" w:eastAsia="Arial" w:hAnsi="Arial"/>
                <w:sz w:val="17"/>
                <w:szCs w:val="17"/>
                <w:color w:val="auto"/>
              </w:rPr>
              <w:t>2006</w:t>
            </w:r>
          </w:p>
        </w:tc>
        <w:tc>
          <w:tcPr>
            <w:tcW w:w="3180" w:type="dxa"/>
            <w:vAlign w:val="bottom"/>
          </w:tcPr>
          <w:p>
            <w:pPr>
              <w:spacing w:after="0"/>
              <w:rPr>
                <w:sz w:val="18"/>
                <w:szCs w:val="18"/>
                <w:color w:val="auto"/>
              </w:rPr>
            </w:pPr>
          </w:p>
        </w:tc>
      </w:tr>
      <w:tr>
        <w:trPr>
          <w:trHeight w:val="220"/>
        </w:trPr>
        <w:tc>
          <w:tcPr>
            <w:tcW w:w="1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800" w:type="dxa"/>
            <w:vAlign w:val="bottom"/>
          </w:tcPr>
          <w:p>
            <w:pPr>
              <w:ind w:left="180"/>
              <w:spacing w:after="0"/>
              <w:rPr>
                <w:sz w:val="20"/>
                <w:szCs w:val="20"/>
                <w:color w:val="auto"/>
              </w:rPr>
            </w:pPr>
            <w:r>
              <w:rPr>
                <w:rFonts w:ascii="Arial" w:cs="Arial" w:eastAsia="Arial" w:hAnsi="Arial"/>
                <w:sz w:val="17"/>
                <w:szCs w:val="17"/>
                <w:color w:val="auto"/>
              </w:rPr>
              <w:t>Controller</w:t>
            </w:r>
          </w:p>
        </w:tc>
        <w:tc>
          <w:tcPr>
            <w:tcW w:w="1300" w:type="dxa"/>
            <w:vAlign w:val="bottom"/>
          </w:tcPr>
          <w:p>
            <w:pPr>
              <w:jc w:val="right"/>
              <w:ind w:right="94"/>
              <w:spacing w:after="0"/>
              <w:rPr>
                <w:sz w:val="20"/>
                <w:szCs w:val="20"/>
                <w:color w:val="auto"/>
              </w:rPr>
            </w:pPr>
            <w:r>
              <w:rPr>
                <w:rFonts w:ascii="Arial" w:cs="Arial" w:eastAsia="Arial" w:hAnsi="Arial"/>
                <w:sz w:val="17"/>
                <w:szCs w:val="17"/>
                <w:color w:val="auto"/>
              </w:rPr>
              <w:t>2005</w:t>
            </w:r>
          </w:p>
        </w:tc>
        <w:tc>
          <w:tcPr>
            <w:tcW w:w="3180" w:type="dxa"/>
            <w:vAlign w:val="bottom"/>
          </w:tcPr>
          <w:p>
            <w:pPr>
              <w:spacing w:after="0"/>
              <w:rPr>
                <w:sz w:val="19"/>
                <w:szCs w:val="19"/>
                <w:color w:val="auto"/>
              </w:rPr>
            </w:pPr>
          </w:p>
        </w:tc>
      </w:tr>
      <w:tr>
        <w:trPr>
          <w:trHeight w:val="299"/>
        </w:trPr>
        <w:tc>
          <w:tcPr>
            <w:tcW w:w="2640" w:type="dxa"/>
            <w:vAlign w:val="bottom"/>
            <w:gridSpan w:val="2"/>
          </w:tcPr>
          <w:p>
            <w:pPr>
              <w:spacing w:after="0"/>
              <w:rPr>
                <w:sz w:val="20"/>
                <w:szCs w:val="20"/>
                <w:color w:val="auto"/>
              </w:rPr>
            </w:pPr>
            <w:r>
              <w:rPr>
                <w:rFonts w:ascii="Arial" w:cs="Arial" w:eastAsia="Arial" w:hAnsi="Arial"/>
                <w:sz w:val="17"/>
                <w:szCs w:val="17"/>
                <w:color w:val="auto"/>
              </w:rPr>
              <w:t>Donald A. McCunniff</w:t>
            </w:r>
          </w:p>
        </w:tc>
        <w:tc>
          <w:tcPr>
            <w:tcW w:w="1440" w:type="dxa"/>
            <w:vAlign w:val="bottom"/>
          </w:tcPr>
          <w:p>
            <w:pPr>
              <w:jc w:val="right"/>
              <w:ind w:right="74"/>
              <w:spacing w:after="0"/>
              <w:rPr>
                <w:sz w:val="20"/>
                <w:szCs w:val="20"/>
                <w:color w:val="auto"/>
              </w:rPr>
            </w:pPr>
            <w:r>
              <w:rPr>
                <w:rFonts w:ascii="Arial" w:cs="Arial" w:eastAsia="Arial" w:hAnsi="Arial"/>
                <w:sz w:val="17"/>
                <w:szCs w:val="17"/>
                <w:color w:val="auto"/>
              </w:rPr>
              <w:t>60</w:t>
            </w:r>
          </w:p>
        </w:tc>
        <w:tc>
          <w:tcPr>
            <w:tcW w:w="2800" w:type="dxa"/>
            <w:vAlign w:val="bottom"/>
          </w:tcPr>
          <w:p>
            <w:pPr>
              <w:ind w:left="180"/>
              <w:spacing w:after="0"/>
              <w:rPr>
                <w:sz w:val="20"/>
                <w:szCs w:val="20"/>
                <w:color w:val="auto"/>
              </w:rPr>
            </w:pPr>
            <w:r>
              <w:rPr>
                <w:rFonts w:ascii="Arial" w:cs="Arial" w:eastAsia="Arial" w:hAnsi="Arial"/>
                <w:sz w:val="17"/>
                <w:szCs w:val="17"/>
                <w:color w:val="auto"/>
              </w:rPr>
              <w:t>Senior Vice President,</w:t>
            </w:r>
          </w:p>
        </w:tc>
        <w:tc>
          <w:tcPr>
            <w:tcW w:w="1300" w:type="dxa"/>
            <w:vAlign w:val="bottom"/>
          </w:tcPr>
          <w:p>
            <w:pPr>
              <w:jc w:val="right"/>
              <w:ind w:right="94"/>
              <w:spacing w:after="0"/>
              <w:rPr>
                <w:sz w:val="20"/>
                <w:szCs w:val="20"/>
                <w:color w:val="auto"/>
              </w:rPr>
            </w:pPr>
            <w:r>
              <w:rPr>
                <w:rFonts w:ascii="Arial" w:cs="Arial" w:eastAsia="Arial" w:hAnsi="Arial"/>
                <w:sz w:val="17"/>
                <w:szCs w:val="17"/>
                <w:color w:val="auto"/>
              </w:rPr>
              <w:t>2011</w:t>
            </w:r>
          </w:p>
        </w:tc>
        <w:tc>
          <w:tcPr>
            <w:tcW w:w="3180" w:type="dxa"/>
            <w:vAlign w:val="bottom"/>
          </w:tcPr>
          <w:p>
            <w:pPr>
              <w:spacing w:after="0"/>
              <w:rPr>
                <w:sz w:val="24"/>
                <w:szCs w:val="24"/>
                <w:color w:val="auto"/>
              </w:rPr>
            </w:pPr>
          </w:p>
        </w:tc>
      </w:tr>
      <w:tr>
        <w:trPr>
          <w:trHeight w:val="220"/>
        </w:trPr>
        <w:tc>
          <w:tcPr>
            <w:tcW w:w="1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800" w:type="dxa"/>
            <w:vAlign w:val="bottom"/>
          </w:tcPr>
          <w:p>
            <w:pPr>
              <w:ind w:left="180"/>
              <w:spacing w:after="0"/>
              <w:rPr>
                <w:sz w:val="20"/>
                <w:szCs w:val="20"/>
                <w:color w:val="auto"/>
              </w:rPr>
            </w:pPr>
            <w:r>
              <w:rPr>
                <w:rFonts w:ascii="Arial" w:cs="Arial" w:eastAsia="Arial" w:hAnsi="Arial"/>
                <w:sz w:val="17"/>
                <w:szCs w:val="17"/>
                <w:color w:val="auto"/>
              </w:rPr>
              <w:t>Human Resources</w:t>
            </w:r>
          </w:p>
        </w:tc>
        <w:tc>
          <w:tcPr>
            <w:tcW w:w="1300" w:type="dxa"/>
            <w:vAlign w:val="bottom"/>
          </w:tcPr>
          <w:p>
            <w:pPr>
              <w:spacing w:after="0"/>
              <w:rPr>
                <w:sz w:val="19"/>
                <w:szCs w:val="19"/>
                <w:color w:val="auto"/>
              </w:rPr>
            </w:pPr>
          </w:p>
        </w:tc>
        <w:tc>
          <w:tcPr>
            <w:tcW w:w="3180" w:type="dxa"/>
            <w:vAlign w:val="bottom"/>
          </w:tcPr>
          <w:p>
            <w:pPr>
              <w:spacing w:after="0"/>
              <w:rPr>
                <w:sz w:val="19"/>
                <w:szCs w:val="19"/>
                <w:color w:val="auto"/>
              </w:rPr>
            </w:pPr>
          </w:p>
        </w:tc>
      </w:tr>
    </w:tbl>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u w:val="single" w:color="auto"/>
          <w:color w:val="auto"/>
        </w:rPr>
        <w:t>PART II</w:t>
      </w:r>
    </w:p>
    <w:p>
      <w:pPr>
        <w:spacing w:after="0" w:line="246" w:lineRule="exact"/>
        <w:rPr>
          <w:sz w:val="20"/>
          <w:szCs w:val="20"/>
          <w:color w:val="auto"/>
        </w:rPr>
      </w:pPr>
    </w:p>
    <w:p>
      <w:pPr>
        <w:ind w:left="1020" w:right="580" w:hanging="1024"/>
        <w:spacing w:after="0" w:line="292" w:lineRule="auto"/>
        <w:tabs>
          <w:tab w:leader="none" w:pos="1000" w:val="left"/>
        </w:tabs>
        <w:rPr>
          <w:sz w:val="20"/>
          <w:szCs w:val="20"/>
          <w:color w:val="auto"/>
        </w:rPr>
      </w:pPr>
      <w:r>
        <w:rPr>
          <w:rFonts w:ascii="Arial" w:cs="Arial" w:eastAsia="Arial" w:hAnsi="Arial"/>
          <w:sz w:val="17"/>
          <w:szCs w:val="17"/>
          <w:b w:val="1"/>
          <w:bCs w:val="1"/>
          <w:color w:val="auto"/>
        </w:rPr>
        <w:t>ITEM 5.</w:t>
      </w:r>
      <w:r>
        <w:rPr>
          <w:sz w:val="20"/>
          <w:szCs w:val="20"/>
          <w:color w:val="auto"/>
        </w:rPr>
        <w:tab/>
      </w:r>
      <w:r>
        <w:rPr>
          <w:rFonts w:ascii="Arial" w:cs="Arial" w:eastAsia="Arial" w:hAnsi="Arial"/>
          <w:sz w:val="17"/>
          <w:szCs w:val="17"/>
          <w:b w:val="1"/>
          <w:bCs w:val="1"/>
          <w:color w:val="auto"/>
        </w:rPr>
        <w:t>MARKET FOR REGISTRANT’S COMMON EQUITY, RELATED STOCKHOLDER MATTERS AND ISSUER PURCHASES OF EQUITY SECURITIES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Market Information, Holders, and Dividends</w:t>
      </w:r>
    </w:p>
    <w:p>
      <w:pPr>
        <w:spacing w:after="0" w:line="116" w:lineRule="exact"/>
        <w:rPr>
          <w:sz w:val="20"/>
          <w:szCs w:val="20"/>
          <w:color w:val="auto"/>
        </w:rPr>
      </w:pPr>
    </w:p>
    <w:p>
      <w:pPr>
        <w:ind w:firstLine="457"/>
        <w:spacing w:after="0" w:line="270" w:lineRule="auto"/>
        <w:rPr>
          <w:sz w:val="20"/>
          <w:szCs w:val="20"/>
          <w:color w:val="auto"/>
        </w:rPr>
      </w:pPr>
      <w:r>
        <w:rPr>
          <w:rFonts w:ascii="Arial" w:cs="Arial" w:eastAsia="Arial" w:hAnsi="Arial"/>
          <w:sz w:val="17"/>
          <w:szCs w:val="17"/>
          <w:color w:val="auto"/>
        </w:rPr>
        <w:t>The Company’s Common Stock, $.01 par value, is traded on the New York Stock Exchange (“NYSE”) (Symbol: MLM). Information concerning stock prices and dividends paid is included under the caption “Quarterly Performance (Unaudited)” of the 2017 Annual Report, and that information is incorporated herein by reference. There were 912 holders of record of the Company’s Common Stock as of February 9, 2018.</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Sales of Unregistered Securities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None.</w:t>
      </w:r>
    </w:p>
    <w:p>
      <w:pPr>
        <w:spacing w:after="0" w:line="15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380"/>
          </w:cols>
          <w:pgMar w:left="240" w:top="437" w:right="279" w:bottom="1440" w:gutter="0" w:footer="0" w:header="0"/>
        </w:sectPr>
      </w:pPr>
    </w:p>
    <w:bookmarkStart w:id="45" w:name="page46"/>
    <w:bookmarkEnd w:id="4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Issuer Purchases of Equity Securities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90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9"/>
              </w:rPr>
              <w:t>Total Number of</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w w:val="92"/>
              </w:rPr>
              <w:t>Maximum Number</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900" w:type="dxa"/>
            <w:vAlign w:val="bottom"/>
            <w:gridSpan w:val="2"/>
          </w:tcPr>
          <w:p>
            <w:pPr>
              <w:jc w:val="center"/>
              <w:ind w:right="660"/>
              <w:spacing w:after="0" w:line="143" w:lineRule="exact"/>
              <w:rPr>
                <w:sz w:val="20"/>
                <w:szCs w:val="20"/>
                <w:color w:val="auto"/>
              </w:rPr>
            </w:pPr>
            <w:r>
              <w:rPr>
                <w:rFonts w:ascii="Arial" w:cs="Arial" w:eastAsia="Arial" w:hAnsi="Arial"/>
                <w:sz w:val="14"/>
                <w:szCs w:val="14"/>
                <w:b w:val="1"/>
                <w:bCs w:val="1"/>
                <w:color w:val="auto"/>
                <w:w w:val="84"/>
              </w:rPr>
              <w:t>Shares Purchased as</w:t>
            </w:r>
          </w:p>
        </w:tc>
        <w:tc>
          <w:tcPr>
            <w:tcW w:w="1180" w:type="dxa"/>
            <w:vAlign w:val="bottom"/>
          </w:tcPr>
          <w:p>
            <w:pPr>
              <w:jc w:val="right"/>
              <w:spacing w:after="0" w:line="143" w:lineRule="exact"/>
              <w:rPr>
                <w:sz w:val="20"/>
                <w:szCs w:val="20"/>
                <w:color w:val="auto"/>
              </w:rPr>
            </w:pPr>
            <w:r>
              <w:rPr>
                <w:rFonts w:ascii="Arial" w:cs="Arial" w:eastAsia="Arial" w:hAnsi="Arial"/>
                <w:sz w:val="14"/>
                <w:szCs w:val="14"/>
                <w:b w:val="1"/>
                <w:bCs w:val="1"/>
                <w:color w:val="auto"/>
                <w:w w:val="88"/>
              </w:rPr>
              <w:t>of Shares that May</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2060" w:type="dxa"/>
            <w:vAlign w:val="bottom"/>
            <w:gridSpan w:val="2"/>
            <w:vMerge w:val="restart"/>
          </w:tcPr>
          <w:p>
            <w:pPr>
              <w:jc w:val="center"/>
              <w:ind w:right="640"/>
              <w:spacing w:after="0"/>
              <w:rPr>
                <w:sz w:val="20"/>
                <w:szCs w:val="20"/>
                <w:color w:val="auto"/>
              </w:rPr>
            </w:pPr>
            <w:r>
              <w:rPr>
                <w:rFonts w:ascii="Arial" w:cs="Arial" w:eastAsia="Arial" w:hAnsi="Arial"/>
                <w:sz w:val="14"/>
                <w:szCs w:val="14"/>
                <w:b w:val="1"/>
                <w:bCs w:val="1"/>
                <w:color w:val="auto"/>
                <w:w w:val="89"/>
              </w:rPr>
              <w:t>Total Number of Shares</w:t>
            </w:r>
          </w:p>
        </w:tc>
        <w:tc>
          <w:tcPr>
            <w:tcW w:w="15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Average Price</w:t>
            </w:r>
          </w:p>
        </w:tc>
        <w:tc>
          <w:tcPr>
            <w:tcW w:w="1900" w:type="dxa"/>
            <w:vAlign w:val="bottom"/>
            <w:gridSpan w:val="2"/>
          </w:tcPr>
          <w:p>
            <w:pPr>
              <w:jc w:val="center"/>
              <w:ind w:right="660"/>
              <w:spacing w:after="0" w:line="143" w:lineRule="exact"/>
              <w:rPr>
                <w:sz w:val="20"/>
                <w:szCs w:val="20"/>
                <w:color w:val="auto"/>
              </w:rPr>
            </w:pPr>
            <w:r>
              <w:rPr>
                <w:rFonts w:ascii="Arial" w:cs="Arial" w:eastAsia="Arial" w:hAnsi="Arial"/>
                <w:sz w:val="14"/>
                <w:szCs w:val="14"/>
                <w:b w:val="1"/>
                <w:bCs w:val="1"/>
                <w:color w:val="auto"/>
                <w:w w:val="90"/>
              </w:rPr>
              <w:t>Part of Publicly</w:t>
            </w:r>
          </w:p>
        </w:tc>
        <w:tc>
          <w:tcPr>
            <w:tcW w:w="1180" w:type="dxa"/>
            <w:vAlign w:val="bottom"/>
          </w:tcPr>
          <w:p>
            <w:pPr>
              <w:jc w:val="right"/>
              <w:ind w:right="23"/>
              <w:spacing w:after="0" w:line="143"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3"/>
        </w:trPr>
        <w:tc>
          <w:tcPr>
            <w:tcW w:w="4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2060" w:type="dxa"/>
            <w:vAlign w:val="bottom"/>
            <w:gridSpan w:val="2"/>
            <w:vMerge w:val="continue"/>
          </w:tcPr>
          <w:p>
            <w:pPr>
              <w:spacing w:after="0"/>
              <w:rPr>
                <w:sz w:val="12"/>
                <w:szCs w:val="12"/>
                <w:color w:val="auto"/>
              </w:rPr>
            </w:pPr>
          </w:p>
        </w:tc>
        <w:tc>
          <w:tcPr>
            <w:tcW w:w="1540" w:type="dxa"/>
            <w:vAlign w:val="bottom"/>
            <w:gridSpan w:val="3"/>
            <w:vMerge w:val="continue"/>
          </w:tcPr>
          <w:p>
            <w:pPr>
              <w:spacing w:after="0"/>
              <w:rPr>
                <w:sz w:val="12"/>
                <w:szCs w:val="12"/>
                <w:color w:val="auto"/>
              </w:rPr>
            </w:pPr>
          </w:p>
        </w:tc>
        <w:tc>
          <w:tcPr>
            <w:tcW w:w="1900" w:type="dxa"/>
            <w:vAlign w:val="bottom"/>
            <w:gridSpan w:val="2"/>
          </w:tcPr>
          <w:p>
            <w:pPr>
              <w:jc w:val="center"/>
              <w:ind w:right="660"/>
              <w:spacing w:after="0" w:line="143" w:lineRule="exact"/>
              <w:rPr>
                <w:sz w:val="20"/>
                <w:szCs w:val="20"/>
                <w:color w:val="auto"/>
              </w:rPr>
            </w:pPr>
            <w:r>
              <w:rPr>
                <w:rFonts w:ascii="Arial" w:cs="Arial" w:eastAsia="Arial" w:hAnsi="Arial"/>
                <w:sz w:val="14"/>
                <w:szCs w:val="14"/>
                <w:b w:val="1"/>
                <w:bCs w:val="1"/>
                <w:color w:val="auto"/>
                <w:w w:val="88"/>
              </w:rPr>
              <w:t>Announced Plans or</w:t>
            </w:r>
          </w:p>
        </w:tc>
        <w:tc>
          <w:tcPr>
            <w:tcW w:w="1180" w:type="dxa"/>
            <w:vAlign w:val="bottom"/>
          </w:tcPr>
          <w:p>
            <w:pPr>
              <w:jc w:val="right"/>
              <w:spacing w:after="0" w:line="143" w:lineRule="exact"/>
              <w:rPr>
                <w:sz w:val="20"/>
                <w:szCs w:val="20"/>
                <w:color w:val="auto"/>
              </w:rPr>
            </w:pPr>
            <w:r>
              <w:rPr>
                <w:rFonts w:ascii="Arial" w:cs="Arial" w:eastAsia="Arial" w:hAnsi="Arial"/>
                <w:sz w:val="14"/>
                <w:szCs w:val="14"/>
                <w:b w:val="1"/>
                <w:bCs w:val="1"/>
                <w:color w:val="auto"/>
                <w:w w:val="88"/>
              </w:rPr>
              <w:t>Under the Plans or</w:t>
            </w:r>
          </w:p>
        </w:tc>
        <w:tc>
          <w:tcPr>
            <w:tcW w:w="0" w:type="dxa"/>
            <w:vAlign w:val="bottom"/>
          </w:tcPr>
          <w:p>
            <w:pPr>
              <w:spacing w:after="0"/>
              <w:rPr>
                <w:sz w:val="1"/>
                <w:szCs w:val="1"/>
                <w:color w:val="auto"/>
              </w:rPr>
            </w:pPr>
          </w:p>
        </w:tc>
      </w:tr>
      <w:tr>
        <w:trPr>
          <w:trHeight w:val="165"/>
        </w:trPr>
        <w:tc>
          <w:tcPr>
            <w:tcW w:w="4740" w:type="dxa"/>
            <w:vAlign w:val="bottom"/>
            <w:gridSpan w:val="3"/>
            <w:vMerge w:val="continue"/>
          </w:tcPr>
          <w:p>
            <w:pPr>
              <w:spacing w:after="0"/>
              <w:rPr>
                <w:sz w:val="14"/>
                <w:szCs w:val="14"/>
                <w:color w:val="auto"/>
              </w:rPr>
            </w:pPr>
          </w:p>
        </w:tc>
        <w:tc>
          <w:tcPr>
            <w:tcW w:w="206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6"/>
              </w:rPr>
              <w:t>Purchased</w:t>
            </w: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Paid per Share</w:t>
            </w:r>
          </w:p>
        </w:tc>
        <w:tc>
          <w:tcPr>
            <w:tcW w:w="190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1"/>
              </w:rPr>
              <w:t>Programs</w:t>
            </w:r>
            <w:r>
              <w:rPr>
                <w:rFonts w:ascii="Arial" w:cs="Arial" w:eastAsia="Arial" w:hAnsi="Arial"/>
                <w:sz w:val="11"/>
                <w:szCs w:val="11"/>
                <w:b w:val="1"/>
                <w:bCs w:val="1"/>
                <w:color w:val="auto"/>
                <w:w w:val="91"/>
              </w:rPr>
              <w:t>(1)</w:t>
            </w:r>
          </w:p>
        </w:tc>
        <w:tc>
          <w:tcPr>
            <w:tcW w:w="1180" w:type="dxa"/>
            <w:vAlign w:val="bottom"/>
          </w:tcPr>
          <w:p>
            <w:pPr>
              <w:jc w:val="right"/>
              <w:ind w:right="243"/>
              <w:spacing w:after="0"/>
              <w:rPr>
                <w:sz w:val="20"/>
                <w:szCs w:val="20"/>
                <w:color w:val="auto"/>
              </w:rPr>
            </w:pPr>
            <w:r>
              <w:rPr>
                <w:rFonts w:ascii="Arial" w:cs="Arial" w:eastAsia="Arial" w:hAnsi="Arial"/>
                <w:sz w:val="14"/>
                <w:szCs w:val="14"/>
                <w:b w:val="1"/>
                <w:bCs w:val="1"/>
                <w:color w:val="auto"/>
              </w:rPr>
              <w:t>Programs</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340" w:type="dxa"/>
            <w:vAlign w:val="bottom"/>
            <w:shd w:val="clear" w:color="auto" w:fill="CCEEFF"/>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180" w:type="dxa"/>
            <w:vAlign w:val="bottom"/>
            <w:tcBorders>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4720" w:type="dxa"/>
            <w:vAlign w:val="bottom"/>
            <w:gridSpan w:val="2"/>
            <w:shd w:val="clear" w:color="auto" w:fill="CCEEFF"/>
          </w:tcPr>
          <w:p>
            <w:pPr>
              <w:spacing w:after="0" w:line="169" w:lineRule="exact"/>
              <w:rPr>
                <w:sz w:val="20"/>
                <w:szCs w:val="20"/>
                <w:color w:val="auto"/>
              </w:rPr>
            </w:pPr>
            <w:r>
              <w:rPr>
                <w:rFonts w:ascii="Arial" w:cs="Arial" w:eastAsia="Arial" w:hAnsi="Arial"/>
                <w:sz w:val="17"/>
                <w:szCs w:val="17"/>
                <w:color w:val="auto"/>
              </w:rPr>
              <w:t>October 1, 2017 –</w:t>
            </w:r>
          </w:p>
        </w:tc>
        <w:tc>
          <w:tcPr>
            <w:tcW w:w="14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180" w:type="dxa"/>
            <w:vAlign w:val="bottom"/>
            <w:tcBorders>
              <w:righ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October 31, 2017</w:t>
            </w:r>
          </w:p>
        </w:tc>
        <w:tc>
          <w:tcPr>
            <w:tcW w:w="206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457,742</w:t>
            </w:r>
          </w:p>
        </w:tc>
        <w:tc>
          <w:tcPr>
            <w:tcW w:w="2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218.46</w:t>
            </w:r>
          </w:p>
        </w:tc>
        <w:tc>
          <w:tcPr>
            <w:tcW w:w="190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457,742</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14,668,891</w:t>
            </w:r>
          </w:p>
        </w:tc>
        <w:tc>
          <w:tcPr>
            <w:tcW w:w="0" w:type="dxa"/>
            <w:vAlign w:val="bottom"/>
          </w:tcPr>
          <w:p>
            <w:pPr>
              <w:spacing w:after="0"/>
              <w:rPr>
                <w:sz w:val="1"/>
                <w:szCs w:val="1"/>
                <w:color w:val="auto"/>
              </w:rPr>
            </w:pPr>
          </w:p>
        </w:tc>
      </w:tr>
      <w:tr>
        <w:trPr>
          <w:trHeight w:val="299"/>
        </w:trPr>
        <w:tc>
          <w:tcPr>
            <w:tcW w:w="4740" w:type="dxa"/>
            <w:vAlign w:val="bottom"/>
            <w:gridSpan w:val="3"/>
          </w:tcPr>
          <w:p>
            <w:pPr>
              <w:spacing w:after="0"/>
              <w:rPr>
                <w:sz w:val="20"/>
                <w:szCs w:val="20"/>
                <w:color w:val="auto"/>
              </w:rPr>
            </w:pPr>
            <w:r>
              <w:rPr>
                <w:rFonts w:ascii="Arial" w:cs="Arial" w:eastAsia="Arial" w:hAnsi="Arial"/>
                <w:sz w:val="17"/>
                <w:szCs w:val="17"/>
                <w:color w:val="auto"/>
              </w:rPr>
              <w:t>November 1, 2017 –</w:t>
            </w:r>
          </w:p>
        </w:tc>
        <w:tc>
          <w:tcPr>
            <w:tcW w:w="1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4740" w:type="dxa"/>
            <w:vAlign w:val="bottom"/>
            <w:gridSpan w:val="3"/>
          </w:tcPr>
          <w:p>
            <w:pPr>
              <w:spacing w:after="0"/>
              <w:rPr>
                <w:sz w:val="20"/>
                <w:szCs w:val="20"/>
                <w:color w:val="auto"/>
              </w:rPr>
            </w:pPr>
            <w:r>
              <w:rPr>
                <w:rFonts w:ascii="Arial" w:cs="Arial" w:eastAsia="Arial" w:hAnsi="Arial"/>
                <w:sz w:val="17"/>
                <w:szCs w:val="17"/>
                <w:color w:val="auto"/>
              </w:rPr>
              <w:t>November 30, 2017</w:t>
            </w:r>
          </w:p>
        </w:tc>
        <w:tc>
          <w:tcPr>
            <w:tcW w:w="2060" w:type="dxa"/>
            <w:vAlign w:val="bottom"/>
            <w:gridSpan w:val="2"/>
          </w:tcPr>
          <w:p>
            <w:pPr>
              <w:jc w:val="right"/>
              <w:ind w:right="640"/>
              <w:spacing w:after="0"/>
              <w:rPr>
                <w:sz w:val="20"/>
                <w:szCs w:val="20"/>
                <w:color w:val="auto"/>
              </w:rPr>
            </w:pPr>
            <w:r>
              <w:rPr>
                <w:rFonts w:ascii="Arial" w:cs="Arial" w:eastAsia="Arial" w:hAnsi="Arial"/>
                <w:sz w:val="17"/>
                <w:szCs w:val="17"/>
                <w:color w:val="auto"/>
              </w:rPr>
              <w:t>0</w:t>
            </w:r>
          </w:p>
        </w:tc>
        <w:tc>
          <w:tcPr>
            <w:tcW w:w="260" w:type="dxa"/>
            <w:vAlign w:val="bottom"/>
          </w:tcPr>
          <w:p>
            <w:pPr>
              <w:spacing w:after="0"/>
              <w:rPr>
                <w:sz w:val="20"/>
                <w:szCs w:val="20"/>
                <w:color w:val="auto"/>
              </w:rPr>
            </w:pPr>
            <w:r>
              <w:rPr>
                <w:rFonts w:ascii="Arial" w:cs="Arial" w:eastAsia="Arial" w:hAnsi="Arial"/>
                <w:sz w:val="17"/>
                <w:szCs w:val="17"/>
                <w:color w:val="auto"/>
              </w:rPr>
              <w:t>$</w:t>
            </w:r>
          </w:p>
        </w:tc>
        <w:tc>
          <w:tcPr>
            <w:tcW w:w="1280" w:type="dxa"/>
            <w:vAlign w:val="bottom"/>
            <w:gridSpan w:val="2"/>
          </w:tcPr>
          <w:p>
            <w:pPr>
              <w:ind w:left="360"/>
              <w:spacing w:after="0"/>
              <w:rPr>
                <w:sz w:val="20"/>
                <w:szCs w:val="20"/>
                <w:color w:val="auto"/>
              </w:rPr>
            </w:pPr>
            <w:r>
              <w:rPr>
                <w:rFonts w:ascii="Arial" w:cs="Arial" w:eastAsia="Arial" w:hAnsi="Arial"/>
                <w:sz w:val="17"/>
                <w:szCs w:val="17"/>
                <w:color w:val="auto"/>
              </w:rPr>
              <w:t>—</w:t>
            </w:r>
          </w:p>
        </w:tc>
        <w:tc>
          <w:tcPr>
            <w:tcW w:w="1900" w:type="dxa"/>
            <w:vAlign w:val="bottom"/>
            <w:gridSpan w:val="2"/>
          </w:tcPr>
          <w:p>
            <w:pPr>
              <w:jc w:val="right"/>
              <w:ind w:right="680"/>
              <w:spacing w:after="0"/>
              <w:rPr>
                <w:sz w:val="20"/>
                <w:szCs w:val="20"/>
                <w:color w:val="auto"/>
              </w:rPr>
            </w:pPr>
            <w:r>
              <w:rPr>
                <w:rFonts w:ascii="Arial" w:cs="Arial" w:eastAsia="Arial" w:hAnsi="Arial"/>
                <w:sz w:val="17"/>
                <w:szCs w:val="17"/>
                <w:color w:val="auto"/>
              </w:rPr>
              <w:t>0</w:t>
            </w:r>
          </w:p>
        </w:tc>
        <w:tc>
          <w:tcPr>
            <w:tcW w:w="1180" w:type="dxa"/>
            <w:vAlign w:val="bottom"/>
          </w:tcPr>
          <w:p>
            <w:pPr>
              <w:jc w:val="right"/>
              <w:spacing w:after="0"/>
              <w:rPr>
                <w:sz w:val="20"/>
                <w:szCs w:val="20"/>
                <w:color w:val="auto"/>
              </w:rPr>
            </w:pPr>
            <w:r>
              <w:rPr>
                <w:rFonts w:ascii="Arial" w:cs="Arial" w:eastAsia="Arial" w:hAnsi="Arial"/>
                <w:sz w:val="17"/>
                <w:szCs w:val="17"/>
                <w:color w:val="auto"/>
              </w:rPr>
              <w:t>14,668,891</w:t>
            </w:r>
          </w:p>
        </w:tc>
        <w:tc>
          <w:tcPr>
            <w:tcW w:w="0" w:type="dxa"/>
            <w:vAlign w:val="bottom"/>
          </w:tcPr>
          <w:p>
            <w:pPr>
              <w:spacing w:after="0"/>
              <w:rPr>
                <w:sz w:val="1"/>
                <w:szCs w:val="1"/>
                <w:color w:val="auto"/>
              </w:rPr>
            </w:pPr>
          </w:p>
        </w:tc>
      </w:tr>
      <w:tr>
        <w:trPr>
          <w:trHeight w:val="104"/>
        </w:trPr>
        <w:tc>
          <w:tcPr>
            <w:tcW w:w="20" w:type="dxa"/>
            <w:vAlign w:val="bottom"/>
            <w:vMerge w:val="restart"/>
          </w:tcPr>
          <w:p>
            <w:pPr>
              <w:spacing w:after="0"/>
              <w:rPr>
                <w:sz w:val="9"/>
                <w:szCs w:val="9"/>
                <w:color w:val="auto"/>
              </w:rPr>
            </w:pPr>
          </w:p>
        </w:tc>
        <w:tc>
          <w:tcPr>
            <w:tcW w:w="380" w:type="dxa"/>
            <w:vAlign w:val="bottom"/>
          </w:tcPr>
          <w:p>
            <w:pPr>
              <w:spacing w:after="0"/>
              <w:rPr>
                <w:sz w:val="9"/>
                <w:szCs w:val="9"/>
                <w:color w:val="auto"/>
              </w:rPr>
            </w:pPr>
          </w:p>
        </w:tc>
        <w:tc>
          <w:tcPr>
            <w:tcW w:w="43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December 1, 2017 –</w:t>
            </w:r>
          </w:p>
        </w:tc>
        <w:tc>
          <w:tcPr>
            <w:tcW w:w="14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18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December 31, 2017</w:t>
            </w:r>
          </w:p>
        </w:tc>
        <w:tc>
          <w:tcPr>
            <w:tcW w:w="206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0</w:t>
            </w:r>
          </w:p>
        </w:tc>
        <w:tc>
          <w:tcPr>
            <w:tcW w:w="2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190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0</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14,668,891</w:t>
            </w:r>
          </w:p>
        </w:tc>
        <w:tc>
          <w:tcPr>
            <w:tcW w:w="0" w:type="dxa"/>
            <w:vAlign w:val="bottom"/>
          </w:tcPr>
          <w:p>
            <w:pPr>
              <w:spacing w:after="0"/>
              <w:rPr>
                <w:sz w:val="1"/>
                <w:szCs w:val="1"/>
                <w:color w:val="auto"/>
              </w:rPr>
            </w:pPr>
          </w:p>
        </w:tc>
      </w:tr>
      <w:tr>
        <w:trPr>
          <w:trHeight w:val="312"/>
        </w:trPr>
        <w:tc>
          <w:tcPr>
            <w:tcW w:w="4740" w:type="dxa"/>
            <w:vAlign w:val="bottom"/>
            <w:gridSpan w:val="3"/>
          </w:tcPr>
          <w:p>
            <w:pPr>
              <w:spacing w:after="0"/>
              <w:rPr>
                <w:sz w:val="20"/>
                <w:szCs w:val="20"/>
                <w:color w:val="auto"/>
              </w:rPr>
            </w:pPr>
            <w:r>
              <w:rPr>
                <w:rFonts w:ascii="Arial" w:cs="Arial" w:eastAsia="Arial" w:hAnsi="Arial"/>
                <w:sz w:val="17"/>
                <w:szCs w:val="17"/>
                <w:color w:val="auto"/>
              </w:rPr>
              <w:t>Total</w:t>
            </w:r>
          </w:p>
        </w:tc>
        <w:tc>
          <w:tcPr>
            <w:tcW w:w="2060" w:type="dxa"/>
            <w:vAlign w:val="bottom"/>
            <w:gridSpan w:val="2"/>
          </w:tcPr>
          <w:p>
            <w:pPr>
              <w:jc w:val="right"/>
              <w:ind w:right="640"/>
              <w:spacing w:after="0"/>
              <w:rPr>
                <w:sz w:val="20"/>
                <w:szCs w:val="20"/>
                <w:color w:val="auto"/>
              </w:rPr>
            </w:pPr>
            <w:r>
              <w:rPr>
                <w:rFonts w:ascii="Arial" w:cs="Arial" w:eastAsia="Arial" w:hAnsi="Arial"/>
                <w:sz w:val="17"/>
                <w:szCs w:val="17"/>
                <w:color w:val="auto"/>
              </w:rPr>
              <w:t>457,742</w:t>
            </w:r>
          </w:p>
        </w:tc>
        <w:tc>
          <w:tcPr>
            <w:tcW w:w="260" w:type="dxa"/>
            <w:vAlign w:val="bottom"/>
          </w:tcPr>
          <w:p>
            <w:pPr>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660"/>
              <w:spacing w:after="0"/>
              <w:rPr>
                <w:sz w:val="20"/>
                <w:szCs w:val="20"/>
                <w:color w:val="auto"/>
              </w:rPr>
            </w:pPr>
            <w:r>
              <w:rPr>
                <w:rFonts w:ascii="Arial" w:cs="Arial" w:eastAsia="Arial" w:hAnsi="Arial"/>
                <w:sz w:val="17"/>
                <w:szCs w:val="17"/>
                <w:color w:val="auto"/>
              </w:rPr>
              <w:t>218.46</w:t>
            </w:r>
          </w:p>
        </w:tc>
        <w:tc>
          <w:tcPr>
            <w:tcW w:w="1900" w:type="dxa"/>
            <w:vAlign w:val="bottom"/>
            <w:gridSpan w:val="2"/>
          </w:tcPr>
          <w:p>
            <w:pPr>
              <w:jc w:val="right"/>
              <w:ind w:right="680"/>
              <w:spacing w:after="0"/>
              <w:rPr>
                <w:sz w:val="20"/>
                <w:szCs w:val="20"/>
                <w:color w:val="auto"/>
              </w:rPr>
            </w:pPr>
            <w:r>
              <w:rPr>
                <w:rFonts w:ascii="Arial" w:cs="Arial" w:eastAsia="Arial" w:hAnsi="Arial"/>
                <w:sz w:val="17"/>
                <w:szCs w:val="17"/>
                <w:color w:val="auto"/>
              </w:rPr>
              <w:t>457,742</w:t>
            </w:r>
          </w:p>
        </w:tc>
        <w:tc>
          <w:tcPr>
            <w:tcW w:w="1180" w:type="dxa"/>
            <w:vAlign w:val="bottom"/>
          </w:tcPr>
          <w:p>
            <w:pPr>
              <w:jc w:val="right"/>
              <w:spacing w:after="0"/>
              <w:rPr>
                <w:sz w:val="20"/>
                <w:szCs w:val="20"/>
                <w:color w:val="auto"/>
              </w:rPr>
            </w:pPr>
            <w:r>
              <w:rPr>
                <w:rFonts w:ascii="Arial" w:cs="Arial" w:eastAsia="Arial" w:hAnsi="Arial"/>
                <w:sz w:val="17"/>
                <w:szCs w:val="17"/>
                <w:color w:val="auto"/>
              </w:rPr>
              <w:t>14,668,891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51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170" cy="8255"/>
                    </a:xfrm>
                    <a:prstGeom prst="rect">
                      <a:avLst/>
                    </a:prstGeom>
                    <a:noFill/>
                  </pic:spPr>
                </pic:pic>
              </a:graphicData>
            </a:graphic>
          </wp:anchor>
        </w:drawing>
      </w:r>
    </w:p>
    <w:p>
      <w:pPr>
        <w:spacing w:after="0" w:line="149" w:lineRule="exact"/>
        <w:rPr>
          <w:sz w:val="20"/>
          <w:szCs w:val="20"/>
          <w:color w:val="auto"/>
        </w:rPr>
      </w:pPr>
    </w:p>
    <w:p>
      <w:pPr>
        <w:ind w:left="460" w:right="20" w:hanging="456"/>
        <w:spacing w:after="0" w:line="292" w:lineRule="auto"/>
        <w:tabs>
          <w:tab w:leader="none" w:pos="4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Company’s stock repurchase program, which currently authorizes the repurchase of 20 million shares of common stock, is approved by the Company’s Board of Directors from time to time, and updated as appropriate by the Board, and announced to the public by press release. The latest announcement on this topic was the Company’s press release dated February 10, 2015 that its Board of Directors had authorized the repurchase of up to 20 million shares of its outstanding common stock, which included 5 million shares authorized under the Company’s previous share repurchase program. Previous press releases announcing prior share repurchase programs and the related amounts of common stock included under the share repurchase authorizations were as follows:</w:t>
      </w:r>
    </w:p>
    <w:p>
      <w:pPr>
        <w:spacing w:after="0" w:line="1" w:lineRule="exact"/>
        <w:rPr>
          <w:rFonts w:ascii="Arial" w:cs="Arial" w:eastAsia="Arial" w:hAnsi="Arial"/>
          <w:sz w:val="15"/>
          <w:szCs w:val="15"/>
          <w:color w:val="auto"/>
        </w:rPr>
      </w:pPr>
    </w:p>
    <w:p>
      <w:pPr>
        <w:ind w:left="460" w:right="360"/>
        <w:spacing w:after="0" w:line="269" w:lineRule="auto"/>
        <w:rPr>
          <w:rFonts w:ascii="Arial" w:cs="Arial" w:eastAsia="Arial" w:hAnsi="Arial"/>
          <w:sz w:val="15"/>
          <w:szCs w:val="15"/>
          <w:color w:val="auto"/>
        </w:rPr>
      </w:pPr>
      <w:r>
        <w:rPr>
          <w:rFonts w:ascii="Arial" w:cs="Arial" w:eastAsia="Arial" w:hAnsi="Arial"/>
          <w:sz w:val="17"/>
          <w:szCs w:val="17"/>
          <w:color w:val="auto"/>
        </w:rPr>
        <w:t>(i) press release dated August 15, 2007 (5 million shares); (ii) press release dated February 22, 2006 (5 million shares); and (iii) May 6, 1994 (2.5 million shares).</w:t>
      </w:r>
    </w:p>
    <w:p>
      <w:pPr>
        <w:spacing w:after="0" w:line="309"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7"/>
          <w:szCs w:val="17"/>
          <w:b w:val="1"/>
          <w:bCs w:val="1"/>
          <w:color w:val="auto"/>
        </w:rPr>
        <w:t>SELECTED FINANCIAL DATA</w:t>
      </w:r>
    </w:p>
    <w:p>
      <w:pPr>
        <w:spacing w:after="0" w:line="122" w:lineRule="exact"/>
        <w:rPr>
          <w:sz w:val="20"/>
          <w:szCs w:val="20"/>
          <w:color w:val="auto"/>
        </w:rPr>
      </w:pPr>
    </w:p>
    <w:p>
      <w:pPr>
        <w:ind w:right="240" w:firstLine="457"/>
        <w:spacing w:after="0" w:line="285" w:lineRule="auto"/>
        <w:rPr>
          <w:sz w:val="20"/>
          <w:szCs w:val="20"/>
          <w:color w:val="auto"/>
        </w:rPr>
      </w:pPr>
      <w:r>
        <w:rPr>
          <w:rFonts w:ascii="Arial" w:cs="Arial" w:eastAsia="Arial" w:hAnsi="Arial"/>
          <w:sz w:val="17"/>
          <w:szCs w:val="17"/>
          <w:color w:val="auto"/>
        </w:rPr>
        <w:t>The information required in response to this Item 6 is included under the caption “Five Year Summary” of the 2017 Annual Report, and that information is incorporated herein by reference.</w:t>
      </w:r>
    </w:p>
    <w:p>
      <w:pPr>
        <w:spacing w:after="0" w:line="295"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2" w:lineRule="exact"/>
        <w:rPr>
          <w:sz w:val="20"/>
          <w:szCs w:val="20"/>
          <w:color w:val="auto"/>
        </w:rPr>
      </w:pPr>
    </w:p>
    <w:p>
      <w:pPr>
        <w:ind w:firstLine="457"/>
        <w:spacing w:after="0" w:line="265" w:lineRule="auto"/>
        <w:rPr>
          <w:sz w:val="20"/>
          <w:szCs w:val="20"/>
          <w:color w:val="auto"/>
        </w:rPr>
      </w:pPr>
      <w:r>
        <w:rPr>
          <w:rFonts w:ascii="Arial" w:cs="Arial" w:eastAsia="Arial" w:hAnsi="Arial"/>
          <w:sz w:val="17"/>
          <w:szCs w:val="17"/>
          <w:color w:val="auto"/>
        </w:rPr>
        <w:t>The information required in response to this Item 7 is included under the caption “Management’s Discussion and Analysis of Financial Condition and Results of Operations” in the 2017 Annual Report, and that information is incorporated herein by reference, except that the information contained under the caption “Management’s Discussion and Analysis of Financial Condition and Results of Operations—Outlook 2018” in the 2017 Annual Report is not incorporated herein by reference.</w:t>
      </w:r>
    </w:p>
    <w:p>
      <w:pPr>
        <w:spacing w:after="0" w:line="312"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ITEM 7A.</w:t>
        <w:tab/>
        <w:t>QUANTITATIVE AND QUALITATIVE DISCLOSURES ABOUT MARKET RISK</w:t>
      </w:r>
    </w:p>
    <w:p>
      <w:pPr>
        <w:spacing w:after="0" w:line="122" w:lineRule="exact"/>
        <w:rPr>
          <w:sz w:val="20"/>
          <w:szCs w:val="20"/>
          <w:color w:val="auto"/>
        </w:rPr>
      </w:pPr>
    </w:p>
    <w:p>
      <w:pPr>
        <w:jc w:val="both"/>
        <w:ind w:right="440" w:firstLine="457"/>
        <w:spacing w:after="0" w:line="270" w:lineRule="auto"/>
        <w:rPr>
          <w:sz w:val="20"/>
          <w:szCs w:val="20"/>
          <w:color w:val="auto"/>
        </w:rPr>
      </w:pPr>
      <w:r>
        <w:rPr>
          <w:rFonts w:ascii="Arial" w:cs="Arial" w:eastAsia="Arial" w:hAnsi="Arial"/>
          <w:sz w:val="17"/>
          <w:szCs w:val="17"/>
          <w:color w:val="auto"/>
        </w:rPr>
        <w:t>The information required in response to this Item 7A is included under the caption “Management’s Discussion and Analysis of Financial Condition and Results of Operations-Quantitative and Qualitative Disclosures About Market Risk” of the 2017 Annual Report, and that information is incorporated herein by reference.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420"/>
          </w:cols>
          <w:pgMar w:left="240" w:top="446" w:right="239" w:bottom="1440" w:gutter="0" w:footer="0" w:header="0"/>
        </w:sectPr>
      </w:pPr>
    </w:p>
    <w:bookmarkStart w:id="46" w:name="page47"/>
    <w:bookmarkEnd w:id="4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122" w:lineRule="exact"/>
        <w:rPr>
          <w:sz w:val="20"/>
          <w:szCs w:val="20"/>
          <w:color w:val="auto"/>
        </w:rPr>
      </w:pPr>
    </w:p>
    <w:p>
      <w:pPr>
        <w:ind w:firstLine="457"/>
        <w:spacing w:after="0" w:line="282" w:lineRule="auto"/>
        <w:rPr>
          <w:sz w:val="20"/>
          <w:szCs w:val="20"/>
          <w:color w:val="auto"/>
        </w:rPr>
      </w:pPr>
      <w:r>
        <w:rPr>
          <w:rFonts w:ascii="Arial" w:cs="Arial" w:eastAsia="Arial" w:hAnsi="Arial"/>
          <w:sz w:val="16"/>
          <w:szCs w:val="16"/>
          <w:color w:val="auto"/>
        </w:rPr>
        <w:t>The information required in response to this Item 8 is included under the caption “Consolidated Statements of Earnings,” “Consolidated Statements of Comprehensive Earnings,” “Consolidated Balance Sheets,” “Consolidated Statements of Cash Flows,” “Consolidated Statements of Total Equity,” “Notes to Financial Statements,” “Management’s Discussion and Analysis of Financial Condition and Results of Operations,” and “Quarterly Performance (Unaudited)” of the 2017 Annual Report, and that information is incorporated herein by reference, except that the information contained under the caption “Management’s Discussion and Analysis of Financial Condition and Results of Operations—Outlook 2018” in the 2017 Annual Report is not incorporated herein by reference.</w:t>
      </w:r>
    </w:p>
    <w:p>
      <w:pPr>
        <w:spacing w:after="0" w:line="302"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ITEM 9.</w:t>
      </w:r>
      <w:r>
        <w:rPr>
          <w:sz w:val="20"/>
          <w:szCs w:val="20"/>
          <w:color w:val="auto"/>
        </w:rPr>
        <w:tab/>
      </w:r>
      <w:r>
        <w:rPr>
          <w:rFonts w:ascii="Arial" w:cs="Arial" w:eastAsia="Arial" w:hAnsi="Arial"/>
          <w:sz w:val="17"/>
          <w:szCs w:val="17"/>
          <w:b w:val="1"/>
          <w:bCs w:val="1"/>
          <w:color w:val="auto"/>
        </w:rPr>
        <w:t>CHANGES IN AND DISAGREEMENTS WITH ACCOUNTANTS ON ACCOUNTING AND FINANCIAL DISCLOSURE</w:t>
      </w:r>
    </w:p>
    <w:p>
      <w:pPr>
        <w:spacing w:after="0" w:line="12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None.</w:t>
      </w:r>
    </w:p>
    <w:p>
      <w:pPr>
        <w:spacing w:after="0" w:line="357"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ITEM 9A.</w:t>
        <w:tab/>
        <w:t>CONTROLS AND PROCEDURES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Evaluation of Disclosure Controls and Procedures</w:t>
      </w:r>
    </w:p>
    <w:p>
      <w:pPr>
        <w:spacing w:after="0" w:line="116" w:lineRule="exact"/>
        <w:rPr>
          <w:sz w:val="20"/>
          <w:szCs w:val="20"/>
          <w:color w:val="auto"/>
        </w:rPr>
      </w:pPr>
    </w:p>
    <w:p>
      <w:pPr>
        <w:ind w:right="120" w:firstLine="457"/>
        <w:spacing w:after="0" w:line="265" w:lineRule="auto"/>
        <w:rPr>
          <w:sz w:val="20"/>
          <w:szCs w:val="20"/>
          <w:color w:val="auto"/>
        </w:rPr>
      </w:pPr>
      <w:r>
        <w:rPr>
          <w:rFonts w:ascii="Arial" w:cs="Arial" w:eastAsia="Arial" w:hAnsi="Arial"/>
          <w:sz w:val="17"/>
          <w:szCs w:val="17"/>
          <w:color w:val="auto"/>
        </w:rPr>
        <w:t>As of December 31, 2017, an evaluation was performed under the supervision and with the participation of the Company’s management, including the Chief Executive Officer (“CEO”) and Chief Financial Officer (“CFO”), of the effectiveness of the design and operation of the Company’s disclosure controls and procedures. Based on that evaluation, the Company’s CEO and CFO concluded that the Company’s disclosure controls and procedures were effective at the reasonable assurance level.</w:t>
      </w:r>
    </w:p>
    <w:p>
      <w:pPr>
        <w:spacing w:after="0" w:line="175" w:lineRule="exact"/>
        <w:rPr>
          <w:sz w:val="20"/>
          <w:szCs w:val="20"/>
          <w:color w:val="auto"/>
        </w:rPr>
      </w:pPr>
    </w:p>
    <w:p>
      <w:pPr>
        <w:ind w:right="100" w:firstLine="457"/>
        <w:spacing w:after="0" w:line="282" w:lineRule="auto"/>
        <w:rPr>
          <w:sz w:val="20"/>
          <w:szCs w:val="20"/>
          <w:color w:val="auto"/>
        </w:rPr>
      </w:pPr>
      <w:r>
        <w:rPr>
          <w:rFonts w:ascii="Arial" w:cs="Arial" w:eastAsia="Arial" w:hAnsi="Arial"/>
          <w:sz w:val="16"/>
          <w:szCs w:val="16"/>
          <w:color w:val="auto"/>
        </w:rPr>
        <w:t>The foregoing evaluation of the Company’s disclosure controls and procedures was based on the definition in Exchange Act Rule 13a-15(e), which requires that disclosure controls and procedures are effectively designed to provide reasonable assurance that information required to be disclosed by an issuer in the reports that it files or submits with the SEC under the Exchange Act is recorded, processed, summarized, and reported, within the time periods specified in the SEC’s rules and forms, and is accumulated and communicated to the issuer’s management, including its principal executive and principal financial officers, or persons performing similar functions, as appropriate to allow timely decisions regarding required disclosure.</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Management’s Report on Internal Control over Financial Reporting</w:t>
      </w:r>
    </w:p>
    <w:p>
      <w:pPr>
        <w:spacing w:after="0" w:line="116" w:lineRule="exact"/>
        <w:rPr>
          <w:sz w:val="20"/>
          <w:szCs w:val="20"/>
          <w:color w:val="auto"/>
        </w:rPr>
      </w:pPr>
    </w:p>
    <w:p>
      <w:pPr>
        <w:ind w:right="80" w:firstLine="457"/>
        <w:spacing w:after="0" w:line="311" w:lineRule="auto"/>
        <w:rPr>
          <w:sz w:val="20"/>
          <w:szCs w:val="20"/>
          <w:color w:val="auto"/>
        </w:rPr>
      </w:pPr>
      <w:r>
        <w:rPr>
          <w:rFonts w:ascii="Arial" w:cs="Arial" w:eastAsia="Arial" w:hAnsi="Arial"/>
          <w:sz w:val="15"/>
          <w:szCs w:val="15"/>
          <w:color w:val="auto"/>
        </w:rPr>
        <w:t>Our management’s report on internal control over financial reporting is included under Item 8 of this Annual Report on Form 10K, “Statement of Financial Responsibility and Management’s Report on Internal Controls over Financial Reporting,” and is incorporated by reference. The Company’s management concluded that the Company’s internal control over financial reporting was effective in providing reasonable assurance regarding the reliability of financial reporting and the preparation of the Company’s financial statements for external purposes in accordance with generally accepted accounting principles as of December 31, 2017.</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420"/>
          </w:cols>
          <w:pgMar w:left="240" w:top="446" w:right="239" w:bottom="1440" w:gutter="0" w:footer="0" w:header="0"/>
        </w:sectPr>
      </w:pPr>
    </w:p>
    <w:bookmarkStart w:id="47" w:name="page48"/>
    <w:bookmarkEnd w:id="4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Internal Control over Financial Reporting</w:t>
      </w:r>
    </w:p>
    <w:p>
      <w:pPr>
        <w:spacing w:after="0" w:line="116" w:lineRule="exact"/>
        <w:rPr>
          <w:sz w:val="20"/>
          <w:szCs w:val="20"/>
          <w:color w:val="auto"/>
        </w:rPr>
      </w:pPr>
    </w:p>
    <w:p>
      <w:pPr>
        <w:ind w:firstLine="457"/>
        <w:spacing w:after="0" w:line="285" w:lineRule="auto"/>
        <w:rPr>
          <w:sz w:val="20"/>
          <w:szCs w:val="20"/>
          <w:color w:val="auto"/>
        </w:rPr>
      </w:pPr>
      <w:r>
        <w:rPr>
          <w:rFonts w:ascii="Arial" w:cs="Arial" w:eastAsia="Arial" w:hAnsi="Arial"/>
          <w:sz w:val="17"/>
          <w:szCs w:val="17"/>
          <w:color w:val="auto"/>
        </w:rPr>
        <w:t>There were no changes in the Company’s internal control over financial reporting during the most recently completed fiscal quarter ended December 31, 2017 that materially affected, or are reasonably likely to materially affect, the Company’s internal control over financial reporting.</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Limitations on the Effectiveness of Controls</w:t>
      </w:r>
    </w:p>
    <w:p>
      <w:pPr>
        <w:spacing w:after="0" w:line="116" w:lineRule="exact"/>
        <w:rPr>
          <w:sz w:val="20"/>
          <w:szCs w:val="20"/>
          <w:color w:val="auto"/>
        </w:rPr>
      </w:pPr>
    </w:p>
    <w:p>
      <w:pPr>
        <w:ind w:firstLine="457"/>
        <w:spacing w:after="0" w:line="276" w:lineRule="auto"/>
        <w:rPr>
          <w:sz w:val="20"/>
          <w:szCs w:val="20"/>
          <w:color w:val="auto"/>
        </w:rPr>
      </w:pPr>
      <w:r>
        <w:rPr>
          <w:rFonts w:ascii="Arial" w:cs="Arial" w:eastAsia="Arial" w:hAnsi="Arial"/>
          <w:sz w:val="16"/>
          <w:szCs w:val="16"/>
          <w:color w:val="auto"/>
        </w:rPr>
        <w:t>The Company’s management, including the CEO and CFO, does not expect that the Company’s control system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CEO and CFO Certifications</w:t>
      </w:r>
    </w:p>
    <w:p>
      <w:pPr>
        <w:spacing w:after="0" w:line="116" w:lineRule="exact"/>
        <w:rPr>
          <w:sz w:val="20"/>
          <w:szCs w:val="20"/>
          <w:color w:val="auto"/>
        </w:rPr>
      </w:pPr>
    </w:p>
    <w:p>
      <w:pPr>
        <w:ind w:right="40" w:firstLine="457"/>
        <w:spacing w:after="0" w:line="265" w:lineRule="auto"/>
        <w:rPr>
          <w:sz w:val="20"/>
          <w:szCs w:val="20"/>
          <w:color w:val="auto"/>
        </w:rPr>
      </w:pPr>
      <w:r>
        <w:rPr>
          <w:rFonts w:ascii="Arial" w:cs="Arial" w:eastAsia="Arial" w:hAnsi="Arial"/>
          <w:sz w:val="17"/>
          <w:szCs w:val="17"/>
          <w:color w:val="auto"/>
        </w:rPr>
        <w:t>Included among the Exhibits to this Form 10-K are forms of “Certifications” of the Company’s CEO and CFO as required in accordance with Section 302 of the Sarbanes-Oxley Act of 2002 (the “Section 302 Certification”). The Section 302 Certifications refer to this evaluation of the Company’s disclosure policies and procedures and internal control over financial reporting. The information in this section should be read in conjunction with the Section 302 Certifications for a more complete understanding of the topics presented.</w:t>
      </w:r>
    </w:p>
    <w:p>
      <w:pPr>
        <w:spacing w:after="0" w:line="312"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ITEM 9B.</w:t>
        <w:tab/>
        <w:t>OTHER INFORMATION</w:t>
      </w:r>
    </w:p>
    <w:p>
      <w:pPr>
        <w:spacing w:after="0" w:line="12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None.</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400"/>
          </w:cols>
          <w:pgMar w:left="240" w:top="446" w:right="259" w:bottom="1440" w:gutter="0" w:footer="0" w:header="0"/>
        </w:sectPr>
      </w:pPr>
    </w:p>
    <w:bookmarkStart w:id="48" w:name="page49"/>
    <w:bookmarkEnd w:id="4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PART III</w:t>
      </w:r>
    </w:p>
    <w:p>
      <w:pPr>
        <w:spacing w:after="0" w:line="246"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ITEM 10.</w:t>
      </w:r>
      <w:r>
        <w:rPr>
          <w:sz w:val="20"/>
          <w:szCs w:val="20"/>
          <w:color w:val="auto"/>
        </w:rPr>
        <w:tab/>
      </w:r>
      <w:r>
        <w:rPr>
          <w:rFonts w:ascii="Arial" w:cs="Arial" w:eastAsia="Arial" w:hAnsi="Arial"/>
          <w:sz w:val="17"/>
          <w:szCs w:val="17"/>
          <w:b w:val="1"/>
          <w:bCs w:val="1"/>
          <w:color w:val="auto"/>
        </w:rPr>
        <w:t>DIRECTORS, EXECUTIVE OFFICERS AND CORPORATE GOVERNANCE</w:t>
      </w:r>
    </w:p>
    <w:p>
      <w:pPr>
        <w:spacing w:after="0" w:line="122" w:lineRule="exact"/>
        <w:rPr>
          <w:sz w:val="20"/>
          <w:szCs w:val="20"/>
          <w:color w:val="auto"/>
        </w:rPr>
      </w:pPr>
    </w:p>
    <w:p>
      <w:pPr>
        <w:ind w:right="20" w:firstLine="457"/>
        <w:spacing w:after="0" w:line="259" w:lineRule="auto"/>
        <w:rPr>
          <w:sz w:val="20"/>
          <w:szCs w:val="20"/>
          <w:color w:val="auto"/>
        </w:rPr>
      </w:pPr>
      <w:r>
        <w:rPr>
          <w:rFonts w:ascii="Arial" w:cs="Arial" w:eastAsia="Arial" w:hAnsi="Arial"/>
          <w:sz w:val="17"/>
          <w:szCs w:val="17"/>
          <w:color w:val="auto"/>
        </w:rPr>
        <w:t>The information concerning directors of the Company, the Audit Committee of the Board of Directors, and the Audit Committee financial expert serving on the Audit Committee, all as required in response to this Item 10, is included under the captions “Corporate Governance Matters” and “Section 16(a) Beneficial Ownership Reporting Compliance” in the Company’s definitive proxy statement to be filed with the SEC pursuant to Regulation 14A within 120 days after the close of the Company’s fiscal year ended December 31, 2017 (the “2018 Proxy Statement”), and that information is hereby incorporated by reference in this Form 10-K. Information concerning executive officers of the Company required in response to this Item 10 is included in Part I, under the heading “Executive Officers of the Registrant,” of this Form 10-K. The information concerning the Company’s code of ethics required in response to this Item 10 is included in Part I, under the heading “Available Information,” of this Form 10-K.</w:t>
      </w:r>
    </w:p>
    <w:p>
      <w:pPr>
        <w:spacing w:after="0" w:line="321"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ITEM 11.</w:t>
      </w:r>
      <w:r>
        <w:rPr>
          <w:sz w:val="20"/>
          <w:szCs w:val="20"/>
          <w:color w:val="auto"/>
        </w:rPr>
        <w:tab/>
      </w:r>
      <w:r>
        <w:rPr>
          <w:rFonts w:ascii="Arial" w:cs="Arial" w:eastAsia="Arial" w:hAnsi="Arial"/>
          <w:sz w:val="17"/>
          <w:szCs w:val="17"/>
          <w:b w:val="1"/>
          <w:bCs w:val="1"/>
          <w:color w:val="auto"/>
        </w:rPr>
        <w:t>EXECUTIVE COMPENSATION</w:t>
      </w:r>
    </w:p>
    <w:p>
      <w:pPr>
        <w:spacing w:after="0" w:line="122" w:lineRule="exact"/>
        <w:rPr>
          <w:sz w:val="20"/>
          <w:szCs w:val="20"/>
          <w:color w:val="auto"/>
        </w:rPr>
      </w:pPr>
    </w:p>
    <w:p>
      <w:pPr>
        <w:ind w:right="280" w:firstLine="457"/>
        <w:spacing w:after="0" w:line="294" w:lineRule="auto"/>
        <w:rPr>
          <w:sz w:val="20"/>
          <w:szCs w:val="20"/>
          <w:color w:val="auto"/>
        </w:rPr>
      </w:pPr>
      <w:r>
        <w:rPr>
          <w:rFonts w:ascii="Arial" w:cs="Arial" w:eastAsia="Arial" w:hAnsi="Arial"/>
          <w:sz w:val="16"/>
          <w:szCs w:val="16"/>
          <w:color w:val="auto"/>
        </w:rPr>
        <w:t>The information required in response to this Item 11 is included under the captions “Executive Compensation,” “Compensation Discussion and Analysis,” “Corporate Governance Matters,” “Management Development and Compensation Committee Report,” and “Compensation Committee Interlocks and Insider Participation” in the Company’s 2018 Proxy Statement, and that information is hereby incorporated by reference in this Form 10-K.</w:t>
      </w:r>
    </w:p>
    <w:p>
      <w:pPr>
        <w:spacing w:after="0" w:line="291"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ITEM 12.</w:t>
      </w:r>
      <w:r>
        <w:rPr>
          <w:sz w:val="20"/>
          <w:szCs w:val="20"/>
          <w:color w:val="auto"/>
        </w:rPr>
        <w:tab/>
      </w:r>
      <w:r>
        <w:rPr>
          <w:rFonts w:ascii="Arial" w:cs="Arial" w:eastAsia="Arial" w:hAnsi="Arial"/>
          <w:sz w:val="17"/>
          <w:szCs w:val="17"/>
          <w:b w:val="1"/>
          <w:bCs w:val="1"/>
          <w:color w:val="auto"/>
        </w:rPr>
        <w:t>SECURITY OWNERSHIP OF CERTAIN BENEFICIAL OWNERS AND MANAGEMENT AND RELATED STOCKHOLDER MATTERS</w:t>
      </w:r>
    </w:p>
    <w:p>
      <w:pPr>
        <w:spacing w:after="0" w:line="122" w:lineRule="exact"/>
        <w:rPr>
          <w:sz w:val="20"/>
          <w:szCs w:val="20"/>
          <w:color w:val="auto"/>
        </w:rPr>
      </w:pPr>
    </w:p>
    <w:p>
      <w:pPr>
        <w:ind w:firstLine="457"/>
        <w:spacing w:after="0" w:line="270" w:lineRule="auto"/>
        <w:rPr>
          <w:sz w:val="20"/>
          <w:szCs w:val="20"/>
          <w:color w:val="auto"/>
        </w:rPr>
      </w:pPr>
      <w:r>
        <w:rPr>
          <w:rFonts w:ascii="Arial" w:cs="Arial" w:eastAsia="Arial" w:hAnsi="Arial"/>
          <w:sz w:val="17"/>
          <w:szCs w:val="17"/>
          <w:color w:val="auto"/>
        </w:rPr>
        <w:t>The information required in response to this Item 12 is included under the captions “General Information,” “Security Ownership of Certain Beneficial Owners and Management,” and “Securities Authorized for Issuance Under Equity Compensation Plans” in the Company’s 2018 Proxy Statement, and that information is hereby incorporated by reference in this Form 10-K.</w:t>
      </w:r>
    </w:p>
    <w:p>
      <w:pPr>
        <w:spacing w:after="0" w:line="308"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ITEM 13.</w:t>
      </w:r>
      <w:r>
        <w:rPr>
          <w:sz w:val="20"/>
          <w:szCs w:val="20"/>
          <w:color w:val="auto"/>
        </w:rPr>
        <w:tab/>
      </w:r>
      <w:r>
        <w:rPr>
          <w:rFonts w:ascii="Arial" w:cs="Arial" w:eastAsia="Arial" w:hAnsi="Arial"/>
          <w:sz w:val="17"/>
          <w:szCs w:val="17"/>
          <w:b w:val="1"/>
          <w:bCs w:val="1"/>
          <w:color w:val="auto"/>
        </w:rPr>
        <w:t>CERTAIN RELATIONSHIPS AND RELATED TRANSACTIONS, AND DIRECTOR INDEPENDENCE</w:t>
      </w:r>
    </w:p>
    <w:p>
      <w:pPr>
        <w:spacing w:after="0" w:line="122" w:lineRule="exact"/>
        <w:rPr>
          <w:sz w:val="20"/>
          <w:szCs w:val="20"/>
          <w:color w:val="auto"/>
        </w:rPr>
      </w:pPr>
    </w:p>
    <w:p>
      <w:pPr>
        <w:ind w:right="140" w:firstLine="457"/>
        <w:spacing w:after="0" w:line="270" w:lineRule="auto"/>
        <w:rPr>
          <w:sz w:val="20"/>
          <w:szCs w:val="20"/>
          <w:color w:val="auto"/>
        </w:rPr>
      </w:pPr>
      <w:r>
        <w:rPr>
          <w:rFonts w:ascii="Arial" w:cs="Arial" w:eastAsia="Arial" w:hAnsi="Arial"/>
          <w:sz w:val="17"/>
          <w:szCs w:val="17"/>
          <w:color w:val="auto"/>
        </w:rPr>
        <w:t>The information required in response to this Item 13 is included under the captions “Compensation Committee Interlocks and Insider Participation in Compensation Decisions” and “Corporate Governance Matters” in the Company’s 2018 Proxy Statement, and that information is hereby incorporated by reference in this Form 10-K.</w:t>
      </w:r>
    </w:p>
    <w:p>
      <w:pPr>
        <w:spacing w:after="0" w:line="308"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122" w:lineRule="exact"/>
        <w:rPr>
          <w:sz w:val="20"/>
          <w:szCs w:val="20"/>
          <w:color w:val="auto"/>
        </w:rPr>
      </w:pPr>
    </w:p>
    <w:p>
      <w:pPr>
        <w:ind w:right="120" w:firstLine="457"/>
        <w:spacing w:after="0" w:line="285" w:lineRule="auto"/>
        <w:rPr>
          <w:sz w:val="20"/>
          <w:szCs w:val="20"/>
          <w:color w:val="auto"/>
        </w:rPr>
      </w:pPr>
      <w:r>
        <w:rPr>
          <w:rFonts w:ascii="Arial" w:cs="Arial" w:eastAsia="Arial" w:hAnsi="Arial"/>
          <w:sz w:val="17"/>
          <w:szCs w:val="17"/>
          <w:color w:val="auto"/>
        </w:rPr>
        <w:t>The information required in response to this Item 14 is included under the caption “Independent Auditors” in the Company’s 2018 Proxy Statement, and that information is hereby incorporated by reference in this Form 10-K.</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1420"/>
          </w:cols>
          <w:pgMar w:left="240" w:top="446" w:right="239" w:bottom="1440" w:gutter="0" w:footer="0" w:header="0"/>
        </w:sectPr>
      </w:pPr>
    </w:p>
    <w:bookmarkStart w:id="49" w:name="page50"/>
    <w:bookmarkEnd w:id="4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5380"/>
        <w:spacing w:after="0"/>
        <w:rPr>
          <w:sz w:val="20"/>
          <w:szCs w:val="20"/>
          <w:color w:val="auto"/>
        </w:rPr>
      </w:pPr>
      <w:r>
        <w:rPr>
          <w:rFonts w:ascii="Arial" w:cs="Arial" w:eastAsia="Arial" w:hAnsi="Arial"/>
          <w:sz w:val="17"/>
          <w:szCs w:val="17"/>
          <w:b w:val="1"/>
          <w:bCs w:val="1"/>
          <w:u w:val="single" w:color="auto"/>
          <w:color w:val="auto"/>
        </w:rPr>
        <w:t>PART IV</w:t>
      </w:r>
    </w:p>
    <w:p>
      <w:pPr>
        <w:spacing w:after="0" w:line="246"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ITEM 15.</w:t>
      </w:r>
      <w:r>
        <w:rPr>
          <w:sz w:val="20"/>
          <w:szCs w:val="20"/>
          <w:color w:val="auto"/>
        </w:rPr>
        <w:tab/>
      </w:r>
      <w:r>
        <w:rPr>
          <w:rFonts w:ascii="Arial" w:cs="Arial" w:eastAsia="Arial" w:hAnsi="Arial"/>
          <w:sz w:val="17"/>
          <w:szCs w:val="17"/>
          <w:b w:val="1"/>
          <w:bCs w:val="1"/>
          <w:color w:val="auto"/>
        </w:rPr>
        <w:t>EXHIBITS AND FINANCIAL STATEMENT SCHEDULES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 (1)List of financial statements filed as part of this Form 10-K.</w:t>
      </w:r>
    </w:p>
    <w:p>
      <w:pPr>
        <w:spacing w:after="0" w:line="122" w:lineRule="exact"/>
        <w:rPr>
          <w:sz w:val="20"/>
          <w:szCs w:val="20"/>
          <w:color w:val="auto"/>
        </w:rPr>
      </w:pPr>
    </w:p>
    <w:p>
      <w:pPr>
        <w:ind w:left="460" w:right="200"/>
        <w:spacing w:after="0" w:line="285" w:lineRule="auto"/>
        <w:rPr>
          <w:sz w:val="20"/>
          <w:szCs w:val="20"/>
          <w:color w:val="auto"/>
        </w:rPr>
      </w:pPr>
      <w:r>
        <w:rPr>
          <w:rFonts w:ascii="Arial" w:cs="Arial" w:eastAsia="Arial" w:hAnsi="Arial"/>
          <w:sz w:val="17"/>
          <w:szCs w:val="17"/>
          <w:color w:val="auto"/>
        </w:rPr>
        <w:t>The following consolidated financial statements of Martin Marietta Materials, Inc. and consolidated subsidiaries, included in the 2017 Annual Report and incorporated by reference under Item 8 of this Form 10-K:</w:t>
      </w:r>
    </w:p>
    <w:p>
      <w:pPr>
        <w:spacing w:after="0" w:line="15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Consolidated Statements of Earnings—</w:t>
      </w:r>
    </w:p>
    <w:p>
      <w:pPr>
        <w:spacing w:after="0" w:line="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for years ended December 31, 2017, 2016, and 2015</w:t>
      </w:r>
    </w:p>
    <w:p>
      <w:pPr>
        <w:spacing w:after="0" w:line="103" w:lineRule="exact"/>
        <w:rPr>
          <w:sz w:val="20"/>
          <w:szCs w:val="20"/>
          <w:color w:val="auto"/>
        </w:rPr>
      </w:pPr>
    </w:p>
    <w:p>
      <w:pPr>
        <w:ind w:left="920"/>
        <w:spacing w:after="0"/>
        <w:rPr>
          <w:sz w:val="20"/>
          <w:szCs w:val="20"/>
          <w:color w:val="auto"/>
        </w:rPr>
      </w:pPr>
      <w:r>
        <w:rPr>
          <w:rFonts w:ascii="Arial" w:cs="Arial" w:eastAsia="Arial" w:hAnsi="Arial"/>
          <w:sz w:val="17"/>
          <w:szCs w:val="17"/>
          <w:color w:val="auto"/>
        </w:rPr>
        <w:t>Consolidated Statements of Comprehensive Earnings—</w:t>
      </w:r>
    </w:p>
    <w:p>
      <w:pPr>
        <w:spacing w:after="0" w:line="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for years ended December 31, 2017, 2016, and 2015</w:t>
      </w:r>
    </w:p>
    <w:p>
      <w:pPr>
        <w:spacing w:after="0" w:line="103" w:lineRule="exact"/>
        <w:rPr>
          <w:sz w:val="20"/>
          <w:szCs w:val="20"/>
          <w:color w:val="auto"/>
        </w:rPr>
      </w:pPr>
    </w:p>
    <w:p>
      <w:pPr>
        <w:ind w:left="920"/>
        <w:spacing w:after="0"/>
        <w:rPr>
          <w:sz w:val="20"/>
          <w:szCs w:val="20"/>
          <w:color w:val="auto"/>
        </w:rPr>
      </w:pPr>
      <w:r>
        <w:rPr>
          <w:rFonts w:ascii="Arial" w:cs="Arial" w:eastAsia="Arial" w:hAnsi="Arial"/>
          <w:sz w:val="17"/>
          <w:szCs w:val="17"/>
          <w:color w:val="auto"/>
        </w:rPr>
        <w:t>Consolidated Balance Sheets—</w:t>
      </w:r>
    </w:p>
    <w:p>
      <w:pPr>
        <w:spacing w:after="0" w:line="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at December 31, 2017 and 2016</w:t>
      </w:r>
    </w:p>
    <w:p>
      <w:pPr>
        <w:spacing w:after="0" w:line="103" w:lineRule="exact"/>
        <w:rPr>
          <w:sz w:val="20"/>
          <w:szCs w:val="20"/>
          <w:color w:val="auto"/>
        </w:rPr>
      </w:pPr>
    </w:p>
    <w:p>
      <w:pPr>
        <w:ind w:left="920"/>
        <w:spacing w:after="0"/>
        <w:rPr>
          <w:sz w:val="20"/>
          <w:szCs w:val="20"/>
          <w:color w:val="auto"/>
        </w:rPr>
      </w:pPr>
      <w:r>
        <w:rPr>
          <w:rFonts w:ascii="Arial" w:cs="Arial" w:eastAsia="Arial" w:hAnsi="Arial"/>
          <w:sz w:val="17"/>
          <w:szCs w:val="17"/>
          <w:color w:val="auto"/>
        </w:rPr>
        <w:t>Consolidated Statements of Cash Flows—</w:t>
      </w:r>
    </w:p>
    <w:p>
      <w:pPr>
        <w:spacing w:after="0" w:line="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for years ended December 31, 2017, 2016, and 2015</w:t>
      </w:r>
    </w:p>
    <w:p>
      <w:pPr>
        <w:spacing w:after="0" w:line="103" w:lineRule="exact"/>
        <w:rPr>
          <w:sz w:val="20"/>
          <w:szCs w:val="20"/>
          <w:color w:val="auto"/>
        </w:rPr>
      </w:pPr>
    </w:p>
    <w:p>
      <w:pPr>
        <w:ind w:left="920"/>
        <w:spacing w:after="0"/>
        <w:rPr>
          <w:sz w:val="20"/>
          <w:szCs w:val="20"/>
          <w:color w:val="auto"/>
        </w:rPr>
      </w:pPr>
      <w:r>
        <w:rPr>
          <w:rFonts w:ascii="Arial" w:cs="Arial" w:eastAsia="Arial" w:hAnsi="Arial"/>
          <w:sz w:val="17"/>
          <w:szCs w:val="17"/>
          <w:color w:val="auto"/>
        </w:rPr>
        <w:t>Consolidated Statements of Total Equity—</w:t>
      </w:r>
    </w:p>
    <w:p>
      <w:pPr>
        <w:spacing w:after="0" w:line="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for years ended December 31, 2017, 2016, and 2015</w:t>
      </w:r>
    </w:p>
    <w:p>
      <w:pPr>
        <w:spacing w:after="0" w:line="103" w:lineRule="exact"/>
        <w:rPr>
          <w:sz w:val="20"/>
          <w:szCs w:val="20"/>
          <w:color w:val="auto"/>
        </w:rPr>
      </w:pPr>
    </w:p>
    <w:p>
      <w:pPr>
        <w:ind w:left="920"/>
        <w:spacing w:after="0"/>
        <w:rPr>
          <w:sz w:val="20"/>
          <w:szCs w:val="20"/>
          <w:color w:val="auto"/>
        </w:rPr>
      </w:pPr>
      <w:r>
        <w:rPr>
          <w:rFonts w:ascii="Arial" w:cs="Arial" w:eastAsia="Arial" w:hAnsi="Arial"/>
          <w:sz w:val="17"/>
          <w:szCs w:val="17"/>
          <w:color w:val="auto"/>
        </w:rPr>
        <w:t>Notes to Financial Statements</w:t>
      </w:r>
    </w:p>
    <w:p>
      <w:pPr>
        <w:spacing w:after="0" w:line="357" w:lineRule="exact"/>
        <w:rPr>
          <w:sz w:val="20"/>
          <w:szCs w:val="20"/>
          <w:color w:val="auto"/>
        </w:rPr>
      </w:pPr>
    </w:p>
    <w:p>
      <w:pPr>
        <w:ind w:left="460" w:hanging="456"/>
        <w:spacing w:after="0"/>
        <w:tabs>
          <w:tab w:leader="none" w:pos="460"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color w:val="auto"/>
        </w:rPr>
        <w:t>List of financial statement schedules filed as part of this Form 10-K</w:t>
      </w:r>
    </w:p>
    <w:p>
      <w:pPr>
        <w:spacing w:after="0" w:line="121" w:lineRule="exact"/>
        <w:rPr>
          <w:rFonts w:ascii="Arial" w:cs="Arial" w:eastAsia="Arial" w:hAnsi="Arial"/>
          <w:sz w:val="17"/>
          <w:szCs w:val="17"/>
          <w:b w:val="1"/>
          <w:bCs w:val="1"/>
          <w:color w:val="auto"/>
        </w:rPr>
      </w:pPr>
    </w:p>
    <w:p>
      <w:pPr>
        <w:ind w:left="460" w:right="320"/>
        <w:spacing w:after="0" w:line="382" w:lineRule="auto"/>
        <w:rPr>
          <w:rFonts w:ascii="Arial" w:cs="Arial" w:eastAsia="Arial" w:hAnsi="Arial"/>
          <w:sz w:val="17"/>
          <w:szCs w:val="17"/>
          <w:b w:val="1"/>
          <w:bCs w:val="1"/>
          <w:color w:val="auto"/>
        </w:rPr>
      </w:pPr>
      <w:r>
        <w:rPr>
          <w:rFonts w:ascii="Arial" w:cs="Arial" w:eastAsia="Arial" w:hAnsi="Arial"/>
          <w:sz w:val="17"/>
          <w:szCs w:val="17"/>
          <w:color w:val="auto"/>
        </w:rPr>
        <w:t>The following financial statement schedule of Martin Marietta Materials, Inc. and consolidated subsidiaries is included in Item 15(c) of this Form 10-K. Schedule II - Valuation and Qualifying Accounts</w:t>
      </w:r>
    </w:p>
    <w:p>
      <w:pPr>
        <w:ind w:left="460" w:right="640"/>
        <w:spacing w:after="0" w:line="285" w:lineRule="auto"/>
        <w:rPr>
          <w:rFonts w:ascii="Arial" w:cs="Arial" w:eastAsia="Arial" w:hAnsi="Arial"/>
          <w:sz w:val="17"/>
          <w:szCs w:val="17"/>
          <w:b w:val="1"/>
          <w:bCs w:val="1"/>
          <w:color w:val="auto"/>
        </w:rPr>
      </w:pPr>
      <w:r>
        <w:rPr>
          <w:rFonts w:ascii="Arial" w:cs="Arial" w:eastAsia="Arial" w:hAnsi="Arial"/>
          <w:sz w:val="17"/>
          <w:szCs w:val="17"/>
          <w:color w:val="auto"/>
        </w:rPr>
        <w:t>All other schedules have been omitted because they are not applicable, not required, or the information has been otherwise supplied in the financial statements or notes to the financial statements.</w:t>
      </w:r>
    </w:p>
    <w:p>
      <w:pPr>
        <w:spacing w:after="0" w:line="54" w:lineRule="exact"/>
        <w:rPr>
          <w:rFonts w:ascii="Arial" w:cs="Arial" w:eastAsia="Arial" w:hAnsi="Arial"/>
          <w:sz w:val="17"/>
          <w:szCs w:val="17"/>
          <w:b w:val="1"/>
          <w:bCs w:val="1"/>
          <w:color w:val="auto"/>
        </w:rPr>
      </w:pPr>
    </w:p>
    <w:p>
      <w:pPr>
        <w:ind w:left="460"/>
        <w:spacing w:after="0" w:line="270" w:lineRule="auto"/>
        <w:rPr>
          <w:rFonts w:ascii="Arial" w:cs="Arial" w:eastAsia="Arial" w:hAnsi="Arial"/>
          <w:sz w:val="17"/>
          <w:szCs w:val="17"/>
          <w:b w:val="1"/>
          <w:bCs w:val="1"/>
          <w:color w:val="auto"/>
        </w:rPr>
      </w:pPr>
      <w:r>
        <w:rPr>
          <w:rFonts w:ascii="Arial" w:cs="Arial" w:eastAsia="Arial" w:hAnsi="Arial"/>
          <w:sz w:val="17"/>
          <w:szCs w:val="17"/>
          <w:color w:val="auto"/>
        </w:rPr>
        <w:t>The report of the Company’s independent registered public accounting firm with respect to the above-referenced financial statements is included in the 2017 Annual Report, and that report is hereby incorporated by reference in this Form 10-K. The report on the financial statement schedule and the consent of the Company’s independent registered public accounting firm are attached as Exhibit 23.01 to this Form 10-K.</w:t>
      </w:r>
    </w:p>
    <w:p>
      <w:pPr>
        <w:spacing w:after="0" w:line="307" w:lineRule="exact"/>
        <w:rPr>
          <w:rFonts w:ascii="Arial" w:cs="Arial" w:eastAsia="Arial" w:hAnsi="Arial"/>
          <w:sz w:val="17"/>
          <w:szCs w:val="17"/>
          <w:b w:val="1"/>
          <w:bCs w:val="1"/>
          <w:color w:val="auto"/>
        </w:rPr>
      </w:pPr>
    </w:p>
    <w:p>
      <w:pPr>
        <w:ind w:left="460" w:hanging="456"/>
        <w:spacing w:after="0"/>
        <w:tabs>
          <w:tab w:leader="none" w:pos="460"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color w:val="auto"/>
        </w:rPr>
        <w:t>Exhibits</w:t>
      </w:r>
    </w:p>
    <w:p>
      <w:pPr>
        <w:spacing w:after="0" w:line="161"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300"/>
          </w:cols>
          <w:pgMar w:left="240" w:top="446" w:right="359" w:bottom="1440" w:gutter="0" w:footer="0" w:header="0"/>
        </w:sectPr>
      </w:pPr>
    </w:p>
    <w:bookmarkStart w:id="50" w:name="page51"/>
    <w:bookmarkEnd w:id="5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ind w:right="580"/>
        <w:spacing w:after="0" w:line="285" w:lineRule="auto"/>
        <w:rPr>
          <w:sz w:val="20"/>
          <w:szCs w:val="20"/>
          <w:color w:val="auto"/>
        </w:rPr>
      </w:pPr>
      <w:r>
        <w:rPr>
          <w:rFonts w:ascii="Arial" w:cs="Arial" w:eastAsia="Arial" w:hAnsi="Arial"/>
          <w:sz w:val="17"/>
          <w:szCs w:val="17"/>
          <w:color w:val="auto"/>
        </w:rPr>
        <w:t>The list of Exhibits on the accompanying Index of Exhibits included in Item 15(b) of this Form 10-K is hereby incorporated by reference. Each management contract or compensatory plan or arrangement required to be filed as an exhibit is indicated by asterisks.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 Index of Exhibits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Exhibit No.</w:t>
      </w:r>
    </w:p>
    <w:p>
      <w:pPr>
        <w:spacing w:after="0" w:line="246" w:lineRule="exact"/>
        <w:rPr>
          <w:sz w:val="20"/>
          <w:szCs w:val="20"/>
          <w:color w:val="auto"/>
        </w:rPr>
      </w:pPr>
    </w:p>
    <w:p>
      <w:pPr>
        <w:ind w:left="100"/>
        <w:spacing w:after="0"/>
        <w:tabs>
          <w:tab w:leader="none" w:pos="780" w:val="left"/>
        </w:tabs>
        <w:rPr>
          <w:rFonts w:ascii="Arial" w:cs="Arial" w:eastAsia="Arial" w:hAnsi="Arial"/>
          <w:sz w:val="15"/>
          <w:szCs w:val="15"/>
          <w:u w:val="single" w:color="auto"/>
          <w:color w:val="0000EE"/>
        </w:rPr>
      </w:pPr>
      <w:r>
        <w:rPr>
          <w:rFonts w:ascii="Arial" w:cs="Arial" w:eastAsia="Arial" w:hAnsi="Arial"/>
          <w:sz w:val="17"/>
          <w:szCs w:val="17"/>
          <w:color w:val="auto"/>
        </w:rPr>
        <w:t>3.01</w:t>
      </w:r>
      <w:r>
        <w:rPr>
          <w:sz w:val="20"/>
          <w:szCs w:val="20"/>
          <w:color w:val="auto"/>
        </w:rPr>
        <w:tab/>
      </w:r>
      <w:hyperlink r:id="rId62">
        <w:r>
          <w:rPr>
            <w:rFonts w:ascii="Arial" w:cs="Arial" w:eastAsia="Arial" w:hAnsi="Arial"/>
            <w:sz w:val="15"/>
            <w:szCs w:val="15"/>
            <w:u w:val="single" w:color="auto"/>
            <w:color w:val="0000EE"/>
          </w:rPr>
          <w:t>—Restated Articles of Incorporation of the Company, as amended (incorporated by reference to Exhibit 3.01 to the Martin Marietta Materials, Inc.</w:t>
        </w:r>
      </w:hyperlink>
    </w:p>
    <w:p>
      <w:pPr>
        <w:spacing w:after="0" w:line="25" w:lineRule="exact"/>
        <w:rPr>
          <w:sz w:val="20"/>
          <w:szCs w:val="20"/>
          <w:color w:val="auto"/>
        </w:rPr>
      </w:pPr>
    </w:p>
    <w:p>
      <w:pPr>
        <w:ind w:left="800"/>
        <w:spacing w:after="0"/>
        <w:rPr>
          <w:rFonts w:ascii="Arial" w:cs="Arial" w:eastAsia="Arial" w:hAnsi="Arial"/>
          <w:sz w:val="17"/>
          <w:szCs w:val="17"/>
          <w:u w:val="single" w:color="auto"/>
          <w:color w:val="0000EE"/>
        </w:rPr>
      </w:pPr>
      <w:hyperlink r:id="rId62">
        <w:r>
          <w:rPr>
            <w:rFonts w:ascii="Arial" w:cs="Arial" w:eastAsia="Arial" w:hAnsi="Arial"/>
            <w:sz w:val="17"/>
            <w:szCs w:val="17"/>
            <w:u w:val="single" w:color="auto"/>
            <w:color w:val="0000EE"/>
          </w:rPr>
          <w:t>Annual Report on Form 10-K for the fiscal year ended December 31, 2016, filed on February 24, 2017) (Commission File No. 1-12744)</w:t>
        </w:r>
      </w:hyperlink>
    </w:p>
    <w:p>
      <w:pPr>
        <w:spacing w:after="0" w:line="103" w:lineRule="exact"/>
        <w:rPr>
          <w:sz w:val="20"/>
          <w:szCs w:val="20"/>
          <w:color w:val="auto"/>
        </w:rPr>
      </w:pPr>
    </w:p>
    <w:p>
      <w:pPr>
        <w:ind w:left="800" w:right="200" w:hanging="717"/>
        <w:spacing w:after="0" w:line="285" w:lineRule="auto"/>
        <w:tabs>
          <w:tab w:leader="none" w:pos="780" w:val="left"/>
        </w:tabs>
        <w:rPr>
          <w:rFonts w:ascii="Arial" w:cs="Arial" w:eastAsia="Arial" w:hAnsi="Arial"/>
          <w:sz w:val="17"/>
          <w:szCs w:val="17"/>
          <w:u w:val="single" w:color="auto"/>
          <w:color w:val="0000EE"/>
        </w:rPr>
      </w:pPr>
      <w:r>
        <w:rPr>
          <w:rFonts w:ascii="Arial" w:cs="Arial" w:eastAsia="Arial" w:hAnsi="Arial"/>
          <w:sz w:val="17"/>
          <w:szCs w:val="17"/>
          <w:color w:val="auto"/>
        </w:rPr>
        <w:t>3.02</w:t>
      </w:r>
      <w:r>
        <w:rPr>
          <w:sz w:val="20"/>
          <w:szCs w:val="20"/>
          <w:color w:val="auto"/>
        </w:rPr>
        <w:tab/>
      </w:r>
      <w:hyperlink r:id="rId63">
        <w:r>
          <w:rPr>
            <w:rFonts w:ascii="Arial" w:cs="Arial" w:eastAsia="Arial" w:hAnsi="Arial"/>
            <w:sz w:val="17"/>
            <w:szCs w:val="17"/>
            <w:u w:val="single" w:color="auto"/>
            <w:color w:val="0000EE"/>
          </w:rPr>
          <w:t>—Restated Bylaws of the Company (incorporated by reference to Exhibit 3.2 to the Martin Marietta Materials, Inc. Current Report on Form 8-K, filed</w:t>
        </w:r>
      </w:hyperlink>
      <w:r>
        <w:rPr>
          <w:rFonts w:ascii="Arial" w:cs="Arial" w:eastAsia="Arial" w:hAnsi="Arial"/>
          <w:sz w:val="17"/>
          <w:szCs w:val="17"/>
          <w:u w:val="single" w:color="auto"/>
          <w:color w:val="0000EE"/>
        </w:rPr>
        <w:t xml:space="preserve"> </w:t>
      </w:r>
      <w:hyperlink r:id="rId63">
        <w:r>
          <w:rPr>
            <w:rFonts w:ascii="Arial" w:cs="Arial" w:eastAsia="Arial" w:hAnsi="Arial"/>
            <w:sz w:val="17"/>
            <w:szCs w:val="17"/>
            <w:u w:val="single" w:color="auto"/>
            <w:color w:val="0000EE"/>
          </w:rPr>
          <w:t>on February 22, 2018) (Commission File No. 1-12744)</w:t>
        </w:r>
      </w:hyperlink>
    </w:p>
    <w:p>
      <w:pPr>
        <w:spacing w:after="0" w:line="55" w:lineRule="exact"/>
        <w:rPr>
          <w:sz w:val="20"/>
          <w:szCs w:val="20"/>
          <w:color w:val="auto"/>
        </w:rPr>
      </w:pPr>
    </w:p>
    <w:p>
      <w:pPr>
        <w:ind w:left="800" w:right="120" w:hanging="717"/>
        <w:spacing w:after="0" w:line="285" w:lineRule="auto"/>
        <w:tabs>
          <w:tab w:leader="none" w:pos="780" w:val="left"/>
        </w:tabs>
        <w:rPr>
          <w:sz w:val="20"/>
          <w:szCs w:val="20"/>
          <w:color w:val="auto"/>
        </w:rPr>
      </w:pPr>
      <w:r>
        <w:rPr>
          <w:rFonts w:ascii="Arial" w:cs="Arial" w:eastAsia="Arial" w:hAnsi="Arial"/>
          <w:sz w:val="17"/>
          <w:szCs w:val="17"/>
          <w:color w:val="auto"/>
        </w:rPr>
        <w:t>4.01</w:t>
      </w:r>
      <w:r>
        <w:rPr>
          <w:sz w:val="20"/>
          <w:szCs w:val="20"/>
          <w:color w:val="auto"/>
        </w:rPr>
        <w:tab/>
      </w:r>
      <w:r>
        <w:rPr>
          <w:rFonts w:ascii="Arial" w:cs="Arial" w:eastAsia="Arial" w:hAnsi="Arial"/>
          <w:sz w:val="17"/>
          <w:szCs w:val="17"/>
          <w:color w:val="auto"/>
        </w:rPr>
        <w:t>—Specimen Common Stock Certificate (incorporated by reference to Exhibit 4.01 to the Martin Marietta Materials, Inc. registration statement on Form S-1, filed on December 8, 1993 (SEC Registration No. 33-72648) (P)</w:t>
      </w:r>
    </w:p>
    <w:p>
      <w:pPr>
        <w:spacing w:after="0" w:line="55" w:lineRule="exact"/>
        <w:rPr>
          <w:sz w:val="20"/>
          <w:szCs w:val="20"/>
          <w:color w:val="auto"/>
        </w:rPr>
      </w:pPr>
    </w:p>
    <w:p>
      <w:pPr>
        <w:ind w:left="800" w:right="140" w:hanging="717"/>
        <w:spacing w:after="0" w:line="355" w:lineRule="auto"/>
        <w:tabs>
          <w:tab w:leader="none" w:pos="780" w:val="left"/>
        </w:tabs>
        <w:rPr>
          <w:rFonts w:ascii="Arial" w:cs="Arial" w:eastAsia="Arial" w:hAnsi="Arial"/>
          <w:sz w:val="15"/>
          <w:szCs w:val="15"/>
          <w:u w:val="single" w:color="auto"/>
          <w:color w:val="0000EE"/>
        </w:rPr>
      </w:pPr>
      <w:r>
        <w:rPr>
          <w:rFonts w:ascii="Arial" w:cs="Arial" w:eastAsia="Arial" w:hAnsi="Arial"/>
          <w:sz w:val="17"/>
          <w:szCs w:val="17"/>
          <w:color w:val="auto"/>
        </w:rPr>
        <w:t>4.02</w:t>
      </w:r>
      <w:r>
        <w:rPr>
          <w:sz w:val="20"/>
          <w:szCs w:val="20"/>
          <w:color w:val="auto"/>
        </w:rPr>
        <w:tab/>
      </w:r>
      <w:hyperlink r:id="rId63">
        <w:r>
          <w:rPr>
            <w:rFonts w:ascii="Arial" w:cs="Arial" w:eastAsia="Arial" w:hAnsi="Arial"/>
            <w:sz w:val="15"/>
            <w:szCs w:val="15"/>
            <w:u w:val="single" w:color="auto"/>
            <w:color w:val="0000EE"/>
          </w:rPr>
          <w:t>—Article 5 of the Company’s Restated Articles of Incorporation, as amended (incorporated by reference to Exhibit 3.01 to the Martin Marietta</w:t>
        </w:r>
      </w:hyperlink>
      <w:r>
        <w:rPr>
          <w:rFonts w:ascii="Arial" w:cs="Arial" w:eastAsia="Arial" w:hAnsi="Arial"/>
          <w:sz w:val="15"/>
          <w:szCs w:val="15"/>
          <w:u w:val="single" w:color="auto"/>
          <w:color w:val="0000EE"/>
        </w:rPr>
        <w:t xml:space="preserve"> </w:t>
      </w:r>
      <w:hyperlink r:id="rId63">
        <w:r>
          <w:rPr>
            <w:rFonts w:ascii="Arial" w:cs="Arial" w:eastAsia="Arial" w:hAnsi="Arial"/>
            <w:sz w:val="15"/>
            <w:szCs w:val="15"/>
            <w:u w:val="single" w:color="auto"/>
            <w:color w:val="0000EE"/>
          </w:rPr>
          <w:t>Materials, Inc. Annual Report on Form 10-K for the fiscal year ended December 31, 2016, filed on February 24, 2017) (Commission File No. 1-12744)</w:t>
        </w:r>
      </w:hyperlink>
    </w:p>
    <w:p>
      <w:pPr>
        <w:spacing w:after="0" w:line="9" w:lineRule="exact"/>
        <w:rPr>
          <w:sz w:val="20"/>
          <w:szCs w:val="20"/>
          <w:color w:val="auto"/>
        </w:rPr>
      </w:pPr>
    </w:p>
    <w:p>
      <w:pPr>
        <w:ind w:left="800" w:right="400" w:hanging="717"/>
        <w:spacing w:after="0" w:line="285" w:lineRule="auto"/>
        <w:tabs>
          <w:tab w:leader="none" w:pos="780" w:val="left"/>
        </w:tabs>
        <w:rPr>
          <w:rFonts w:ascii="Arial" w:cs="Arial" w:eastAsia="Arial" w:hAnsi="Arial"/>
          <w:sz w:val="17"/>
          <w:szCs w:val="17"/>
          <w:u w:val="single" w:color="auto"/>
          <w:color w:val="0000EE"/>
        </w:rPr>
      </w:pPr>
      <w:r>
        <w:rPr>
          <w:rFonts w:ascii="Arial" w:cs="Arial" w:eastAsia="Arial" w:hAnsi="Arial"/>
          <w:sz w:val="17"/>
          <w:szCs w:val="17"/>
          <w:color w:val="auto"/>
        </w:rPr>
        <w:t>4.03</w:t>
      </w:r>
      <w:r>
        <w:rPr>
          <w:sz w:val="20"/>
          <w:szCs w:val="20"/>
          <w:color w:val="auto"/>
        </w:rPr>
        <w:tab/>
      </w:r>
      <w:hyperlink r:id="rId64">
        <w:r>
          <w:rPr>
            <w:rFonts w:ascii="Arial" w:cs="Arial" w:eastAsia="Arial" w:hAnsi="Arial"/>
            <w:sz w:val="17"/>
            <w:szCs w:val="17"/>
            <w:u w:val="single" w:color="auto"/>
            <w:color w:val="0000EE"/>
          </w:rPr>
          <w:t>—Article 1 of the Company’s Restated Bylaws, as amended (incorporated by reference to Exhibit 3.2 to the Martin Marietta Materials, Inc. Current</w:t>
        </w:r>
      </w:hyperlink>
      <w:r>
        <w:rPr>
          <w:rFonts w:ascii="Arial" w:cs="Arial" w:eastAsia="Arial" w:hAnsi="Arial"/>
          <w:sz w:val="17"/>
          <w:szCs w:val="17"/>
          <w:u w:val="single" w:color="auto"/>
          <w:color w:val="0000EE"/>
        </w:rPr>
        <w:t xml:space="preserve"> </w:t>
      </w:r>
      <w:hyperlink r:id="rId64">
        <w:r>
          <w:rPr>
            <w:rFonts w:ascii="Arial" w:cs="Arial" w:eastAsia="Arial" w:hAnsi="Arial"/>
            <w:sz w:val="17"/>
            <w:szCs w:val="17"/>
            <w:u w:val="single" w:color="auto"/>
            <w:color w:val="0000EE"/>
          </w:rPr>
          <w:t>Report on Form 8-K, filed on February 22, 2018) (Commission File No. 1-12744)</w:t>
        </w:r>
      </w:hyperlink>
    </w:p>
    <w:p>
      <w:pPr>
        <w:spacing w:after="0" w:line="55" w:lineRule="exact"/>
        <w:rPr>
          <w:sz w:val="20"/>
          <w:szCs w:val="20"/>
          <w:color w:val="auto"/>
        </w:rPr>
      </w:pPr>
    </w:p>
    <w:p>
      <w:pPr>
        <w:ind w:left="800" w:right="180" w:hanging="717"/>
        <w:spacing w:after="0" w:line="318" w:lineRule="auto"/>
        <w:tabs>
          <w:tab w:leader="none" w:pos="780" w:val="left"/>
        </w:tabs>
        <w:rPr>
          <w:rFonts w:ascii="Arial" w:cs="Arial" w:eastAsia="Arial" w:hAnsi="Arial"/>
          <w:sz w:val="16"/>
          <w:szCs w:val="16"/>
          <w:u w:val="single" w:color="auto"/>
          <w:color w:val="0000EE"/>
        </w:rPr>
      </w:pPr>
      <w:r>
        <w:rPr>
          <w:rFonts w:ascii="Arial" w:cs="Arial" w:eastAsia="Arial" w:hAnsi="Arial"/>
          <w:sz w:val="17"/>
          <w:szCs w:val="17"/>
          <w:color w:val="auto"/>
        </w:rPr>
        <w:t>4.04</w:t>
      </w:r>
      <w:r>
        <w:rPr>
          <w:sz w:val="20"/>
          <w:szCs w:val="20"/>
          <w:color w:val="auto"/>
        </w:rPr>
        <w:tab/>
      </w:r>
      <w:hyperlink r:id="rId65">
        <w:r>
          <w:rPr>
            <w:rFonts w:ascii="Arial" w:cs="Arial" w:eastAsia="Arial" w:hAnsi="Arial"/>
            <w:sz w:val="16"/>
            <w:szCs w:val="16"/>
            <w:u w:val="single" w:color="auto"/>
            <w:color w:val="0000EE"/>
          </w:rPr>
          <w:t>—Indenture dated as of December 1, 1995 between Martin Marietta Materials, Inc. and First Union National Bank of North Carolina (incorporated by</w:t>
        </w:r>
      </w:hyperlink>
      <w:r>
        <w:rPr>
          <w:rFonts w:ascii="Arial" w:cs="Arial" w:eastAsia="Arial" w:hAnsi="Arial"/>
          <w:sz w:val="16"/>
          <w:szCs w:val="16"/>
          <w:u w:val="single" w:color="auto"/>
          <w:color w:val="0000EE"/>
        </w:rPr>
        <w:t xml:space="preserve"> </w:t>
      </w:r>
      <w:hyperlink r:id="rId65">
        <w:r>
          <w:rPr>
            <w:rFonts w:ascii="Arial" w:cs="Arial" w:eastAsia="Arial" w:hAnsi="Arial"/>
            <w:sz w:val="16"/>
            <w:szCs w:val="16"/>
            <w:u w:val="single" w:color="auto"/>
            <w:color w:val="0000EE"/>
          </w:rPr>
          <w:t>reference to Exhibit 4(a) to the Martin Marietta Materials, Inc. registration statement on Form S-3 (SEC Registration No. 33-99082))</w:t>
        </w:r>
      </w:hyperlink>
    </w:p>
    <w:p>
      <w:pPr>
        <w:spacing w:after="0" w:line="32" w:lineRule="exact"/>
        <w:rPr>
          <w:sz w:val="20"/>
          <w:szCs w:val="20"/>
          <w:color w:val="auto"/>
        </w:rPr>
      </w:pPr>
    </w:p>
    <w:p>
      <w:pPr>
        <w:ind w:left="800" w:right="260" w:hanging="717"/>
        <w:spacing w:after="0" w:line="285" w:lineRule="auto"/>
        <w:tabs>
          <w:tab w:leader="none" w:pos="780" w:val="left"/>
        </w:tabs>
        <w:rPr>
          <w:sz w:val="20"/>
          <w:szCs w:val="20"/>
          <w:color w:val="auto"/>
        </w:rPr>
      </w:pPr>
      <w:r>
        <w:rPr>
          <w:rFonts w:ascii="Arial" w:cs="Arial" w:eastAsia="Arial" w:hAnsi="Arial"/>
          <w:sz w:val="17"/>
          <w:szCs w:val="17"/>
          <w:color w:val="auto"/>
        </w:rPr>
        <w:t>4.05</w:t>
      </w:r>
      <w:r>
        <w:rPr>
          <w:sz w:val="20"/>
          <w:szCs w:val="20"/>
          <w:color w:val="auto"/>
        </w:rPr>
        <w:tab/>
      </w:r>
      <w:r>
        <w:rPr>
          <w:rFonts w:ascii="Arial" w:cs="Arial" w:eastAsia="Arial" w:hAnsi="Arial"/>
          <w:sz w:val="17"/>
          <w:szCs w:val="17"/>
          <w:color w:val="auto"/>
        </w:rPr>
        <w:t>—Form of Martin Marietta Materials, Inc. 7% Debenture due 2025 (incorporated by reference to Exhibit 4(a)(i) to the Martin Marietta Materials, Inc. registration statement on Form S-3 (SEC Registration No. 33-99082)) (P)</w:t>
      </w:r>
    </w:p>
    <w:p>
      <w:pPr>
        <w:spacing w:after="0" w:line="55" w:lineRule="exact"/>
        <w:rPr>
          <w:sz w:val="20"/>
          <w:szCs w:val="20"/>
          <w:color w:val="auto"/>
        </w:rPr>
      </w:pPr>
    </w:p>
    <w:p>
      <w:pPr>
        <w:jc w:val="right"/>
        <w:ind w:left="100" w:right="120"/>
        <w:spacing w:after="0" w:line="318" w:lineRule="auto"/>
        <w:rPr>
          <w:rFonts w:ascii="Arial" w:cs="Arial" w:eastAsia="Arial" w:hAnsi="Arial"/>
          <w:sz w:val="16"/>
          <w:szCs w:val="16"/>
          <w:u w:val="single" w:color="auto"/>
          <w:color w:val="0000EE"/>
        </w:rPr>
      </w:pPr>
      <w:r>
        <w:rPr>
          <w:rFonts w:ascii="Arial" w:cs="Arial" w:eastAsia="Arial" w:hAnsi="Arial"/>
          <w:sz w:val="16"/>
          <w:szCs w:val="16"/>
          <w:color w:val="auto"/>
        </w:rPr>
        <w:t xml:space="preserve">4.06     </w:t>
      </w:r>
      <w:hyperlink r:id="rId66">
        <w:r>
          <w:rPr>
            <w:rFonts w:ascii="Arial" w:cs="Arial" w:eastAsia="Arial" w:hAnsi="Arial"/>
            <w:sz w:val="16"/>
            <w:szCs w:val="16"/>
            <w:u w:val="single" w:color="auto"/>
            <w:color w:val="0000EE"/>
          </w:rPr>
          <w:t>—Indenture dated as of April 30, 2007 between Martin Marietta Materials, Inc. and Branch Banking and Trust Company, Inc., as trustee (incorporated</w:t>
        </w:r>
      </w:hyperlink>
      <w:r>
        <w:rPr>
          <w:rFonts w:ascii="Arial" w:cs="Arial" w:eastAsia="Arial" w:hAnsi="Arial"/>
          <w:sz w:val="16"/>
          <w:szCs w:val="16"/>
          <w:color w:val="auto"/>
        </w:rPr>
        <w:t xml:space="preserve"> </w:t>
      </w:r>
      <w:hyperlink r:id="rId66">
        <w:r>
          <w:rPr>
            <w:rFonts w:ascii="Arial" w:cs="Arial" w:eastAsia="Arial" w:hAnsi="Arial"/>
            <w:sz w:val="16"/>
            <w:szCs w:val="16"/>
            <w:u w:val="single" w:color="auto"/>
            <w:color w:val="0000EE"/>
          </w:rPr>
          <w:t>by reference to Exhibit 4.1 to the Martin Marietta Materials, Inc. Current Report on Form 8-K, filed on April 30, 2007 (Commission File No. 1-12744))</w:t>
        </w:r>
      </w:hyperlink>
    </w:p>
    <w:p>
      <w:pPr>
        <w:spacing w:after="0" w:line="32" w:lineRule="exact"/>
        <w:rPr>
          <w:sz w:val="20"/>
          <w:szCs w:val="20"/>
          <w:color w:val="auto"/>
        </w:rPr>
      </w:pPr>
    </w:p>
    <w:p>
      <w:pPr>
        <w:ind w:left="800" w:right="80" w:hanging="717"/>
        <w:spacing w:after="0" w:line="228" w:lineRule="auto"/>
        <w:tabs>
          <w:tab w:leader="none" w:pos="780" w:val="left"/>
        </w:tabs>
        <w:rPr>
          <w:rFonts w:ascii="Arial" w:cs="Arial" w:eastAsia="Arial" w:hAnsi="Arial"/>
          <w:sz w:val="17"/>
          <w:szCs w:val="17"/>
          <w:u w:val="single" w:color="auto"/>
          <w:color w:val="0000EE"/>
        </w:rPr>
      </w:pPr>
      <w:r>
        <w:rPr>
          <w:rFonts w:ascii="Arial" w:cs="Arial" w:eastAsia="Arial" w:hAnsi="Arial"/>
          <w:sz w:val="17"/>
          <w:szCs w:val="17"/>
          <w:color w:val="auto"/>
        </w:rPr>
        <w:t>4.07</w:t>
      </w:r>
      <w:r>
        <w:rPr>
          <w:sz w:val="20"/>
          <w:szCs w:val="20"/>
          <w:color w:val="auto"/>
        </w:rPr>
        <w:tab/>
      </w:r>
      <w:hyperlink r:id="rId67">
        <w:r>
          <w:rPr>
            <w:rFonts w:ascii="Arial" w:cs="Arial" w:eastAsia="Arial" w:hAnsi="Arial"/>
            <w:sz w:val="17"/>
            <w:szCs w:val="17"/>
            <w:u w:val="single" w:color="auto"/>
            <w:color w:val="0000EE"/>
          </w:rPr>
          <w:t>—Second Supplemental Indenture, dated as of April 30, 2007, between Martin Marietta Materials, Inc. and Branch Banking and Trust Company, Inc.,</w:t>
        </w:r>
      </w:hyperlink>
      <w:r>
        <w:rPr>
          <w:rFonts w:ascii="Arial" w:cs="Arial" w:eastAsia="Arial" w:hAnsi="Arial"/>
          <w:sz w:val="17"/>
          <w:szCs w:val="17"/>
          <w:u w:val="single" w:color="auto"/>
          <w:color w:val="0000EE"/>
        </w:rPr>
        <w:t xml:space="preserve"> </w:t>
      </w:r>
      <w:hyperlink r:id="rId67">
        <w:r>
          <w:rPr>
            <w:rFonts w:ascii="Arial" w:cs="Arial" w:eastAsia="Arial" w:hAnsi="Arial"/>
            <w:sz w:val="17"/>
            <w:szCs w:val="17"/>
            <w:u w:val="single" w:color="auto"/>
            <w:color w:val="0000EE"/>
          </w:rPr>
          <w:t>as trustee, to that certain Indenture dated as of April 30, 2007 between Martin Marietta Materials, Inc. and Branch Banking and Trust Company, Inc., as</w:t>
        </w:r>
      </w:hyperlink>
      <w:r>
        <w:rPr>
          <w:rFonts w:ascii="Arial" w:cs="Arial" w:eastAsia="Arial" w:hAnsi="Arial"/>
          <w:sz w:val="17"/>
          <w:szCs w:val="17"/>
          <w:u w:val="single" w:color="auto"/>
          <w:color w:val="0000EE"/>
        </w:rPr>
        <w:t xml:space="preserve"> </w:t>
      </w:r>
      <w:hyperlink r:id="rId67">
        <w:r>
          <w:rPr>
            <w:rFonts w:ascii="Arial" w:cs="Arial" w:eastAsia="Arial" w:hAnsi="Arial"/>
            <w:sz w:val="17"/>
            <w:szCs w:val="17"/>
            <w:u w:val="single" w:color="auto"/>
            <w:color w:val="0000EE"/>
          </w:rPr>
          <w:t>trustee, pursuant to which were issued $250,000,000 aggregate principal amount of 6</w:t>
        </w:r>
        <w:r>
          <w:rPr>
            <w:rFonts w:ascii="Arial" w:cs="Arial" w:eastAsia="Arial" w:hAnsi="Arial"/>
            <w:sz w:val="17"/>
            <w:szCs w:val="17"/>
            <w:color w:val="0000EE"/>
          </w:rPr>
          <w:t xml:space="preserve"> </w:t>
        </w:r>
        <w:r>
          <w:rPr>
            <w:rFonts w:ascii="Arial" w:cs="Arial" w:eastAsia="Arial" w:hAnsi="Arial"/>
            <w:sz w:val="28"/>
            <w:szCs w:val="28"/>
            <w:color w:val="0000EE"/>
            <w:vertAlign w:val="superscript"/>
          </w:rPr>
          <w:t>1</w:t>
        </w:r>
        <w:r>
          <w:rPr>
            <w:rFonts w:ascii="Arial" w:cs="Arial" w:eastAsia="Arial" w:hAnsi="Arial"/>
            <w:sz w:val="17"/>
            <w:szCs w:val="17"/>
            <w:u w:val="single" w:color="auto"/>
            <w:color w:val="0000EE"/>
          </w:rPr>
          <w:t>⁄</w:t>
        </w:r>
        <w:r>
          <w:rPr>
            <w:rFonts w:ascii="Arial" w:cs="Arial" w:eastAsia="Arial" w:hAnsi="Arial"/>
            <w:sz w:val="28"/>
            <w:szCs w:val="28"/>
            <w:u w:val="single" w:color="auto"/>
            <w:color w:val="0000EE"/>
            <w:vertAlign w:val="subscript"/>
          </w:rPr>
          <w:t>4</w:t>
        </w:r>
        <w:r>
          <w:rPr>
            <w:rFonts w:ascii="Arial" w:cs="Arial" w:eastAsia="Arial" w:hAnsi="Arial"/>
            <w:sz w:val="17"/>
            <w:szCs w:val="17"/>
            <w:u w:val="single" w:color="auto"/>
            <w:color w:val="0000EE"/>
          </w:rPr>
          <w:t>% Senior Notes due 2037 of Martin Marietta Materials, Inc.</w:t>
        </w:r>
      </w:hyperlink>
      <w:r>
        <w:rPr>
          <w:rFonts w:ascii="Arial" w:cs="Arial" w:eastAsia="Arial" w:hAnsi="Arial"/>
          <w:sz w:val="17"/>
          <w:szCs w:val="17"/>
          <w:color w:val="0000EE"/>
        </w:rPr>
        <w:t xml:space="preserve"> </w:t>
      </w:r>
      <w:hyperlink r:id="rId67">
        <w:r>
          <w:rPr>
            <w:rFonts w:ascii="Arial" w:cs="Arial" w:eastAsia="Arial" w:hAnsi="Arial"/>
            <w:sz w:val="17"/>
            <w:szCs w:val="17"/>
            <w:u w:val="single" w:color="auto"/>
            <w:color w:val="0000EE"/>
          </w:rPr>
          <w:t>(incorporated by reference to Exhibit 4.3 to the Martin Marietta Materials, Inc. Current Report on Form 8-K, filed on April 30, 2007 (Commission File</w:t>
        </w:r>
      </w:hyperlink>
      <w:r>
        <w:rPr>
          <w:rFonts w:ascii="Arial" w:cs="Arial" w:eastAsia="Arial" w:hAnsi="Arial"/>
          <w:sz w:val="17"/>
          <w:szCs w:val="17"/>
          <w:u w:val="single" w:color="auto"/>
          <w:color w:val="0000EE"/>
        </w:rPr>
        <w:t xml:space="preserve"> </w:t>
      </w:r>
      <w:hyperlink r:id="rId67">
        <w:r>
          <w:rPr>
            <w:rFonts w:ascii="Arial" w:cs="Arial" w:eastAsia="Arial" w:hAnsi="Arial"/>
            <w:sz w:val="17"/>
            <w:szCs w:val="17"/>
            <w:u w:val="single" w:color="auto"/>
            <w:color w:val="0000EE"/>
          </w:rPr>
          <w:t>No. 1-12744))</w:t>
        </w:r>
      </w:hyperlink>
    </w:p>
    <w:p>
      <w:pPr>
        <w:spacing w:after="0" w:line="20" w:lineRule="exact"/>
        <w:rPr>
          <w:rFonts w:ascii="Arial" w:cs="Arial" w:eastAsia="Arial" w:hAnsi="Arial"/>
          <w:sz w:val="17"/>
          <w:szCs w:val="17"/>
          <w:color w:val="0000EE"/>
        </w:rPr>
      </w:pPr>
      <w:r>
        <w:rPr>
          <w:rFonts w:ascii="Arial" w:cs="Arial" w:eastAsia="Arial" w:hAnsi="Arial"/>
          <w:sz w:val="17"/>
          <w:szCs w:val="17"/>
          <w:color w:val="0000EE"/>
        </w:rPr>
        <w:drawing>
          <wp:anchor simplePos="0" relativeHeight="251657728" behindDoc="1" locked="0" layoutInCell="0" allowOverlap="1">
            <wp:simplePos x="0" y="0"/>
            <wp:positionH relativeFrom="column">
              <wp:posOffset>4280535</wp:posOffset>
            </wp:positionH>
            <wp:positionV relativeFrom="paragraph">
              <wp:posOffset>-302895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3" w:lineRule="exact"/>
        <w:rPr>
          <w:rFonts w:ascii="Arial" w:cs="Arial" w:eastAsia="Arial" w:hAnsi="Arial"/>
          <w:sz w:val="17"/>
          <w:szCs w:val="17"/>
          <w:color w:val="0000EE"/>
        </w:rPr>
      </w:pPr>
    </w:p>
    <w:p>
      <w:pPr>
        <w:ind w:left="800" w:right="120" w:hanging="717"/>
        <w:spacing w:after="0" w:line="262" w:lineRule="auto"/>
        <w:tabs>
          <w:tab w:leader="none" w:pos="780" w:val="left"/>
        </w:tabs>
        <w:rPr>
          <w:rFonts w:ascii="Arial" w:cs="Arial" w:eastAsia="Arial" w:hAnsi="Arial"/>
          <w:sz w:val="17"/>
          <w:szCs w:val="17"/>
          <w:u w:val="single" w:color="auto"/>
          <w:color w:val="0000EE"/>
        </w:rPr>
      </w:pPr>
      <w:r>
        <w:rPr>
          <w:rFonts w:ascii="Arial" w:cs="Arial" w:eastAsia="Arial" w:hAnsi="Arial"/>
          <w:sz w:val="17"/>
          <w:szCs w:val="17"/>
          <w:color w:val="auto"/>
        </w:rPr>
        <w:t>4.08</w:t>
      </w:r>
      <w:r>
        <w:rPr>
          <w:sz w:val="20"/>
          <w:szCs w:val="20"/>
          <w:color w:val="auto"/>
        </w:rPr>
        <w:tab/>
      </w:r>
      <w:hyperlink r:id="rId69">
        <w:r>
          <w:rPr>
            <w:rFonts w:ascii="Arial" w:cs="Arial" w:eastAsia="Arial" w:hAnsi="Arial"/>
            <w:sz w:val="17"/>
            <w:szCs w:val="17"/>
            <w:u w:val="single" w:color="auto"/>
            <w:color w:val="0000EE"/>
          </w:rPr>
          <w:t>—Third Supplemental Indenture, dated as of April 21, 2008, between Martin Marietta Materials, Inc. and Branch Banking and Trust Company, Inc., as</w:t>
        </w:r>
      </w:hyperlink>
      <w:r>
        <w:rPr>
          <w:rFonts w:ascii="Arial" w:cs="Arial" w:eastAsia="Arial" w:hAnsi="Arial"/>
          <w:sz w:val="17"/>
          <w:szCs w:val="17"/>
          <w:u w:val="single" w:color="auto"/>
          <w:color w:val="0000EE"/>
        </w:rPr>
        <w:t xml:space="preserve"> </w:t>
      </w:r>
      <w:hyperlink r:id="rId69">
        <w:r>
          <w:rPr>
            <w:rFonts w:ascii="Arial" w:cs="Arial" w:eastAsia="Arial" w:hAnsi="Arial"/>
            <w:sz w:val="17"/>
            <w:szCs w:val="17"/>
            <w:u w:val="single" w:color="auto"/>
            <w:color w:val="0000EE"/>
          </w:rPr>
          <w:t>trustee, to that certain Indenture dated as of April 30, 2007 between Martin Marietta Materials, Inc. and Branch Banking and Trust Company, Inc., as</w:t>
        </w:r>
      </w:hyperlink>
      <w:r>
        <w:rPr>
          <w:rFonts w:ascii="Arial" w:cs="Arial" w:eastAsia="Arial" w:hAnsi="Arial"/>
          <w:sz w:val="17"/>
          <w:szCs w:val="17"/>
          <w:u w:val="single" w:color="auto"/>
          <w:color w:val="0000EE"/>
        </w:rPr>
        <w:t xml:space="preserve"> </w:t>
      </w:r>
      <w:hyperlink r:id="rId69">
        <w:r>
          <w:rPr>
            <w:rFonts w:ascii="Arial" w:cs="Arial" w:eastAsia="Arial" w:hAnsi="Arial"/>
            <w:sz w:val="17"/>
            <w:szCs w:val="17"/>
            <w:u w:val="single" w:color="auto"/>
            <w:color w:val="0000EE"/>
          </w:rPr>
          <w:t>trustee, pursuant to which were issued $300,000,000 aggregate principal amount of 6.60% Senior Notes due 2018 of Martin Marietta Materials, Inc.</w:t>
        </w:r>
      </w:hyperlink>
      <w:r>
        <w:rPr>
          <w:rFonts w:ascii="Arial" w:cs="Arial" w:eastAsia="Arial" w:hAnsi="Arial"/>
          <w:sz w:val="17"/>
          <w:szCs w:val="17"/>
          <w:u w:val="single" w:color="auto"/>
          <w:color w:val="0000EE"/>
        </w:rPr>
        <w:t xml:space="preserve"> </w:t>
      </w:r>
      <w:hyperlink r:id="rId69">
        <w:r>
          <w:rPr>
            <w:rFonts w:ascii="Arial" w:cs="Arial" w:eastAsia="Arial" w:hAnsi="Arial"/>
            <w:sz w:val="17"/>
            <w:szCs w:val="17"/>
            <w:u w:val="single" w:color="auto"/>
            <w:color w:val="0000EE"/>
          </w:rPr>
          <w:t>(incorporated by reference to Exhibit 4.1 to the Martin Marietta Materials, Inc. Current Report on Form 8-K, filed on April 21, 2008 (Commission File</w:t>
        </w:r>
      </w:hyperlink>
      <w:r>
        <w:rPr>
          <w:rFonts w:ascii="Arial" w:cs="Arial" w:eastAsia="Arial" w:hAnsi="Arial"/>
          <w:sz w:val="17"/>
          <w:szCs w:val="17"/>
          <w:u w:val="single" w:color="auto"/>
          <w:color w:val="0000EE"/>
        </w:rPr>
        <w:t xml:space="preserve"> </w:t>
      </w:r>
      <w:hyperlink r:id="rId69">
        <w:r>
          <w:rPr>
            <w:rFonts w:ascii="Arial" w:cs="Arial" w:eastAsia="Arial" w:hAnsi="Arial"/>
            <w:sz w:val="17"/>
            <w:szCs w:val="17"/>
            <w:u w:val="single" w:color="auto"/>
            <w:color w:val="0000EE"/>
          </w:rPr>
          <w:t>No. 1-12744))</w:t>
        </w:r>
      </w:hyperlink>
    </w:p>
    <w:p>
      <w:pPr>
        <w:spacing w:after="0" w:line="75" w:lineRule="exact"/>
        <w:rPr>
          <w:rFonts w:ascii="Arial" w:cs="Arial" w:eastAsia="Arial" w:hAnsi="Arial"/>
          <w:sz w:val="17"/>
          <w:szCs w:val="17"/>
          <w:u w:val="single" w:color="auto"/>
          <w:color w:val="0000EE"/>
        </w:rPr>
      </w:pPr>
    </w:p>
    <w:p>
      <w:pPr>
        <w:ind w:left="800" w:hanging="717"/>
        <w:spacing w:after="0" w:line="270" w:lineRule="auto"/>
        <w:tabs>
          <w:tab w:leader="none" w:pos="780" w:val="left"/>
        </w:tabs>
        <w:rPr>
          <w:rFonts w:ascii="Arial" w:cs="Arial" w:eastAsia="Arial" w:hAnsi="Arial"/>
          <w:sz w:val="17"/>
          <w:szCs w:val="17"/>
          <w:u w:val="single" w:color="auto"/>
          <w:color w:val="0000EE"/>
        </w:rPr>
      </w:pPr>
      <w:r>
        <w:rPr>
          <w:rFonts w:ascii="Arial" w:cs="Arial" w:eastAsia="Arial" w:hAnsi="Arial"/>
          <w:sz w:val="17"/>
          <w:szCs w:val="17"/>
          <w:color w:val="auto"/>
        </w:rPr>
        <w:t>4.09</w:t>
      </w:r>
      <w:r>
        <w:rPr>
          <w:sz w:val="20"/>
          <w:szCs w:val="20"/>
          <w:color w:val="auto"/>
        </w:rPr>
        <w:tab/>
      </w:r>
      <w:hyperlink r:id="rId70">
        <w:r>
          <w:rPr>
            <w:rFonts w:ascii="Arial" w:cs="Arial" w:eastAsia="Arial" w:hAnsi="Arial"/>
            <w:sz w:val="17"/>
            <w:szCs w:val="17"/>
            <w:u w:val="single" w:color="auto"/>
            <w:color w:val="0000EE"/>
          </w:rPr>
          <w:t>—Purchase Agreement dated as of June 23, 2014 among Martin Marietta Materials, Inc. and Deutsche Bank Securities Inc. and J.P. Morgan Securities</w:t>
        </w:r>
      </w:hyperlink>
      <w:r>
        <w:rPr>
          <w:rFonts w:ascii="Arial" w:cs="Arial" w:eastAsia="Arial" w:hAnsi="Arial"/>
          <w:sz w:val="17"/>
          <w:szCs w:val="17"/>
          <w:u w:val="single" w:color="auto"/>
          <w:color w:val="0000EE"/>
        </w:rPr>
        <w:t xml:space="preserve"> </w:t>
      </w:r>
      <w:hyperlink r:id="rId70">
        <w:r>
          <w:rPr>
            <w:rFonts w:ascii="Arial" w:cs="Arial" w:eastAsia="Arial" w:hAnsi="Arial"/>
            <w:sz w:val="17"/>
            <w:szCs w:val="17"/>
            <w:u w:val="single" w:color="auto"/>
            <w:color w:val="0000EE"/>
          </w:rPr>
          <w:t>LLC, as representatives of the several initial purchasers named in Schedule 1 thereto (incorporated by reference to Exhibit 4.1 of the Company’s Current</w:t>
        </w:r>
      </w:hyperlink>
      <w:r>
        <w:rPr>
          <w:rFonts w:ascii="Arial" w:cs="Arial" w:eastAsia="Arial" w:hAnsi="Arial"/>
          <w:sz w:val="17"/>
          <w:szCs w:val="17"/>
          <w:u w:val="single" w:color="auto"/>
          <w:color w:val="0000EE"/>
        </w:rPr>
        <w:t xml:space="preserve"> </w:t>
      </w:r>
      <w:hyperlink r:id="rId70">
        <w:r>
          <w:rPr>
            <w:rFonts w:ascii="Arial" w:cs="Arial" w:eastAsia="Arial" w:hAnsi="Arial"/>
            <w:sz w:val="17"/>
            <w:szCs w:val="17"/>
            <w:u w:val="single" w:color="auto"/>
            <w:color w:val="0000EE"/>
          </w:rPr>
          <w:t>Report on Form 8-K, filed on June 24, 2014) (Commission File No. 1-12744)</w:t>
        </w:r>
      </w:hyperlink>
    </w:p>
    <w:p>
      <w:pPr>
        <w:sectPr>
          <w:pgSz w:w="11900" w:h="16838" w:orient="portrait"/>
          <w:cols w:equalWidth="0" w:num="1">
            <w:col w:w="11420"/>
          </w:cols>
          <w:pgMar w:left="240" w:top="446" w:right="239" w:bottom="1440" w:gutter="0" w:footer="0" w:header="0"/>
        </w:sectPr>
      </w:pPr>
    </w:p>
    <w:bookmarkStart w:id="51" w:name="page52"/>
    <w:bookmarkEnd w:id="5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7" w:lineRule="exact"/>
        <w:rPr>
          <w:sz w:val="20"/>
          <w:szCs w:val="20"/>
          <w:color w:val="auto"/>
        </w:rPr>
      </w:pPr>
    </w:p>
    <w:p>
      <w:pPr>
        <w:ind w:left="800" w:right="40" w:hanging="717"/>
        <w:spacing w:after="0" w:line="285" w:lineRule="auto"/>
        <w:tabs>
          <w:tab w:leader="none" w:pos="780" w:val="left"/>
        </w:tabs>
        <w:rPr>
          <w:rFonts w:ascii="Arial" w:cs="Arial" w:eastAsia="Arial" w:hAnsi="Arial"/>
          <w:sz w:val="17"/>
          <w:szCs w:val="17"/>
          <w:u w:val="single" w:color="auto"/>
          <w:color w:val="0000EE"/>
        </w:rPr>
      </w:pPr>
      <w:r>
        <w:rPr>
          <w:rFonts w:ascii="Arial" w:cs="Arial" w:eastAsia="Arial" w:hAnsi="Arial"/>
          <w:sz w:val="17"/>
          <w:szCs w:val="17"/>
          <w:color w:val="auto"/>
        </w:rPr>
        <w:t>4.10</w:t>
      </w:r>
      <w:r>
        <w:rPr>
          <w:sz w:val="20"/>
          <w:szCs w:val="20"/>
          <w:color w:val="auto"/>
        </w:rPr>
        <w:tab/>
      </w:r>
      <w:hyperlink r:id="rId72">
        <w:r>
          <w:rPr>
            <w:rFonts w:ascii="Arial" w:cs="Arial" w:eastAsia="Arial" w:hAnsi="Arial"/>
            <w:sz w:val="17"/>
            <w:szCs w:val="17"/>
            <w:u w:val="single" w:color="auto"/>
            <w:color w:val="0000EE"/>
          </w:rPr>
          <w:t>—Indenture, dated as of July 2, 2014, between Martin Marietta Materials, Inc. and Regions Bank, as trustee (incorporated by reference to Exhibit 4.1 of</w:t>
        </w:r>
      </w:hyperlink>
      <w:r>
        <w:rPr>
          <w:rFonts w:ascii="Arial" w:cs="Arial" w:eastAsia="Arial" w:hAnsi="Arial"/>
          <w:sz w:val="17"/>
          <w:szCs w:val="17"/>
          <w:u w:val="single" w:color="auto"/>
          <w:color w:val="0000EE"/>
        </w:rPr>
        <w:t xml:space="preserve"> </w:t>
      </w:r>
      <w:hyperlink r:id="rId72">
        <w:r>
          <w:rPr>
            <w:rFonts w:ascii="Arial" w:cs="Arial" w:eastAsia="Arial" w:hAnsi="Arial"/>
            <w:sz w:val="17"/>
            <w:szCs w:val="17"/>
            <w:u w:val="single" w:color="auto"/>
            <w:color w:val="0000EE"/>
          </w:rPr>
          <w:t>the Company’s Current Report on Form 8-K, filed on July 2, 2014) (Commission File No. 1-12744)</w:t>
        </w:r>
      </w:hyperlink>
    </w:p>
    <w:p>
      <w:pPr>
        <w:spacing w:after="0" w:line="55" w:lineRule="exact"/>
        <w:rPr>
          <w:sz w:val="20"/>
          <w:szCs w:val="20"/>
          <w:color w:val="auto"/>
        </w:rPr>
      </w:pPr>
    </w:p>
    <w:p>
      <w:pPr>
        <w:ind w:left="100"/>
        <w:spacing w:after="0"/>
        <w:tabs>
          <w:tab w:leader="none" w:pos="780" w:val="left"/>
        </w:tabs>
        <w:rPr>
          <w:rFonts w:ascii="Arial" w:cs="Arial" w:eastAsia="Arial" w:hAnsi="Arial"/>
          <w:sz w:val="16"/>
          <w:szCs w:val="16"/>
          <w:u w:val="single" w:color="auto"/>
          <w:color w:val="0000EE"/>
        </w:rPr>
      </w:pPr>
      <w:r>
        <w:rPr>
          <w:rFonts w:ascii="Arial" w:cs="Arial" w:eastAsia="Arial" w:hAnsi="Arial"/>
          <w:sz w:val="17"/>
          <w:szCs w:val="17"/>
          <w:color w:val="auto"/>
        </w:rPr>
        <w:t>4.11</w:t>
      </w:r>
      <w:r>
        <w:rPr>
          <w:sz w:val="20"/>
          <w:szCs w:val="20"/>
          <w:color w:val="auto"/>
        </w:rPr>
        <w:tab/>
      </w:r>
      <w:hyperlink r:id="rId70">
        <w:r>
          <w:rPr>
            <w:rFonts w:ascii="Arial" w:cs="Arial" w:eastAsia="Arial" w:hAnsi="Arial"/>
            <w:sz w:val="16"/>
            <w:szCs w:val="16"/>
            <w:u w:val="single" w:color="auto"/>
            <w:color w:val="0000EE"/>
          </w:rPr>
          <w:t>—Form of 4.250% Senior Notes due 2024 (included in Exhibit 4.09)</w:t>
        </w:r>
      </w:hyperlink>
    </w:p>
    <w:p>
      <w:pPr>
        <w:spacing w:after="0" w:line="116" w:lineRule="exact"/>
        <w:rPr>
          <w:sz w:val="20"/>
          <w:szCs w:val="20"/>
          <w:color w:val="auto"/>
        </w:rPr>
      </w:pPr>
    </w:p>
    <w:p>
      <w:pPr>
        <w:ind w:left="800" w:right="120" w:hanging="717"/>
        <w:spacing w:after="0" w:line="285" w:lineRule="auto"/>
        <w:tabs>
          <w:tab w:leader="none" w:pos="780" w:val="left"/>
        </w:tabs>
        <w:rPr>
          <w:rFonts w:ascii="Arial" w:cs="Arial" w:eastAsia="Arial" w:hAnsi="Arial"/>
          <w:sz w:val="17"/>
          <w:szCs w:val="17"/>
          <w:u w:val="single" w:color="auto"/>
          <w:color w:val="0000EE"/>
        </w:rPr>
      </w:pPr>
      <w:r>
        <w:rPr>
          <w:rFonts w:ascii="Arial" w:cs="Arial" w:eastAsia="Arial" w:hAnsi="Arial"/>
          <w:sz w:val="17"/>
          <w:szCs w:val="17"/>
          <w:color w:val="auto"/>
        </w:rPr>
        <w:t>4.12</w:t>
      </w:r>
      <w:r>
        <w:rPr>
          <w:sz w:val="20"/>
          <w:szCs w:val="20"/>
          <w:color w:val="auto"/>
        </w:rPr>
        <w:tab/>
      </w:r>
      <w:hyperlink r:id="rId73">
        <w:r>
          <w:rPr>
            <w:rFonts w:ascii="Arial" w:cs="Arial" w:eastAsia="Arial" w:hAnsi="Arial"/>
            <w:sz w:val="17"/>
            <w:szCs w:val="17"/>
            <w:u w:val="single" w:color="auto"/>
            <w:color w:val="0000EE"/>
          </w:rPr>
          <w:t>—Indenture, dated as of May 22, 2017, between Martin Marietta Materials, Inc. and Regions Bank, as trustee (incorporated by reference to Exhibit 4.1</w:t>
        </w:r>
      </w:hyperlink>
      <w:r>
        <w:rPr>
          <w:rFonts w:ascii="Arial" w:cs="Arial" w:eastAsia="Arial" w:hAnsi="Arial"/>
          <w:sz w:val="17"/>
          <w:szCs w:val="17"/>
          <w:u w:val="single" w:color="auto"/>
          <w:color w:val="0000EE"/>
        </w:rPr>
        <w:t xml:space="preserve"> </w:t>
      </w:r>
      <w:hyperlink r:id="rId73">
        <w:r>
          <w:rPr>
            <w:rFonts w:ascii="Arial" w:cs="Arial" w:eastAsia="Arial" w:hAnsi="Arial"/>
            <w:sz w:val="17"/>
            <w:szCs w:val="17"/>
            <w:u w:val="single" w:color="auto"/>
            <w:color w:val="0000EE"/>
          </w:rPr>
          <w:t>of the Company’s Current Report on Form 8-K, filed on May 22, 2017) (Commission File No. 1-12744)</w:t>
        </w:r>
      </w:hyperlink>
    </w:p>
    <w:p>
      <w:pPr>
        <w:spacing w:after="0" w:line="55" w:lineRule="exact"/>
        <w:rPr>
          <w:sz w:val="20"/>
          <w:szCs w:val="20"/>
          <w:color w:val="auto"/>
        </w:rPr>
      </w:pPr>
    </w:p>
    <w:p>
      <w:pPr>
        <w:ind w:left="800" w:right="20" w:hanging="717"/>
        <w:spacing w:after="0" w:line="265" w:lineRule="auto"/>
        <w:tabs>
          <w:tab w:leader="none" w:pos="780" w:val="left"/>
        </w:tabs>
        <w:rPr>
          <w:rFonts w:ascii="Arial" w:cs="Arial" w:eastAsia="Arial" w:hAnsi="Arial"/>
          <w:sz w:val="17"/>
          <w:szCs w:val="17"/>
          <w:u w:val="single" w:color="auto"/>
          <w:color w:val="0000EE"/>
        </w:rPr>
      </w:pPr>
      <w:r>
        <w:rPr>
          <w:rFonts w:ascii="Arial" w:cs="Arial" w:eastAsia="Arial" w:hAnsi="Arial"/>
          <w:sz w:val="17"/>
          <w:szCs w:val="17"/>
          <w:color w:val="auto"/>
        </w:rPr>
        <w:t>4.13</w:t>
      </w:r>
      <w:r>
        <w:rPr>
          <w:sz w:val="20"/>
          <w:szCs w:val="20"/>
          <w:color w:val="auto"/>
        </w:rPr>
        <w:tab/>
      </w:r>
      <w:hyperlink r:id="rId74">
        <w:r>
          <w:rPr>
            <w:rFonts w:ascii="Arial" w:cs="Arial" w:eastAsia="Arial" w:hAnsi="Arial"/>
            <w:sz w:val="17"/>
            <w:szCs w:val="17"/>
            <w:u w:val="single" w:color="auto"/>
            <w:color w:val="0000EE"/>
          </w:rPr>
          <w:t>—First Supplemental Indenture, dated as of May 22, 2017, between Martin Marietta Materials, Inc. and Regions Bank, as trustee, governing the Senior</w:t>
        </w:r>
      </w:hyperlink>
      <w:r>
        <w:rPr>
          <w:rFonts w:ascii="Arial" w:cs="Arial" w:eastAsia="Arial" w:hAnsi="Arial"/>
          <w:sz w:val="17"/>
          <w:szCs w:val="17"/>
          <w:u w:val="single" w:color="auto"/>
          <w:color w:val="0000EE"/>
        </w:rPr>
        <w:t xml:space="preserve"> </w:t>
      </w:r>
      <w:hyperlink r:id="rId74">
        <w:r>
          <w:rPr>
            <w:rFonts w:ascii="Arial" w:cs="Arial" w:eastAsia="Arial" w:hAnsi="Arial"/>
            <w:sz w:val="17"/>
            <w:szCs w:val="17"/>
            <w:u w:val="single" w:color="auto"/>
            <w:color w:val="0000EE"/>
          </w:rPr>
          <w:t>Notes issued by the Company on May 22, 2017, in the form of the $300 million aggregate principal amount of Floating Rate Senior Notes due 2020 and</w:t>
        </w:r>
      </w:hyperlink>
      <w:r>
        <w:rPr>
          <w:rFonts w:ascii="Arial" w:cs="Arial" w:eastAsia="Arial" w:hAnsi="Arial"/>
          <w:sz w:val="17"/>
          <w:szCs w:val="17"/>
          <w:u w:val="single" w:color="auto"/>
          <w:color w:val="0000EE"/>
        </w:rPr>
        <w:t xml:space="preserve"> </w:t>
      </w:r>
      <w:hyperlink r:id="rId74">
        <w:r>
          <w:rPr>
            <w:rFonts w:ascii="Arial" w:cs="Arial" w:eastAsia="Arial" w:hAnsi="Arial"/>
            <w:sz w:val="17"/>
            <w:szCs w:val="17"/>
            <w:u w:val="single" w:color="auto"/>
            <w:color w:val="0000EE"/>
          </w:rPr>
          <w:t>$300 million aggregate principal amount of 3.450% Senior Notes due 2027 (incorporated by reference to Exhibit 4.2 to the Martin Marietta Materials,</w:t>
        </w:r>
      </w:hyperlink>
      <w:r>
        <w:rPr>
          <w:rFonts w:ascii="Arial" w:cs="Arial" w:eastAsia="Arial" w:hAnsi="Arial"/>
          <w:sz w:val="17"/>
          <w:szCs w:val="17"/>
          <w:u w:val="single" w:color="auto"/>
          <w:color w:val="0000EE"/>
        </w:rPr>
        <w:t xml:space="preserve"> </w:t>
      </w:r>
      <w:hyperlink r:id="rId74">
        <w:r>
          <w:rPr>
            <w:rFonts w:ascii="Arial" w:cs="Arial" w:eastAsia="Arial" w:hAnsi="Arial"/>
            <w:sz w:val="17"/>
            <w:szCs w:val="17"/>
            <w:u w:val="single" w:color="auto"/>
            <w:color w:val="0000EE"/>
          </w:rPr>
          <w:t>Inc. Current Report on Form 8-K, filed on May 22, 2017 (Commission File No. 1-12744))</w:t>
        </w:r>
      </w:hyperlink>
    </w:p>
    <w:p>
      <w:pPr>
        <w:spacing w:after="0" w:line="71" w:lineRule="exact"/>
        <w:rPr>
          <w:rFonts w:ascii="Arial" w:cs="Arial" w:eastAsia="Arial" w:hAnsi="Arial"/>
          <w:sz w:val="17"/>
          <w:szCs w:val="17"/>
          <w:u w:val="single" w:color="auto"/>
          <w:color w:val="0000EE"/>
        </w:rPr>
      </w:pPr>
    </w:p>
    <w:p>
      <w:pPr>
        <w:ind w:left="100"/>
        <w:spacing w:after="0"/>
        <w:tabs>
          <w:tab w:leader="none" w:pos="780" w:val="left"/>
        </w:tabs>
        <w:rPr>
          <w:rFonts w:ascii="Arial" w:cs="Arial" w:eastAsia="Arial" w:hAnsi="Arial"/>
          <w:sz w:val="15"/>
          <w:szCs w:val="15"/>
          <w:u w:val="single" w:color="auto"/>
          <w:color w:val="0000EE"/>
        </w:rPr>
      </w:pPr>
      <w:r>
        <w:rPr>
          <w:rFonts w:ascii="Arial" w:cs="Arial" w:eastAsia="Arial" w:hAnsi="Arial"/>
          <w:sz w:val="17"/>
          <w:szCs w:val="17"/>
          <w:color w:val="auto"/>
        </w:rPr>
        <w:t>4.14</w:t>
      </w:r>
      <w:r>
        <w:rPr>
          <w:sz w:val="20"/>
          <w:szCs w:val="20"/>
          <w:color w:val="auto"/>
        </w:rPr>
        <w:tab/>
      </w:r>
      <w:hyperlink r:id="rId74">
        <w:r>
          <w:rPr>
            <w:rFonts w:ascii="Arial" w:cs="Arial" w:eastAsia="Arial" w:hAnsi="Arial"/>
            <w:sz w:val="15"/>
            <w:szCs w:val="15"/>
            <w:u w:val="single" w:color="auto"/>
            <w:color w:val="0000EE"/>
          </w:rPr>
          <w:t>—Form of Floating Rate Senior Notes due 2020 (included in Exhibit 4.13)</w:t>
        </w:r>
      </w:hyperlink>
    </w:p>
    <w:p>
      <w:pPr>
        <w:spacing w:after="0" w:line="116" w:lineRule="exact"/>
        <w:rPr>
          <w:rFonts w:ascii="Arial" w:cs="Arial" w:eastAsia="Arial" w:hAnsi="Arial"/>
          <w:sz w:val="17"/>
          <w:szCs w:val="17"/>
          <w:u w:val="single" w:color="auto"/>
          <w:color w:val="0000EE"/>
        </w:rPr>
      </w:pPr>
    </w:p>
    <w:p>
      <w:pPr>
        <w:ind w:left="800" w:hanging="717"/>
        <w:spacing w:after="0" w:line="262" w:lineRule="auto"/>
        <w:tabs>
          <w:tab w:leader="none" w:pos="780" w:val="left"/>
        </w:tabs>
        <w:rPr>
          <w:rFonts w:ascii="Arial" w:cs="Arial" w:eastAsia="Arial" w:hAnsi="Arial"/>
          <w:sz w:val="17"/>
          <w:szCs w:val="17"/>
          <w:u w:val="single" w:color="auto"/>
          <w:color w:val="0000EE"/>
        </w:rPr>
      </w:pPr>
      <w:r>
        <w:rPr>
          <w:rFonts w:ascii="Arial" w:cs="Arial" w:eastAsia="Arial" w:hAnsi="Arial"/>
          <w:sz w:val="17"/>
          <w:szCs w:val="17"/>
          <w:color w:val="auto"/>
        </w:rPr>
        <w:t>4.15</w:t>
      </w:r>
      <w:r>
        <w:rPr>
          <w:sz w:val="20"/>
          <w:szCs w:val="20"/>
          <w:color w:val="auto"/>
        </w:rPr>
        <w:tab/>
      </w:r>
      <w:hyperlink r:id="rId75">
        <w:r>
          <w:rPr>
            <w:rFonts w:ascii="Arial" w:cs="Arial" w:eastAsia="Arial" w:hAnsi="Arial"/>
            <w:sz w:val="17"/>
            <w:szCs w:val="17"/>
            <w:u w:val="single" w:color="auto"/>
            <w:color w:val="0000EE"/>
          </w:rPr>
          <w:t>—Second Supplemental Indenture, dated as of December 20, 2017, between Martin Marietta Materials, Inc. and Regions Bank, as trustee, governing the</w:t>
        </w:r>
      </w:hyperlink>
      <w:r>
        <w:rPr>
          <w:rFonts w:ascii="Arial" w:cs="Arial" w:eastAsia="Arial" w:hAnsi="Arial"/>
          <w:sz w:val="17"/>
          <w:szCs w:val="17"/>
          <w:u w:val="single" w:color="auto"/>
          <w:color w:val="0000EE"/>
        </w:rPr>
        <w:t xml:space="preserve"> </w:t>
      </w:r>
      <w:hyperlink r:id="rId75">
        <w:r>
          <w:rPr>
            <w:rFonts w:ascii="Arial" w:cs="Arial" w:eastAsia="Arial" w:hAnsi="Arial"/>
            <w:sz w:val="17"/>
            <w:szCs w:val="17"/>
            <w:u w:val="single" w:color="auto"/>
            <w:color w:val="0000EE"/>
          </w:rPr>
          <w:t>Senior Notes issued by the Company on December 20, 2017, in the form of the $300 million aggregate principal amount of Floating Rate Senior Notes</w:t>
        </w:r>
      </w:hyperlink>
      <w:r>
        <w:rPr>
          <w:rFonts w:ascii="Arial" w:cs="Arial" w:eastAsia="Arial" w:hAnsi="Arial"/>
          <w:sz w:val="17"/>
          <w:szCs w:val="17"/>
          <w:u w:val="single" w:color="auto"/>
          <w:color w:val="0000EE"/>
        </w:rPr>
        <w:t xml:space="preserve"> </w:t>
      </w:r>
      <w:hyperlink r:id="rId75">
        <w:r>
          <w:rPr>
            <w:rFonts w:ascii="Arial" w:cs="Arial" w:eastAsia="Arial" w:hAnsi="Arial"/>
            <w:sz w:val="17"/>
            <w:szCs w:val="17"/>
            <w:u w:val="single" w:color="auto"/>
            <w:color w:val="0000EE"/>
          </w:rPr>
          <w:t>due 2019, $500 million aggregate principal amount of 3.500% Senior Notes due 2027, and $600 million aggregate principal amount of 4.250% Senior</w:t>
        </w:r>
      </w:hyperlink>
      <w:r>
        <w:rPr>
          <w:rFonts w:ascii="Arial" w:cs="Arial" w:eastAsia="Arial" w:hAnsi="Arial"/>
          <w:sz w:val="17"/>
          <w:szCs w:val="17"/>
          <w:u w:val="single" w:color="auto"/>
          <w:color w:val="0000EE"/>
        </w:rPr>
        <w:t xml:space="preserve"> </w:t>
      </w:r>
      <w:hyperlink r:id="rId75">
        <w:r>
          <w:rPr>
            <w:rFonts w:ascii="Arial" w:cs="Arial" w:eastAsia="Arial" w:hAnsi="Arial"/>
            <w:sz w:val="17"/>
            <w:szCs w:val="17"/>
            <w:u w:val="single" w:color="auto"/>
            <w:color w:val="0000EE"/>
          </w:rPr>
          <w:t>Notes due 2047 (incorporated by reference to Exhibit 4.2 to the Martin Marietta Materials, Inc. Current Report on Form 8-K, filed on December 20,</w:t>
        </w:r>
      </w:hyperlink>
      <w:r>
        <w:rPr>
          <w:rFonts w:ascii="Arial" w:cs="Arial" w:eastAsia="Arial" w:hAnsi="Arial"/>
          <w:sz w:val="17"/>
          <w:szCs w:val="17"/>
          <w:u w:val="single" w:color="auto"/>
          <w:color w:val="0000EE"/>
        </w:rPr>
        <w:t xml:space="preserve"> </w:t>
      </w:r>
      <w:hyperlink r:id="rId75">
        <w:r>
          <w:rPr>
            <w:rFonts w:ascii="Arial" w:cs="Arial" w:eastAsia="Arial" w:hAnsi="Arial"/>
            <w:sz w:val="17"/>
            <w:szCs w:val="17"/>
            <w:u w:val="single" w:color="auto"/>
            <w:color w:val="0000EE"/>
          </w:rPr>
          <w:t>2017 (Commission File No. 1-12744))</w:t>
        </w:r>
      </w:hyperlink>
    </w:p>
    <w:p>
      <w:pPr>
        <w:spacing w:after="0" w:line="75" w:lineRule="exact"/>
        <w:rPr>
          <w:rFonts w:ascii="Arial" w:cs="Arial" w:eastAsia="Arial" w:hAnsi="Arial"/>
          <w:sz w:val="17"/>
          <w:szCs w:val="17"/>
          <w:u w:val="single" w:color="auto"/>
          <w:color w:val="0000EE"/>
        </w:rPr>
      </w:pPr>
    </w:p>
    <w:p>
      <w:pPr>
        <w:ind w:left="100"/>
        <w:spacing w:after="0"/>
        <w:tabs>
          <w:tab w:leader="none" w:pos="780" w:val="left"/>
        </w:tabs>
        <w:rPr>
          <w:rFonts w:ascii="Arial" w:cs="Arial" w:eastAsia="Arial" w:hAnsi="Arial"/>
          <w:sz w:val="15"/>
          <w:szCs w:val="15"/>
          <w:u w:val="single" w:color="auto"/>
          <w:color w:val="0000EE"/>
        </w:rPr>
      </w:pPr>
      <w:r>
        <w:rPr>
          <w:rFonts w:ascii="Arial" w:cs="Arial" w:eastAsia="Arial" w:hAnsi="Arial"/>
          <w:sz w:val="17"/>
          <w:szCs w:val="17"/>
          <w:color w:val="auto"/>
        </w:rPr>
        <w:t>4.16</w:t>
      </w:r>
      <w:r>
        <w:rPr>
          <w:sz w:val="20"/>
          <w:szCs w:val="20"/>
          <w:color w:val="auto"/>
        </w:rPr>
        <w:tab/>
      </w:r>
      <w:hyperlink r:id="rId75">
        <w:r>
          <w:rPr>
            <w:rFonts w:ascii="Arial" w:cs="Arial" w:eastAsia="Arial" w:hAnsi="Arial"/>
            <w:sz w:val="15"/>
            <w:szCs w:val="15"/>
            <w:u w:val="single" w:color="auto"/>
            <w:color w:val="0000EE"/>
          </w:rPr>
          <w:t>—Form of Floating Rate Senior Notes due 2019 (included in Exhibit 4.15)</w:t>
        </w:r>
      </w:hyperlink>
    </w:p>
    <w:p>
      <w:pPr>
        <w:spacing w:after="0" w:line="116" w:lineRule="exact"/>
        <w:rPr>
          <w:rFonts w:ascii="Arial" w:cs="Arial" w:eastAsia="Arial" w:hAnsi="Arial"/>
          <w:sz w:val="17"/>
          <w:szCs w:val="17"/>
          <w:u w:val="single" w:color="auto"/>
          <w:color w:val="0000EE"/>
        </w:rPr>
      </w:pPr>
    </w:p>
    <w:p>
      <w:pPr>
        <w:ind w:left="100"/>
        <w:spacing w:after="0"/>
        <w:tabs>
          <w:tab w:leader="none" w:pos="780" w:val="left"/>
        </w:tabs>
        <w:rPr>
          <w:rFonts w:ascii="Arial" w:cs="Arial" w:eastAsia="Arial" w:hAnsi="Arial"/>
          <w:sz w:val="16"/>
          <w:szCs w:val="16"/>
          <w:u w:val="single" w:color="auto"/>
          <w:color w:val="0000EE"/>
        </w:rPr>
      </w:pPr>
      <w:r>
        <w:rPr>
          <w:rFonts w:ascii="Arial" w:cs="Arial" w:eastAsia="Arial" w:hAnsi="Arial"/>
          <w:sz w:val="17"/>
          <w:szCs w:val="17"/>
          <w:color w:val="auto"/>
        </w:rPr>
        <w:t>4.17</w:t>
      </w:r>
      <w:r>
        <w:rPr>
          <w:sz w:val="20"/>
          <w:szCs w:val="20"/>
          <w:color w:val="auto"/>
        </w:rPr>
        <w:tab/>
      </w:r>
      <w:hyperlink r:id="rId75">
        <w:r>
          <w:rPr>
            <w:rFonts w:ascii="Arial" w:cs="Arial" w:eastAsia="Arial" w:hAnsi="Arial"/>
            <w:sz w:val="16"/>
            <w:szCs w:val="16"/>
            <w:u w:val="single" w:color="auto"/>
            <w:color w:val="0000EE"/>
          </w:rPr>
          <w:t>—Form of 3.500% Senior Notes due 2027 (included in Exhibit 4.15)</w:t>
        </w:r>
      </w:hyperlink>
    </w:p>
    <w:p>
      <w:pPr>
        <w:spacing w:after="0" w:line="116" w:lineRule="exact"/>
        <w:rPr>
          <w:rFonts w:ascii="Arial" w:cs="Arial" w:eastAsia="Arial" w:hAnsi="Arial"/>
          <w:sz w:val="17"/>
          <w:szCs w:val="17"/>
          <w:u w:val="single" w:color="auto"/>
          <w:color w:val="0000EE"/>
        </w:rPr>
      </w:pPr>
    </w:p>
    <w:p>
      <w:pPr>
        <w:ind w:left="100"/>
        <w:spacing w:after="0"/>
        <w:tabs>
          <w:tab w:leader="none" w:pos="780" w:val="left"/>
        </w:tabs>
        <w:rPr>
          <w:rFonts w:ascii="Arial" w:cs="Arial" w:eastAsia="Arial" w:hAnsi="Arial"/>
          <w:sz w:val="16"/>
          <w:szCs w:val="16"/>
          <w:u w:val="single" w:color="auto"/>
          <w:color w:val="0000EE"/>
        </w:rPr>
      </w:pPr>
      <w:r>
        <w:rPr>
          <w:rFonts w:ascii="Arial" w:cs="Arial" w:eastAsia="Arial" w:hAnsi="Arial"/>
          <w:sz w:val="17"/>
          <w:szCs w:val="17"/>
          <w:color w:val="auto"/>
        </w:rPr>
        <w:t>4.18</w:t>
      </w:r>
      <w:r>
        <w:rPr>
          <w:sz w:val="20"/>
          <w:szCs w:val="20"/>
          <w:color w:val="auto"/>
        </w:rPr>
        <w:tab/>
      </w:r>
      <w:hyperlink r:id="rId75">
        <w:r>
          <w:rPr>
            <w:rFonts w:ascii="Arial" w:cs="Arial" w:eastAsia="Arial" w:hAnsi="Arial"/>
            <w:sz w:val="16"/>
            <w:szCs w:val="16"/>
            <w:u w:val="single" w:color="auto"/>
            <w:color w:val="0000EE"/>
          </w:rPr>
          <w:t>—Form of 4.250% Senior Notes due 2047 (included in Exhibit 4.15)</w:t>
        </w:r>
      </w:hyperlink>
    </w:p>
    <w:p>
      <w:pPr>
        <w:spacing w:after="0" w:line="116" w:lineRule="exact"/>
        <w:rPr>
          <w:rFonts w:ascii="Arial" w:cs="Arial" w:eastAsia="Arial" w:hAnsi="Arial"/>
          <w:sz w:val="17"/>
          <w:szCs w:val="17"/>
          <w:u w:val="single" w:color="auto"/>
          <w:color w:val="0000EE"/>
        </w:rPr>
      </w:pPr>
    </w:p>
    <w:p>
      <w:pPr>
        <w:ind w:left="800" w:right="640" w:hanging="804"/>
        <w:spacing w:after="0" w:line="265" w:lineRule="auto"/>
        <w:tabs>
          <w:tab w:leader="none" w:pos="780" w:val="left"/>
        </w:tabs>
        <w:rPr>
          <w:rFonts w:ascii="Arial" w:cs="Arial" w:eastAsia="Arial" w:hAnsi="Arial"/>
          <w:sz w:val="17"/>
          <w:szCs w:val="17"/>
          <w:u w:val="single" w:color="auto"/>
          <w:color w:val="0000EE"/>
        </w:rPr>
      </w:pPr>
      <w:r>
        <w:rPr>
          <w:rFonts w:ascii="Arial" w:cs="Arial" w:eastAsia="Arial" w:hAnsi="Arial"/>
          <w:sz w:val="17"/>
          <w:szCs w:val="17"/>
          <w:color w:val="auto"/>
        </w:rPr>
        <w:t>10.01</w:t>
      </w:r>
      <w:r>
        <w:rPr>
          <w:sz w:val="20"/>
          <w:szCs w:val="20"/>
          <w:color w:val="auto"/>
        </w:rPr>
        <w:tab/>
      </w:r>
      <w:hyperlink r:id="rId76">
        <w:r>
          <w:rPr>
            <w:rFonts w:ascii="Arial" w:cs="Arial" w:eastAsia="Arial" w:hAnsi="Arial"/>
            <w:sz w:val="17"/>
            <w:szCs w:val="17"/>
            <w:u w:val="single" w:color="auto"/>
            <w:color w:val="0000EE"/>
          </w:rPr>
          <w:t>—$700,000,000 Credit Agreement dated as of December 5, 2016 among Martin Marietta Materials, Inc., JPMorgan Chase Bank, N.A., as</w:t>
        </w:r>
      </w:hyperlink>
      <w:r>
        <w:rPr>
          <w:rFonts w:ascii="Arial" w:cs="Arial" w:eastAsia="Arial" w:hAnsi="Arial"/>
          <w:sz w:val="17"/>
          <w:szCs w:val="17"/>
          <w:u w:val="single" w:color="auto"/>
          <w:color w:val="0000EE"/>
        </w:rPr>
        <w:t xml:space="preserve"> </w:t>
      </w:r>
      <w:hyperlink r:id="rId76">
        <w:r>
          <w:rPr>
            <w:rFonts w:ascii="Arial" w:cs="Arial" w:eastAsia="Arial" w:hAnsi="Arial"/>
            <w:sz w:val="17"/>
            <w:szCs w:val="17"/>
            <w:u w:val="single" w:color="auto"/>
            <w:color w:val="0000EE"/>
          </w:rPr>
          <w:t>Administrative Agent, and Wells Fargo Bank, N.A., Branch Banking and Trust Company, SunTrust Bank, and Deutsche Bank Securities Inc., as</w:t>
        </w:r>
      </w:hyperlink>
      <w:r>
        <w:rPr>
          <w:rFonts w:ascii="Arial" w:cs="Arial" w:eastAsia="Arial" w:hAnsi="Arial"/>
          <w:sz w:val="17"/>
          <w:szCs w:val="17"/>
          <w:u w:val="single" w:color="auto"/>
          <w:color w:val="0000EE"/>
        </w:rPr>
        <w:t xml:space="preserve"> </w:t>
      </w:r>
      <w:hyperlink r:id="rId76">
        <w:r>
          <w:rPr>
            <w:rFonts w:ascii="Arial" w:cs="Arial" w:eastAsia="Arial" w:hAnsi="Arial"/>
            <w:sz w:val="17"/>
            <w:szCs w:val="17"/>
            <w:u w:val="single" w:color="auto"/>
            <w:color w:val="0000EE"/>
          </w:rPr>
          <w:t>Co-Syndication Agents (incorporated by reference to Exhibit 10.01 to the Martin Marietta Materials, Inc., Current Report on Form 8-K filed on</w:t>
        </w:r>
      </w:hyperlink>
      <w:r>
        <w:rPr>
          <w:rFonts w:ascii="Arial" w:cs="Arial" w:eastAsia="Arial" w:hAnsi="Arial"/>
          <w:sz w:val="17"/>
          <w:szCs w:val="17"/>
          <w:u w:val="single" w:color="auto"/>
          <w:color w:val="0000EE"/>
        </w:rPr>
        <w:t xml:space="preserve"> </w:t>
      </w:r>
      <w:hyperlink r:id="rId76">
        <w:r>
          <w:rPr>
            <w:rFonts w:ascii="Arial" w:cs="Arial" w:eastAsia="Arial" w:hAnsi="Arial"/>
            <w:sz w:val="17"/>
            <w:szCs w:val="17"/>
            <w:u w:val="single" w:color="auto"/>
            <w:color w:val="0000EE"/>
          </w:rPr>
          <w:t>December 7, 2016) (Commission File No. 1-12744)</w:t>
        </w:r>
      </w:hyperlink>
    </w:p>
    <w:p>
      <w:pPr>
        <w:spacing w:after="0" w:line="71" w:lineRule="exact"/>
        <w:rPr>
          <w:rFonts w:ascii="Arial" w:cs="Arial" w:eastAsia="Arial" w:hAnsi="Arial"/>
          <w:sz w:val="17"/>
          <w:szCs w:val="17"/>
          <w:u w:val="single" w:color="auto"/>
          <w:color w:val="0000EE"/>
        </w:rPr>
      </w:pPr>
    </w:p>
    <w:p>
      <w:pPr>
        <w:ind w:left="800" w:right="20" w:hanging="804"/>
        <w:spacing w:after="0" w:line="265" w:lineRule="auto"/>
        <w:tabs>
          <w:tab w:leader="none" w:pos="780" w:val="left"/>
        </w:tabs>
        <w:rPr>
          <w:rFonts w:ascii="Arial" w:cs="Arial" w:eastAsia="Arial" w:hAnsi="Arial"/>
          <w:sz w:val="17"/>
          <w:szCs w:val="17"/>
          <w:u w:val="single" w:color="auto"/>
          <w:color w:val="0000EE"/>
        </w:rPr>
      </w:pPr>
      <w:r>
        <w:rPr>
          <w:rFonts w:ascii="Arial" w:cs="Arial" w:eastAsia="Arial" w:hAnsi="Arial"/>
          <w:sz w:val="17"/>
          <w:szCs w:val="17"/>
          <w:color w:val="auto"/>
        </w:rPr>
        <w:t>10.02</w:t>
      </w:r>
      <w:r>
        <w:rPr>
          <w:sz w:val="20"/>
          <w:szCs w:val="20"/>
          <w:color w:val="auto"/>
        </w:rPr>
        <w:tab/>
      </w:r>
      <w:hyperlink r:id="rId77">
        <w:r>
          <w:rPr>
            <w:rFonts w:ascii="Arial" w:cs="Arial" w:eastAsia="Arial" w:hAnsi="Arial"/>
            <w:sz w:val="17"/>
            <w:szCs w:val="17"/>
            <w:u w:val="single" w:color="auto"/>
            <w:color w:val="0000EE"/>
          </w:rPr>
          <w:t>— Credit and Security Agreement dated as of April 19, 2013, among Martin Marietta Funding LLC, as borrower, Martin Marietta Materials, Inc., as</w:t>
        </w:r>
      </w:hyperlink>
      <w:r>
        <w:rPr>
          <w:rFonts w:ascii="Arial" w:cs="Arial" w:eastAsia="Arial" w:hAnsi="Arial"/>
          <w:sz w:val="17"/>
          <w:szCs w:val="17"/>
          <w:u w:val="single" w:color="auto"/>
          <w:color w:val="0000EE"/>
        </w:rPr>
        <w:t xml:space="preserve"> </w:t>
      </w:r>
      <w:hyperlink r:id="rId77">
        <w:r>
          <w:rPr>
            <w:rFonts w:ascii="Arial" w:cs="Arial" w:eastAsia="Arial" w:hAnsi="Arial"/>
            <w:sz w:val="17"/>
            <w:szCs w:val="17"/>
            <w:u w:val="single" w:color="auto"/>
            <w:color w:val="0000EE"/>
          </w:rPr>
          <w:t>servicer, and SunTrust Bank, as lender together with the other lenders from time to time party thereto, and SunTrust Bank, as administrative agent for the</w:t>
        </w:r>
      </w:hyperlink>
      <w:r>
        <w:rPr>
          <w:rFonts w:ascii="Arial" w:cs="Arial" w:eastAsia="Arial" w:hAnsi="Arial"/>
          <w:sz w:val="17"/>
          <w:szCs w:val="17"/>
          <w:u w:val="single" w:color="auto"/>
          <w:color w:val="0000EE"/>
        </w:rPr>
        <w:t xml:space="preserve"> </w:t>
      </w:r>
      <w:hyperlink r:id="rId77">
        <w:r>
          <w:rPr>
            <w:rFonts w:ascii="Arial" w:cs="Arial" w:eastAsia="Arial" w:hAnsi="Arial"/>
            <w:sz w:val="17"/>
            <w:szCs w:val="17"/>
            <w:u w:val="single" w:color="auto"/>
            <w:color w:val="0000EE"/>
          </w:rPr>
          <w:t>lenders (incorporated by reference to Exhibit 10.01 to the Martin Marietta Materials, Inc. Current Report on Form 8-K filed on April 24, 2013)</w:t>
        </w:r>
      </w:hyperlink>
      <w:r>
        <w:rPr>
          <w:rFonts w:ascii="Arial" w:cs="Arial" w:eastAsia="Arial" w:hAnsi="Arial"/>
          <w:sz w:val="17"/>
          <w:szCs w:val="17"/>
          <w:u w:val="single" w:color="auto"/>
          <w:color w:val="0000EE"/>
        </w:rPr>
        <w:t xml:space="preserve"> </w:t>
      </w:r>
      <w:hyperlink r:id="rId77">
        <w:r>
          <w:rPr>
            <w:rFonts w:ascii="Arial" w:cs="Arial" w:eastAsia="Arial" w:hAnsi="Arial"/>
            <w:sz w:val="17"/>
            <w:szCs w:val="17"/>
            <w:u w:val="single" w:color="auto"/>
            <w:color w:val="0000EE"/>
          </w:rPr>
          <w:t>(Commission File No. 1-12744)</w:t>
        </w:r>
      </w:hyperlink>
    </w:p>
    <w:p>
      <w:pPr>
        <w:spacing w:after="0" w:line="71" w:lineRule="exact"/>
        <w:rPr>
          <w:rFonts w:ascii="Arial" w:cs="Arial" w:eastAsia="Arial" w:hAnsi="Arial"/>
          <w:sz w:val="17"/>
          <w:szCs w:val="17"/>
          <w:u w:val="single" w:color="auto"/>
          <w:color w:val="0000EE"/>
        </w:rPr>
      </w:pPr>
    </w:p>
    <w:p>
      <w:pPr>
        <w:jc w:val="both"/>
        <w:ind w:left="800" w:right="300" w:hanging="804"/>
        <w:spacing w:after="0" w:line="286" w:lineRule="auto"/>
        <w:tabs>
          <w:tab w:leader="none" w:pos="780" w:val="left"/>
        </w:tabs>
        <w:rPr>
          <w:rFonts w:ascii="Arial" w:cs="Arial" w:eastAsia="Arial" w:hAnsi="Arial"/>
          <w:sz w:val="16"/>
          <w:szCs w:val="16"/>
          <w:u w:val="single" w:color="auto"/>
          <w:color w:val="0000EE"/>
        </w:rPr>
      </w:pPr>
      <w:r>
        <w:rPr>
          <w:rFonts w:ascii="Arial" w:cs="Arial" w:eastAsia="Arial" w:hAnsi="Arial"/>
          <w:sz w:val="17"/>
          <w:szCs w:val="17"/>
          <w:color w:val="auto"/>
        </w:rPr>
        <w:t>10.03</w:t>
      </w:r>
      <w:r>
        <w:rPr>
          <w:sz w:val="20"/>
          <w:szCs w:val="20"/>
          <w:color w:val="auto"/>
        </w:rPr>
        <w:tab/>
      </w:r>
      <w:hyperlink r:id="rId78">
        <w:r>
          <w:rPr>
            <w:rFonts w:ascii="Arial" w:cs="Arial" w:eastAsia="Arial" w:hAnsi="Arial"/>
            <w:sz w:val="16"/>
            <w:szCs w:val="16"/>
            <w:u w:val="single" w:color="auto"/>
            <w:color w:val="0000EE"/>
          </w:rPr>
          <w:t>—Commitment Letter dated as of June 20, 2014 to the Credit and Security Agreement, dated as of April 19, 2013 (as last amended April 18, 2014),</w:t>
        </w:r>
      </w:hyperlink>
      <w:r>
        <w:rPr>
          <w:rFonts w:ascii="Arial" w:cs="Arial" w:eastAsia="Arial" w:hAnsi="Arial"/>
          <w:sz w:val="16"/>
          <w:szCs w:val="16"/>
          <w:u w:val="single" w:color="auto"/>
          <w:color w:val="0000EE"/>
        </w:rPr>
        <w:t xml:space="preserve"> </w:t>
      </w:r>
      <w:hyperlink r:id="rId78">
        <w:r>
          <w:rPr>
            <w:rFonts w:ascii="Arial" w:cs="Arial" w:eastAsia="Arial" w:hAnsi="Arial"/>
            <w:sz w:val="16"/>
            <w:szCs w:val="16"/>
            <w:u w:val="single" w:color="auto"/>
            <w:color w:val="0000EE"/>
          </w:rPr>
          <w:t>among Martin Marietta Funding LLC, as borrower, Martin Marietta Materials, Inc., as servicer, and SunTrust Bank, as lender together with the other</w:t>
        </w:r>
      </w:hyperlink>
      <w:r>
        <w:rPr>
          <w:rFonts w:ascii="Arial" w:cs="Arial" w:eastAsia="Arial" w:hAnsi="Arial"/>
          <w:sz w:val="16"/>
          <w:szCs w:val="16"/>
          <w:u w:val="single" w:color="auto"/>
          <w:color w:val="0000EE"/>
        </w:rPr>
        <w:t xml:space="preserve"> </w:t>
      </w:r>
      <w:hyperlink r:id="rId78">
        <w:r>
          <w:rPr>
            <w:rFonts w:ascii="Arial" w:cs="Arial" w:eastAsia="Arial" w:hAnsi="Arial"/>
            <w:sz w:val="16"/>
            <w:szCs w:val="16"/>
            <w:u w:val="single" w:color="auto"/>
            <w:color w:val="0000EE"/>
          </w:rPr>
          <w:t>lenders from time to time party thereto, and SunTrust Bank, as administrative agent for the lenders (incorporated by reference to Exhibit 10.01 to the</w:t>
        </w:r>
      </w:hyperlink>
      <w:r>
        <w:rPr>
          <w:rFonts w:ascii="Arial" w:cs="Arial" w:eastAsia="Arial" w:hAnsi="Arial"/>
          <w:sz w:val="16"/>
          <w:szCs w:val="16"/>
          <w:u w:val="single" w:color="auto"/>
          <w:color w:val="0000EE"/>
        </w:rPr>
        <w:t xml:space="preserve"> </w:t>
      </w:r>
      <w:hyperlink r:id="rId78">
        <w:r>
          <w:rPr>
            <w:rFonts w:ascii="Arial" w:cs="Arial" w:eastAsia="Arial" w:hAnsi="Arial"/>
            <w:sz w:val="16"/>
            <w:szCs w:val="16"/>
            <w:u w:val="single" w:color="auto"/>
            <w:color w:val="0000EE"/>
          </w:rPr>
          <w:t>Martin Marietta Materials, Inc. Current Report on Form 8-K filed on June 25, 2014) (Commission File No. 1-12744)</w:t>
        </w:r>
      </w:hyperlink>
    </w:p>
    <w:p>
      <w:pPr>
        <w:spacing w:after="0" w:line="57" w:lineRule="exact"/>
        <w:rPr>
          <w:rFonts w:ascii="Arial" w:cs="Arial" w:eastAsia="Arial" w:hAnsi="Arial"/>
          <w:sz w:val="16"/>
          <w:szCs w:val="16"/>
          <w:u w:val="single" w:color="auto"/>
          <w:color w:val="0000EE"/>
        </w:rPr>
      </w:pPr>
    </w:p>
    <w:p>
      <w:pPr>
        <w:ind w:left="800" w:right="60" w:hanging="804"/>
        <w:spacing w:after="0" w:line="265" w:lineRule="auto"/>
        <w:tabs>
          <w:tab w:leader="none" w:pos="780" w:val="left"/>
        </w:tabs>
        <w:rPr>
          <w:rFonts w:ascii="Arial" w:cs="Arial" w:eastAsia="Arial" w:hAnsi="Arial"/>
          <w:sz w:val="17"/>
          <w:szCs w:val="17"/>
          <w:u w:val="single" w:color="auto"/>
          <w:color w:val="0000EE"/>
        </w:rPr>
      </w:pPr>
      <w:r>
        <w:rPr>
          <w:rFonts w:ascii="Arial" w:cs="Arial" w:eastAsia="Arial" w:hAnsi="Arial"/>
          <w:sz w:val="17"/>
          <w:szCs w:val="17"/>
          <w:color w:val="auto"/>
        </w:rPr>
        <w:t>10.04</w:t>
      </w:r>
      <w:r>
        <w:rPr>
          <w:sz w:val="20"/>
          <w:szCs w:val="20"/>
          <w:color w:val="auto"/>
        </w:rPr>
        <w:tab/>
      </w:r>
      <w:hyperlink r:id="rId79">
        <w:r>
          <w:rPr>
            <w:rFonts w:ascii="Arial" w:cs="Arial" w:eastAsia="Arial" w:hAnsi="Arial"/>
            <w:sz w:val="17"/>
            <w:szCs w:val="17"/>
            <w:u w:val="single" w:color="auto"/>
            <w:color w:val="0000EE"/>
          </w:rPr>
          <w:t>—Second Amendment to Credit and Security Agreement, dated as of April 18, 2014, among Martin Marietta Funding LLC, as borrower, Martin</w:t>
        </w:r>
      </w:hyperlink>
      <w:r>
        <w:rPr>
          <w:rFonts w:ascii="Arial" w:cs="Arial" w:eastAsia="Arial" w:hAnsi="Arial"/>
          <w:sz w:val="17"/>
          <w:szCs w:val="17"/>
          <w:u w:val="single" w:color="auto"/>
          <w:color w:val="0000EE"/>
        </w:rPr>
        <w:t xml:space="preserve"> </w:t>
      </w:r>
      <w:hyperlink r:id="rId79">
        <w:r>
          <w:rPr>
            <w:rFonts w:ascii="Arial" w:cs="Arial" w:eastAsia="Arial" w:hAnsi="Arial"/>
            <w:sz w:val="17"/>
            <w:szCs w:val="17"/>
            <w:u w:val="single" w:color="auto"/>
            <w:color w:val="0000EE"/>
          </w:rPr>
          <w:t>Marietta Materials, Inc., as servicer, and SunTrust Bank, as lender together with the other lenders from time to time party thereto, and SunTrust Bank, as</w:t>
        </w:r>
      </w:hyperlink>
      <w:r>
        <w:rPr>
          <w:rFonts w:ascii="Arial" w:cs="Arial" w:eastAsia="Arial" w:hAnsi="Arial"/>
          <w:sz w:val="17"/>
          <w:szCs w:val="17"/>
          <w:u w:val="single" w:color="auto"/>
          <w:color w:val="0000EE"/>
        </w:rPr>
        <w:t xml:space="preserve"> </w:t>
      </w:r>
      <w:hyperlink r:id="rId79">
        <w:r>
          <w:rPr>
            <w:rFonts w:ascii="Arial" w:cs="Arial" w:eastAsia="Arial" w:hAnsi="Arial"/>
            <w:sz w:val="17"/>
            <w:szCs w:val="17"/>
            <w:u w:val="single" w:color="auto"/>
            <w:color w:val="0000EE"/>
          </w:rPr>
          <w:t>administrative agent for the lenders (incorporated by reference to Exhibit 10.02 to the Martin Marietta Materials, Inc. Current Report on Form 8-K filed</w:t>
        </w:r>
      </w:hyperlink>
      <w:r>
        <w:rPr>
          <w:rFonts w:ascii="Arial" w:cs="Arial" w:eastAsia="Arial" w:hAnsi="Arial"/>
          <w:sz w:val="17"/>
          <w:szCs w:val="17"/>
          <w:u w:val="single" w:color="auto"/>
          <w:color w:val="0000EE"/>
        </w:rPr>
        <w:t xml:space="preserve"> </w:t>
      </w:r>
      <w:hyperlink r:id="rId79">
        <w:r>
          <w:rPr>
            <w:rFonts w:ascii="Arial" w:cs="Arial" w:eastAsia="Arial" w:hAnsi="Arial"/>
            <w:sz w:val="17"/>
            <w:szCs w:val="17"/>
            <w:u w:val="single" w:color="auto"/>
            <w:color w:val="0000EE"/>
          </w:rPr>
          <w:t>on April 24, 2014) (Commission File No. 1-12744)</w:t>
        </w:r>
      </w:hyperlink>
    </w:p>
    <w:p>
      <w:pPr>
        <w:sectPr>
          <w:pgSz w:w="11900" w:h="16838" w:orient="portrait"/>
          <w:cols w:equalWidth="0" w:num="1">
            <w:col w:w="11420"/>
          </w:cols>
          <w:pgMar w:left="240" w:top="446" w:right="239" w:bottom="1440" w:gutter="0" w:footer="0" w:header="0"/>
        </w:sectPr>
      </w:pPr>
    </w:p>
    <w:bookmarkStart w:id="52" w:name="page53"/>
    <w:bookmarkEnd w:id="5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0">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7" w:lineRule="exact"/>
        <w:rPr>
          <w:sz w:val="20"/>
          <w:szCs w:val="20"/>
          <w:color w:val="auto"/>
        </w:rPr>
      </w:pPr>
    </w:p>
    <w:p>
      <w:pPr>
        <w:ind w:left="800" w:hanging="804"/>
        <w:spacing w:after="0" w:line="265" w:lineRule="auto"/>
        <w:tabs>
          <w:tab w:leader="none" w:pos="780" w:val="left"/>
        </w:tabs>
        <w:rPr>
          <w:rFonts w:ascii="Arial" w:cs="Arial" w:eastAsia="Arial" w:hAnsi="Arial"/>
          <w:sz w:val="17"/>
          <w:szCs w:val="17"/>
          <w:u w:val="single" w:color="auto"/>
          <w:color w:val="0000EE"/>
        </w:rPr>
      </w:pPr>
      <w:r>
        <w:rPr>
          <w:rFonts w:ascii="Arial" w:cs="Arial" w:eastAsia="Arial" w:hAnsi="Arial"/>
          <w:sz w:val="17"/>
          <w:szCs w:val="17"/>
          <w:color w:val="auto"/>
        </w:rPr>
        <w:t>10.05</w:t>
      </w:r>
      <w:r>
        <w:rPr>
          <w:sz w:val="20"/>
          <w:szCs w:val="20"/>
          <w:color w:val="auto"/>
        </w:rPr>
        <w:tab/>
      </w:r>
      <w:hyperlink r:id="rId81">
        <w:r>
          <w:rPr>
            <w:rFonts w:ascii="Arial" w:cs="Arial" w:eastAsia="Arial" w:hAnsi="Arial"/>
            <w:sz w:val="17"/>
            <w:szCs w:val="17"/>
            <w:u w:val="single" w:color="auto"/>
            <w:color w:val="0000EE"/>
          </w:rPr>
          <w:t>—Fifth Amendment to Credit and Security Agreement, dated as of September 30, 2014, among Martin Marietta Funding LLC, as borrower, Martin</w:t>
        </w:r>
      </w:hyperlink>
      <w:r>
        <w:rPr>
          <w:rFonts w:ascii="Arial" w:cs="Arial" w:eastAsia="Arial" w:hAnsi="Arial"/>
          <w:sz w:val="17"/>
          <w:szCs w:val="17"/>
          <w:u w:val="single" w:color="auto"/>
          <w:color w:val="0000EE"/>
        </w:rPr>
        <w:t xml:space="preserve"> </w:t>
      </w:r>
      <w:hyperlink r:id="rId81">
        <w:r>
          <w:rPr>
            <w:rFonts w:ascii="Arial" w:cs="Arial" w:eastAsia="Arial" w:hAnsi="Arial"/>
            <w:sz w:val="17"/>
            <w:szCs w:val="17"/>
            <w:u w:val="single" w:color="auto"/>
            <w:color w:val="0000EE"/>
          </w:rPr>
          <w:t>Marietta Materials, Inc., as servicer, and SunTrust Bank, as lender together with the other lenders from time to time party thereto, and SunTrust Bank, as</w:t>
        </w:r>
      </w:hyperlink>
      <w:r>
        <w:rPr>
          <w:rFonts w:ascii="Arial" w:cs="Arial" w:eastAsia="Arial" w:hAnsi="Arial"/>
          <w:sz w:val="17"/>
          <w:szCs w:val="17"/>
          <w:u w:val="single" w:color="auto"/>
          <w:color w:val="0000EE"/>
        </w:rPr>
        <w:t xml:space="preserve"> </w:t>
      </w:r>
      <w:hyperlink r:id="rId81">
        <w:r>
          <w:rPr>
            <w:rFonts w:ascii="Arial" w:cs="Arial" w:eastAsia="Arial" w:hAnsi="Arial"/>
            <w:sz w:val="17"/>
            <w:szCs w:val="17"/>
            <w:u w:val="single" w:color="auto"/>
            <w:color w:val="0000EE"/>
          </w:rPr>
          <w:t>administrative agent for the lenders (incorporated by reference to Exhibit 10.01 to the Martin Marietta Materials, Inc. Current Report on Form 8-K filed</w:t>
        </w:r>
      </w:hyperlink>
      <w:r>
        <w:rPr>
          <w:rFonts w:ascii="Arial" w:cs="Arial" w:eastAsia="Arial" w:hAnsi="Arial"/>
          <w:sz w:val="17"/>
          <w:szCs w:val="17"/>
          <w:u w:val="single" w:color="auto"/>
          <w:color w:val="0000EE"/>
        </w:rPr>
        <w:t xml:space="preserve"> </w:t>
      </w:r>
      <w:hyperlink r:id="rId81">
        <w:r>
          <w:rPr>
            <w:rFonts w:ascii="Arial" w:cs="Arial" w:eastAsia="Arial" w:hAnsi="Arial"/>
            <w:sz w:val="17"/>
            <w:szCs w:val="17"/>
            <w:u w:val="single" w:color="auto"/>
            <w:color w:val="0000EE"/>
          </w:rPr>
          <w:t>on October 3, 2014) (Commission File No. 1-12744)</w:t>
        </w:r>
      </w:hyperlink>
    </w:p>
    <w:p>
      <w:pPr>
        <w:spacing w:after="0" w:line="71" w:lineRule="exact"/>
        <w:rPr>
          <w:rFonts w:ascii="Arial" w:cs="Arial" w:eastAsia="Arial" w:hAnsi="Arial"/>
          <w:sz w:val="17"/>
          <w:szCs w:val="17"/>
          <w:u w:val="single" w:color="auto"/>
          <w:color w:val="0000EE"/>
        </w:rPr>
      </w:pPr>
    </w:p>
    <w:p>
      <w:pPr>
        <w:jc w:val="both"/>
        <w:ind w:left="800" w:hanging="804"/>
        <w:spacing w:after="0" w:line="265" w:lineRule="auto"/>
        <w:tabs>
          <w:tab w:leader="none" w:pos="780" w:val="left"/>
        </w:tabs>
        <w:rPr>
          <w:rFonts w:ascii="Arial" w:cs="Arial" w:eastAsia="Arial" w:hAnsi="Arial"/>
          <w:sz w:val="17"/>
          <w:szCs w:val="17"/>
          <w:u w:val="single" w:color="auto"/>
          <w:color w:val="0000EE"/>
        </w:rPr>
      </w:pPr>
      <w:r>
        <w:rPr>
          <w:rFonts w:ascii="Arial" w:cs="Arial" w:eastAsia="Arial" w:hAnsi="Arial"/>
          <w:sz w:val="17"/>
          <w:szCs w:val="17"/>
          <w:color w:val="auto"/>
        </w:rPr>
        <w:t>10.06</w:t>
      </w:r>
      <w:r>
        <w:rPr>
          <w:sz w:val="20"/>
          <w:szCs w:val="20"/>
          <w:color w:val="auto"/>
        </w:rPr>
        <w:tab/>
      </w:r>
      <w:hyperlink r:id="rId82">
        <w:r>
          <w:rPr>
            <w:rFonts w:ascii="Arial" w:cs="Arial" w:eastAsia="Arial" w:hAnsi="Arial"/>
            <w:sz w:val="17"/>
            <w:szCs w:val="17"/>
            <w:u w:val="single" w:color="auto"/>
            <w:color w:val="0000EE"/>
          </w:rPr>
          <w:t>—Seventh Amendment to Credit and Security Agreement, dated as of September 28, 2016, among Martin Marietta Funding LLC, as borrower, Martin</w:t>
        </w:r>
      </w:hyperlink>
      <w:r>
        <w:rPr>
          <w:rFonts w:ascii="Arial" w:cs="Arial" w:eastAsia="Arial" w:hAnsi="Arial"/>
          <w:sz w:val="17"/>
          <w:szCs w:val="17"/>
          <w:u w:val="single" w:color="auto"/>
          <w:color w:val="0000EE"/>
        </w:rPr>
        <w:t xml:space="preserve"> </w:t>
      </w:r>
      <w:hyperlink r:id="rId82">
        <w:r>
          <w:rPr>
            <w:rFonts w:ascii="Arial" w:cs="Arial" w:eastAsia="Arial" w:hAnsi="Arial"/>
            <w:sz w:val="17"/>
            <w:szCs w:val="17"/>
            <w:u w:val="single" w:color="auto"/>
            <w:color w:val="0000EE"/>
          </w:rPr>
          <w:t>Marietta Materials, Inc., as servicer, and SunTrust Bank, as lender together with the other lenders from time to time party thereto, and SunTrust Bank, as</w:t>
        </w:r>
      </w:hyperlink>
      <w:r>
        <w:rPr>
          <w:rFonts w:ascii="Arial" w:cs="Arial" w:eastAsia="Arial" w:hAnsi="Arial"/>
          <w:sz w:val="17"/>
          <w:szCs w:val="17"/>
          <w:u w:val="single" w:color="auto"/>
          <w:color w:val="0000EE"/>
        </w:rPr>
        <w:t xml:space="preserve"> </w:t>
      </w:r>
      <w:hyperlink r:id="rId82">
        <w:r>
          <w:rPr>
            <w:rFonts w:ascii="Arial" w:cs="Arial" w:eastAsia="Arial" w:hAnsi="Arial"/>
            <w:sz w:val="17"/>
            <w:szCs w:val="17"/>
            <w:u w:val="single" w:color="auto"/>
            <w:color w:val="0000EE"/>
          </w:rPr>
          <w:t>administrative agent for the lenders (incorporated by reference to Exhibit 10.01 to the Martin Marietta Materials, Inc. Current Report on Form 8-K filed</w:t>
        </w:r>
      </w:hyperlink>
      <w:r>
        <w:rPr>
          <w:rFonts w:ascii="Arial" w:cs="Arial" w:eastAsia="Arial" w:hAnsi="Arial"/>
          <w:sz w:val="17"/>
          <w:szCs w:val="17"/>
          <w:u w:val="single" w:color="auto"/>
          <w:color w:val="0000EE"/>
        </w:rPr>
        <w:t xml:space="preserve"> </w:t>
      </w:r>
      <w:hyperlink r:id="rId82">
        <w:r>
          <w:rPr>
            <w:rFonts w:ascii="Arial" w:cs="Arial" w:eastAsia="Arial" w:hAnsi="Arial"/>
            <w:sz w:val="17"/>
            <w:szCs w:val="17"/>
            <w:u w:val="single" w:color="auto"/>
            <w:color w:val="0000EE"/>
          </w:rPr>
          <w:t>on September 30, 2016) (Commission File No. 1-12744)</w:t>
        </w:r>
      </w:hyperlink>
    </w:p>
    <w:p>
      <w:pPr>
        <w:spacing w:after="0" w:line="71" w:lineRule="exact"/>
        <w:rPr>
          <w:rFonts w:ascii="Arial" w:cs="Arial" w:eastAsia="Arial" w:hAnsi="Arial"/>
          <w:sz w:val="17"/>
          <w:szCs w:val="17"/>
          <w:u w:val="single" w:color="auto"/>
          <w:color w:val="0000EE"/>
        </w:rPr>
      </w:pPr>
    </w:p>
    <w:p>
      <w:pPr>
        <w:ind w:left="800" w:right="40" w:hanging="804"/>
        <w:spacing w:after="0" w:line="270" w:lineRule="auto"/>
        <w:tabs>
          <w:tab w:leader="none" w:pos="780" w:val="left"/>
        </w:tabs>
        <w:rPr>
          <w:rFonts w:ascii="Arial" w:cs="Arial" w:eastAsia="Arial" w:hAnsi="Arial"/>
          <w:sz w:val="17"/>
          <w:szCs w:val="17"/>
          <w:u w:val="single" w:color="auto"/>
          <w:color w:val="0000EE"/>
        </w:rPr>
      </w:pPr>
      <w:r>
        <w:rPr>
          <w:rFonts w:ascii="Arial" w:cs="Arial" w:eastAsia="Arial" w:hAnsi="Arial"/>
          <w:sz w:val="17"/>
          <w:szCs w:val="17"/>
          <w:color w:val="auto"/>
        </w:rPr>
        <w:t>10.07</w:t>
      </w:r>
      <w:r>
        <w:rPr>
          <w:sz w:val="20"/>
          <w:szCs w:val="20"/>
          <w:color w:val="auto"/>
        </w:rPr>
        <w:tab/>
      </w:r>
      <w:hyperlink r:id="rId83">
        <w:r>
          <w:rPr>
            <w:rFonts w:ascii="Arial" w:cs="Arial" w:eastAsia="Arial" w:hAnsi="Arial"/>
            <w:sz w:val="17"/>
            <w:szCs w:val="17"/>
            <w:u w:val="single" w:color="auto"/>
            <w:color w:val="0000EE"/>
          </w:rPr>
          <w:t>—Purchase and Contribution Agreement dated as of April 19, 2013, between Martin Marietta Materials, Inc., as seller and as servicer, and Martin</w:t>
        </w:r>
      </w:hyperlink>
      <w:r>
        <w:rPr>
          <w:rFonts w:ascii="Arial" w:cs="Arial" w:eastAsia="Arial" w:hAnsi="Arial"/>
          <w:sz w:val="17"/>
          <w:szCs w:val="17"/>
          <w:u w:val="single" w:color="auto"/>
          <w:color w:val="0000EE"/>
        </w:rPr>
        <w:t xml:space="preserve"> </w:t>
      </w:r>
      <w:hyperlink r:id="rId83">
        <w:r>
          <w:rPr>
            <w:rFonts w:ascii="Arial" w:cs="Arial" w:eastAsia="Arial" w:hAnsi="Arial"/>
            <w:sz w:val="17"/>
            <w:szCs w:val="17"/>
            <w:u w:val="single" w:color="auto"/>
            <w:color w:val="0000EE"/>
          </w:rPr>
          <w:t>Marietta Funding LLC, as buyer (incorporated by reference to Exhibit 10.02 to the Martin Marietta Materials, Inc. Current Report on Form 8-K filed on</w:t>
        </w:r>
      </w:hyperlink>
      <w:r>
        <w:rPr>
          <w:rFonts w:ascii="Arial" w:cs="Arial" w:eastAsia="Arial" w:hAnsi="Arial"/>
          <w:sz w:val="17"/>
          <w:szCs w:val="17"/>
          <w:u w:val="single" w:color="auto"/>
          <w:color w:val="0000EE"/>
        </w:rPr>
        <w:t xml:space="preserve"> </w:t>
      </w:r>
      <w:hyperlink r:id="rId83">
        <w:r>
          <w:rPr>
            <w:rFonts w:ascii="Arial" w:cs="Arial" w:eastAsia="Arial" w:hAnsi="Arial"/>
            <w:sz w:val="17"/>
            <w:szCs w:val="17"/>
            <w:u w:val="single" w:color="auto"/>
            <w:color w:val="0000EE"/>
          </w:rPr>
          <w:t>April 24, 2013) (Commission File No. 1-12744)</w:t>
        </w:r>
      </w:hyperlink>
    </w:p>
    <w:p>
      <w:pPr>
        <w:spacing w:after="0" w:line="67" w:lineRule="exact"/>
        <w:rPr>
          <w:rFonts w:ascii="Arial" w:cs="Arial" w:eastAsia="Arial" w:hAnsi="Arial"/>
          <w:sz w:val="17"/>
          <w:szCs w:val="17"/>
          <w:u w:val="single" w:color="auto"/>
          <w:color w:val="0000EE"/>
        </w:rPr>
      </w:pPr>
    </w:p>
    <w:p>
      <w:pPr>
        <w:ind w:left="800" w:hanging="804"/>
        <w:spacing w:after="0" w:line="285" w:lineRule="auto"/>
        <w:tabs>
          <w:tab w:leader="none" w:pos="780" w:val="left"/>
        </w:tabs>
        <w:rPr>
          <w:rFonts w:ascii="Arial" w:cs="Arial" w:eastAsia="Arial" w:hAnsi="Arial"/>
          <w:sz w:val="17"/>
          <w:szCs w:val="17"/>
          <w:u w:val="single" w:color="auto"/>
          <w:color w:val="0000EE"/>
        </w:rPr>
      </w:pPr>
      <w:r>
        <w:rPr>
          <w:rFonts w:ascii="Arial" w:cs="Arial" w:eastAsia="Arial" w:hAnsi="Arial"/>
          <w:sz w:val="17"/>
          <w:szCs w:val="17"/>
          <w:color w:val="auto"/>
        </w:rPr>
        <w:t>10.08</w:t>
      </w:r>
      <w:r>
        <w:rPr>
          <w:sz w:val="20"/>
          <w:szCs w:val="20"/>
          <w:color w:val="auto"/>
        </w:rPr>
        <w:tab/>
      </w:r>
      <w:hyperlink r:id="rId84">
        <w:r>
          <w:rPr>
            <w:rFonts w:ascii="Arial" w:cs="Arial" w:eastAsia="Arial" w:hAnsi="Arial"/>
            <w:sz w:val="17"/>
            <w:szCs w:val="17"/>
            <w:u w:val="single" w:color="auto"/>
            <w:color w:val="0000EE"/>
          </w:rPr>
          <w:t>—Form of Martin Marietta Materials, Inc. Third Amended and Restated Employment Protection Agreement (incorporated by reference to Exhibit 10.01</w:t>
        </w:r>
      </w:hyperlink>
      <w:r>
        <w:rPr>
          <w:rFonts w:ascii="Arial" w:cs="Arial" w:eastAsia="Arial" w:hAnsi="Arial"/>
          <w:sz w:val="17"/>
          <w:szCs w:val="17"/>
          <w:u w:val="single" w:color="auto"/>
          <w:color w:val="0000EE"/>
        </w:rPr>
        <w:t xml:space="preserve"> </w:t>
      </w:r>
      <w:hyperlink r:id="rId84">
        <w:r>
          <w:rPr>
            <w:rFonts w:ascii="Arial" w:cs="Arial" w:eastAsia="Arial" w:hAnsi="Arial"/>
            <w:sz w:val="17"/>
            <w:szCs w:val="17"/>
            <w:u w:val="single" w:color="auto"/>
            <w:color w:val="0000EE"/>
          </w:rPr>
          <w:t>to the Martin Marietta Materials, Inc. Current Report on Form 8-K, filed on August 19, 2008) (Commission File No. 1-12744)**</w:t>
        </w:r>
      </w:hyperlink>
    </w:p>
    <w:p>
      <w:pPr>
        <w:spacing w:after="0" w:line="55" w:lineRule="exact"/>
        <w:rPr>
          <w:sz w:val="20"/>
          <w:szCs w:val="20"/>
          <w:color w:val="auto"/>
        </w:rPr>
      </w:pPr>
    </w:p>
    <w:p>
      <w:pPr>
        <w:ind w:left="800" w:right="40" w:hanging="804"/>
        <w:spacing w:after="0" w:line="318" w:lineRule="auto"/>
        <w:tabs>
          <w:tab w:leader="none" w:pos="780" w:val="left"/>
        </w:tabs>
        <w:rPr>
          <w:rFonts w:ascii="Arial" w:cs="Arial" w:eastAsia="Arial" w:hAnsi="Arial"/>
          <w:sz w:val="16"/>
          <w:szCs w:val="16"/>
          <w:u w:val="single" w:color="auto"/>
          <w:color w:val="0000EE"/>
        </w:rPr>
      </w:pPr>
      <w:r>
        <w:rPr>
          <w:rFonts w:ascii="Arial" w:cs="Arial" w:eastAsia="Arial" w:hAnsi="Arial"/>
          <w:sz w:val="17"/>
          <w:szCs w:val="17"/>
          <w:color w:val="auto"/>
        </w:rPr>
        <w:t>10.09</w:t>
      </w:r>
      <w:r>
        <w:rPr>
          <w:sz w:val="20"/>
          <w:szCs w:val="20"/>
          <w:color w:val="auto"/>
        </w:rPr>
        <w:tab/>
      </w:r>
      <w:hyperlink r:id="rId85">
        <w:r>
          <w:rPr>
            <w:rFonts w:ascii="Arial" w:cs="Arial" w:eastAsia="Arial" w:hAnsi="Arial"/>
            <w:sz w:val="16"/>
            <w:szCs w:val="16"/>
            <w:u w:val="single" w:color="auto"/>
            <w:color w:val="0000EE"/>
          </w:rPr>
          <w:t>—Amended and Restated Martin Marietta Materials, Inc. Common Stock Purchase Plan for Directors (incorporated by reference to Exhibit 10.05 to the</w:t>
        </w:r>
      </w:hyperlink>
      <w:r>
        <w:rPr>
          <w:rFonts w:ascii="Arial" w:cs="Arial" w:eastAsia="Arial" w:hAnsi="Arial"/>
          <w:sz w:val="16"/>
          <w:szCs w:val="16"/>
          <w:u w:val="single" w:color="auto"/>
          <w:color w:val="0000EE"/>
        </w:rPr>
        <w:t xml:space="preserve"> </w:t>
      </w:r>
      <w:hyperlink r:id="rId85">
        <w:r>
          <w:rPr>
            <w:rFonts w:ascii="Arial" w:cs="Arial" w:eastAsia="Arial" w:hAnsi="Arial"/>
            <w:sz w:val="16"/>
            <w:szCs w:val="16"/>
            <w:u w:val="single" w:color="auto"/>
            <w:color w:val="0000EE"/>
          </w:rPr>
          <w:t>Martin Marietta Materials, Inc. Annual Report on Form 10-K for the fiscal year ended December 31, 2013) (Commission File No. 1-12744)**</w:t>
        </w:r>
      </w:hyperlink>
    </w:p>
    <w:p>
      <w:pPr>
        <w:spacing w:after="0" w:line="32" w:lineRule="exact"/>
        <w:rPr>
          <w:sz w:val="20"/>
          <w:szCs w:val="20"/>
          <w:color w:val="auto"/>
        </w:rPr>
      </w:pPr>
    </w:p>
    <w:p>
      <w:pPr>
        <w:ind w:left="800" w:right="200" w:hanging="804"/>
        <w:spacing w:after="0" w:line="318" w:lineRule="auto"/>
        <w:tabs>
          <w:tab w:leader="none" w:pos="780" w:val="left"/>
        </w:tabs>
        <w:rPr>
          <w:rFonts w:ascii="Arial" w:cs="Arial" w:eastAsia="Arial" w:hAnsi="Arial"/>
          <w:sz w:val="16"/>
          <w:szCs w:val="16"/>
          <w:u w:val="single" w:color="auto"/>
          <w:color w:val="0000EE"/>
        </w:rPr>
      </w:pPr>
      <w:r>
        <w:rPr>
          <w:rFonts w:ascii="Arial" w:cs="Arial" w:eastAsia="Arial" w:hAnsi="Arial"/>
          <w:sz w:val="17"/>
          <w:szCs w:val="17"/>
          <w:color w:val="auto"/>
        </w:rPr>
        <w:t>10.10</w:t>
      </w:r>
      <w:r>
        <w:rPr>
          <w:sz w:val="20"/>
          <w:szCs w:val="20"/>
          <w:color w:val="auto"/>
        </w:rPr>
        <w:tab/>
      </w:r>
      <w:hyperlink r:id="rId86">
        <w:r>
          <w:rPr>
            <w:rFonts w:ascii="Arial" w:cs="Arial" w:eastAsia="Arial" w:hAnsi="Arial"/>
            <w:sz w:val="16"/>
            <w:szCs w:val="16"/>
            <w:u w:val="single" w:color="auto"/>
            <w:color w:val="0000EE"/>
          </w:rPr>
          <w:t>—Martin Marietta Materials, Inc. Amended and Restated Executive Incentive Plan (incorporated by reference to Exhibit 10.05 to the Martin Marietta</w:t>
        </w:r>
      </w:hyperlink>
      <w:r>
        <w:rPr>
          <w:rFonts w:ascii="Arial" w:cs="Arial" w:eastAsia="Arial" w:hAnsi="Arial"/>
          <w:sz w:val="16"/>
          <w:szCs w:val="16"/>
          <w:u w:val="single" w:color="auto"/>
          <w:color w:val="0000EE"/>
        </w:rPr>
        <w:t xml:space="preserve"> </w:t>
      </w:r>
      <w:hyperlink r:id="rId86">
        <w:r>
          <w:rPr>
            <w:rFonts w:ascii="Arial" w:cs="Arial" w:eastAsia="Arial" w:hAnsi="Arial"/>
            <w:sz w:val="16"/>
            <w:szCs w:val="16"/>
            <w:u w:val="single" w:color="auto"/>
            <w:color w:val="0000EE"/>
          </w:rPr>
          <w:t>Materials, Inc. Annual Report on Form 10-K for the fiscal year ended December 31, 2008) (Commission File No. 1-12744)**</w:t>
        </w:r>
      </w:hyperlink>
    </w:p>
    <w:p>
      <w:pPr>
        <w:spacing w:after="0" w:line="32" w:lineRule="exact"/>
        <w:rPr>
          <w:sz w:val="20"/>
          <w:szCs w:val="20"/>
          <w:color w:val="auto"/>
        </w:rPr>
      </w:pPr>
    </w:p>
    <w:p>
      <w:pPr>
        <w:ind w:left="800" w:right="140" w:hanging="804"/>
        <w:spacing w:after="0" w:line="285" w:lineRule="auto"/>
        <w:tabs>
          <w:tab w:leader="none" w:pos="780" w:val="left"/>
        </w:tabs>
        <w:rPr>
          <w:rFonts w:ascii="Arial" w:cs="Arial" w:eastAsia="Arial" w:hAnsi="Arial"/>
          <w:sz w:val="17"/>
          <w:szCs w:val="17"/>
          <w:u w:val="single" w:color="auto"/>
          <w:color w:val="0000EE"/>
        </w:rPr>
      </w:pPr>
      <w:r>
        <w:rPr>
          <w:rFonts w:ascii="Arial" w:cs="Arial" w:eastAsia="Arial" w:hAnsi="Arial"/>
          <w:sz w:val="17"/>
          <w:szCs w:val="17"/>
          <w:color w:val="auto"/>
        </w:rPr>
        <w:t>10.11</w:t>
      </w:r>
      <w:r>
        <w:rPr>
          <w:sz w:val="20"/>
          <w:szCs w:val="20"/>
          <w:color w:val="auto"/>
        </w:rPr>
        <w:tab/>
      </w:r>
      <w:hyperlink r:id="rId87">
        <w:r>
          <w:rPr>
            <w:rFonts w:ascii="Arial" w:cs="Arial" w:eastAsia="Arial" w:hAnsi="Arial"/>
            <w:sz w:val="17"/>
            <w:szCs w:val="17"/>
            <w:u w:val="single" w:color="auto"/>
            <w:color w:val="0000EE"/>
          </w:rPr>
          <w:t>—Martin Marietta Materials, Inc. Incentive Stock Plan, as Amended (incorporated by reference to Exhibit 10.06 to the Martin Marietta Materials, Inc.</w:t>
        </w:r>
      </w:hyperlink>
      <w:r>
        <w:rPr>
          <w:rFonts w:ascii="Arial" w:cs="Arial" w:eastAsia="Arial" w:hAnsi="Arial"/>
          <w:sz w:val="17"/>
          <w:szCs w:val="17"/>
          <w:u w:val="single" w:color="auto"/>
          <w:color w:val="0000EE"/>
        </w:rPr>
        <w:t xml:space="preserve"> </w:t>
      </w:r>
      <w:hyperlink r:id="rId87">
        <w:r>
          <w:rPr>
            <w:rFonts w:ascii="Arial" w:cs="Arial" w:eastAsia="Arial" w:hAnsi="Arial"/>
            <w:sz w:val="17"/>
            <w:szCs w:val="17"/>
            <w:u w:val="single" w:color="auto"/>
            <w:color w:val="0000EE"/>
          </w:rPr>
          <w:t>Annual Report on Form 10-K for the fiscal year ended December 31, 2008) (Commission File No. 1-12744)**</w:t>
        </w:r>
      </w:hyperlink>
    </w:p>
    <w:p>
      <w:pPr>
        <w:spacing w:after="0" w:line="55" w:lineRule="exact"/>
        <w:rPr>
          <w:sz w:val="20"/>
          <w:szCs w:val="20"/>
          <w:color w:val="auto"/>
        </w:rPr>
      </w:pPr>
    </w:p>
    <w:p>
      <w:pPr>
        <w:spacing w:after="0"/>
        <w:tabs>
          <w:tab w:leader="none" w:pos="780" w:val="left"/>
        </w:tabs>
        <w:rPr>
          <w:rFonts w:ascii="Arial" w:cs="Arial" w:eastAsia="Arial" w:hAnsi="Arial"/>
          <w:sz w:val="15"/>
          <w:szCs w:val="15"/>
          <w:u w:val="single" w:color="auto"/>
          <w:color w:val="0000EE"/>
        </w:rPr>
      </w:pPr>
      <w:r>
        <w:rPr>
          <w:rFonts w:ascii="Arial" w:cs="Arial" w:eastAsia="Arial" w:hAnsi="Arial"/>
          <w:sz w:val="17"/>
          <w:szCs w:val="17"/>
          <w:color w:val="auto"/>
        </w:rPr>
        <w:t>10.12</w:t>
      </w:r>
      <w:r>
        <w:rPr>
          <w:sz w:val="20"/>
          <w:szCs w:val="20"/>
          <w:color w:val="auto"/>
        </w:rPr>
        <w:tab/>
      </w:r>
      <w:hyperlink r:id="rId88">
        <w:r>
          <w:rPr>
            <w:rFonts w:ascii="Arial" w:cs="Arial" w:eastAsia="Arial" w:hAnsi="Arial"/>
            <w:sz w:val="15"/>
            <w:szCs w:val="15"/>
            <w:u w:val="single" w:color="auto"/>
            <w:color w:val="0000EE"/>
          </w:rPr>
          <w:t>—Martin Marietta Amended and Restated Stock-Based Award Plan last amended and restated February 18, 2016 (incorporated by reference to Exhibit</w:t>
        </w:r>
      </w:hyperlink>
    </w:p>
    <w:p>
      <w:pPr>
        <w:spacing w:after="0" w:line="25" w:lineRule="exact"/>
        <w:rPr>
          <w:sz w:val="20"/>
          <w:szCs w:val="20"/>
          <w:color w:val="auto"/>
        </w:rPr>
      </w:pPr>
    </w:p>
    <w:p>
      <w:pPr>
        <w:ind w:left="800"/>
        <w:spacing w:after="0"/>
        <w:rPr>
          <w:rFonts w:ascii="Arial" w:cs="Arial" w:eastAsia="Arial" w:hAnsi="Arial"/>
          <w:sz w:val="16"/>
          <w:szCs w:val="16"/>
          <w:u w:val="single" w:color="auto"/>
          <w:color w:val="0000EE"/>
        </w:rPr>
      </w:pPr>
      <w:hyperlink r:id="rId88">
        <w:r>
          <w:rPr>
            <w:rFonts w:ascii="Arial" w:cs="Arial" w:eastAsia="Arial" w:hAnsi="Arial"/>
            <w:sz w:val="16"/>
            <w:szCs w:val="16"/>
            <w:u w:val="single" w:color="auto"/>
            <w:color w:val="0000EE"/>
          </w:rPr>
          <w:t>10.01 to the Martin Marietta Materials, Inc. Quarterly Report on Form 10-Q for the quarter ended June 30, 2016) (Commission File No. 1-12744)**</w:t>
        </w:r>
      </w:hyperlink>
    </w:p>
    <w:p>
      <w:pPr>
        <w:spacing w:after="0" w:line="115" w:lineRule="exact"/>
        <w:rPr>
          <w:sz w:val="20"/>
          <w:szCs w:val="20"/>
          <w:color w:val="auto"/>
        </w:rPr>
      </w:pPr>
    </w:p>
    <w:p>
      <w:pPr>
        <w:ind w:left="800" w:right="560" w:hanging="804"/>
        <w:spacing w:after="0" w:line="285" w:lineRule="auto"/>
        <w:tabs>
          <w:tab w:leader="none" w:pos="780" w:val="left"/>
        </w:tabs>
        <w:rPr>
          <w:rFonts w:ascii="Arial" w:cs="Arial" w:eastAsia="Arial" w:hAnsi="Arial"/>
          <w:sz w:val="17"/>
          <w:szCs w:val="17"/>
          <w:u w:val="single" w:color="auto"/>
          <w:color w:val="0000EE"/>
        </w:rPr>
      </w:pPr>
      <w:r>
        <w:rPr>
          <w:rFonts w:ascii="Arial" w:cs="Arial" w:eastAsia="Arial" w:hAnsi="Arial"/>
          <w:sz w:val="17"/>
          <w:szCs w:val="17"/>
          <w:color w:val="auto"/>
        </w:rPr>
        <w:t>10.13</w:t>
      </w:r>
      <w:r>
        <w:rPr>
          <w:sz w:val="20"/>
          <w:szCs w:val="20"/>
          <w:color w:val="auto"/>
        </w:rPr>
        <w:tab/>
      </w:r>
      <w:hyperlink r:id="rId89">
        <w:r>
          <w:rPr>
            <w:rFonts w:ascii="Arial" w:cs="Arial" w:eastAsia="Arial" w:hAnsi="Arial"/>
            <w:sz w:val="17"/>
            <w:szCs w:val="17"/>
            <w:u w:val="single" w:color="auto"/>
            <w:color w:val="0000EE"/>
          </w:rPr>
          <w:t>—Martin Marietta Executive Cash Incentive Plan adopted February 18, 2016 (incorporated by reference to Exhibit 10.02 to the Martin Marietta</w:t>
        </w:r>
      </w:hyperlink>
      <w:r>
        <w:rPr>
          <w:rFonts w:ascii="Arial" w:cs="Arial" w:eastAsia="Arial" w:hAnsi="Arial"/>
          <w:sz w:val="17"/>
          <w:szCs w:val="17"/>
          <w:u w:val="single" w:color="auto"/>
          <w:color w:val="0000EE"/>
        </w:rPr>
        <w:t xml:space="preserve"> </w:t>
      </w:r>
      <w:hyperlink r:id="rId89">
        <w:r>
          <w:rPr>
            <w:rFonts w:ascii="Arial" w:cs="Arial" w:eastAsia="Arial" w:hAnsi="Arial"/>
            <w:sz w:val="17"/>
            <w:szCs w:val="17"/>
            <w:u w:val="single" w:color="auto"/>
            <w:color w:val="0000EE"/>
          </w:rPr>
          <w:t>Materials, Inc. Quarterly Report on Form 10-Q for the quarter ended June 30, 2016) (Commission File No. 1-12744)**</w:t>
        </w:r>
      </w:hyperlink>
    </w:p>
    <w:p>
      <w:pPr>
        <w:spacing w:after="0" w:line="55" w:lineRule="exact"/>
        <w:rPr>
          <w:sz w:val="20"/>
          <w:szCs w:val="20"/>
          <w:color w:val="auto"/>
        </w:rPr>
      </w:pPr>
    </w:p>
    <w:p>
      <w:pPr>
        <w:ind w:left="800" w:right="640" w:hanging="804"/>
        <w:spacing w:after="0" w:line="318" w:lineRule="auto"/>
        <w:tabs>
          <w:tab w:leader="none" w:pos="780" w:val="left"/>
        </w:tabs>
        <w:rPr>
          <w:rFonts w:ascii="Arial" w:cs="Arial" w:eastAsia="Arial" w:hAnsi="Arial"/>
          <w:sz w:val="16"/>
          <w:szCs w:val="16"/>
          <w:u w:val="single" w:color="auto"/>
          <w:color w:val="0000EE"/>
        </w:rPr>
      </w:pPr>
      <w:r>
        <w:rPr>
          <w:rFonts w:ascii="Arial" w:cs="Arial" w:eastAsia="Arial" w:hAnsi="Arial"/>
          <w:sz w:val="17"/>
          <w:szCs w:val="17"/>
          <w:color w:val="auto"/>
        </w:rPr>
        <w:t>10.14</w:t>
      </w:r>
      <w:r>
        <w:rPr>
          <w:sz w:val="20"/>
          <w:szCs w:val="20"/>
          <w:color w:val="auto"/>
        </w:rPr>
        <w:tab/>
      </w:r>
      <w:hyperlink r:id="rId90">
        <w:r>
          <w:rPr>
            <w:rFonts w:ascii="Arial" w:cs="Arial" w:eastAsia="Arial" w:hAnsi="Arial"/>
            <w:sz w:val="16"/>
            <w:szCs w:val="16"/>
            <w:u w:val="single" w:color="auto"/>
            <w:color w:val="0000EE"/>
          </w:rPr>
          <w:t>—Martin Marietta Materials, Inc. Amended Omnibus Securities Award Plan (incorporated by reference to Exhibit 10.16 to the Martin Marietta</w:t>
        </w:r>
      </w:hyperlink>
      <w:r>
        <w:rPr>
          <w:rFonts w:ascii="Arial" w:cs="Arial" w:eastAsia="Arial" w:hAnsi="Arial"/>
          <w:sz w:val="16"/>
          <w:szCs w:val="16"/>
          <w:u w:val="single" w:color="auto"/>
          <w:color w:val="0000EE"/>
        </w:rPr>
        <w:t xml:space="preserve"> </w:t>
      </w:r>
      <w:hyperlink r:id="rId90">
        <w:r>
          <w:rPr>
            <w:rFonts w:ascii="Arial" w:cs="Arial" w:eastAsia="Arial" w:hAnsi="Arial"/>
            <w:sz w:val="16"/>
            <w:szCs w:val="16"/>
            <w:u w:val="single" w:color="auto"/>
            <w:color w:val="0000EE"/>
          </w:rPr>
          <w:t>Materials, Inc. Annual Report on Form 10-K for the fiscal year ended December 31, 2000) (Commission File No. 1-12744)**</w:t>
        </w:r>
      </w:hyperlink>
    </w:p>
    <w:p>
      <w:pPr>
        <w:sectPr>
          <w:pgSz w:w="11900" w:h="16838" w:orient="portrait"/>
          <w:cols w:equalWidth="0" w:num="1">
            <w:col w:w="11360"/>
          </w:cols>
          <w:pgMar w:left="240" w:top="446" w:right="299" w:bottom="1440" w:gutter="0" w:footer="0" w:header="0"/>
        </w:sectPr>
      </w:pPr>
    </w:p>
    <w:bookmarkStart w:id="53" w:name="page54"/>
    <w:bookmarkEnd w:id="5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1">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7" w:lineRule="exact"/>
        <w:rPr>
          <w:sz w:val="20"/>
          <w:szCs w:val="20"/>
          <w:color w:val="auto"/>
        </w:rPr>
      </w:pPr>
    </w:p>
    <w:p>
      <w:pPr>
        <w:ind w:left="820" w:right="140" w:hanging="730"/>
        <w:spacing w:after="0" w:line="318" w:lineRule="auto"/>
        <w:tabs>
          <w:tab w:leader="none" w:pos="800" w:val="left"/>
        </w:tabs>
        <w:rPr>
          <w:rFonts w:ascii="Arial" w:cs="Arial" w:eastAsia="Arial" w:hAnsi="Arial"/>
          <w:sz w:val="16"/>
          <w:szCs w:val="16"/>
          <w:u w:val="single" w:color="auto"/>
          <w:color w:val="0000EE"/>
        </w:rPr>
      </w:pPr>
      <w:r>
        <w:rPr>
          <w:rFonts w:ascii="Arial" w:cs="Arial" w:eastAsia="Arial" w:hAnsi="Arial"/>
          <w:sz w:val="17"/>
          <w:szCs w:val="17"/>
          <w:color w:val="auto"/>
        </w:rPr>
        <w:t>10.15</w:t>
      </w:r>
      <w:r>
        <w:rPr>
          <w:sz w:val="20"/>
          <w:szCs w:val="20"/>
          <w:color w:val="auto"/>
        </w:rPr>
        <w:tab/>
      </w:r>
      <w:hyperlink r:id="rId92">
        <w:r>
          <w:rPr>
            <w:rFonts w:ascii="Arial" w:cs="Arial" w:eastAsia="Arial" w:hAnsi="Arial"/>
            <w:sz w:val="16"/>
            <w:szCs w:val="16"/>
            <w:u w:val="single" w:color="auto"/>
            <w:color w:val="0000EE"/>
          </w:rPr>
          <w:t>—Martin Marietta Materials, Inc. Third Amended and Restated Supplemental Excess Retirement Plan (incorporated by reference to Exhibit 10 to the</w:t>
        </w:r>
      </w:hyperlink>
      <w:r>
        <w:rPr>
          <w:rFonts w:ascii="Arial" w:cs="Arial" w:eastAsia="Arial" w:hAnsi="Arial"/>
          <w:sz w:val="16"/>
          <w:szCs w:val="16"/>
          <w:u w:val="single" w:color="auto"/>
          <w:color w:val="0000EE"/>
        </w:rPr>
        <w:t xml:space="preserve"> </w:t>
      </w:r>
      <w:hyperlink r:id="rId92">
        <w:r>
          <w:rPr>
            <w:rFonts w:ascii="Arial" w:cs="Arial" w:eastAsia="Arial" w:hAnsi="Arial"/>
            <w:sz w:val="16"/>
            <w:szCs w:val="16"/>
            <w:u w:val="single" w:color="auto"/>
            <w:color w:val="0000EE"/>
          </w:rPr>
          <w:t>Martin Marietta Materials, Inc. Quarterly Report on Form 10-Q for the quarter ended June 30, 2012) (Commission File No. 1-12744)**</w:t>
        </w:r>
      </w:hyperlink>
    </w:p>
    <w:p>
      <w:pPr>
        <w:spacing w:after="0" w:line="32" w:lineRule="exact"/>
        <w:rPr>
          <w:sz w:val="20"/>
          <w:szCs w:val="20"/>
          <w:color w:val="auto"/>
        </w:rPr>
      </w:pPr>
    </w:p>
    <w:p>
      <w:pPr>
        <w:ind w:left="820" w:right="420" w:hanging="730"/>
        <w:spacing w:after="0" w:line="270" w:lineRule="auto"/>
        <w:tabs>
          <w:tab w:leader="none" w:pos="800" w:val="left"/>
        </w:tabs>
        <w:rPr>
          <w:rFonts w:ascii="Arial" w:cs="Arial" w:eastAsia="Arial" w:hAnsi="Arial"/>
          <w:sz w:val="17"/>
          <w:szCs w:val="17"/>
          <w:u w:val="single" w:color="auto"/>
          <w:color w:val="0000EE"/>
        </w:rPr>
      </w:pPr>
      <w:r>
        <w:rPr>
          <w:rFonts w:ascii="Arial" w:cs="Arial" w:eastAsia="Arial" w:hAnsi="Arial"/>
          <w:sz w:val="17"/>
          <w:szCs w:val="17"/>
          <w:color w:val="auto"/>
        </w:rPr>
        <w:t>10.16</w:t>
      </w:r>
      <w:r>
        <w:rPr>
          <w:sz w:val="20"/>
          <w:szCs w:val="20"/>
          <w:color w:val="auto"/>
        </w:rPr>
        <w:tab/>
      </w:r>
      <w:hyperlink r:id="rId93">
        <w:r>
          <w:rPr>
            <w:rFonts w:ascii="Arial" w:cs="Arial" w:eastAsia="Arial" w:hAnsi="Arial"/>
            <w:sz w:val="17"/>
            <w:szCs w:val="17"/>
            <w:u w:val="single" w:color="auto"/>
            <w:color w:val="0000EE"/>
          </w:rPr>
          <w:t>—Form of Option Award Agreement under the Martin Marietta Materials, Inc. Amended and Restated Stock-Based Award Plan (incorporated by</w:t>
        </w:r>
      </w:hyperlink>
      <w:r>
        <w:rPr>
          <w:rFonts w:ascii="Arial" w:cs="Arial" w:eastAsia="Arial" w:hAnsi="Arial"/>
          <w:sz w:val="17"/>
          <w:szCs w:val="17"/>
          <w:u w:val="single" w:color="auto"/>
          <w:color w:val="0000EE"/>
        </w:rPr>
        <w:t xml:space="preserve"> </w:t>
      </w:r>
      <w:hyperlink r:id="rId93">
        <w:r>
          <w:rPr>
            <w:rFonts w:ascii="Arial" w:cs="Arial" w:eastAsia="Arial" w:hAnsi="Arial"/>
            <w:sz w:val="17"/>
            <w:szCs w:val="17"/>
            <w:u w:val="single" w:color="auto"/>
            <w:color w:val="0000EE"/>
          </w:rPr>
          <w:t>reference to Exhibit 10.11 to the Martin Marietta Materials, Inc. Annual Report on Form 10-K for the fiscal year ended December 31, 2008)</w:t>
        </w:r>
      </w:hyperlink>
      <w:r>
        <w:rPr>
          <w:rFonts w:ascii="Arial" w:cs="Arial" w:eastAsia="Arial" w:hAnsi="Arial"/>
          <w:sz w:val="17"/>
          <w:szCs w:val="17"/>
          <w:u w:val="single" w:color="auto"/>
          <w:color w:val="0000EE"/>
        </w:rPr>
        <w:t xml:space="preserve"> </w:t>
      </w:r>
      <w:hyperlink r:id="rId93">
        <w:r>
          <w:rPr>
            <w:rFonts w:ascii="Arial" w:cs="Arial" w:eastAsia="Arial" w:hAnsi="Arial"/>
            <w:sz w:val="17"/>
            <w:szCs w:val="17"/>
            <w:u w:val="single" w:color="auto"/>
            <w:color w:val="0000EE"/>
          </w:rPr>
          <w:t>(Commission File No. 1-12744)**</w:t>
        </w:r>
      </w:hyperlink>
    </w:p>
    <w:p>
      <w:pPr>
        <w:spacing w:after="0" w:line="67" w:lineRule="exact"/>
        <w:rPr>
          <w:rFonts w:ascii="Arial" w:cs="Arial" w:eastAsia="Arial" w:hAnsi="Arial"/>
          <w:sz w:val="17"/>
          <w:szCs w:val="17"/>
          <w:u w:val="single" w:color="auto"/>
          <w:color w:val="0000EE"/>
        </w:rPr>
      </w:pPr>
    </w:p>
    <w:p>
      <w:pPr>
        <w:ind w:left="820" w:right="360" w:hanging="730"/>
        <w:spacing w:after="0" w:line="270" w:lineRule="auto"/>
        <w:tabs>
          <w:tab w:leader="none" w:pos="800" w:val="left"/>
        </w:tabs>
        <w:rPr>
          <w:rFonts w:ascii="Arial" w:cs="Arial" w:eastAsia="Arial" w:hAnsi="Arial"/>
          <w:sz w:val="17"/>
          <w:szCs w:val="17"/>
          <w:u w:val="single" w:color="auto"/>
          <w:color w:val="0000EE"/>
        </w:rPr>
      </w:pPr>
      <w:r>
        <w:rPr>
          <w:rFonts w:ascii="Arial" w:cs="Arial" w:eastAsia="Arial" w:hAnsi="Arial"/>
          <w:sz w:val="17"/>
          <w:szCs w:val="17"/>
          <w:color w:val="auto"/>
        </w:rPr>
        <w:t>10.17</w:t>
      </w:r>
      <w:r>
        <w:rPr>
          <w:sz w:val="20"/>
          <w:szCs w:val="20"/>
          <w:color w:val="auto"/>
        </w:rPr>
        <w:tab/>
      </w:r>
      <w:hyperlink r:id="rId94">
        <w:r>
          <w:rPr>
            <w:rFonts w:ascii="Arial" w:cs="Arial" w:eastAsia="Arial" w:hAnsi="Arial"/>
            <w:sz w:val="17"/>
            <w:szCs w:val="17"/>
            <w:u w:val="single" w:color="auto"/>
            <w:color w:val="0000EE"/>
          </w:rPr>
          <w:t>—Form of Restricted Stock Unit Award Agreement under the Martin Marietta Materials, Inc. Amended and Restated Stock-Based Award Plan</w:t>
        </w:r>
      </w:hyperlink>
      <w:r>
        <w:rPr>
          <w:rFonts w:ascii="Arial" w:cs="Arial" w:eastAsia="Arial" w:hAnsi="Arial"/>
          <w:sz w:val="17"/>
          <w:szCs w:val="17"/>
          <w:u w:val="single" w:color="auto"/>
          <w:color w:val="0000EE"/>
        </w:rPr>
        <w:t xml:space="preserve"> </w:t>
      </w:r>
      <w:hyperlink r:id="rId94">
        <w:r>
          <w:rPr>
            <w:rFonts w:ascii="Arial" w:cs="Arial" w:eastAsia="Arial" w:hAnsi="Arial"/>
            <w:sz w:val="17"/>
            <w:szCs w:val="17"/>
            <w:u w:val="single" w:color="auto"/>
            <w:color w:val="0000EE"/>
          </w:rPr>
          <w:t>(incorporated by reference to Exhibit 10.01 to the Martin Marietta Materials, Inc. Quarterly Report on Form 10-Q for the quarter ended March 31,</w:t>
        </w:r>
      </w:hyperlink>
      <w:r>
        <w:rPr>
          <w:rFonts w:ascii="Arial" w:cs="Arial" w:eastAsia="Arial" w:hAnsi="Arial"/>
          <w:sz w:val="17"/>
          <w:szCs w:val="17"/>
          <w:u w:val="single" w:color="auto"/>
          <w:color w:val="0000EE"/>
        </w:rPr>
        <w:t xml:space="preserve"> </w:t>
      </w:r>
      <w:hyperlink r:id="rId94">
        <w:r>
          <w:rPr>
            <w:rFonts w:ascii="Arial" w:cs="Arial" w:eastAsia="Arial" w:hAnsi="Arial"/>
            <w:sz w:val="17"/>
            <w:szCs w:val="17"/>
            <w:u w:val="single" w:color="auto"/>
            <w:color w:val="0000EE"/>
          </w:rPr>
          <w:t>2016) (Commission File No. 1-12744)**</w:t>
        </w:r>
      </w:hyperlink>
    </w:p>
    <w:p>
      <w:pPr>
        <w:spacing w:after="0" w:line="67" w:lineRule="exact"/>
        <w:rPr>
          <w:rFonts w:ascii="Arial" w:cs="Arial" w:eastAsia="Arial" w:hAnsi="Arial"/>
          <w:sz w:val="17"/>
          <w:szCs w:val="17"/>
          <w:u w:val="single" w:color="auto"/>
          <w:color w:val="0000EE"/>
        </w:rPr>
      </w:pPr>
    </w:p>
    <w:p>
      <w:pPr>
        <w:ind w:left="820" w:right="40" w:hanging="730"/>
        <w:spacing w:after="0" w:line="270" w:lineRule="auto"/>
        <w:tabs>
          <w:tab w:leader="none" w:pos="800" w:val="left"/>
        </w:tabs>
        <w:rPr>
          <w:rFonts w:ascii="Arial" w:cs="Arial" w:eastAsia="Arial" w:hAnsi="Arial"/>
          <w:sz w:val="17"/>
          <w:szCs w:val="17"/>
          <w:u w:val="single" w:color="auto"/>
          <w:color w:val="0000EE"/>
        </w:rPr>
      </w:pPr>
      <w:r>
        <w:rPr>
          <w:rFonts w:ascii="Arial" w:cs="Arial" w:eastAsia="Arial" w:hAnsi="Arial"/>
          <w:sz w:val="17"/>
          <w:szCs w:val="17"/>
          <w:color w:val="auto"/>
        </w:rPr>
        <w:t>10.18</w:t>
      </w:r>
      <w:r>
        <w:rPr>
          <w:sz w:val="20"/>
          <w:szCs w:val="20"/>
          <w:color w:val="auto"/>
        </w:rPr>
        <w:tab/>
      </w:r>
      <w:hyperlink r:id="rId95">
        <w:r>
          <w:rPr>
            <w:rFonts w:ascii="Arial" w:cs="Arial" w:eastAsia="Arial" w:hAnsi="Arial"/>
            <w:sz w:val="17"/>
            <w:szCs w:val="17"/>
            <w:u w:val="single" w:color="auto"/>
            <w:color w:val="0000EE"/>
          </w:rPr>
          <w:t>—Form of Amendment to the Stock Unit Agreement under the Martin Marietta Materials, Inc. Amended and Restated Stock-Based Award Plan</w:t>
        </w:r>
      </w:hyperlink>
      <w:r>
        <w:rPr>
          <w:rFonts w:ascii="Arial" w:cs="Arial" w:eastAsia="Arial" w:hAnsi="Arial"/>
          <w:sz w:val="17"/>
          <w:szCs w:val="17"/>
          <w:u w:val="single" w:color="auto"/>
          <w:color w:val="0000EE"/>
        </w:rPr>
        <w:t xml:space="preserve"> </w:t>
      </w:r>
      <w:hyperlink r:id="rId95">
        <w:r>
          <w:rPr>
            <w:rFonts w:ascii="Arial" w:cs="Arial" w:eastAsia="Arial" w:hAnsi="Arial"/>
            <w:sz w:val="17"/>
            <w:szCs w:val="17"/>
            <w:u w:val="single" w:color="auto"/>
            <w:color w:val="0000EE"/>
          </w:rPr>
          <w:t>(incorporated by reference to Exhibit 10.13 to the Martin Marietta Materials, Inc. Annual Report on Form 10-K for the fiscal year ended December 31,</w:t>
        </w:r>
      </w:hyperlink>
      <w:r>
        <w:rPr>
          <w:rFonts w:ascii="Arial" w:cs="Arial" w:eastAsia="Arial" w:hAnsi="Arial"/>
          <w:sz w:val="17"/>
          <w:szCs w:val="17"/>
          <w:u w:val="single" w:color="auto"/>
          <w:color w:val="0000EE"/>
        </w:rPr>
        <w:t xml:space="preserve"> </w:t>
      </w:r>
      <w:hyperlink r:id="rId95">
        <w:r>
          <w:rPr>
            <w:rFonts w:ascii="Arial" w:cs="Arial" w:eastAsia="Arial" w:hAnsi="Arial"/>
            <w:sz w:val="17"/>
            <w:szCs w:val="17"/>
            <w:u w:val="single" w:color="auto"/>
            <w:color w:val="0000EE"/>
          </w:rPr>
          <w:t>2008) (Commission File No. 1-12744)**</w:t>
        </w:r>
      </w:hyperlink>
    </w:p>
    <w:p>
      <w:pPr>
        <w:spacing w:after="0" w:line="67" w:lineRule="exact"/>
        <w:rPr>
          <w:rFonts w:ascii="Arial" w:cs="Arial" w:eastAsia="Arial" w:hAnsi="Arial"/>
          <w:sz w:val="17"/>
          <w:szCs w:val="17"/>
          <w:u w:val="single" w:color="auto"/>
          <w:color w:val="0000EE"/>
        </w:rPr>
      </w:pPr>
    </w:p>
    <w:p>
      <w:pPr>
        <w:ind w:left="820" w:right="40" w:hanging="730"/>
        <w:spacing w:after="0" w:line="270" w:lineRule="auto"/>
        <w:tabs>
          <w:tab w:leader="none" w:pos="800" w:val="left"/>
        </w:tabs>
        <w:rPr>
          <w:rFonts w:ascii="Arial" w:cs="Arial" w:eastAsia="Arial" w:hAnsi="Arial"/>
          <w:sz w:val="17"/>
          <w:szCs w:val="17"/>
          <w:u w:val="single" w:color="auto"/>
          <w:color w:val="0000EE"/>
        </w:rPr>
      </w:pPr>
      <w:r>
        <w:rPr>
          <w:rFonts w:ascii="Arial" w:cs="Arial" w:eastAsia="Arial" w:hAnsi="Arial"/>
          <w:sz w:val="17"/>
          <w:szCs w:val="17"/>
          <w:color w:val="auto"/>
        </w:rPr>
        <w:t>10.19</w:t>
      </w:r>
      <w:r>
        <w:rPr>
          <w:sz w:val="20"/>
          <w:szCs w:val="20"/>
          <w:color w:val="auto"/>
        </w:rPr>
        <w:tab/>
      </w:r>
      <w:hyperlink r:id="rId96">
        <w:r>
          <w:rPr>
            <w:rFonts w:ascii="Arial" w:cs="Arial" w:eastAsia="Arial" w:hAnsi="Arial"/>
            <w:sz w:val="17"/>
            <w:szCs w:val="17"/>
            <w:u w:val="single" w:color="auto"/>
            <w:color w:val="0000EE"/>
          </w:rPr>
          <w:t>—Form of Restricted Stock Unit Agreement for Directors under the Martin Marietta Materials, Inc. Amended and Restated Stock-Based Award Plan</w:t>
        </w:r>
      </w:hyperlink>
      <w:r>
        <w:rPr>
          <w:rFonts w:ascii="Arial" w:cs="Arial" w:eastAsia="Arial" w:hAnsi="Arial"/>
          <w:sz w:val="17"/>
          <w:szCs w:val="17"/>
          <w:u w:val="single" w:color="auto"/>
          <w:color w:val="0000EE"/>
        </w:rPr>
        <w:t xml:space="preserve"> </w:t>
      </w:r>
      <w:hyperlink r:id="rId96">
        <w:r>
          <w:rPr>
            <w:rFonts w:ascii="Arial" w:cs="Arial" w:eastAsia="Arial" w:hAnsi="Arial"/>
            <w:sz w:val="17"/>
            <w:szCs w:val="17"/>
            <w:u w:val="single" w:color="auto"/>
            <w:color w:val="0000EE"/>
          </w:rPr>
          <w:t>(incorporated by reference to Exhibit 10.14 to the Martin Marietta Materials, Inc. Annual Report on Form 10-K for the fiscal year ended December 31,</w:t>
        </w:r>
      </w:hyperlink>
      <w:r>
        <w:rPr>
          <w:rFonts w:ascii="Arial" w:cs="Arial" w:eastAsia="Arial" w:hAnsi="Arial"/>
          <w:sz w:val="17"/>
          <w:szCs w:val="17"/>
          <w:u w:val="single" w:color="auto"/>
          <w:color w:val="0000EE"/>
        </w:rPr>
        <w:t xml:space="preserve"> </w:t>
      </w:r>
      <w:hyperlink r:id="rId96">
        <w:r>
          <w:rPr>
            <w:rFonts w:ascii="Arial" w:cs="Arial" w:eastAsia="Arial" w:hAnsi="Arial"/>
            <w:sz w:val="17"/>
            <w:szCs w:val="17"/>
            <w:u w:val="single" w:color="auto"/>
            <w:color w:val="0000EE"/>
          </w:rPr>
          <w:t>2013) (Commission File No. 1-12744)**</w:t>
        </w:r>
      </w:hyperlink>
    </w:p>
    <w:p>
      <w:pPr>
        <w:spacing w:after="0" w:line="67" w:lineRule="exact"/>
        <w:rPr>
          <w:rFonts w:ascii="Arial" w:cs="Arial" w:eastAsia="Arial" w:hAnsi="Arial"/>
          <w:sz w:val="17"/>
          <w:szCs w:val="17"/>
          <w:u w:val="single" w:color="auto"/>
          <w:color w:val="0000EE"/>
        </w:rPr>
      </w:pPr>
    </w:p>
    <w:p>
      <w:pPr>
        <w:ind w:left="820" w:right="40" w:hanging="730"/>
        <w:spacing w:after="0" w:line="270" w:lineRule="auto"/>
        <w:tabs>
          <w:tab w:leader="none" w:pos="800" w:val="left"/>
        </w:tabs>
        <w:rPr>
          <w:rFonts w:ascii="Arial" w:cs="Arial" w:eastAsia="Arial" w:hAnsi="Arial"/>
          <w:sz w:val="17"/>
          <w:szCs w:val="17"/>
          <w:u w:val="single" w:color="auto"/>
          <w:color w:val="0000EE"/>
        </w:rPr>
      </w:pPr>
      <w:r>
        <w:rPr>
          <w:rFonts w:ascii="Arial" w:cs="Arial" w:eastAsia="Arial" w:hAnsi="Arial"/>
          <w:sz w:val="17"/>
          <w:szCs w:val="17"/>
          <w:color w:val="auto"/>
        </w:rPr>
        <w:t>10.20</w:t>
      </w:r>
      <w:r>
        <w:rPr>
          <w:sz w:val="20"/>
          <w:szCs w:val="20"/>
          <w:color w:val="auto"/>
        </w:rPr>
        <w:tab/>
      </w:r>
      <w:hyperlink r:id="rId97">
        <w:r>
          <w:rPr>
            <w:rFonts w:ascii="Arial" w:cs="Arial" w:eastAsia="Arial" w:hAnsi="Arial"/>
            <w:sz w:val="17"/>
            <w:szCs w:val="17"/>
            <w:u w:val="single" w:color="auto"/>
            <w:color w:val="0000EE"/>
          </w:rPr>
          <w:t>—Form of Special Restricted Stock Unit Agreement under the Martin Marietta Materials, Inc. Amended and Restated Stock-Based Award Plan</w:t>
        </w:r>
      </w:hyperlink>
      <w:r>
        <w:rPr>
          <w:rFonts w:ascii="Arial" w:cs="Arial" w:eastAsia="Arial" w:hAnsi="Arial"/>
          <w:sz w:val="17"/>
          <w:szCs w:val="17"/>
          <w:u w:val="single" w:color="auto"/>
          <w:color w:val="0000EE"/>
        </w:rPr>
        <w:t xml:space="preserve"> </w:t>
      </w:r>
      <w:hyperlink r:id="rId97">
        <w:r>
          <w:rPr>
            <w:rFonts w:ascii="Arial" w:cs="Arial" w:eastAsia="Arial" w:hAnsi="Arial"/>
            <w:sz w:val="17"/>
            <w:szCs w:val="17"/>
            <w:u w:val="single" w:color="auto"/>
            <w:color w:val="0000EE"/>
          </w:rPr>
          <w:t>(incorporated by reference to Exhibit 10.19 to the Martin Marietta Materials, Inc. Annual Report on Form 10-K for the fiscal year ended December 31,</w:t>
        </w:r>
      </w:hyperlink>
      <w:r>
        <w:rPr>
          <w:rFonts w:ascii="Arial" w:cs="Arial" w:eastAsia="Arial" w:hAnsi="Arial"/>
          <w:sz w:val="17"/>
          <w:szCs w:val="17"/>
          <w:u w:val="single" w:color="auto"/>
          <w:color w:val="0000EE"/>
        </w:rPr>
        <w:t xml:space="preserve"> </w:t>
      </w:r>
      <w:hyperlink r:id="rId97">
        <w:r>
          <w:rPr>
            <w:rFonts w:ascii="Arial" w:cs="Arial" w:eastAsia="Arial" w:hAnsi="Arial"/>
            <w:sz w:val="17"/>
            <w:szCs w:val="17"/>
            <w:u w:val="single" w:color="auto"/>
            <w:color w:val="0000EE"/>
          </w:rPr>
          <w:t>2014) (Commission File No. 1-12744)**</w:t>
        </w:r>
      </w:hyperlink>
    </w:p>
    <w:p>
      <w:pPr>
        <w:spacing w:after="0" w:line="67" w:lineRule="exact"/>
        <w:rPr>
          <w:rFonts w:ascii="Arial" w:cs="Arial" w:eastAsia="Arial" w:hAnsi="Arial"/>
          <w:sz w:val="17"/>
          <w:szCs w:val="17"/>
          <w:u w:val="single" w:color="auto"/>
          <w:color w:val="0000EE"/>
        </w:rPr>
      </w:pPr>
    </w:p>
    <w:p>
      <w:pPr>
        <w:jc w:val="both"/>
        <w:ind w:left="820" w:right="360" w:hanging="730"/>
        <w:spacing w:after="0" w:line="270" w:lineRule="auto"/>
        <w:tabs>
          <w:tab w:leader="none" w:pos="800" w:val="left"/>
        </w:tabs>
        <w:rPr>
          <w:rFonts w:ascii="Arial" w:cs="Arial" w:eastAsia="Arial" w:hAnsi="Arial"/>
          <w:sz w:val="17"/>
          <w:szCs w:val="17"/>
          <w:u w:val="single" w:color="auto"/>
          <w:color w:val="0000EE"/>
        </w:rPr>
      </w:pPr>
      <w:r>
        <w:rPr>
          <w:rFonts w:ascii="Arial" w:cs="Arial" w:eastAsia="Arial" w:hAnsi="Arial"/>
          <w:sz w:val="17"/>
          <w:szCs w:val="17"/>
          <w:color w:val="auto"/>
        </w:rPr>
        <w:t>10.21</w:t>
      </w:r>
      <w:r>
        <w:rPr>
          <w:sz w:val="20"/>
          <w:szCs w:val="20"/>
          <w:color w:val="auto"/>
        </w:rPr>
        <w:tab/>
      </w:r>
      <w:hyperlink r:id="rId98">
        <w:r>
          <w:rPr>
            <w:rFonts w:ascii="Arial" w:cs="Arial" w:eastAsia="Arial" w:hAnsi="Arial"/>
            <w:sz w:val="17"/>
            <w:szCs w:val="17"/>
            <w:u w:val="single" w:color="auto"/>
            <w:color w:val="0000EE"/>
          </w:rPr>
          <w:t>—Form of Performance Share Unit Award Agreement under the Martin Marietta Materials, Inc. Amended and Restated Stock-Based Award Plan</w:t>
        </w:r>
      </w:hyperlink>
      <w:r>
        <w:rPr>
          <w:rFonts w:ascii="Arial" w:cs="Arial" w:eastAsia="Arial" w:hAnsi="Arial"/>
          <w:sz w:val="17"/>
          <w:szCs w:val="17"/>
          <w:u w:val="single" w:color="auto"/>
          <w:color w:val="0000EE"/>
        </w:rPr>
        <w:t xml:space="preserve"> </w:t>
      </w:r>
      <w:hyperlink r:id="rId98">
        <w:r>
          <w:rPr>
            <w:rFonts w:ascii="Arial" w:cs="Arial" w:eastAsia="Arial" w:hAnsi="Arial"/>
            <w:sz w:val="17"/>
            <w:szCs w:val="17"/>
            <w:u w:val="single" w:color="auto"/>
            <w:color w:val="0000EE"/>
          </w:rPr>
          <w:t>(incorporated by reference to Exhibit 10.01 to the Martin Marietta Materials, Inc. Quarterly Report on Form 10-Q for the quarter ended March 31,</w:t>
        </w:r>
      </w:hyperlink>
      <w:r>
        <w:rPr>
          <w:rFonts w:ascii="Arial" w:cs="Arial" w:eastAsia="Arial" w:hAnsi="Arial"/>
          <w:sz w:val="17"/>
          <w:szCs w:val="17"/>
          <w:u w:val="single" w:color="auto"/>
          <w:color w:val="0000EE"/>
        </w:rPr>
        <w:t xml:space="preserve"> </w:t>
      </w:r>
      <w:hyperlink r:id="rId98">
        <w:r>
          <w:rPr>
            <w:rFonts w:ascii="Arial" w:cs="Arial" w:eastAsia="Arial" w:hAnsi="Arial"/>
            <w:sz w:val="17"/>
            <w:szCs w:val="17"/>
            <w:u w:val="single" w:color="auto"/>
            <w:color w:val="0000EE"/>
          </w:rPr>
          <w:t>2017) (Commission File No. 1-12744)**</w:t>
        </w:r>
      </w:hyperlink>
    </w:p>
    <w:p>
      <w:pPr>
        <w:spacing w:after="0" w:line="67" w:lineRule="exact"/>
        <w:rPr>
          <w:rFonts w:ascii="Arial" w:cs="Arial" w:eastAsia="Arial" w:hAnsi="Arial"/>
          <w:sz w:val="17"/>
          <w:szCs w:val="17"/>
          <w:u w:val="single" w:color="auto"/>
          <w:color w:val="0000EE"/>
        </w:rPr>
      </w:pPr>
    </w:p>
    <w:p>
      <w:pPr>
        <w:ind w:left="820" w:right="40" w:hanging="730"/>
        <w:spacing w:after="0" w:line="270" w:lineRule="auto"/>
        <w:tabs>
          <w:tab w:leader="none" w:pos="800" w:val="left"/>
        </w:tabs>
        <w:rPr>
          <w:rFonts w:ascii="Arial" w:cs="Arial" w:eastAsia="Arial" w:hAnsi="Arial"/>
          <w:sz w:val="17"/>
          <w:szCs w:val="17"/>
          <w:u w:val="single" w:color="auto"/>
          <w:color w:val="0000EE"/>
        </w:rPr>
      </w:pPr>
      <w:r>
        <w:rPr>
          <w:rFonts w:ascii="Arial" w:cs="Arial" w:eastAsia="Arial" w:hAnsi="Arial"/>
          <w:sz w:val="17"/>
          <w:szCs w:val="17"/>
          <w:color w:val="auto"/>
        </w:rPr>
        <w:t>10.22</w:t>
      </w:r>
      <w:r>
        <w:rPr>
          <w:sz w:val="20"/>
          <w:szCs w:val="20"/>
          <w:color w:val="auto"/>
        </w:rPr>
        <w:tab/>
      </w:r>
      <w:hyperlink r:id="rId99">
        <w:r>
          <w:rPr>
            <w:rFonts w:ascii="Arial" w:cs="Arial" w:eastAsia="Arial" w:hAnsi="Arial"/>
            <w:sz w:val="17"/>
            <w:szCs w:val="17"/>
            <w:u w:val="single" w:color="auto"/>
            <w:color w:val="0000EE"/>
          </w:rPr>
          <w:t>—Form of Performance-Based Restricted Stock Unit Award Agreement under the Martin Marietta Materials, Inc. Amended and Restated Stock-Based</w:t>
        </w:r>
      </w:hyperlink>
      <w:r>
        <w:rPr>
          <w:rFonts w:ascii="Arial" w:cs="Arial" w:eastAsia="Arial" w:hAnsi="Arial"/>
          <w:sz w:val="17"/>
          <w:szCs w:val="17"/>
          <w:u w:val="single" w:color="auto"/>
          <w:color w:val="0000EE"/>
        </w:rPr>
        <w:t xml:space="preserve"> </w:t>
      </w:r>
      <w:hyperlink r:id="rId99">
        <w:r>
          <w:rPr>
            <w:rFonts w:ascii="Arial" w:cs="Arial" w:eastAsia="Arial" w:hAnsi="Arial"/>
            <w:sz w:val="17"/>
            <w:szCs w:val="17"/>
            <w:u w:val="single" w:color="auto"/>
            <w:color w:val="0000EE"/>
          </w:rPr>
          <w:t>Award Plan (incorporated by reference to Exhibit 10.02 to the Martin Marietta Materials, Inc. Quarterly Report on Form 10-Q for the quarter ended</w:t>
        </w:r>
      </w:hyperlink>
      <w:r>
        <w:rPr>
          <w:rFonts w:ascii="Arial" w:cs="Arial" w:eastAsia="Arial" w:hAnsi="Arial"/>
          <w:sz w:val="17"/>
          <w:szCs w:val="17"/>
          <w:u w:val="single" w:color="auto"/>
          <w:color w:val="0000EE"/>
        </w:rPr>
        <w:t xml:space="preserve"> </w:t>
      </w:r>
      <w:hyperlink r:id="rId99">
        <w:r>
          <w:rPr>
            <w:rFonts w:ascii="Arial" w:cs="Arial" w:eastAsia="Arial" w:hAnsi="Arial"/>
            <w:sz w:val="17"/>
            <w:szCs w:val="17"/>
            <w:u w:val="single" w:color="auto"/>
            <w:color w:val="0000EE"/>
          </w:rPr>
          <w:t>March 31, 2017) (Commission File No. 1-12744)**</w:t>
        </w:r>
      </w:hyperlink>
    </w:p>
    <w:p>
      <w:pPr>
        <w:spacing w:after="0" w:line="67" w:lineRule="exact"/>
        <w:rPr>
          <w:rFonts w:ascii="Arial" w:cs="Arial" w:eastAsia="Arial" w:hAnsi="Arial"/>
          <w:sz w:val="17"/>
          <w:szCs w:val="17"/>
          <w:u w:val="single" w:color="auto"/>
          <w:color w:val="0000EE"/>
        </w:rPr>
      </w:pPr>
    </w:p>
    <w:p>
      <w:pPr>
        <w:ind w:left="820" w:right="480" w:hanging="730"/>
        <w:spacing w:after="0" w:line="270" w:lineRule="auto"/>
        <w:tabs>
          <w:tab w:leader="none" w:pos="800" w:val="left"/>
        </w:tabs>
        <w:rPr>
          <w:rFonts w:ascii="Arial" w:cs="Arial" w:eastAsia="Arial" w:hAnsi="Arial"/>
          <w:sz w:val="17"/>
          <w:szCs w:val="17"/>
          <w:u w:val="single" w:color="auto"/>
          <w:color w:val="0000EE"/>
        </w:rPr>
      </w:pPr>
      <w:r>
        <w:rPr>
          <w:rFonts w:ascii="Arial" w:cs="Arial" w:eastAsia="Arial" w:hAnsi="Arial"/>
          <w:sz w:val="17"/>
          <w:szCs w:val="17"/>
          <w:color w:val="auto"/>
        </w:rPr>
        <w:t>10.23</w:t>
      </w:r>
      <w:r>
        <w:rPr>
          <w:sz w:val="20"/>
          <w:szCs w:val="20"/>
          <w:color w:val="auto"/>
        </w:rPr>
        <w:tab/>
      </w:r>
      <w:hyperlink r:id="rId100">
        <w:r>
          <w:rPr>
            <w:rFonts w:ascii="Arial" w:cs="Arial" w:eastAsia="Arial" w:hAnsi="Arial"/>
            <w:sz w:val="17"/>
            <w:szCs w:val="17"/>
            <w:u w:val="single" w:color="auto"/>
            <w:color w:val="0000EE"/>
          </w:rPr>
          <w:t>—Offer Letter, dated as of June 9, 2017, by and between Martin Marietta Materials, Inc. and James A. J. Nickolas (incorporated by reference to</w:t>
        </w:r>
      </w:hyperlink>
      <w:r>
        <w:rPr>
          <w:rFonts w:ascii="Arial" w:cs="Arial" w:eastAsia="Arial" w:hAnsi="Arial"/>
          <w:sz w:val="17"/>
          <w:szCs w:val="17"/>
          <w:u w:val="single" w:color="auto"/>
          <w:color w:val="0000EE"/>
        </w:rPr>
        <w:t xml:space="preserve"> </w:t>
      </w:r>
      <w:hyperlink r:id="rId100">
        <w:r>
          <w:rPr>
            <w:rFonts w:ascii="Arial" w:cs="Arial" w:eastAsia="Arial" w:hAnsi="Arial"/>
            <w:sz w:val="17"/>
            <w:szCs w:val="17"/>
            <w:u w:val="single" w:color="auto"/>
            <w:color w:val="0000EE"/>
          </w:rPr>
          <w:t>Exhibit 10.01 to the Martin Marietta Materials, Inc. Quarterly Report on Form 10-Q for the quarter ended June 30, 2017) (Commission File</w:t>
        </w:r>
      </w:hyperlink>
      <w:r>
        <w:rPr>
          <w:rFonts w:ascii="Arial" w:cs="Arial" w:eastAsia="Arial" w:hAnsi="Arial"/>
          <w:sz w:val="17"/>
          <w:szCs w:val="17"/>
          <w:u w:val="single" w:color="auto"/>
          <w:color w:val="0000EE"/>
        </w:rPr>
        <w:t xml:space="preserve"> </w:t>
      </w:r>
      <w:hyperlink r:id="rId100">
        <w:r>
          <w:rPr>
            <w:rFonts w:ascii="Arial" w:cs="Arial" w:eastAsia="Arial" w:hAnsi="Arial"/>
            <w:sz w:val="17"/>
            <w:szCs w:val="17"/>
            <w:u w:val="single" w:color="auto"/>
            <w:color w:val="0000EE"/>
          </w:rPr>
          <w:t>No. 1-12744)**</w:t>
        </w:r>
      </w:hyperlink>
    </w:p>
    <w:p>
      <w:pPr>
        <w:spacing w:after="0" w:line="67" w:lineRule="exact"/>
        <w:rPr>
          <w:rFonts w:ascii="Arial" w:cs="Arial" w:eastAsia="Arial" w:hAnsi="Arial"/>
          <w:sz w:val="17"/>
          <w:szCs w:val="17"/>
          <w:u w:val="single" w:color="auto"/>
          <w:color w:val="0000EE"/>
        </w:rPr>
      </w:pPr>
    </w:p>
    <w:p>
      <w:pPr>
        <w:spacing w:after="0"/>
        <w:tabs>
          <w:tab w:leader="none" w:pos="800" w:val="left"/>
        </w:tabs>
        <w:rPr>
          <w:rFonts w:ascii="Arial" w:cs="Arial" w:eastAsia="Arial" w:hAnsi="Arial"/>
          <w:sz w:val="15"/>
          <w:szCs w:val="15"/>
          <w:u w:val="single" w:color="auto"/>
          <w:color w:val="0000EE"/>
        </w:rPr>
      </w:pPr>
      <w:r>
        <w:rPr>
          <w:rFonts w:ascii="Arial" w:cs="Arial" w:eastAsia="Arial" w:hAnsi="Arial"/>
          <w:sz w:val="17"/>
          <w:szCs w:val="17"/>
          <w:color w:val="auto"/>
        </w:rPr>
        <w:t>*12.01</w:t>
      </w:r>
      <w:r>
        <w:rPr>
          <w:sz w:val="20"/>
          <w:szCs w:val="20"/>
          <w:color w:val="auto"/>
        </w:rPr>
        <w:tab/>
      </w:r>
      <w:hyperlink w:anchor="page59">
        <w:r>
          <w:rPr>
            <w:rFonts w:ascii="Arial" w:cs="Arial" w:eastAsia="Arial" w:hAnsi="Arial"/>
            <w:sz w:val="15"/>
            <w:szCs w:val="15"/>
            <w:u w:val="single" w:color="auto"/>
            <w:color w:val="0000EE"/>
          </w:rPr>
          <w:t>—Computation of ratio of earnings to fixed charges for the year ended December 31, 2017</w:t>
        </w:r>
      </w:hyperlink>
    </w:p>
    <w:p>
      <w:pPr>
        <w:spacing w:after="0" w:line="116" w:lineRule="exact"/>
        <w:rPr>
          <w:rFonts w:ascii="Arial" w:cs="Arial" w:eastAsia="Arial" w:hAnsi="Arial"/>
          <w:sz w:val="17"/>
          <w:szCs w:val="17"/>
          <w:u w:val="single" w:color="auto"/>
          <w:color w:val="0000EE"/>
        </w:rPr>
      </w:pPr>
    </w:p>
    <w:p>
      <w:pPr>
        <w:ind w:left="820" w:hanging="817"/>
        <w:spacing w:after="0" w:line="270" w:lineRule="auto"/>
        <w:tabs>
          <w:tab w:leader="none" w:pos="800" w:val="left"/>
        </w:tabs>
        <w:rPr>
          <w:rFonts w:ascii="Arial" w:cs="Arial" w:eastAsia="Arial" w:hAnsi="Arial"/>
          <w:sz w:val="17"/>
          <w:szCs w:val="17"/>
          <w:u w:val="single" w:color="auto"/>
          <w:color w:val="0000EE"/>
        </w:rPr>
      </w:pPr>
      <w:r>
        <w:rPr>
          <w:rFonts w:ascii="Arial" w:cs="Arial" w:eastAsia="Arial" w:hAnsi="Arial"/>
          <w:sz w:val="17"/>
          <w:szCs w:val="17"/>
          <w:color w:val="auto"/>
        </w:rPr>
        <w:t>*13.01</w:t>
      </w:r>
      <w:r>
        <w:rPr>
          <w:sz w:val="20"/>
          <w:szCs w:val="20"/>
          <w:color w:val="auto"/>
        </w:rPr>
        <w:tab/>
      </w:r>
      <w:hyperlink w:anchor="page60">
        <w:r>
          <w:rPr>
            <w:rFonts w:ascii="Arial" w:cs="Arial" w:eastAsia="Arial" w:hAnsi="Arial"/>
            <w:sz w:val="17"/>
            <w:szCs w:val="17"/>
            <w:u w:val="single" w:color="auto"/>
            <w:color w:val="0000EE"/>
          </w:rPr>
          <w:t>—Excerpts from Martin Marietta Materials, Inc. 2017 Annual Report to Shareholders, portions of which are incorporated by reference in this Form 10-</w:t>
        </w:r>
      </w:hyperlink>
      <w:hyperlink w:anchor="page60">
        <w:r>
          <w:rPr>
            <w:rFonts w:ascii="Arial" w:cs="Arial" w:eastAsia="Arial" w:hAnsi="Arial"/>
            <w:sz w:val="17"/>
            <w:szCs w:val="17"/>
            <w:u w:val="single" w:color="auto"/>
            <w:color w:val="0000EE"/>
          </w:rPr>
          <w:t>K. Those portions of the 2017 Annual Report to Shareholders that are not incorporated by reference shall not be deemed to be “filed” as part of this</w:t>
        </w:r>
      </w:hyperlink>
      <w:r>
        <w:rPr>
          <w:rFonts w:ascii="Arial" w:cs="Arial" w:eastAsia="Arial" w:hAnsi="Arial"/>
          <w:sz w:val="17"/>
          <w:szCs w:val="17"/>
          <w:u w:val="single" w:color="auto"/>
          <w:color w:val="0000EE"/>
        </w:rPr>
        <w:t xml:space="preserve"> </w:t>
      </w:r>
      <w:hyperlink w:anchor="page60">
        <w:r>
          <w:rPr>
            <w:rFonts w:ascii="Arial" w:cs="Arial" w:eastAsia="Arial" w:hAnsi="Arial"/>
            <w:sz w:val="17"/>
            <w:szCs w:val="17"/>
            <w:u w:val="single" w:color="auto"/>
            <w:color w:val="0000EE"/>
          </w:rPr>
          <w:t>report.</w:t>
        </w:r>
      </w:hyperlink>
    </w:p>
    <w:p>
      <w:pPr>
        <w:spacing w:after="0" w:line="67" w:lineRule="exact"/>
        <w:rPr>
          <w:rFonts w:ascii="Arial" w:cs="Arial" w:eastAsia="Arial" w:hAnsi="Arial"/>
          <w:sz w:val="17"/>
          <w:szCs w:val="17"/>
          <w:u w:val="single" w:color="auto"/>
          <w:color w:val="0000EE"/>
        </w:rPr>
      </w:pPr>
    </w:p>
    <w:p>
      <w:pPr>
        <w:spacing w:after="0"/>
        <w:tabs>
          <w:tab w:leader="none" w:pos="800" w:val="left"/>
        </w:tabs>
        <w:rPr>
          <w:rFonts w:ascii="Arial" w:cs="Arial" w:eastAsia="Arial" w:hAnsi="Arial"/>
          <w:sz w:val="16"/>
          <w:szCs w:val="16"/>
          <w:u w:val="single" w:color="auto"/>
          <w:color w:val="0000EE"/>
        </w:rPr>
      </w:pPr>
      <w:r>
        <w:rPr>
          <w:rFonts w:ascii="Arial" w:cs="Arial" w:eastAsia="Arial" w:hAnsi="Arial"/>
          <w:sz w:val="17"/>
          <w:szCs w:val="17"/>
          <w:color w:val="auto"/>
        </w:rPr>
        <w:t>*21.01</w:t>
      </w:r>
      <w:r>
        <w:rPr>
          <w:sz w:val="20"/>
          <w:szCs w:val="20"/>
          <w:color w:val="auto"/>
        </w:rPr>
        <w:tab/>
      </w:r>
      <w:hyperlink w:anchor="page142">
        <w:r>
          <w:rPr>
            <w:rFonts w:ascii="Arial" w:cs="Arial" w:eastAsia="Arial" w:hAnsi="Arial"/>
            <w:sz w:val="16"/>
            <w:szCs w:val="16"/>
            <w:u w:val="single" w:color="auto"/>
            <w:color w:val="0000EE"/>
          </w:rPr>
          <w:t>—List of subsidiaries of Martin Marietta Materials, Inc.</w:t>
        </w:r>
      </w:hyperlink>
    </w:p>
    <w:p>
      <w:pPr>
        <w:spacing w:after="0" w:line="116" w:lineRule="exact"/>
        <w:rPr>
          <w:rFonts w:ascii="Arial" w:cs="Arial" w:eastAsia="Arial" w:hAnsi="Arial"/>
          <w:sz w:val="17"/>
          <w:szCs w:val="17"/>
          <w:u w:val="single" w:color="auto"/>
          <w:color w:val="0000EE"/>
        </w:rPr>
      </w:pPr>
    </w:p>
    <w:p>
      <w:pPr>
        <w:ind w:left="820" w:right="380" w:hanging="817"/>
        <w:spacing w:after="0" w:line="285" w:lineRule="auto"/>
        <w:tabs>
          <w:tab w:leader="none" w:pos="800" w:val="left"/>
        </w:tabs>
        <w:rPr>
          <w:rFonts w:ascii="Arial" w:cs="Arial" w:eastAsia="Arial" w:hAnsi="Arial"/>
          <w:sz w:val="17"/>
          <w:szCs w:val="17"/>
          <w:u w:val="single" w:color="auto"/>
          <w:color w:val="0000EE"/>
        </w:rPr>
      </w:pPr>
      <w:r>
        <w:rPr>
          <w:rFonts w:ascii="Arial" w:cs="Arial" w:eastAsia="Arial" w:hAnsi="Arial"/>
          <w:sz w:val="17"/>
          <w:szCs w:val="17"/>
          <w:color w:val="auto"/>
        </w:rPr>
        <w:t>*23.01</w:t>
      </w:r>
      <w:r>
        <w:rPr>
          <w:sz w:val="20"/>
          <w:szCs w:val="20"/>
          <w:color w:val="auto"/>
        </w:rPr>
        <w:tab/>
      </w:r>
      <w:hyperlink w:anchor="page147">
        <w:r>
          <w:rPr>
            <w:rFonts w:ascii="Arial" w:cs="Arial" w:eastAsia="Arial" w:hAnsi="Arial"/>
            <w:sz w:val="17"/>
            <w:szCs w:val="17"/>
            <w:u w:val="single" w:color="auto"/>
            <w:color w:val="0000EE"/>
          </w:rPr>
          <w:t>—Consent of PricewaterhouseCoopers LLP, Independent Registered Public Accounting Firm for Martin Marietta Materials, Inc. and consolidated</w:t>
        </w:r>
      </w:hyperlink>
      <w:r>
        <w:rPr>
          <w:rFonts w:ascii="Arial" w:cs="Arial" w:eastAsia="Arial" w:hAnsi="Arial"/>
          <w:sz w:val="17"/>
          <w:szCs w:val="17"/>
          <w:u w:val="single" w:color="auto"/>
          <w:color w:val="0000EE"/>
        </w:rPr>
        <w:t xml:space="preserve"> </w:t>
      </w:r>
      <w:hyperlink w:anchor="page147">
        <w:r>
          <w:rPr>
            <w:rFonts w:ascii="Arial" w:cs="Arial" w:eastAsia="Arial" w:hAnsi="Arial"/>
            <w:sz w:val="17"/>
            <w:szCs w:val="17"/>
            <w:u w:val="single" w:color="auto"/>
            <w:color w:val="0000EE"/>
          </w:rPr>
          <w:t>subsidiaries</w:t>
        </w:r>
      </w:hyperlink>
    </w:p>
    <w:p>
      <w:pPr>
        <w:spacing w:after="0" w:line="55" w:lineRule="exact"/>
        <w:rPr>
          <w:sz w:val="20"/>
          <w:szCs w:val="20"/>
          <w:color w:val="auto"/>
        </w:rPr>
      </w:pPr>
    </w:p>
    <w:p>
      <w:pPr>
        <w:spacing w:after="0"/>
        <w:tabs>
          <w:tab w:leader="none" w:pos="800" w:val="left"/>
        </w:tabs>
        <w:rPr>
          <w:rFonts w:ascii="Arial" w:cs="Arial" w:eastAsia="Arial" w:hAnsi="Arial"/>
          <w:sz w:val="15"/>
          <w:szCs w:val="15"/>
          <w:u w:val="single" w:color="auto"/>
          <w:color w:val="0000EE"/>
        </w:rPr>
      </w:pPr>
      <w:r>
        <w:rPr>
          <w:rFonts w:ascii="Arial" w:cs="Arial" w:eastAsia="Arial" w:hAnsi="Arial"/>
          <w:sz w:val="17"/>
          <w:szCs w:val="17"/>
          <w:color w:val="auto"/>
        </w:rPr>
        <w:t>*23.02</w:t>
      </w:r>
      <w:r>
        <w:rPr>
          <w:sz w:val="20"/>
          <w:szCs w:val="20"/>
          <w:color w:val="auto"/>
        </w:rPr>
        <w:tab/>
      </w:r>
      <w:hyperlink w:anchor="page148">
        <w:r>
          <w:rPr>
            <w:rFonts w:ascii="Arial" w:cs="Arial" w:eastAsia="Arial" w:hAnsi="Arial"/>
            <w:sz w:val="15"/>
            <w:szCs w:val="15"/>
            <w:u w:val="single" w:color="auto"/>
            <w:color w:val="0000EE"/>
          </w:rPr>
          <w:t>—Consent of Ernst &amp; Young LLP, Independent Registered Public Accounting Firm for Martin Marietta Materials, Inc. and consolidated subsidiaries</w:t>
        </w:r>
      </w:hyperlink>
    </w:p>
    <w:p>
      <w:pPr>
        <w:spacing w:after="0" w:line="116" w:lineRule="exact"/>
        <w:rPr>
          <w:sz w:val="20"/>
          <w:szCs w:val="20"/>
          <w:color w:val="auto"/>
        </w:rPr>
      </w:pPr>
    </w:p>
    <w:p>
      <w:pPr>
        <w:spacing w:after="0"/>
        <w:tabs>
          <w:tab w:leader="none" w:pos="800" w:val="left"/>
        </w:tabs>
        <w:rPr>
          <w:rFonts w:ascii="Arial" w:cs="Arial" w:eastAsia="Arial" w:hAnsi="Arial"/>
          <w:sz w:val="16"/>
          <w:szCs w:val="16"/>
          <w:u w:val="single" w:color="auto"/>
          <w:color w:val="0000EE"/>
        </w:rPr>
      </w:pPr>
      <w:r>
        <w:rPr>
          <w:rFonts w:ascii="Arial" w:cs="Arial" w:eastAsia="Arial" w:hAnsi="Arial"/>
          <w:sz w:val="17"/>
          <w:szCs w:val="17"/>
          <w:color w:val="auto"/>
        </w:rPr>
        <w:t>*24.01</w:t>
      </w:r>
      <w:r>
        <w:rPr>
          <w:sz w:val="20"/>
          <w:szCs w:val="20"/>
          <w:color w:val="auto"/>
        </w:rPr>
        <w:tab/>
      </w:r>
      <w:hyperlink w:anchor="page57">
        <w:r>
          <w:rPr>
            <w:rFonts w:ascii="Arial" w:cs="Arial" w:eastAsia="Arial" w:hAnsi="Arial"/>
            <w:sz w:val="16"/>
            <w:szCs w:val="16"/>
            <w:u w:val="single" w:color="auto"/>
            <w:color w:val="0000EE"/>
          </w:rPr>
          <w:t>—Powers of Attorney (included in this Form 10-K immediately following Signatures)</w:t>
        </w:r>
      </w:hyperlink>
    </w:p>
    <w:p>
      <w:pPr>
        <w:sectPr>
          <w:pgSz w:w="11900" w:h="16838" w:orient="portrait"/>
          <w:cols w:equalWidth="0" w:num="1">
            <w:col w:w="11300"/>
          </w:cols>
          <w:pgMar w:left="240" w:top="446" w:right="359" w:bottom="1440" w:gutter="0" w:footer="0" w:header="0"/>
        </w:sectPr>
      </w:pPr>
    </w:p>
    <w:bookmarkStart w:id="54" w:name="page55"/>
    <w:bookmarkEnd w:id="5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1">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320" w:type="dxa"/>
            <w:vAlign w:val="bottom"/>
          </w:tcPr>
          <w:p>
            <w:pPr>
              <w:ind w:left="100"/>
              <w:spacing w:after="0"/>
              <w:rPr>
                <w:sz w:val="20"/>
                <w:szCs w:val="20"/>
                <w:color w:val="auto"/>
              </w:rPr>
            </w:pPr>
            <w:r>
              <w:rPr>
                <w:rFonts w:ascii="Arial" w:cs="Arial" w:eastAsia="Arial" w:hAnsi="Arial"/>
                <w:sz w:val="17"/>
                <w:szCs w:val="17"/>
                <w:color w:val="auto"/>
              </w:rPr>
              <w:t>*31.01</w:t>
            </w:r>
          </w:p>
        </w:tc>
        <w:tc>
          <w:tcPr>
            <w:tcW w:w="9840" w:type="dxa"/>
            <w:vAlign w:val="bottom"/>
            <w:tcBorders>
              <w:bottom w:val="single" w:sz="8" w:color="0000EE"/>
            </w:tcBorders>
            <w:gridSpan w:val="7"/>
          </w:tcPr>
          <w:p>
            <w:pPr>
              <w:spacing w:after="0"/>
              <w:rPr>
                <w:rFonts w:ascii="Arial" w:cs="Arial" w:eastAsia="Arial" w:hAnsi="Arial"/>
                <w:sz w:val="17"/>
                <w:szCs w:val="17"/>
                <w:color w:val="0000EE"/>
                <w:w w:val="92"/>
              </w:rPr>
            </w:pPr>
            <w:hyperlink w:anchor="page149">
              <w:r>
                <w:rPr>
                  <w:rFonts w:ascii="Arial" w:cs="Arial" w:eastAsia="Arial" w:hAnsi="Arial"/>
                  <w:sz w:val="17"/>
                  <w:szCs w:val="17"/>
                  <w:color w:val="0000EE"/>
                  <w:w w:val="92"/>
                </w:rPr>
                <w:t>—Certification dated February 23, 2018 of Chief Executive Officer pursuant to Securities and Exchange Act of 1934, rule 13a-14, as adopted</w:t>
              </w:r>
            </w:hyperlink>
          </w:p>
        </w:tc>
      </w:tr>
      <w:tr>
        <w:trPr>
          <w:trHeight w:val="188"/>
        </w:trPr>
        <w:tc>
          <w:tcPr>
            <w:tcW w:w="1320" w:type="dxa"/>
            <w:vAlign w:val="bottom"/>
          </w:tcPr>
          <w:p>
            <w:pPr>
              <w:spacing w:after="0"/>
              <w:rPr>
                <w:sz w:val="16"/>
                <w:szCs w:val="16"/>
                <w:color w:val="auto"/>
              </w:rPr>
            </w:pPr>
          </w:p>
        </w:tc>
        <w:tc>
          <w:tcPr>
            <w:tcW w:w="4100" w:type="dxa"/>
            <w:vAlign w:val="bottom"/>
            <w:tcBorders>
              <w:bottom w:val="single" w:sz="8" w:color="0000EE"/>
            </w:tcBorders>
            <w:gridSpan w:val="3"/>
          </w:tcPr>
          <w:p>
            <w:pPr>
              <w:spacing w:after="0" w:line="188" w:lineRule="exact"/>
              <w:rPr>
                <w:rFonts w:ascii="Arial" w:cs="Arial" w:eastAsia="Arial" w:hAnsi="Arial"/>
                <w:sz w:val="17"/>
                <w:szCs w:val="17"/>
                <w:color w:val="0000EE"/>
                <w:w w:val="91"/>
              </w:rPr>
            </w:pPr>
            <w:hyperlink w:anchor="page149">
              <w:r>
                <w:rPr>
                  <w:rFonts w:ascii="Arial" w:cs="Arial" w:eastAsia="Arial" w:hAnsi="Arial"/>
                  <w:sz w:val="17"/>
                  <w:szCs w:val="17"/>
                  <w:color w:val="0000EE"/>
                  <w:w w:val="91"/>
                </w:rPr>
                <w:t>pursuant to Section 302 of the Sarbanes-Oxley Act of 2002</w:t>
              </w:r>
            </w:hyperlink>
          </w:p>
        </w:tc>
        <w:tc>
          <w:tcPr>
            <w:tcW w:w="5740" w:type="dxa"/>
            <w:vAlign w:val="bottom"/>
            <w:gridSpan w:val="4"/>
          </w:tcPr>
          <w:p>
            <w:pPr>
              <w:spacing w:after="0"/>
              <w:rPr>
                <w:sz w:val="16"/>
                <w:szCs w:val="16"/>
                <w:color w:val="auto"/>
              </w:rPr>
            </w:pPr>
          </w:p>
        </w:tc>
      </w:tr>
      <w:tr>
        <w:trPr>
          <w:trHeight w:val="291"/>
        </w:trPr>
        <w:tc>
          <w:tcPr>
            <w:tcW w:w="1320" w:type="dxa"/>
            <w:vAlign w:val="bottom"/>
          </w:tcPr>
          <w:p>
            <w:pPr>
              <w:ind w:left="100"/>
              <w:spacing w:after="0"/>
              <w:rPr>
                <w:sz w:val="20"/>
                <w:szCs w:val="20"/>
                <w:color w:val="auto"/>
              </w:rPr>
            </w:pPr>
            <w:r>
              <w:rPr>
                <w:rFonts w:ascii="Arial" w:cs="Arial" w:eastAsia="Arial" w:hAnsi="Arial"/>
                <w:sz w:val="17"/>
                <w:szCs w:val="17"/>
                <w:color w:val="auto"/>
              </w:rPr>
              <w:t>*31.02</w:t>
            </w:r>
          </w:p>
        </w:tc>
        <w:tc>
          <w:tcPr>
            <w:tcW w:w="9840" w:type="dxa"/>
            <w:vAlign w:val="bottom"/>
            <w:gridSpan w:val="7"/>
          </w:tcPr>
          <w:p>
            <w:pPr>
              <w:spacing w:after="0"/>
              <w:rPr>
                <w:rFonts w:ascii="Arial" w:cs="Arial" w:eastAsia="Arial" w:hAnsi="Arial"/>
                <w:sz w:val="17"/>
                <w:szCs w:val="17"/>
                <w:color w:val="0000EE"/>
                <w:w w:val="93"/>
              </w:rPr>
            </w:pPr>
            <w:hyperlink w:anchor="page151">
              <w:r>
                <w:rPr>
                  <w:rFonts w:ascii="Arial" w:cs="Arial" w:eastAsia="Arial" w:hAnsi="Arial"/>
                  <w:sz w:val="17"/>
                  <w:szCs w:val="17"/>
                  <w:color w:val="0000EE"/>
                  <w:w w:val="93"/>
                </w:rPr>
                <w:t>—Certification dated February 23, 2018 of Chief Financial Officer pursuant to Securities and Exchange Act of 1934, rule 13a-14, as adopted</w:t>
              </w:r>
            </w:hyperlink>
          </w:p>
        </w:tc>
      </w:tr>
      <w:tr>
        <w:trPr>
          <w:trHeight w:val="188"/>
        </w:trPr>
        <w:tc>
          <w:tcPr>
            <w:tcW w:w="1320" w:type="dxa"/>
            <w:vAlign w:val="bottom"/>
          </w:tcPr>
          <w:p>
            <w:pPr>
              <w:spacing w:after="0"/>
              <w:rPr>
                <w:sz w:val="16"/>
                <w:szCs w:val="16"/>
                <w:color w:val="auto"/>
              </w:rPr>
            </w:pPr>
          </w:p>
        </w:tc>
        <w:tc>
          <w:tcPr>
            <w:tcW w:w="4100" w:type="dxa"/>
            <w:vAlign w:val="bottom"/>
            <w:tcBorders>
              <w:top w:val="single" w:sz="8" w:color="0000EE"/>
              <w:bottom w:val="single" w:sz="8" w:color="0000EE"/>
            </w:tcBorders>
            <w:gridSpan w:val="3"/>
          </w:tcPr>
          <w:p>
            <w:pPr>
              <w:spacing w:after="0" w:line="188" w:lineRule="exact"/>
              <w:rPr>
                <w:rFonts w:ascii="Arial" w:cs="Arial" w:eastAsia="Arial" w:hAnsi="Arial"/>
                <w:sz w:val="17"/>
                <w:szCs w:val="17"/>
                <w:color w:val="0000EE"/>
                <w:w w:val="91"/>
              </w:rPr>
            </w:pPr>
            <w:hyperlink w:anchor="page151">
              <w:r>
                <w:rPr>
                  <w:rFonts w:ascii="Arial" w:cs="Arial" w:eastAsia="Arial" w:hAnsi="Arial"/>
                  <w:sz w:val="17"/>
                  <w:szCs w:val="17"/>
                  <w:color w:val="0000EE"/>
                  <w:w w:val="91"/>
                </w:rPr>
                <w:t>pursuant to Section 302 of the Sarbanes-Oxley Act of 2002</w:t>
              </w:r>
            </w:hyperlink>
          </w:p>
        </w:tc>
        <w:tc>
          <w:tcPr>
            <w:tcW w:w="5680" w:type="dxa"/>
            <w:vAlign w:val="bottom"/>
            <w:tcBorders>
              <w:top w:val="single" w:sz="8" w:color="0000EE"/>
            </w:tcBorders>
            <w:gridSpan w:val="3"/>
          </w:tcPr>
          <w:p>
            <w:pPr>
              <w:spacing w:after="0"/>
              <w:rPr>
                <w:sz w:val="16"/>
                <w:szCs w:val="16"/>
                <w:color w:val="auto"/>
              </w:rPr>
            </w:pPr>
          </w:p>
        </w:tc>
        <w:tc>
          <w:tcPr>
            <w:tcW w:w="60" w:type="dxa"/>
            <w:vAlign w:val="bottom"/>
          </w:tcPr>
          <w:p>
            <w:pPr>
              <w:spacing w:after="0"/>
              <w:rPr>
                <w:sz w:val="16"/>
                <w:szCs w:val="16"/>
                <w:color w:val="auto"/>
              </w:rPr>
            </w:pPr>
          </w:p>
        </w:tc>
      </w:tr>
      <w:tr>
        <w:trPr>
          <w:trHeight w:val="291"/>
        </w:trPr>
        <w:tc>
          <w:tcPr>
            <w:tcW w:w="1320" w:type="dxa"/>
            <w:vAlign w:val="bottom"/>
          </w:tcPr>
          <w:p>
            <w:pPr>
              <w:ind w:left="100"/>
              <w:spacing w:after="0"/>
              <w:rPr>
                <w:sz w:val="20"/>
                <w:szCs w:val="20"/>
                <w:color w:val="auto"/>
              </w:rPr>
            </w:pPr>
            <w:r>
              <w:rPr>
                <w:rFonts w:ascii="Arial" w:cs="Arial" w:eastAsia="Arial" w:hAnsi="Arial"/>
                <w:sz w:val="17"/>
                <w:szCs w:val="17"/>
                <w:color w:val="auto"/>
              </w:rPr>
              <w:t>*32.01</w:t>
            </w:r>
          </w:p>
        </w:tc>
        <w:tc>
          <w:tcPr>
            <w:tcW w:w="9560" w:type="dxa"/>
            <w:vAlign w:val="bottom"/>
            <w:tcBorders>
              <w:bottom w:val="single" w:sz="8" w:color="0000EE"/>
            </w:tcBorders>
            <w:gridSpan w:val="5"/>
          </w:tcPr>
          <w:p>
            <w:pPr>
              <w:spacing w:after="0"/>
              <w:rPr>
                <w:rFonts w:ascii="Arial" w:cs="Arial" w:eastAsia="Arial" w:hAnsi="Arial"/>
                <w:sz w:val="17"/>
                <w:szCs w:val="17"/>
                <w:color w:val="0000EE"/>
                <w:w w:val="92"/>
              </w:rPr>
            </w:pPr>
            <w:hyperlink w:anchor="page153">
              <w:r>
                <w:rPr>
                  <w:rFonts w:ascii="Arial" w:cs="Arial" w:eastAsia="Arial" w:hAnsi="Arial"/>
                  <w:sz w:val="17"/>
                  <w:szCs w:val="17"/>
                  <w:color w:val="0000EE"/>
                  <w:w w:val="92"/>
                </w:rPr>
                <w:t>—Certification dated February 23, 2018 of Chief Executive Officer required by 18 U.S.C. 1350, as adopted pursuant to Section 906 of the</w:t>
              </w:r>
            </w:hyperlink>
          </w:p>
        </w:tc>
        <w:tc>
          <w:tcPr>
            <w:tcW w:w="280" w:type="dxa"/>
            <w:vAlign w:val="bottom"/>
            <w:gridSpan w:val="2"/>
          </w:tcPr>
          <w:p>
            <w:pPr>
              <w:spacing w:after="0"/>
              <w:rPr>
                <w:sz w:val="24"/>
                <w:szCs w:val="24"/>
                <w:color w:val="auto"/>
              </w:rPr>
            </w:pPr>
          </w:p>
        </w:tc>
      </w:tr>
      <w:tr>
        <w:trPr>
          <w:trHeight w:val="188"/>
        </w:trPr>
        <w:tc>
          <w:tcPr>
            <w:tcW w:w="1320" w:type="dxa"/>
            <w:vAlign w:val="bottom"/>
          </w:tcPr>
          <w:p>
            <w:pPr>
              <w:spacing w:after="0"/>
              <w:rPr>
                <w:sz w:val="16"/>
                <w:szCs w:val="16"/>
                <w:color w:val="auto"/>
              </w:rPr>
            </w:pPr>
          </w:p>
        </w:tc>
        <w:tc>
          <w:tcPr>
            <w:tcW w:w="9840" w:type="dxa"/>
            <w:vAlign w:val="bottom"/>
            <w:gridSpan w:val="7"/>
          </w:tcPr>
          <w:p>
            <w:pPr>
              <w:spacing w:after="0" w:line="188" w:lineRule="exact"/>
              <w:rPr>
                <w:rFonts w:ascii="Arial" w:cs="Arial" w:eastAsia="Arial" w:hAnsi="Arial"/>
                <w:sz w:val="17"/>
                <w:szCs w:val="17"/>
                <w:color w:val="0000EE"/>
              </w:rPr>
            </w:pPr>
            <w:hyperlink w:anchor="page153">
              <w:r>
                <w:rPr>
                  <w:rFonts w:ascii="Arial" w:cs="Arial" w:eastAsia="Arial" w:hAnsi="Arial"/>
                  <w:sz w:val="17"/>
                  <w:szCs w:val="17"/>
                  <w:color w:val="0000EE"/>
                </w:rPr>
                <w:t>Sarbanes-Oxley Act of 2002</w:t>
              </w:r>
            </w:hyperlink>
          </w:p>
        </w:tc>
      </w:tr>
      <w:tr>
        <w:trPr>
          <w:trHeight w:val="20"/>
        </w:trPr>
        <w:tc>
          <w:tcPr>
            <w:tcW w:w="1320" w:type="dxa"/>
            <w:vAlign w:val="bottom"/>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16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r>
      <w:tr>
        <w:trPr>
          <w:trHeight w:val="291"/>
        </w:trPr>
        <w:tc>
          <w:tcPr>
            <w:tcW w:w="1320" w:type="dxa"/>
            <w:vAlign w:val="bottom"/>
          </w:tcPr>
          <w:p>
            <w:pPr>
              <w:ind w:left="100"/>
              <w:spacing w:after="0"/>
              <w:rPr>
                <w:sz w:val="20"/>
                <w:szCs w:val="20"/>
                <w:color w:val="auto"/>
              </w:rPr>
            </w:pPr>
            <w:r>
              <w:rPr>
                <w:rFonts w:ascii="Arial" w:cs="Arial" w:eastAsia="Arial" w:hAnsi="Arial"/>
                <w:sz w:val="17"/>
                <w:szCs w:val="17"/>
                <w:color w:val="auto"/>
              </w:rPr>
              <w:t>*32.02</w:t>
            </w:r>
          </w:p>
        </w:tc>
        <w:tc>
          <w:tcPr>
            <w:tcW w:w="9520" w:type="dxa"/>
            <w:vAlign w:val="bottom"/>
            <w:tcBorders>
              <w:bottom w:val="single" w:sz="8" w:color="0000EE"/>
            </w:tcBorders>
            <w:gridSpan w:val="4"/>
          </w:tcPr>
          <w:p>
            <w:pPr>
              <w:spacing w:after="0"/>
              <w:rPr>
                <w:rFonts w:ascii="Arial" w:cs="Arial" w:eastAsia="Arial" w:hAnsi="Arial"/>
                <w:sz w:val="17"/>
                <w:szCs w:val="17"/>
                <w:color w:val="0000EE"/>
                <w:w w:val="92"/>
              </w:rPr>
            </w:pPr>
            <w:hyperlink w:anchor="page154">
              <w:r>
                <w:rPr>
                  <w:rFonts w:ascii="Arial" w:cs="Arial" w:eastAsia="Arial" w:hAnsi="Arial"/>
                  <w:sz w:val="17"/>
                  <w:szCs w:val="17"/>
                  <w:color w:val="0000EE"/>
                  <w:w w:val="92"/>
                </w:rPr>
                <w:t>—Certification dated February 23, 2018 of Chief Financial Officer required by 18 U.S.C. 1350, as adopted pursuant to Section 906 of the</w:t>
              </w:r>
            </w:hyperlink>
          </w:p>
        </w:tc>
        <w:tc>
          <w:tcPr>
            <w:tcW w:w="320" w:type="dxa"/>
            <w:vAlign w:val="bottom"/>
            <w:gridSpan w:val="3"/>
          </w:tcPr>
          <w:p>
            <w:pPr>
              <w:spacing w:after="0"/>
              <w:rPr>
                <w:sz w:val="24"/>
                <w:szCs w:val="24"/>
                <w:color w:val="auto"/>
              </w:rPr>
            </w:pPr>
          </w:p>
        </w:tc>
      </w:tr>
      <w:tr>
        <w:trPr>
          <w:trHeight w:val="188"/>
        </w:trPr>
        <w:tc>
          <w:tcPr>
            <w:tcW w:w="1320" w:type="dxa"/>
            <w:vAlign w:val="bottom"/>
          </w:tcPr>
          <w:p>
            <w:pPr>
              <w:spacing w:after="0"/>
              <w:rPr>
                <w:sz w:val="16"/>
                <w:szCs w:val="16"/>
                <w:color w:val="auto"/>
              </w:rPr>
            </w:pPr>
          </w:p>
        </w:tc>
        <w:tc>
          <w:tcPr>
            <w:tcW w:w="9840" w:type="dxa"/>
            <w:vAlign w:val="bottom"/>
            <w:gridSpan w:val="7"/>
          </w:tcPr>
          <w:p>
            <w:pPr>
              <w:spacing w:after="0" w:line="188" w:lineRule="exact"/>
              <w:rPr>
                <w:rFonts w:ascii="Arial" w:cs="Arial" w:eastAsia="Arial" w:hAnsi="Arial"/>
                <w:sz w:val="17"/>
                <w:szCs w:val="17"/>
                <w:color w:val="0000EE"/>
              </w:rPr>
            </w:pPr>
            <w:hyperlink w:anchor="page154">
              <w:r>
                <w:rPr>
                  <w:rFonts w:ascii="Arial" w:cs="Arial" w:eastAsia="Arial" w:hAnsi="Arial"/>
                  <w:sz w:val="17"/>
                  <w:szCs w:val="17"/>
                  <w:color w:val="0000EE"/>
                </w:rPr>
                <w:t>Sarbanes-Oxley Act of 2002</w:t>
              </w:r>
            </w:hyperlink>
          </w:p>
        </w:tc>
      </w:tr>
      <w:tr>
        <w:trPr>
          <w:trHeight w:val="20"/>
        </w:trPr>
        <w:tc>
          <w:tcPr>
            <w:tcW w:w="1320" w:type="dxa"/>
            <w:vAlign w:val="bottom"/>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80" w:type="dxa"/>
            <w:vAlign w:val="bottom"/>
            <w:gridSpan w:val="5"/>
          </w:tcPr>
          <w:p>
            <w:pPr>
              <w:spacing w:after="0" w:line="20" w:lineRule="exact"/>
              <w:rPr>
                <w:sz w:val="1"/>
                <w:szCs w:val="1"/>
                <w:color w:val="auto"/>
              </w:rPr>
            </w:pPr>
          </w:p>
        </w:tc>
      </w:tr>
      <w:tr>
        <w:trPr>
          <w:trHeight w:val="291"/>
        </w:trPr>
        <w:tc>
          <w:tcPr>
            <w:tcW w:w="1320" w:type="dxa"/>
            <w:vAlign w:val="bottom"/>
          </w:tcPr>
          <w:p>
            <w:pPr>
              <w:ind w:left="100"/>
              <w:spacing w:after="0"/>
              <w:rPr>
                <w:sz w:val="20"/>
                <w:szCs w:val="20"/>
                <w:color w:val="auto"/>
              </w:rPr>
            </w:pPr>
            <w:r>
              <w:rPr>
                <w:rFonts w:ascii="Arial" w:cs="Arial" w:eastAsia="Arial" w:hAnsi="Arial"/>
                <w:sz w:val="17"/>
                <w:szCs w:val="17"/>
                <w:color w:val="auto"/>
              </w:rPr>
              <w:t>*95</w:t>
            </w:r>
          </w:p>
        </w:tc>
        <w:tc>
          <w:tcPr>
            <w:tcW w:w="2360" w:type="dxa"/>
            <w:vAlign w:val="bottom"/>
            <w:tcBorders>
              <w:bottom w:val="single" w:sz="8" w:color="0000EE"/>
            </w:tcBorders>
            <w:gridSpan w:val="2"/>
          </w:tcPr>
          <w:p>
            <w:pPr>
              <w:spacing w:after="0"/>
              <w:rPr>
                <w:rFonts w:ascii="Arial" w:cs="Arial" w:eastAsia="Arial" w:hAnsi="Arial"/>
                <w:sz w:val="17"/>
                <w:szCs w:val="17"/>
                <w:color w:val="0000EE"/>
                <w:w w:val="94"/>
              </w:rPr>
            </w:pPr>
            <w:hyperlink w:anchor="page155">
              <w:r>
                <w:rPr>
                  <w:rFonts w:ascii="Arial" w:cs="Arial" w:eastAsia="Arial" w:hAnsi="Arial"/>
                  <w:sz w:val="17"/>
                  <w:szCs w:val="17"/>
                  <w:color w:val="0000EE"/>
                  <w:w w:val="94"/>
                </w:rPr>
                <w:t>—Mine Safety Disclosure Exhibit</w:t>
              </w:r>
            </w:hyperlink>
          </w:p>
        </w:tc>
        <w:tc>
          <w:tcPr>
            <w:tcW w:w="7480" w:type="dxa"/>
            <w:vAlign w:val="bottom"/>
            <w:gridSpan w:val="5"/>
          </w:tcPr>
          <w:p>
            <w:pPr>
              <w:spacing w:after="0"/>
              <w:rPr>
                <w:sz w:val="24"/>
                <w:szCs w:val="24"/>
                <w:color w:val="auto"/>
              </w:rPr>
            </w:pPr>
          </w:p>
        </w:tc>
      </w:tr>
      <w:tr>
        <w:trPr>
          <w:trHeight w:val="330"/>
        </w:trPr>
        <w:tc>
          <w:tcPr>
            <w:tcW w:w="1320" w:type="dxa"/>
            <w:vAlign w:val="bottom"/>
          </w:tcPr>
          <w:p>
            <w:pPr>
              <w:spacing w:after="0"/>
              <w:rPr>
                <w:sz w:val="20"/>
                <w:szCs w:val="20"/>
                <w:color w:val="auto"/>
              </w:rPr>
            </w:pPr>
            <w:r>
              <w:rPr>
                <w:rFonts w:ascii="Arial" w:cs="Arial" w:eastAsia="Arial" w:hAnsi="Arial"/>
                <w:sz w:val="17"/>
                <w:szCs w:val="17"/>
                <w:color w:val="auto"/>
              </w:rPr>
              <w:t>*101.INS</w:t>
            </w:r>
          </w:p>
        </w:tc>
        <w:tc>
          <w:tcPr>
            <w:tcW w:w="9840" w:type="dxa"/>
            <w:vAlign w:val="bottom"/>
            <w:gridSpan w:val="7"/>
          </w:tcPr>
          <w:p>
            <w:pPr>
              <w:spacing w:after="0"/>
              <w:rPr>
                <w:sz w:val="20"/>
                <w:szCs w:val="20"/>
                <w:color w:val="auto"/>
              </w:rPr>
            </w:pPr>
            <w:r>
              <w:rPr>
                <w:rFonts w:ascii="Arial" w:cs="Arial" w:eastAsia="Arial" w:hAnsi="Arial"/>
                <w:sz w:val="17"/>
                <w:szCs w:val="17"/>
                <w:color w:val="auto"/>
              </w:rPr>
              <w:t>—XBRL Instance Document</w:t>
            </w:r>
          </w:p>
        </w:tc>
      </w:tr>
      <w:tr>
        <w:trPr>
          <w:trHeight w:val="311"/>
        </w:trPr>
        <w:tc>
          <w:tcPr>
            <w:tcW w:w="1320" w:type="dxa"/>
            <w:vAlign w:val="bottom"/>
          </w:tcPr>
          <w:p>
            <w:pPr>
              <w:spacing w:after="0"/>
              <w:rPr>
                <w:sz w:val="20"/>
                <w:szCs w:val="20"/>
                <w:color w:val="auto"/>
              </w:rPr>
            </w:pPr>
            <w:r>
              <w:rPr>
                <w:rFonts w:ascii="Arial" w:cs="Arial" w:eastAsia="Arial" w:hAnsi="Arial"/>
                <w:sz w:val="17"/>
                <w:szCs w:val="17"/>
                <w:color w:val="auto"/>
              </w:rPr>
              <w:t>*101.SCH</w:t>
            </w:r>
          </w:p>
        </w:tc>
        <w:tc>
          <w:tcPr>
            <w:tcW w:w="9840" w:type="dxa"/>
            <w:vAlign w:val="bottom"/>
            <w:gridSpan w:val="7"/>
          </w:tcPr>
          <w:p>
            <w:pPr>
              <w:spacing w:after="0"/>
              <w:rPr>
                <w:sz w:val="20"/>
                <w:szCs w:val="20"/>
                <w:color w:val="auto"/>
              </w:rPr>
            </w:pPr>
            <w:r>
              <w:rPr>
                <w:rFonts w:ascii="Arial" w:cs="Arial" w:eastAsia="Arial" w:hAnsi="Arial"/>
                <w:sz w:val="17"/>
                <w:szCs w:val="17"/>
                <w:color w:val="auto"/>
              </w:rPr>
              <w:t>—XBRL Taxonomy Extension Schema Document</w:t>
            </w:r>
          </w:p>
        </w:tc>
      </w:tr>
      <w:tr>
        <w:trPr>
          <w:trHeight w:val="311"/>
        </w:trPr>
        <w:tc>
          <w:tcPr>
            <w:tcW w:w="1320" w:type="dxa"/>
            <w:vAlign w:val="bottom"/>
          </w:tcPr>
          <w:p>
            <w:pPr>
              <w:spacing w:after="0"/>
              <w:rPr>
                <w:sz w:val="20"/>
                <w:szCs w:val="20"/>
                <w:color w:val="auto"/>
              </w:rPr>
            </w:pPr>
            <w:r>
              <w:rPr>
                <w:rFonts w:ascii="Arial" w:cs="Arial" w:eastAsia="Arial" w:hAnsi="Arial"/>
                <w:sz w:val="17"/>
                <w:szCs w:val="17"/>
                <w:color w:val="auto"/>
              </w:rPr>
              <w:t>*101.CAL</w:t>
            </w:r>
          </w:p>
        </w:tc>
        <w:tc>
          <w:tcPr>
            <w:tcW w:w="9840" w:type="dxa"/>
            <w:vAlign w:val="bottom"/>
            <w:gridSpan w:val="7"/>
          </w:tcPr>
          <w:p>
            <w:pPr>
              <w:spacing w:after="0"/>
              <w:rPr>
                <w:sz w:val="20"/>
                <w:szCs w:val="20"/>
                <w:color w:val="auto"/>
              </w:rPr>
            </w:pPr>
            <w:r>
              <w:rPr>
                <w:rFonts w:ascii="Arial" w:cs="Arial" w:eastAsia="Arial" w:hAnsi="Arial"/>
                <w:sz w:val="17"/>
                <w:szCs w:val="17"/>
                <w:color w:val="auto"/>
              </w:rPr>
              <w:t>—XBRL Taxonomy Extension Calculation Linkbase Document</w:t>
            </w:r>
          </w:p>
        </w:tc>
      </w:tr>
      <w:tr>
        <w:trPr>
          <w:trHeight w:val="311"/>
        </w:trPr>
        <w:tc>
          <w:tcPr>
            <w:tcW w:w="1320" w:type="dxa"/>
            <w:vAlign w:val="bottom"/>
          </w:tcPr>
          <w:p>
            <w:pPr>
              <w:spacing w:after="0"/>
              <w:rPr>
                <w:sz w:val="20"/>
                <w:szCs w:val="20"/>
                <w:color w:val="auto"/>
              </w:rPr>
            </w:pPr>
            <w:r>
              <w:rPr>
                <w:rFonts w:ascii="Arial" w:cs="Arial" w:eastAsia="Arial" w:hAnsi="Arial"/>
                <w:sz w:val="17"/>
                <w:szCs w:val="17"/>
                <w:color w:val="auto"/>
              </w:rPr>
              <w:t>*101.LAB</w:t>
            </w:r>
          </w:p>
        </w:tc>
        <w:tc>
          <w:tcPr>
            <w:tcW w:w="9840" w:type="dxa"/>
            <w:vAlign w:val="bottom"/>
            <w:gridSpan w:val="7"/>
          </w:tcPr>
          <w:p>
            <w:pPr>
              <w:spacing w:after="0"/>
              <w:rPr>
                <w:sz w:val="20"/>
                <w:szCs w:val="20"/>
                <w:color w:val="auto"/>
              </w:rPr>
            </w:pPr>
            <w:r>
              <w:rPr>
                <w:rFonts w:ascii="Arial" w:cs="Arial" w:eastAsia="Arial" w:hAnsi="Arial"/>
                <w:sz w:val="17"/>
                <w:szCs w:val="17"/>
                <w:color w:val="auto"/>
              </w:rPr>
              <w:t>—XBRL Taxonomy Extension Label Linkbase Document</w:t>
            </w:r>
          </w:p>
        </w:tc>
      </w:tr>
      <w:tr>
        <w:trPr>
          <w:trHeight w:val="311"/>
        </w:trPr>
        <w:tc>
          <w:tcPr>
            <w:tcW w:w="1320" w:type="dxa"/>
            <w:vAlign w:val="bottom"/>
          </w:tcPr>
          <w:p>
            <w:pPr>
              <w:spacing w:after="0"/>
              <w:rPr>
                <w:sz w:val="20"/>
                <w:szCs w:val="20"/>
                <w:color w:val="auto"/>
              </w:rPr>
            </w:pPr>
            <w:r>
              <w:rPr>
                <w:rFonts w:ascii="Arial" w:cs="Arial" w:eastAsia="Arial" w:hAnsi="Arial"/>
                <w:sz w:val="17"/>
                <w:szCs w:val="17"/>
                <w:color w:val="auto"/>
              </w:rPr>
              <w:t>*101.PRE</w:t>
            </w:r>
          </w:p>
        </w:tc>
        <w:tc>
          <w:tcPr>
            <w:tcW w:w="9840" w:type="dxa"/>
            <w:vAlign w:val="bottom"/>
            <w:gridSpan w:val="7"/>
          </w:tcPr>
          <w:p>
            <w:pPr>
              <w:spacing w:after="0"/>
              <w:rPr>
                <w:sz w:val="20"/>
                <w:szCs w:val="20"/>
                <w:color w:val="auto"/>
              </w:rPr>
            </w:pPr>
            <w:r>
              <w:rPr>
                <w:rFonts w:ascii="Arial" w:cs="Arial" w:eastAsia="Arial" w:hAnsi="Arial"/>
                <w:sz w:val="17"/>
                <w:szCs w:val="17"/>
                <w:color w:val="auto"/>
              </w:rPr>
              <w:t>—XBRL Taxonomy Extension Presentation Linkbase Document</w:t>
            </w:r>
          </w:p>
        </w:tc>
      </w:tr>
      <w:tr>
        <w:trPr>
          <w:trHeight w:val="311"/>
        </w:trPr>
        <w:tc>
          <w:tcPr>
            <w:tcW w:w="1320" w:type="dxa"/>
            <w:vAlign w:val="bottom"/>
          </w:tcPr>
          <w:p>
            <w:pPr>
              <w:spacing w:after="0"/>
              <w:rPr>
                <w:sz w:val="20"/>
                <w:szCs w:val="20"/>
                <w:color w:val="auto"/>
              </w:rPr>
            </w:pPr>
            <w:r>
              <w:rPr>
                <w:rFonts w:ascii="Arial" w:cs="Arial" w:eastAsia="Arial" w:hAnsi="Arial"/>
                <w:sz w:val="17"/>
                <w:szCs w:val="17"/>
                <w:color w:val="auto"/>
              </w:rPr>
              <w:t>*101. DEF</w:t>
            </w:r>
          </w:p>
        </w:tc>
        <w:tc>
          <w:tcPr>
            <w:tcW w:w="9840" w:type="dxa"/>
            <w:vAlign w:val="bottom"/>
            <w:gridSpan w:val="7"/>
          </w:tcPr>
          <w:p>
            <w:pPr>
              <w:spacing w:after="0"/>
              <w:rPr>
                <w:sz w:val="20"/>
                <w:szCs w:val="20"/>
                <w:color w:val="auto"/>
              </w:rPr>
            </w:pPr>
            <w:r>
              <w:rPr>
                <w:rFonts w:ascii="Arial" w:cs="Arial" w:eastAsia="Arial" w:hAnsi="Arial"/>
                <w:sz w:val="17"/>
                <w:szCs w:val="17"/>
                <w:color w:val="auto"/>
              </w:rPr>
              <w:t>—XBRL Taxonomy Extension Definition Linkbase</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Other material incorporated by reference:</w:t>
      </w:r>
    </w:p>
    <w:p>
      <w:pPr>
        <w:spacing w:after="0" w:line="220" w:lineRule="exact"/>
        <w:rPr>
          <w:sz w:val="20"/>
          <w:szCs w:val="20"/>
          <w:color w:val="auto"/>
        </w:rPr>
      </w:pPr>
    </w:p>
    <w:p>
      <w:pPr>
        <w:spacing w:after="0" w:line="285" w:lineRule="auto"/>
        <w:rPr>
          <w:sz w:val="20"/>
          <w:szCs w:val="20"/>
          <w:color w:val="auto"/>
        </w:rPr>
      </w:pPr>
      <w:r>
        <w:rPr>
          <w:rFonts w:ascii="Arial" w:cs="Arial" w:eastAsia="Arial" w:hAnsi="Arial"/>
          <w:sz w:val="17"/>
          <w:szCs w:val="17"/>
          <w:color w:val="auto"/>
        </w:rPr>
        <w:t>Martin Marietta Materials, Inc.’s 2018 Proxy Statement filed pursuant to Regulation 14A, portions of which are incorporated by reference in this Form 10-K. Those portions of the 2018 Proxy Statement which are not incorporated by reference shall not be deemed to be “filed” as part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59055</wp:posOffset>
            </wp:positionV>
            <wp:extent cx="7251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2">
                      <a:extLst>
                        <a:ext uri="{28A0092B-C50C-407E-A947-70E740481C1C}"/>
                      </a:extLst>
                    </a:blip>
                    <a:srcRect/>
                    <a:stretch>
                      <a:fillRect/>
                    </a:stretch>
                  </pic:blipFill>
                  <pic:spPr bwMode="auto">
                    <a:xfrm>
                      <a:off x="0" y="0"/>
                      <a:ext cx="725170" cy="8255"/>
                    </a:xfrm>
                    <a:prstGeom prst="rect">
                      <a:avLst/>
                    </a:prstGeom>
                    <a:noFill/>
                  </pic:spPr>
                </pic:pic>
              </a:graphicData>
            </a:graphic>
          </wp:anchor>
        </w:drawing>
      </w:r>
    </w:p>
    <w:p>
      <w:pPr>
        <w:spacing w:after="0" w:line="113" w:lineRule="exact"/>
        <w:rPr>
          <w:sz w:val="20"/>
          <w:szCs w:val="20"/>
          <w:color w:val="auto"/>
        </w:rPr>
      </w:pPr>
    </w:p>
    <w:p>
      <w:pPr>
        <w:ind w:left="460" w:hanging="456"/>
        <w:spacing w:after="0"/>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Filed herewith</w:t>
      </w:r>
    </w:p>
    <w:p>
      <w:pPr>
        <w:spacing w:after="0" w:line="25" w:lineRule="exact"/>
        <w:rPr>
          <w:sz w:val="20"/>
          <w:szCs w:val="20"/>
          <w:color w:val="auto"/>
        </w:rPr>
      </w:pPr>
    </w:p>
    <w:p>
      <w:pPr>
        <w:ind w:left="460" w:hanging="456"/>
        <w:spacing w:after="0"/>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Management contract or compensatory plan or arrangement required to be filed as an exhibit pursuant to Item 14(c) of Form 10-K</w:t>
      </w:r>
    </w:p>
    <w:p>
      <w:pPr>
        <w:sectPr>
          <w:pgSz w:w="11900" w:h="16838" w:orient="portrait"/>
          <w:cols w:equalWidth="0" w:num="1">
            <w:col w:w="11340"/>
          </w:cols>
          <w:pgMar w:left="240" w:top="446" w:right="319" w:bottom="1440" w:gutter="0" w:footer="0" w:header="0"/>
        </w:sectPr>
      </w:pPr>
    </w:p>
    <w:bookmarkStart w:id="55" w:name="page56"/>
    <w:bookmarkEnd w:id="5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3">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460" w:hanging="456"/>
        <w:spacing w:after="0"/>
        <w:tabs>
          <w:tab w:leader="none" w:pos="460" w:val="left"/>
        </w:tabs>
        <w:numPr>
          <w:ilvl w:val="0"/>
          <w:numId w:val="16"/>
        </w:numPr>
        <w:rPr>
          <w:rFonts w:ascii="Arial" w:cs="Arial" w:eastAsia="Arial" w:hAnsi="Arial"/>
          <w:sz w:val="17"/>
          <w:szCs w:val="17"/>
          <w:b w:val="1"/>
          <w:bCs w:val="1"/>
          <w:color w:val="auto"/>
        </w:rPr>
      </w:pPr>
      <w:r>
        <w:rPr>
          <w:rFonts w:ascii="Arial" w:cs="Arial" w:eastAsia="Arial" w:hAnsi="Arial"/>
          <w:sz w:val="17"/>
          <w:szCs w:val="17"/>
          <w:b w:val="1"/>
          <w:bCs w:val="1"/>
          <w:color w:val="auto"/>
        </w:rPr>
        <w:t>Financial Statement Schedule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II — VALUATION AND QUALIFYING ACCOUNTS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MARTIN MARIETTA MATERIALS, INC. AND CONSOLIDATED SUBSIDIARIES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20" w:type="dxa"/>
            <w:vAlign w:val="bottom"/>
            <w:gridSpan w:val="3"/>
          </w:tcPr>
          <w:p>
            <w:pPr>
              <w:spacing w:after="0"/>
              <w:rPr>
                <w:sz w:val="20"/>
                <w:szCs w:val="20"/>
                <w:color w:val="auto"/>
              </w:rPr>
            </w:pPr>
            <w:r>
              <w:rPr>
                <w:rFonts w:ascii="Arial" w:cs="Arial" w:eastAsia="Arial" w:hAnsi="Arial"/>
                <w:sz w:val="14"/>
                <w:szCs w:val="14"/>
                <w:b w:val="1"/>
                <w:bCs w:val="1"/>
                <w:color w:val="auto"/>
              </w:rPr>
              <w:t>Col A</w:t>
            </w:r>
          </w:p>
        </w:tc>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Col B</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98"/>
              </w:rPr>
              <w:t>Col C</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ind w:left="100"/>
              <w:spacing w:after="0"/>
              <w:rPr>
                <w:sz w:val="20"/>
                <w:szCs w:val="20"/>
                <w:color w:val="auto"/>
              </w:rPr>
            </w:pPr>
            <w:r>
              <w:rPr>
                <w:rFonts w:ascii="Arial" w:cs="Arial" w:eastAsia="Arial" w:hAnsi="Arial"/>
                <w:sz w:val="14"/>
                <w:szCs w:val="14"/>
                <w:b w:val="1"/>
                <w:bCs w:val="1"/>
                <w:color w:val="auto"/>
              </w:rPr>
              <w:t>Col D</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Col E</w:t>
            </w:r>
          </w:p>
        </w:tc>
        <w:tc>
          <w:tcPr>
            <w:tcW w:w="0" w:type="dxa"/>
            <w:vAlign w:val="bottom"/>
          </w:tcPr>
          <w:p>
            <w:pPr>
              <w:spacing w:after="0"/>
              <w:rPr>
                <w:sz w:val="1"/>
                <w:szCs w:val="1"/>
                <w:color w:val="auto"/>
              </w:rPr>
            </w:pPr>
          </w:p>
        </w:tc>
      </w:tr>
      <w:tr>
        <w:trPr>
          <w:trHeight w:val="116"/>
        </w:trPr>
        <w:tc>
          <w:tcPr>
            <w:tcW w:w="34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1040" w:type="dxa"/>
            <w:vAlign w:val="bottom"/>
            <w:tcBorders>
              <w:top w:val="single" w:sz="8" w:color="auto"/>
              <w:bottom w:val="single" w:sz="8" w:color="auto"/>
            </w:tcBorders>
            <w:gridSpan w:val="4"/>
          </w:tcPr>
          <w:p>
            <w:pPr>
              <w:jc w:val="right"/>
              <w:spacing w:after="0" w:line="116" w:lineRule="exact"/>
              <w:rPr>
                <w:sz w:val="20"/>
                <w:szCs w:val="20"/>
                <w:color w:val="auto"/>
              </w:rPr>
            </w:pPr>
            <w:r>
              <w:rPr>
                <w:rFonts w:ascii="Arial" w:cs="Arial" w:eastAsia="Arial" w:hAnsi="Arial"/>
                <w:sz w:val="13"/>
                <w:szCs w:val="13"/>
                <w:b w:val="1"/>
                <w:bCs w:val="1"/>
                <w:color w:val="auto"/>
              </w:rPr>
              <w:t>Additions</w:t>
            </w:r>
          </w:p>
        </w:tc>
        <w:tc>
          <w:tcPr>
            <w:tcW w:w="440" w:type="dxa"/>
            <w:vAlign w:val="bottom"/>
            <w:tcBorders>
              <w:top w:val="single" w:sz="8" w:color="auto"/>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32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jc w:val="center"/>
              <w:spacing w:after="0" w:line="113" w:lineRule="exact"/>
              <w:rPr>
                <w:sz w:val="20"/>
                <w:szCs w:val="20"/>
                <w:color w:val="auto"/>
              </w:rPr>
            </w:pPr>
            <w:r>
              <w:rPr>
                <w:rFonts w:ascii="Arial" w:cs="Arial" w:eastAsia="Arial" w:hAnsi="Arial"/>
                <w:sz w:val="13"/>
                <w:szCs w:val="13"/>
                <w:b w:val="1"/>
                <w:bCs w:val="1"/>
                <w:color w:val="auto"/>
              </w:rPr>
              <w:t>(1)</w:t>
            </w: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jc w:val="center"/>
              <w:ind w:right="36"/>
              <w:spacing w:after="0" w:line="113" w:lineRule="exact"/>
              <w:rPr>
                <w:sz w:val="20"/>
                <w:szCs w:val="20"/>
                <w:color w:val="auto"/>
              </w:rPr>
            </w:pPr>
            <w:r>
              <w:rPr>
                <w:rFonts w:ascii="Arial" w:cs="Arial" w:eastAsia="Arial" w:hAnsi="Arial"/>
                <w:sz w:val="13"/>
                <w:szCs w:val="13"/>
                <w:b w:val="1"/>
                <w:bCs w:val="1"/>
                <w:color w:val="auto"/>
              </w:rPr>
              <w:t>(2)</w:t>
            </w: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1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Balance at</w:t>
            </w:r>
          </w:p>
        </w:tc>
        <w:tc>
          <w:tcPr>
            <w:tcW w:w="960" w:type="dxa"/>
            <w:vAlign w:val="bottom"/>
            <w:gridSpan w:val="3"/>
          </w:tcPr>
          <w:p>
            <w:pPr>
              <w:ind w:left="20"/>
              <w:spacing w:after="0" w:line="143" w:lineRule="exact"/>
              <w:rPr>
                <w:sz w:val="20"/>
                <w:szCs w:val="20"/>
                <w:color w:val="auto"/>
              </w:rPr>
            </w:pPr>
            <w:r>
              <w:rPr>
                <w:rFonts w:ascii="Arial" w:cs="Arial" w:eastAsia="Arial" w:hAnsi="Arial"/>
                <w:sz w:val="14"/>
                <w:szCs w:val="14"/>
                <w:b w:val="1"/>
                <w:bCs w:val="1"/>
                <w:color w:val="auto"/>
              </w:rPr>
              <w:t>Charged</w:t>
            </w:r>
          </w:p>
        </w:tc>
        <w:tc>
          <w:tcPr>
            <w:tcW w:w="40" w:type="dxa"/>
            <w:vAlign w:val="bottom"/>
          </w:tcPr>
          <w:p>
            <w:pPr>
              <w:spacing w:after="0"/>
              <w:rPr>
                <w:sz w:val="12"/>
                <w:szCs w:val="12"/>
                <w:color w:val="auto"/>
              </w:rPr>
            </w:pPr>
          </w:p>
        </w:tc>
        <w:tc>
          <w:tcPr>
            <w:tcW w:w="940" w:type="dxa"/>
            <w:vAlign w:val="bottom"/>
            <w:gridSpan w:val="3"/>
          </w:tcPr>
          <w:p>
            <w:pPr>
              <w:jc w:val="center"/>
              <w:ind w:right="380"/>
              <w:spacing w:after="0" w:line="143" w:lineRule="exact"/>
              <w:rPr>
                <w:sz w:val="20"/>
                <w:szCs w:val="20"/>
                <w:color w:val="auto"/>
              </w:rPr>
            </w:pPr>
            <w:r>
              <w:rPr>
                <w:rFonts w:ascii="Arial" w:cs="Arial" w:eastAsia="Arial" w:hAnsi="Arial"/>
                <w:sz w:val="14"/>
                <w:szCs w:val="14"/>
                <w:b w:val="1"/>
                <w:bCs w:val="1"/>
                <w:color w:val="auto"/>
                <w:w w:val="91"/>
              </w:rPr>
              <w:t>Charged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w w:val="88"/>
              </w:rPr>
              <w:t>Balance at</w:t>
            </w:r>
          </w:p>
        </w:tc>
        <w:tc>
          <w:tcPr>
            <w:tcW w:w="0" w:type="dxa"/>
            <w:vAlign w:val="bottom"/>
          </w:tcPr>
          <w:p>
            <w:pPr>
              <w:spacing w:after="0"/>
              <w:rPr>
                <w:sz w:val="1"/>
                <w:szCs w:val="1"/>
                <w:color w:val="auto"/>
              </w:rPr>
            </w:pPr>
          </w:p>
        </w:tc>
      </w:tr>
      <w:tr>
        <w:trPr>
          <w:trHeight w:val="143"/>
        </w:trPr>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960" w:type="dxa"/>
            <w:vAlign w:val="bottom"/>
            <w:gridSpan w:val="3"/>
          </w:tcPr>
          <w:p>
            <w:pPr>
              <w:jc w:val="center"/>
              <w:ind w:right="331"/>
              <w:spacing w:after="0" w:line="143" w:lineRule="exact"/>
              <w:rPr>
                <w:sz w:val="20"/>
                <w:szCs w:val="20"/>
                <w:color w:val="auto"/>
              </w:rPr>
            </w:pPr>
            <w:r>
              <w:rPr>
                <w:rFonts w:ascii="Arial" w:cs="Arial" w:eastAsia="Arial" w:hAnsi="Arial"/>
                <w:sz w:val="14"/>
                <w:szCs w:val="14"/>
                <w:b w:val="1"/>
                <w:bCs w:val="1"/>
                <w:color w:val="auto"/>
                <w:w w:val="81"/>
              </w:rPr>
              <w:t>to costs</w:t>
            </w:r>
          </w:p>
        </w:tc>
        <w:tc>
          <w:tcPr>
            <w:tcW w:w="40" w:type="dxa"/>
            <w:vAlign w:val="bottom"/>
          </w:tcPr>
          <w:p>
            <w:pPr>
              <w:spacing w:after="0"/>
              <w:rPr>
                <w:sz w:val="12"/>
                <w:szCs w:val="12"/>
                <w:color w:val="auto"/>
              </w:rPr>
            </w:pPr>
          </w:p>
        </w:tc>
        <w:tc>
          <w:tcPr>
            <w:tcW w:w="940" w:type="dxa"/>
            <w:vAlign w:val="bottom"/>
            <w:gridSpan w:val="3"/>
          </w:tcPr>
          <w:p>
            <w:pPr>
              <w:jc w:val="center"/>
              <w:ind w:right="400"/>
              <w:spacing w:after="0" w:line="143" w:lineRule="exact"/>
              <w:rPr>
                <w:sz w:val="20"/>
                <w:szCs w:val="20"/>
                <w:color w:val="auto"/>
              </w:rPr>
            </w:pPr>
            <w:r>
              <w:rPr>
                <w:rFonts w:ascii="Arial" w:cs="Arial" w:eastAsia="Arial" w:hAnsi="Arial"/>
                <w:sz w:val="14"/>
                <w:szCs w:val="14"/>
                <w:b w:val="1"/>
                <w:bCs w:val="1"/>
                <w:color w:val="auto"/>
                <w:w w:val="88"/>
              </w:rPr>
              <w:t>to other</w:t>
            </w:r>
          </w:p>
        </w:tc>
        <w:tc>
          <w:tcPr>
            <w:tcW w:w="200" w:type="dxa"/>
            <w:vAlign w:val="bottom"/>
          </w:tcPr>
          <w:p>
            <w:pPr>
              <w:spacing w:after="0"/>
              <w:rPr>
                <w:sz w:val="12"/>
                <w:szCs w:val="12"/>
                <w:color w:val="auto"/>
              </w:rPr>
            </w:pPr>
          </w:p>
        </w:tc>
        <w:tc>
          <w:tcPr>
            <w:tcW w:w="1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Deductions-</w:t>
            </w:r>
          </w:p>
        </w:tc>
        <w:tc>
          <w:tcPr>
            <w:tcW w:w="22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160" w:type="dxa"/>
            <w:vAlign w:val="bottom"/>
          </w:tcPr>
          <w:p>
            <w:pPr>
              <w:spacing w:after="0"/>
              <w:rPr>
                <w:sz w:val="12"/>
                <w:szCs w:val="12"/>
                <w:color w:val="auto"/>
              </w:rPr>
            </w:pPr>
          </w:p>
        </w:tc>
        <w:tc>
          <w:tcPr>
            <w:tcW w:w="1100" w:type="dxa"/>
            <w:vAlign w:val="bottom"/>
            <w:gridSpan w:val="3"/>
          </w:tcPr>
          <w:p>
            <w:pPr>
              <w:ind w:left="40"/>
              <w:spacing w:after="0" w:line="143" w:lineRule="exact"/>
              <w:rPr>
                <w:sz w:val="20"/>
                <w:szCs w:val="20"/>
                <w:color w:val="auto"/>
              </w:rPr>
            </w:pPr>
            <w:r>
              <w:rPr>
                <w:rFonts w:ascii="Arial" w:cs="Arial" w:eastAsia="Arial" w:hAnsi="Arial"/>
                <w:sz w:val="14"/>
                <w:szCs w:val="14"/>
                <w:b w:val="1"/>
                <w:bCs w:val="1"/>
                <w:color w:val="auto"/>
              </w:rPr>
              <w:t>beginning</w:t>
            </w:r>
          </w:p>
        </w:tc>
        <w:tc>
          <w:tcPr>
            <w:tcW w:w="80" w:type="dxa"/>
            <w:vAlign w:val="bottom"/>
          </w:tcPr>
          <w:p>
            <w:pPr>
              <w:spacing w:after="0"/>
              <w:rPr>
                <w:sz w:val="12"/>
                <w:szCs w:val="12"/>
                <w:color w:val="auto"/>
              </w:rPr>
            </w:pPr>
          </w:p>
        </w:tc>
        <w:tc>
          <w:tcPr>
            <w:tcW w:w="880" w:type="dxa"/>
            <w:vAlign w:val="bottom"/>
            <w:gridSpan w:val="2"/>
          </w:tcPr>
          <w:p>
            <w:pPr>
              <w:jc w:val="center"/>
              <w:ind w:right="431"/>
              <w:spacing w:after="0" w:line="143" w:lineRule="exact"/>
              <w:rPr>
                <w:sz w:val="20"/>
                <w:szCs w:val="20"/>
                <w:color w:val="auto"/>
              </w:rPr>
            </w:pPr>
            <w:r>
              <w:rPr>
                <w:rFonts w:ascii="Arial" w:cs="Arial" w:eastAsia="Arial" w:hAnsi="Arial"/>
                <w:sz w:val="14"/>
                <w:szCs w:val="14"/>
                <w:b w:val="1"/>
                <w:bCs w:val="1"/>
                <w:color w:val="auto"/>
                <w:w w:val="88"/>
              </w:rPr>
              <w:t>and</w:t>
            </w:r>
          </w:p>
        </w:tc>
        <w:tc>
          <w:tcPr>
            <w:tcW w:w="40" w:type="dxa"/>
            <w:vAlign w:val="bottom"/>
          </w:tcPr>
          <w:p>
            <w:pPr>
              <w:spacing w:after="0"/>
              <w:rPr>
                <w:sz w:val="12"/>
                <w:szCs w:val="12"/>
                <w:color w:val="auto"/>
              </w:rPr>
            </w:pPr>
          </w:p>
        </w:tc>
        <w:tc>
          <w:tcPr>
            <w:tcW w:w="940" w:type="dxa"/>
            <w:vAlign w:val="bottom"/>
            <w:gridSpan w:val="3"/>
          </w:tcPr>
          <w:p>
            <w:pPr>
              <w:jc w:val="center"/>
              <w:ind w:right="380"/>
              <w:spacing w:after="0" w:line="143" w:lineRule="exact"/>
              <w:rPr>
                <w:sz w:val="20"/>
                <w:szCs w:val="20"/>
                <w:color w:val="auto"/>
              </w:rPr>
            </w:pPr>
            <w:r>
              <w:rPr>
                <w:rFonts w:ascii="Arial" w:cs="Arial" w:eastAsia="Arial" w:hAnsi="Arial"/>
                <w:sz w:val="14"/>
                <w:szCs w:val="14"/>
                <w:b w:val="1"/>
                <w:bCs w:val="1"/>
                <w:color w:val="auto"/>
                <w:w w:val="84"/>
              </w:rPr>
              <w:t>accounts-</w:t>
            </w:r>
          </w:p>
        </w:tc>
        <w:tc>
          <w:tcPr>
            <w:tcW w:w="20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center"/>
              <w:ind w:right="140"/>
              <w:spacing w:after="0" w:line="143" w:lineRule="exact"/>
              <w:rPr>
                <w:sz w:val="20"/>
                <w:szCs w:val="20"/>
                <w:color w:val="auto"/>
              </w:rPr>
            </w:pPr>
            <w:r>
              <w:rPr>
                <w:rFonts w:ascii="Arial" w:cs="Arial" w:eastAsia="Arial" w:hAnsi="Arial"/>
                <w:sz w:val="14"/>
                <w:szCs w:val="14"/>
                <w:b w:val="1"/>
                <w:bCs w:val="1"/>
                <w:color w:val="auto"/>
                <w:w w:val="85"/>
              </w:rPr>
              <w:t>end of</w:t>
            </w:r>
          </w:p>
        </w:tc>
        <w:tc>
          <w:tcPr>
            <w:tcW w:w="0" w:type="dxa"/>
            <w:vAlign w:val="bottom"/>
          </w:tcPr>
          <w:p>
            <w:pPr>
              <w:spacing w:after="0"/>
              <w:rPr>
                <w:sz w:val="1"/>
                <w:szCs w:val="1"/>
                <w:color w:val="auto"/>
              </w:rPr>
            </w:pPr>
          </w:p>
        </w:tc>
      </w:tr>
      <w:tr>
        <w:trPr>
          <w:trHeight w:val="185"/>
        </w:trPr>
        <w:tc>
          <w:tcPr>
            <w:tcW w:w="4020" w:type="dxa"/>
            <w:vAlign w:val="bottom"/>
            <w:gridSpan w:val="3"/>
            <w:vMerge w:val="continue"/>
          </w:tcPr>
          <w:p>
            <w:pPr>
              <w:spacing w:after="0"/>
              <w:rPr>
                <w:sz w:val="16"/>
                <w:szCs w:val="16"/>
                <w:color w:val="auto"/>
              </w:rPr>
            </w:pPr>
          </w:p>
        </w:tc>
        <w:tc>
          <w:tcPr>
            <w:tcW w:w="2160" w:type="dxa"/>
            <w:vAlign w:val="bottom"/>
          </w:tcPr>
          <w:p>
            <w:pPr>
              <w:spacing w:after="0"/>
              <w:rPr>
                <w:sz w:val="16"/>
                <w:szCs w:val="16"/>
                <w:color w:val="auto"/>
              </w:rPr>
            </w:pPr>
          </w:p>
        </w:tc>
        <w:tc>
          <w:tcPr>
            <w:tcW w:w="6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6"/>
              </w:rPr>
              <w:t>of period</w:t>
            </w:r>
          </w:p>
        </w:tc>
        <w:tc>
          <w:tcPr>
            <w:tcW w:w="440" w:type="dxa"/>
            <w:vAlign w:val="bottom"/>
          </w:tcPr>
          <w:p>
            <w:pPr>
              <w:spacing w:after="0"/>
              <w:rPr>
                <w:sz w:val="16"/>
                <w:szCs w:val="16"/>
                <w:color w:val="auto"/>
              </w:rPr>
            </w:pPr>
          </w:p>
        </w:tc>
        <w:tc>
          <w:tcPr>
            <w:tcW w:w="5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1"/>
              </w:rPr>
              <w:t>expenses</w:t>
            </w: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3"/>
              </w:rPr>
              <w:t>describe</w:t>
            </w: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describe</w:t>
            </w: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93"/>
              </w:rPr>
              <w:t>period</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34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3320" w:type="dxa"/>
            <w:vAlign w:val="bottom"/>
          </w:tcPr>
          <w:p>
            <w:pPr>
              <w:spacing w:after="0"/>
              <w:rPr>
                <w:sz w:val="10"/>
                <w:szCs w:val="10"/>
                <w:color w:val="auto"/>
              </w:rPr>
            </w:pPr>
          </w:p>
        </w:tc>
        <w:tc>
          <w:tcPr>
            <w:tcW w:w="2820" w:type="dxa"/>
            <w:vAlign w:val="bottom"/>
            <w:gridSpan w:val="3"/>
          </w:tcPr>
          <w:p>
            <w:pPr>
              <w:jc w:val="right"/>
              <w:ind w:right="335"/>
              <w:spacing w:after="0" w:line="116" w:lineRule="exact"/>
              <w:rPr>
                <w:sz w:val="20"/>
                <w:szCs w:val="20"/>
                <w:color w:val="auto"/>
              </w:rPr>
            </w:pPr>
            <w:r>
              <w:rPr>
                <w:rFonts w:ascii="Arial" w:cs="Arial" w:eastAsia="Arial" w:hAnsi="Arial"/>
                <w:sz w:val="13"/>
                <w:szCs w:val="13"/>
                <w:b w:val="1"/>
                <w:bCs w:val="1"/>
                <w:color w:val="auto"/>
              </w:rPr>
              <w:t>(Amounts in Thousands)</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402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Year ended December 31, 2017</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20" w:type="dxa"/>
            <w:vAlign w:val="bottom"/>
            <w:gridSpan w:val="3"/>
          </w:tcPr>
          <w:p>
            <w:pPr>
              <w:spacing w:after="0"/>
              <w:rPr>
                <w:sz w:val="20"/>
                <w:szCs w:val="20"/>
                <w:color w:val="auto"/>
              </w:rPr>
            </w:pPr>
            <w:r>
              <w:rPr>
                <w:rFonts w:ascii="Arial" w:cs="Arial" w:eastAsia="Arial" w:hAnsi="Arial"/>
                <w:sz w:val="17"/>
                <w:szCs w:val="17"/>
                <w:color w:val="auto"/>
              </w:rPr>
              <w:t>Allowance for doubtful accounts</w:t>
            </w:r>
          </w:p>
        </w:tc>
        <w:tc>
          <w:tcPr>
            <w:tcW w:w="2260" w:type="dxa"/>
            <w:vAlign w:val="bottom"/>
            <w:gridSpan w:val="2"/>
          </w:tcPr>
          <w:p>
            <w:pPr>
              <w:ind w:left="2160"/>
              <w:spacing w:after="0"/>
              <w:rPr>
                <w:sz w:val="20"/>
                <w:szCs w:val="20"/>
                <w:color w:val="auto"/>
              </w:rPr>
            </w:pPr>
            <w:r>
              <w:rPr>
                <w:rFonts w:ascii="Arial" w:cs="Arial" w:eastAsia="Arial" w:hAnsi="Arial"/>
                <w:sz w:val="17"/>
                <w:szCs w:val="17"/>
                <w:color w:val="auto"/>
                <w:w w:val="84"/>
              </w:rPr>
              <w:t>$</w:t>
            </w:r>
          </w:p>
        </w:tc>
        <w:tc>
          <w:tcPr>
            <w:tcW w:w="1000" w:type="dxa"/>
            <w:vAlign w:val="bottom"/>
            <w:gridSpan w:val="2"/>
          </w:tcPr>
          <w:p>
            <w:pPr>
              <w:jc w:val="right"/>
              <w:ind w:right="440"/>
              <w:spacing w:after="0"/>
              <w:rPr>
                <w:sz w:val="20"/>
                <w:szCs w:val="20"/>
                <w:color w:val="auto"/>
              </w:rPr>
            </w:pPr>
            <w:r>
              <w:rPr>
                <w:rFonts w:ascii="Arial" w:cs="Arial" w:eastAsia="Arial" w:hAnsi="Arial"/>
                <w:sz w:val="17"/>
                <w:szCs w:val="17"/>
                <w:color w:val="auto"/>
              </w:rPr>
              <w:t>6,266</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411"/>
              <w:spacing w:after="0"/>
              <w:rPr>
                <w:sz w:val="20"/>
                <w:szCs w:val="20"/>
                <w:color w:val="auto"/>
              </w:rPr>
            </w:pPr>
            <w:r>
              <w:rPr>
                <w:rFonts w:ascii="Arial" w:cs="Arial" w:eastAsia="Arial" w:hAnsi="Arial"/>
                <w:sz w:val="17"/>
                <w:szCs w:val="17"/>
                <w:color w:val="auto"/>
              </w:rPr>
              <w:t>—</w:t>
            </w: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300" w:type="dxa"/>
            <w:vAlign w:val="bottom"/>
            <w:gridSpan w:val="2"/>
          </w:tcPr>
          <w:p>
            <w:pPr>
              <w:ind w:left="200"/>
              <w:spacing w:after="0"/>
              <w:rPr>
                <w:sz w:val="20"/>
                <w:szCs w:val="20"/>
                <w:color w:val="auto"/>
              </w:rPr>
            </w:pPr>
            <w:r>
              <w:rPr>
                <w:rFonts w:ascii="Arial" w:cs="Arial" w:eastAsia="Arial" w:hAnsi="Arial"/>
                <w:sz w:val="17"/>
                <w:szCs w:val="17"/>
                <w:color w:val="auto"/>
                <w:w w:val="84"/>
              </w:rPr>
              <w:t>$</w:t>
            </w:r>
          </w:p>
        </w:tc>
        <w:tc>
          <w:tcPr>
            <w:tcW w:w="980" w:type="dxa"/>
            <w:vAlign w:val="bottom"/>
            <w:gridSpan w:val="2"/>
          </w:tcPr>
          <w:p>
            <w:pPr>
              <w:ind w:left="240"/>
              <w:spacing w:after="0"/>
              <w:rPr>
                <w:sz w:val="20"/>
                <w:szCs w:val="20"/>
                <w:color w:val="auto"/>
              </w:rPr>
            </w:pPr>
            <w:r>
              <w:rPr>
                <w:rFonts w:ascii="Arial" w:cs="Arial" w:eastAsia="Arial" w:hAnsi="Arial"/>
                <w:sz w:val="17"/>
                <w:szCs w:val="17"/>
                <w:color w:val="auto"/>
              </w:rPr>
              <w:t>3,876</w:t>
            </w:r>
            <w:r>
              <w:rPr>
                <w:rFonts w:ascii="Arial" w:cs="Arial" w:eastAsia="Arial" w:hAnsi="Arial"/>
                <w:sz w:val="14"/>
                <w:szCs w:val="14"/>
                <w:color w:val="auto"/>
              </w:rPr>
              <w:t>(a)</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7"/>
                <w:szCs w:val="17"/>
                <w:color w:val="auto"/>
              </w:rPr>
              <w:t>2,390</w:t>
            </w:r>
          </w:p>
        </w:tc>
        <w:tc>
          <w:tcPr>
            <w:tcW w:w="0" w:type="dxa"/>
            <w:vAlign w:val="bottom"/>
          </w:tcPr>
          <w:p>
            <w:pPr>
              <w:spacing w:after="0"/>
              <w:rPr>
                <w:sz w:val="1"/>
                <w:szCs w:val="1"/>
                <w:color w:val="auto"/>
              </w:rPr>
            </w:pPr>
          </w:p>
        </w:tc>
      </w:tr>
      <w:tr>
        <w:trPr>
          <w:trHeight w:val="208"/>
        </w:trPr>
        <w:tc>
          <w:tcPr>
            <w:tcW w:w="40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Allowance for uncollectible notes receivable</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437</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11"/>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210</w:t>
            </w:r>
            <w:r>
              <w:rPr>
                <w:rFonts w:ascii="Arial" w:cs="Arial" w:eastAsia="Arial" w:hAnsi="Arial"/>
                <w:sz w:val="14"/>
                <w:szCs w:val="14"/>
                <w:color w:val="auto"/>
              </w:rPr>
              <w:t>(a)</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227</w:t>
            </w:r>
          </w:p>
        </w:tc>
        <w:tc>
          <w:tcPr>
            <w:tcW w:w="0" w:type="dxa"/>
            <w:vAlign w:val="bottom"/>
          </w:tcPr>
          <w:p>
            <w:pPr>
              <w:spacing w:after="0"/>
              <w:rPr>
                <w:sz w:val="1"/>
                <w:szCs w:val="1"/>
                <w:color w:val="auto"/>
              </w:rPr>
            </w:pPr>
          </w:p>
        </w:tc>
      </w:tr>
      <w:tr>
        <w:trPr>
          <w:trHeight w:val="208"/>
        </w:trPr>
        <w:tc>
          <w:tcPr>
            <w:tcW w:w="4020" w:type="dxa"/>
            <w:vAlign w:val="bottom"/>
            <w:gridSpan w:val="3"/>
          </w:tcPr>
          <w:p>
            <w:pPr>
              <w:spacing w:after="0"/>
              <w:rPr>
                <w:sz w:val="20"/>
                <w:szCs w:val="20"/>
                <w:color w:val="auto"/>
              </w:rPr>
            </w:pPr>
            <w:r>
              <w:rPr>
                <w:rFonts w:ascii="Arial" w:cs="Arial" w:eastAsia="Arial" w:hAnsi="Arial"/>
                <w:sz w:val="17"/>
                <w:szCs w:val="17"/>
                <w:color w:val="auto"/>
              </w:rPr>
              <w:t>Inventory valuation allowance</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7"/>
                <w:szCs w:val="17"/>
                <w:color w:val="auto"/>
                <w:w w:val="87"/>
              </w:rPr>
              <w:t>134,862</w:t>
            </w:r>
          </w:p>
        </w:tc>
        <w:tc>
          <w:tcPr>
            <w:tcW w:w="80" w:type="dxa"/>
            <w:vAlign w:val="bottom"/>
          </w:tcPr>
          <w:p>
            <w:pPr>
              <w:spacing w:after="0"/>
              <w:rPr>
                <w:sz w:val="18"/>
                <w:szCs w:val="18"/>
                <w:color w:val="auto"/>
              </w:rPr>
            </w:pPr>
          </w:p>
        </w:tc>
        <w:tc>
          <w:tcPr>
            <w:tcW w:w="880" w:type="dxa"/>
            <w:vAlign w:val="bottom"/>
            <w:gridSpan w:val="2"/>
          </w:tcPr>
          <w:p>
            <w:pPr>
              <w:jc w:val="right"/>
              <w:ind w:right="331"/>
              <w:spacing w:after="0"/>
              <w:rPr>
                <w:sz w:val="20"/>
                <w:szCs w:val="20"/>
                <w:color w:val="auto"/>
              </w:rPr>
            </w:pPr>
            <w:r>
              <w:rPr>
                <w:rFonts w:ascii="Arial" w:cs="Arial" w:eastAsia="Arial" w:hAnsi="Arial"/>
                <w:sz w:val="17"/>
                <w:szCs w:val="17"/>
                <w:color w:val="auto"/>
              </w:rPr>
              <w:t>9,099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3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7"/>
                <w:szCs w:val="17"/>
                <w:color w:val="auto"/>
                <w:w w:val="91"/>
              </w:rPr>
              <w:t>143,961</w:t>
            </w:r>
          </w:p>
        </w:tc>
        <w:tc>
          <w:tcPr>
            <w:tcW w:w="0" w:type="dxa"/>
            <w:vAlign w:val="bottom"/>
          </w:tcPr>
          <w:p>
            <w:pPr>
              <w:spacing w:after="0"/>
              <w:rPr>
                <w:sz w:val="1"/>
                <w:szCs w:val="1"/>
                <w:color w:val="auto"/>
              </w:rPr>
            </w:pPr>
          </w:p>
        </w:tc>
      </w:tr>
      <w:tr>
        <w:trPr>
          <w:trHeight w:val="208"/>
        </w:trPr>
        <w:tc>
          <w:tcPr>
            <w:tcW w:w="402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Year ended December 31, 2016</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20" w:type="dxa"/>
            <w:vAlign w:val="bottom"/>
            <w:gridSpan w:val="3"/>
          </w:tcPr>
          <w:p>
            <w:pPr>
              <w:spacing w:after="0"/>
              <w:rPr>
                <w:sz w:val="20"/>
                <w:szCs w:val="20"/>
                <w:color w:val="auto"/>
              </w:rPr>
            </w:pPr>
            <w:r>
              <w:rPr>
                <w:rFonts w:ascii="Arial" w:cs="Arial" w:eastAsia="Arial" w:hAnsi="Arial"/>
                <w:sz w:val="17"/>
                <w:szCs w:val="17"/>
                <w:color w:val="auto"/>
              </w:rPr>
              <w:t>Allowance for doubtful accounts</w:t>
            </w:r>
          </w:p>
        </w:tc>
        <w:tc>
          <w:tcPr>
            <w:tcW w:w="2260" w:type="dxa"/>
            <w:vAlign w:val="bottom"/>
            <w:gridSpan w:val="2"/>
          </w:tcPr>
          <w:p>
            <w:pPr>
              <w:ind w:left="2160"/>
              <w:spacing w:after="0"/>
              <w:rPr>
                <w:sz w:val="20"/>
                <w:szCs w:val="20"/>
                <w:color w:val="auto"/>
              </w:rPr>
            </w:pPr>
            <w:r>
              <w:rPr>
                <w:rFonts w:ascii="Arial" w:cs="Arial" w:eastAsia="Arial" w:hAnsi="Arial"/>
                <w:sz w:val="17"/>
                <w:szCs w:val="17"/>
                <w:color w:val="auto"/>
                <w:w w:val="84"/>
              </w:rPr>
              <w:t>$</w:t>
            </w:r>
          </w:p>
        </w:tc>
        <w:tc>
          <w:tcPr>
            <w:tcW w:w="1000" w:type="dxa"/>
            <w:vAlign w:val="bottom"/>
            <w:gridSpan w:val="2"/>
          </w:tcPr>
          <w:p>
            <w:pPr>
              <w:jc w:val="right"/>
              <w:ind w:right="440"/>
              <w:spacing w:after="0"/>
              <w:rPr>
                <w:sz w:val="20"/>
                <w:szCs w:val="20"/>
                <w:color w:val="auto"/>
              </w:rPr>
            </w:pPr>
            <w:r>
              <w:rPr>
                <w:rFonts w:ascii="Arial" w:cs="Arial" w:eastAsia="Arial" w:hAnsi="Arial"/>
                <w:sz w:val="17"/>
                <w:szCs w:val="17"/>
                <w:color w:val="auto"/>
              </w:rPr>
              <w:t>6,940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411"/>
              <w:spacing w:after="0"/>
              <w:rPr>
                <w:sz w:val="20"/>
                <w:szCs w:val="20"/>
                <w:color w:val="auto"/>
              </w:rPr>
            </w:pPr>
            <w:r>
              <w:rPr>
                <w:rFonts w:ascii="Arial" w:cs="Arial" w:eastAsia="Arial" w:hAnsi="Arial"/>
                <w:sz w:val="17"/>
                <w:szCs w:val="17"/>
                <w:color w:val="auto"/>
              </w:rPr>
              <w:t>—</w:t>
            </w: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300" w:type="dxa"/>
            <w:vAlign w:val="bottom"/>
            <w:gridSpan w:val="2"/>
          </w:tcPr>
          <w:p>
            <w:pPr>
              <w:ind w:left="200"/>
              <w:spacing w:after="0"/>
              <w:rPr>
                <w:sz w:val="20"/>
                <w:szCs w:val="20"/>
                <w:color w:val="auto"/>
              </w:rPr>
            </w:pPr>
            <w:r>
              <w:rPr>
                <w:rFonts w:ascii="Arial" w:cs="Arial" w:eastAsia="Arial" w:hAnsi="Arial"/>
                <w:sz w:val="17"/>
                <w:szCs w:val="17"/>
                <w:color w:val="auto"/>
                <w:w w:val="84"/>
              </w:rPr>
              <w:t>$</w:t>
            </w:r>
          </w:p>
        </w:tc>
        <w:tc>
          <w:tcPr>
            <w:tcW w:w="980" w:type="dxa"/>
            <w:vAlign w:val="bottom"/>
            <w:gridSpan w:val="2"/>
          </w:tcPr>
          <w:p>
            <w:pPr>
              <w:ind w:left="360"/>
              <w:spacing w:after="0"/>
              <w:rPr>
                <w:sz w:val="20"/>
                <w:szCs w:val="20"/>
                <w:color w:val="auto"/>
              </w:rPr>
            </w:pPr>
            <w:r>
              <w:rPr>
                <w:rFonts w:ascii="Arial" w:cs="Arial" w:eastAsia="Arial" w:hAnsi="Arial"/>
                <w:sz w:val="17"/>
                <w:szCs w:val="17"/>
                <w:color w:val="auto"/>
              </w:rPr>
              <w:t>674</w:t>
            </w:r>
            <w:r>
              <w:rPr>
                <w:rFonts w:ascii="Arial" w:cs="Arial" w:eastAsia="Arial" w:hAnsi="Arial"/>
                <w:sz w:val="14"/>
                <w:szCs w:val="14"/>
                <w:color w:val="auto"/>
              </w:rPr>
              <w:t>(a)</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7"/>
                <w:szCs w:val="17"/>
                <w:color w:val="auto"/>
              </w:rPr>
              <w:t>6,266</w:t>
            </w:r>
          </w:p>
        </w:tc>
        <w:tc>
          <w:tcPr>
            <w:tcW w:w="0" w:type="dxa"/>
            <w:vAlign w:val="bottom"/>
          </w:tcPr>
          <w:p>
            <w:pPr>
              <w:spacing w:after="0"/>
              <w:rPr>
                <w:sz w:val="1"/>
                <w:szCs w:val="1"/>
                <w:color w:val="auto"/>
              </w:rPr>
            </w:pPr>
          </w:p>
        </w:tc>
      </w:tr>
      <w:tr>
        <w:trPr>
          <w:trHeight w:val="208"/>
        </w:trPr>
        <w:tc>
          <w:tcPr>
            <w:tcW w:w="40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Allowance for uncollectible notes receivable</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585</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11"/>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148</w:t>
            </w:r>
            <w:r>
              <w:rPr>
                <w:rFonts w:ascii="Arial" w:cs="Arial" w:eastAsia="Arial" w:hAnsi="Arial"/>
                <w:sz w:val="14"/>
                <w:szCs w:val="14"/>
                <w:color w:val="auto"/>
              </w:rPr>
              <w:t>(a)</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437</w:t>
            </w:r>
          </w:p>
        </w:tc>
        <w:tc>
          <w:tcPr>
            <w:tcW w:w="0" w:type="dxa"/>
            <w:vAlign w:val="bottom"/>
          </w:tcPr>
          <w:p>
            <w:pPr>
              <w:spacing w:after="0"/>
              <w:rPr>
                <w:sz w:val="1"/>
                <w:szCs w:val="1"/>
                <w:color w:val="auto"/>
              </w:rPr>
            </w:pPr>
          </w:p>
        </w:tc>
      </w:tr>
      <w:tr>
        <w:trPr>
          <w:trHeight w:val="208"/>
        </w:trPr>
        <w:tc>
          <w:tcPr>
            <w:tcW w:w="4020" w:type="dxa"/>
            <w:vAlign w:val="bottom"/>
            <w:gridSpan w:val="3"/>
          </w:tcPr>
          <w:p>
            <w:pPr>
              <w:spacing w:after="0"/>
              <w:rPr>
                <w:sz w:val="20"/>
                <w:szCs w:val="20"/>
                <w:color w:val="auto"/>
              </w:rPr>
            </w:pPr>
            <w:r>
              <w:rPr>
                <w:rFonts w:ascii="Arial" w:cs="Arial" w:eastAsia="Arial" w:hAnsi="Arial"/>
                <w:sz w:val="17"/>
                <w:szCs w:val="17"/>
                <w:color w:val="auto"/>
              </w:rPr>
              <w:t>Inventory valuation allowance</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7"/>
                <w:szCs w:val="17"/>
                <w:color w:val="auto"/>
                <w:w w:val="87"/>
              </w:rPr>
              <w:t>130,584</w:t>
            </w:r>
          </w:p>
        </w:tc>
        <w:tc>
          <w:tcPr>
            <w:tcW w:w="80" w:type="dxa"/>
            <w:vAlign w:val="bottom"/>
          </w:tcPr>
          <w:p>
            <w:pPr>
              <w:spacing w:after="0"/>
              <w:rPr>
                <w:sz w:val="18"/>
                <w:szCs w:val="18"/>
                <w:color w:val="auto"/>
              </w:rPr>
            </w:pPr>
          </w:p>
        </w:tc>
        <w:tc>
          <w:tcPr>
            <w:tcW w:w="880" w:type="dxa"/>
            <w:vAlign w:val="bottom"/>
            <w:gridSpan w:val="2"/>
          </w:tcPr>
          <w:p>
            <w:pPr>
              <w:jc w:val="right"/>
              <w:ind w:right="331"/>
              <w:spacing w:after="0"/>
              <w:rPr>
                <w:sz w:val="20"/>
                <w:szCs w:val="20"/>
                <w:color w:val="auto"/>
              </w:rPr>
            </w:pPr>
            <w:r>
              <w:rPr>
                <w:rFonts w:ascii="Arial" w:cs="Arial" w:eastAsia="Arial" w:hAnsi="Arial"/>
                <w:sz w:val="17"/>
                <w:szCs w:val="17"/>
                <w:color w:val="auto"/>
              </w:rPr>
              <w:t>4,160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ind w:left="180"/>
              <w:spacing w:after="0"/>
              <w:rPr>
                <w:sz w:val="20"/>
                <w:szCs w:val="20"/>
                <w:color w:val="auto"/>
              </w:rPr>
            </w:pPr>
            <w:r>
              <w:rPr>
                <w:rFonts w:ascii="Arial" w:cs="Arial" w:eastAsia="Arial" w:hAnsi="Arial"/>
                <w:sz w:val="17"/>
                <w:szCs w:val="17"/>
                <w:color w:val="auto"/>
              </w:rPr>
              <w:t>118</w:t>
            </w:r>
            <w:r>
              <w:rPr>
                <w:rFonts w:ascii="Arial" w:cs="Arial" w:eastAsia="Arial" w:hAnsi="Arial"/>
                <w:sz w:val="14"/>
                <w:szCs w:val="14"/>
                <w:color w:val="auto"/>
              </w:rPr>
              <w:t>(b)</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3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7"/>
                <w:szCs w:val="17"/>
                <w:color w:val="auto"/>
                <w:w w:val="91"/>
              </w:rPr>
              <w:t>134,862</w:t>
            </w:r>
          </w:p>
        </w:tc>
        <w:tc>
          <w:tcPr>
            <w:tcW w:w="0" w:type="dxa"/>
            <w:vAlign w:val="bottom"/>
          </w:tcPr>
          <w:p>
            <w:pPr>
              <w:spacing w:after="0"/>
              <w:rPr>
                <w:sz w:val="1"/>
                <w:szCs w:val="1"/>
                <w:color w:val="auto"/>
              </w:rPr>
            </w:pPr>
          </w:p>
        </w:tc>
      </w:tr>
      <w:tr>
        <w:trPr>
          <w:trHeight w:val="208"/>
        </w:trPr>
        <w:tc>
          <w:tcPr>
            <w:tcW w:w="402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Year ended December 31, 2015</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20" w:type="dxa"/>
            <w:vAlign w:val="bottom"/>
            <w:gridSpan w:val="3"/>
          </w:tcPr>
          <w:p>
            <w:pPr>
              <w:spacing w:after="0"/>
              <w:rPr>
                <w:sz w:val="20"/>
                <w:szCs w:val="20"/>
                <w:color w:val="auto"/>
              </w:rPr>
            </w:pPr>
            <w:r>
              <w:rPr>
                <w:rFonts w:ascii="Arial" w:cs="Arial" w:eastAsia="Arial" w:hAnsi="Arial"/>
                <w:sz w:val="17"/>
                <w:szCs w:val="17"/>
                <w:color w:val="auto"/>
              </w:rPr>
              <w:t>Allowance for doubtful accounts</w:t>
            </w:r>
          </w:p>
        </w:tc>
        <w:tc>
          <w:tcPr>
            <w:tcW w:w="2260" w:type="dxa"/>
            <w:vAlign w:val="bottom"/>
            <w:gridSpan w:val="2"/>
          </w:tcPr>
          <w:p>
            <w:pPr>
              <w:ind w:left="2160"/>
              <w:spacing w:after="0"/>
              <w:rPr>
                <w:sz w:val="20"/>
                <w:szCs w:val="20"/>
                <w:color w:val="auto"/>
              </w:rPr>
            </w:pPr>
            <w:r>
              <w:rPr>
                <w:rFonts w:ascii="Arial" w:cs="Arial" w:eastAsia="Arial" w:hAnsi="Arial"/>
                <w:sz w:val="17"/>
                <w:szCs w:val="17"/>
                <w:color w:val="auto"/>
                <w:w w:val="84"/>
              </w:rPr>
              <w:t>$</w:t>
            </w:r>
          </w:p>
        </w:tc>
        <w:tc>
          <w:tcPr>
            <w:tcW w:w="1000" w:type="dxa"/>
            <w:vAlign w:val="bottom"/>
            <w:gridSpan w:val="2"/>
          </w:tcPr>
          <w:p>
            <w:pPr>
              <w:jc w:val="right"/>
              <w:ind w:right="440"/>
              <w:spacing w:after="0"/>
              <w:rPr>
                <w:sz w:val="20"/>
                <w:szCs w:val="20"/>
                <w:color w:val="auto"/>
              </w:rPr>
            </w:pPr>
            <w:r>
              <w:rPr>
                <w:rFonts w:ascii="Arial" w:cs="Arial" w:eastAsia="Arial" w:hAnsi="Arial"/>
                <w:sz w:val="17"/>
                <w:szCs w:val="17"/>
                <w:color w:val="auto"/>
              </w:rPr>
              <w:t>4,077</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31"/>
              <w:spacing w:after="0"/>
              <w:rPr>
                <w:sz w:val="20"/>
                <w:szCs w:val="20"/>
                <w:color w:val="auto"/>
              </w:rPr>
            </w:pPr>
            <w:r>
              <w:rPr>
                <w:rFonts w:ascii="Arial" w:cs="Arial" w:eastAsia="Arial" w:hAnsi="Arial"/>
                <w:sz w:val="17"/>
                <w:szCs w:val="17"/>
                <w:color w:val="auto"/>
              </w:rPr>
              <w:t>2,863</w:t>
            </w: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300" w:type="dxa"/>
            <w:vAlign w:val="bottom"/>
            <w:gridSpan w:val="2"/>
          </w:tcPr>
          <w:p>
            <w:pPr>
              <w:ind w:left="200"/>
              <w:spacing w:after="0"/>
              <w:rPr>
                <w:sz w:val="20"/>
                <w:szCs w:val="20"/>
                <w:color w:val="auto"/>
              </w:rPr>
            </w:pPr>
            <w:r>
              <w:rPr>
                <w:rFonts w:ascii="Arial" w:cs="Arial" w:eastAsia="Arial" w:hAnsi="Arial"/>
                <w:sz w:val="17"/>
                <w:szCs w:val="17"/>
                <w:color w:val="auto"/>
                <w:w w:val="84"/>
              </w:rPr>
              <w:t>$</w:t>
            </w:r>
          </w:p>
        </w:tc>
        <w:tc>
          <w:tcPr>
            <w:tcW w:w="980" w:type="dxa"/>
            <w:vAlign w:val="bottom"/>
            <w:gridSpan w:val="2"/>
          </w:tcPr>
          <w:p>
            <w:pPr>
              <w:ind w:left="360"/>
              <w:spacing w:after="0"/>
              <w:rPr>
                <w:sz w:val="20"/>
                <w:szCs w:val="20"/>
                <w:color w:val="auto"/>
              </w:rPr>
            </w:pPr>
            <w:r>
              <w:rPr>
                <w:rFonts w:ascii="Arial" w:cs="Arial" w:eastAsia="Arial" w:hAnsi="Arial"/>
                <w:sz w:val="17"/>
                <w:szCs w:val="17"/>
                <w:color w:val="auto"/>
              </w:rPr>
              <w:t>—</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7"/>
                <w:szCs w:val="17"/>
                <w:color w:val="auto"/>
              </w:rPr>
              <w:t>6,940</w:t>
            </w:r>
          </w:p>
        </w:tc>
        <w:tc>
          <w:tcPr>
            <w:tcW w:w="0" w:type="dxa"/>
            <w:vAlign w:val="bottom"/>
          </w:tcPr>
          <w:p>
            <w:pPr>
              <w:spacing w:after="0"/>
              <w:rPr>
                <w:sz w:val="1"/>
                <w:szCs w:val="1"/>
                <w:color w:val="auto"/>
              </w:rPr>
            </w:pPr>
          </w:p>
        </w:tc>
      </w:tr>
      <w:tr>
        <w:trPr>
          <w:trHeight w:val="208"/>
        </w:trPr>
        <w:tc>
          <w:tcPr>
            <w:tcW w:w="40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Allowance for uncollectible notes receivable</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1,486</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11"/>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901</w:t>
            </w:r>
            <w:r>
              <w:rPr>
                <w:rFonts w:ascii="Arial" w:cs="Arial" w:eastAsia="Arial" w:hAnsi="Arial"/>
                <w:sz w:val="14"/>
                <w:szCs w:val="14"/>
                <w:color w:val="auto"/>
              </w:rPr>
              <w:t>(a)</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585</w:t>
            </w:r>
          </w:p>
        </w:tc>
        <w:tc>
          <w:tcPr>
            <w:tcW w:w="0" w:type="dxa"/>
            <w:vAlign w:val="bottom"/>
          </w:tcPr>
          <w:p>
            <w:pPr>
              <w:spacing w:after="0"/>
              <w:rPr>
                <w:sz w:val="1"/>
                <w:szCs w:val="1"/>
                <w:color w:val="auto"/>
              </w:rPr>
            </w:pPr>
          </w:p>
        </w:tc>
      </w:tr>
      <w:tr>
        <w:trPr>
          <w:trHeight w:val="220"/>
        </w:trPr>
        <w:tc>
          <w:tcPr>
            <w:tcW w:w="4020" w:type="dxa"/>
            <w:vAlign w:val="bottom"/>
            <w:gridSpan w:val="3"/>
          </w:tcPr>
          <w:p>
            <w:pPr>
              <w:spacing w:after="0"/>
              <w:rPr>
                <w:sz w:val="20"/>
                <w:szCs w:val="20"/>
                <w:color w:val="auto"/>
              </w:rPr>
            </w:pPr>
            <w:r>
              <w:rPr>
                <w:rFonts w:ascii="Arial" w:cs="Arial" w:eastAsia="Arial" w:hAnsi="Arial"/>
                <w:sz w:val="17"/>
                <w:szCs w:val="17"/>
                <w:color w:val="auto"/>
              </w:rPr>
              <w:t>Inventory valuation allowance</w:t>
            </w: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7"/>
                <w:szCs w:val="17"/>
                <w:color w:val="auto"/>
                <w:w w:val="87"/>
              </w:rPr>
              <w:t>119,189</w:t>
            </w:r>
          </w:p>
        </w:tc>
        <w:tc>
          <w:tcPr>
            <w:tcW w:w="80" w:type="dxa"/>
            <w:vAlign w:val="bottom"/>
          </w:tcPr>
          <w:p>
            <w:pPr>
              <w:spacing w:after="0"/>
              <w:rPr>
                <w:sz w:val="19"/>
                <w:szCs w:val="19"/>
                <w:color w:val="auto"/>
              </w:rPr>
            </w:pPr>
          </w:p>
        </w:tc>
        <w:tc>
          <w:tcPr>
            <w:tcW w:w="880" w:type="dxa"/>
            <w:vAlign w:val="bottom"/>
            <w:gridSpan w:val="2"/>
          </w:tcPr>
          <w:p>
            <w:pPr>
              <w:jc w:val="right"/>
              <w:ind w:right="331"/>
              <w:spacing w:after="0"/>
              <w:rPr>
                <w:sz w:val="20"/>
                <w:szCs w:val="20"/>
                <w:color w:val="auto"/>
              </w:rPr>
            </w:pPr>
            <w:r>
              <w:rPr>
                <w:rFonts w:ascii="Arial" w:cs="Arial" w:eastAsia="Arial" w:hAnsi="Arial"/>
                <w:sz w:val="17"/>
                <w:szCs w:val="17"/>
                <w:color w:val="auto"/>
                <w:w w:val="88"/>
              </w:rPr>
              <w:t>13,365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ind w:left="60"/>
              <w:spacing w:after="0"/>
              <w:rPr>
                <w:sz w:val="20"/>
                <w:szCs w:val="20"/>
                <w:color w:val="auto"/>
              </w:rPr>
            </w:pPr>
            <w:r>
              <w:rPr>
                <w:rFonts w:ascii="Arial" w:cs="Arial" w:eastAsia="Arial" w:hAnsi="Arial"/>
                <w:sz w:val="17"/>
                <w:szCs w:val="17"/>
                <w:color w:val="auto"/>
              </w:rPr>
              <w:t>1,400</w:t>
            </w:r>
            <w:r>
              <w:rPr>
                <w:rFonts w:ascii="Arial" w:cs="Arial" w:eastAsia="Arial" w:hAnsi="Arial"/>
                <w:sz w:val="14"/>
                <w:szCs w:val="14"/>
                <w:color w:val="auto"/>
              </w:rPr>
              <w:t>(b)</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ind w:left="240"/>
              <w:spacing w:after="0"/>
              <w:rPr>
                <w:sz w:val="20"/>
                <w:szCs w:val="20"/>
                <w:color w:val="auto"/>
              </w:rPr>
            </w:pPr>
            <w:r>
              <w:rPr>
                <w:rFonts w:ascii="Arial" w:cs="Arial" w:eastAsia="Arial" w:hAnsi="Arial"/>
                <w:sz w:val="17"/>
                <w:szCs w:val="17"/>
                <w:color w:val="auto"/>
              </w:rPr>
              <w:t>3,370</w:t>
            </w:r>
            <w:r>
              <w:rPr>
                <w:rFonts w:ascii="Arial" w:cs="Arial" w:eastAsia="Arial" w:hAnsi="Arial"/>
                <w:sz w:val="14"/>
                <w:szCs w:val="14"/>
                <w:color w:val="auto"/>
              </w:rPr>
              <w:t>(c)</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7"/>
                <w:szCs w:val="17"/>
                <w:color w:val="auto"/>
                <w:w w:val="91"/>
              </w:rPr>
              <w:t>130,584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7251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4">
                      <a:extLst>
                        <a:ext uri="{28A0092B-C50C-407E-A947-70E740481C1C}"/>
                      </a:extLst>
                    </a:blip>
                    <a:srcRect/>
                    <a:stretch>
                      <a:fillRect/>
                    </a:stretch>
                  </pic:blipFill>
                  <pic:spPr bwMode="auto">
                    <a:xfrm>
                      <a:off x="0" y="0"/>
                      <a:ext cx="725170" cy="8255"/>
                    </a:xfrm>
                    <a:prstGeom prst="rect">
                      <a:avLst/>
                    </a:prstGeom>
                    <a:noFill/>
                  </pic:spPr>
                </pic:pic>
              </a:graphicData>
            </a:graphic>
          </wp:anchor>
        </w:drawing>
      </w:r>
    </w:p>
    <w:p>
      <w:pPr>
        <w:spacing w:after="0" w:line="137" w:lineRule="exact"/>
        <w:rPr>
          <w:sz w:val="20"/>
          <w:szCs w:val="20"/>
          <w:color w:val="auto"/>
        </w:rPr>
      </w:pPr>
    </w:p>
    <w:p>
      <w:pPr>
        <w:ind w:left="460" w:hanging="456"/>
        <w:spacing w:after="0"/>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Write off of uncollectible accounts and change in estimates.</w:t>
      </w:r>
    </w:p>
    <w:p>
      <w:pPr>
        <w:spacing w:after="0" w:line="24" w:lineRule="exact"/>
        <w:rPr>
          <w:rFonts w:ascii="Arial" w:cs="Arial" w:eastAsia="Arial" w:hAnsi="Arial"/>
          <w:sz w:val="17"/>
          <w:szCs w:val="17"/>
          <w:color w:val="auto"/>
        </w:rPr>
      </w:pPr>
    </w:p>
    <w:p>
      <w:pPr>
        <w:ind w:left="460" w:hanging="456"/>
        <w:spacing w:after="0"/>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Application of reserve policy to acquired inventories.</w:t>
      </w:r>
    </w:p>
    <w:p>
      <w:pPr>
        <w:spacing w:after="0" w:line="12" w:lineRule="exact"/>
        <w:rPr>
          <w:rFonts w:ascii="Arial" w:cs="Arial" w:eastAsia="Arial" w:hAnsi="Arial"/>
          <w:sz w:val="17"/>
          <w:szCs w:val="17"/>
          <w:color w:val="auto"/>
        </w:rPr>
      </w:pPr>
    </w:p>
    <w:p>
      <w:pPr>
        <w:ind w:left="460" w:hanging="456"/>
        <w:spacing w:after="0"/>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Divestitures.</w:t>
      </w:r>
    </w:p>
    <w:p>
      <w:pPr>
        <w:spacing w:after="0" w:line="344"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ITEM 16.</w:t>
      </w:r>
      <w:r>
        <w:rPr>
          <w:sz w:val="20"/>
          <w:szCs w:val="20"/>
          <w:color w:val="auto"/>
        </w:rPr>
        <w:tab/>
      </w:r>
      <w:r>
        <w:rPr>
          <w:rFonts w:ascii="Arial" w:cs="Arial" w:eastAsia="Arial" w:hAnsi="Arial"/>
          <w:sz w:val="17"/>
          <w:szCs w:val="17"/>
          <w:b w:val="1"/>
          <w:bCs w:val="1"/>
          <w:color w:val="auto"/>
        </w:rPr>
        <w:t>FORM 10-K SUMMARY</w:t>
      </w:r>
    </w:p>
    <w:p>
      <w:pPr>
        <w:spacing w:after="0" w:line="122" w:lineRule="exact"/>
        <w:rPr>
          <w:sz w:val="20"/>
          <w:szCs w:val="20"/>
          <w:color w:val="auto"/>
        </w:rPr>
      </w:pPr>
    </w:p>
    <w:p>
      <w:pPr>
        <w:ind w:right="120" w:firstLine="457"/>
        <w:spacing w:after="0" w:line="285" w:lineRule="auto"/>
        <w:rPr>
          <w:sz w:val="20"/>
          <w:szCs w:val="20"/>
          <w:color w:val="auto"/>
        </w:rPr>
      </w:pPr>
      <w:r>
        <w:rPr>
          <w:rFonts w:ascii="Arial" w:cs="Arial" w:eastAsia="Arial" w:hAnsi="Arial"/>
          <w:sz w:val="17"/>
          <w:szCs w:val="17"/>
          <w:color w:val="auto"/>
        </w:rPr>
        <w:t>The Company has chosen not to include an optional summary of the information required by this Form 10-K. For a reference to the information in this Form 10-K, investors should refer to the Table of Contents to this Form 10-K.</w:t>
      </w:r>
    </w:p>
    <w:p>
      <w:pPr>
        <w:sectPr>
          <w:pgSz w:w="11900" w:h="16838" w:orient="portrait"/>
          <w:cols w:equalWidth="0" w:num="1">
            <w:col w:w="11420"/>
          </w:cols>
          <w:pgMar w:left="240" w:top="446" w:right="239" w:bottom="1440" w:gutter="0" w:footer="0" w:header="0"/>
        </w:sectPr>
      </w:pPr>
    </w:p>
    <w:bookmarkStart w:id="56" w:name="page57"/>
    <w:bookmarkEnd w:id="5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5">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SIGNATURES</w:t>
      </w:r>
    </w:p>
    <w:p>
      <w:pPr>
        <w:spacing w:after="0" w:line="226" w:lineRule="exact"/>
        <w:rPr>
          <w:sz w:val="20"/>
          <w:szCs w:val="20"/>
          <w:color w:val="auto"/>
        </w:rPr>
      </w:pPr>
    </w:p>
    <w:p>
      <w:pPr>
        <w:ind w:right="340" w:firstLine="457"/>
        <w:spacing w:after="0" w:line="285"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MARTIN MARIETTA MATERIALS, INC.</w:t>
      </w:r>
    </w:p>
    <w:p>
      <w:pPr>
        <w:spacing w:after="0" w:line="220" w:lineRule="exact"/>
        <w:rPr>
          <w:sz w:val="20"/>
          <w:szCs w:val="20"/>
          <w:color w:val="auto"/>
        </w:rPr>
      </w:pPr>
    </w:p>
    <w:p>
      <w:pPr>
        <w:ind w:left="7220"/>
        <w:spacing w:after="0"/>
        <w:rPr>
          <w:sz w:val="20"/>
          <w:szCs w:val="20"/>
          <w:color w:val="auto"/>
        </w:rPr>
      </w:pPr>
      <w:r>
        <w:rPr>
          <w:rFonts w:ascii="Arial" w:cs="Arial" w:eastAsia="Arial" w:hAnsi="Arial"/>
          <w:sz w:val="17"/>
          <w:szCs w:val="17"/>
          <w:color w:val="auto"/>
        </w:rPr>
        <w:t>By: /s/ Roselyn R. 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15875</wp:posOffset>
            </wp:positionV>
            <wp:extent cx="24638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6">
                      <a:extLst>
                        <a:ext uri="{28A0092B-C50C-407E-A947-70E740481C1C}"/>
                      </a:extLst>
                    </a:blip>
                    <a:srcRect/>
                    <a:stretch>
                      <a:fillRect/>
                    </a:stretch>
                  </pic:blipFill>
                  <pic:spPr bwMode="auto">
                    <a:xfrm>
                      <a:off x="0" y="0"/>
                      <a:ext cx="2463800" cy="8255"/>
                    </a:xfrm>
                    <a:prstGeom prst="rect">
                      <a:avLst/>
                    </a:prstGeom>
                    <a:noFill/>
                  </pic:spPr>
                </pic:pic>
              </a:graphicData>
            </a:graphic>
          </wp:anchor>
        </w:drawing>
      </w:r>
    </w:p>
    <w:p>
      <w:pPr>
        <w:spacing w:after="0" w:line="18" w:lineRule="exact"/>
        <w:rPr>
          <w:sz w:val="20"/>
          <w:szCs w:val="20"/>
          <w:color w:val="auto"/>
        </w:rPr>
      </w:pPr>
    </w:p>
    <w:p>
      <w:pPr>
        <w:ind w:left="7220"/>
        <w:spacing w:after="0"/>
        <w:rPr>
          <w:sz w:val="20"/>
          <w:szCs w:val="20"/>
          <w:color w:val="auto"/>
        </w:rPr>
      </w:pPr>
      <w:r>
        <w:rPr>
          <w:rFonts w:ascii="Arial" w:cs="Arial" w:eastAsia="Arial" w:hAnsi="Arial"/>
          <w:sz w:val="17"/>
          <w:szCs w:val="17"/>
          <w:color w:val="auto"/>
        </w:rPr>
        <w:t>Roselyn R. Bar</w:t>
      </w:r>
    </w:p>
    <w:p>
      <w:pPr>
        <w:spacing w:after="0" w:line="25" w:lineRule="exact"/>
        <w:rPr>
          <w:sz w:val="20"/>
          <w:szCs w:val="20"/>
          <w:color w:val="auto"/>
        </w:rPr>
      </w:pPr>
    </w:p>
    <w:p>
      <w:pPr>
        <w:ind w:left="7220"/>
        <w:spacing w:after="0"/>
        <w:rPr>
          <w:sz w:val="20"/>
          <w:szCs w:val="20"/>
          <w:color w:val="auto"/>
        </w:rPr>
      </w:pPr>
      <w:r>
        <w:rPr>
          <w:rFonts w:ascii="Arial" w:cs="Arial" w:eastAsia="Arial" w:hAnsi="Arial"/>
          <w:sz w:val="15"/>
          <w:szCs w:val="15"/>
          <w:color w:val="auto"/>
        </w:rPr>
        <w:t>Executive Vice President, General Counsel and Corporate</w:t>
      </w:r>
    </w:p>
    <w:p>
      <w:pPr>
        <w:spacing w:after="0" w:line="35" w:lineRule="exact"/>
        <w:rPr>
          <w:sz w:val="20"/>
          <w:szCs w:val="20"/>
          <w:color w:val="auto"/>
        </w:rPr>
      </w:pPr>
    </w:p>
    <w:p>
      <w:pPr>
        <w:ind w:left="7220"/>
        <w:spacing w:after="0"/>
        <w:rPr>
          <w:sz w:val="20"/>
          <w:szCs w:val="20"/>
          <w:color w:val="auto"/>
        </w:rPr>
      </w:pPr>
      <w:r>
        <w:rPr>
          <w:rFonts w:ascii="Arial" w:cs="Arial" w:eastAsia="Arial" w:hAnsi="Arial"/>
          <w:sz w:val="17"/>
          <w:szCs w:val="17"/>
          <w:color w:val="auto"/>
        </w:rPr>
        <w:t>Secretary</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Dated: February 23, 2018</w:t>
      </w:r>
    </w:p>
    <w:p>
      <w:pPr>
        <w:spacing w:after="0" w:line="200" w:lineRule="exact"/>
        <w:rPr>
          <w:sz w:val="20"/>
          <w:szCs w:val="20"/>
          <w:color w:val="auto"/>
        </w:rPr>
      </w:pPr>
    </w:p>
    <w:p>
      <w:pPr>
        <w:spacing w:after="0" w:line="221"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POWER OF ATTORNEY</w:t>
      </w:r>
    </w:p>
    <w:p>
      <w:pPr>
        <w:spacing w:after="0" w:line="226" w:lineRule="exact"/>
        <w:rPr>
          <w:sz w:val="20"/>
          <w:szCs w:val="20"/>
          <w:color w:val="auto"/>
        </w:rPr>
      </w:pPr>
    </w:p>
    <w:p>
      <w:pPr>
        <w:ind w:firstLine="457"/>
        <w:spacing w:after="0" w:line="302" w:lineRule="auto"/>
        <w:rPr>
          <w:sz w:val="20"/>
          <w:szCs w:val="20"/>
          <w:color w:val="auto"/>
        </w:rPr>
      </w:pPr>
      <w:r>
        <w:rPr>
          <w:rFonts w:ascii="Arial" w:cs="Arial" w:eastAsia="Arial" w:hAnsi="Arial"/>
          <w:sz w:val="15"/>
          <w:szCs w:val="15"/>
          <w:color w:val="auto"/>
        </w:rPr>
        <w:t>KNOW ALL PERSONS BY THESE PRESENTS, that each person whose signature appears below appoints Roselyn R. Bar and M. Guy Brooks, III, jointly and severally, as his or her true and lawful attorney-in-fact, each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jointly and severally, full power and authority to do and perform each in connection therewith, as fully to all intents and purposes as he or she might or could do in person, hereby ratifying and confirming all that said attorneys-in-fact, jointly and severally, or their or his or her substitute or substitutes, may lawfully do or cause to be done by virtue hereof.</w:t>
      </w:r>
    </w:p>
    <w:p>
      <w:pPr>
        <w:sectPr>
          <w:pgSz w:w="11900" w:h="16838" w:orient="portrait"/>
          <w:cols w:equalWidth="0" w:num="1">
            <w:col w:w="11300"/>
          </w:cols>
          <w:pgMar w:left="240" w:top="446" w:right="359" w:bottom="1440" w:gutter="0" w:footer="0" w:header="0"/>
        </w:sectPr>
      </w:pPr>
    </w:p>
    <w:bookmarkStart w:id="57" w:name="page58"/>
    <w:bookmarkEnd w:id="5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7">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ind w:firstLine="457"/>
        <w:spacing w:after="0" w:line="285" w:lineRule="auto"/>
        <w:rPr>
          <w:sz w:val="20"/>
          <w:szCs w:val="20"/>
          <w:color w:val="auto"/>
        </w:rPr>
      </w:pPr>
      <w:r>
        <w:rPr>
          <w:rFonts w:ascii="Arial" w:cs="Arial" w:eastAsia="Arial" w:hAnsi="Arial"/>
          <w:sz w:val="17"/>
          <w:szCs w:val="17"/>
          <w:color w:val="auto"/>
        </w:rPr>
        <w:t>Pursuant to the requirements of the Securities and Exchange Act of 1934, this report has been signed by the following persons on behalf of the registrant and in the capacities and on the dates indicated: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280" w:type="dxa"/>
            <w:vAlign w:val="bottom"/>
            <w:gridSpan w:val="3"/>
          </w:tcPr>
          <w:p>
            <w:pPr>
              <w:ind w:left="1880"/>
              <w:spacing w:after="0"/>
              <w:rPr>
                <w:sz w:val="20"/>
                <w:szCs w:val="20"/>
                <w:color w:val="auto"/>
              </w:rPr>
            </w:pPr>
            <w:r>
              <w:rPr>
                <w:rFonts w:ascii="Arial" w:cs="Arial" w:eastAsia="Arial" w:hAnsi="Arial"/>
                <w:sz w:val="14"/>
                <w:szCs w:val="14"/>
                <w:i w:val="1"/>
                <w:iCs w:val="1"/>
                <w:color w:val="auto"/>
              </w:rPr>
              <w:t>Signature</w:t>
            </w:r>
          </w:p>
        </w:tc>
        <w:tc>
          <w:tcPr>
            <w:tcW w:w="4080" w:type="dxa"/>
            <w:vAlign w:val="bottom"/>
            <w:gridSpan w:val="3"/>
          </w:tcPr>
          <w:p>
            <w:pPr>
              <w:ind w:left="2520"/>
              <w:spacing w:after="0"/>
              <w:rPr>
                <w:sz w:val="20"/>
                <w:szCs w:val="20"/>
                <w:color w:val="auto"/>
              </w:rPr>
            </w:pPr>
            <w:r>
              <w:rPr>
                <w:rFonts w:ascii="Arial" w:cs="Arial" w:eastAsia="Arial" w:hAnsi="Arial"/>
                <w:sz w:val="14"/>
                <w:szCs w:val="14"/>
                <w:i w:val="1"/>
                <w:iCs w:val="1"/>
                <w:color w:val="auto"/>
              </w:rPr>
              <w:t>Title</w:t>
            </w:r>
          </w:p>
        </w:tc>
        <w:tc>
          <w:tcPr>
            <w:tcW w:w="2600" w:type="dxa"/>
            <w:vAlign w:val="bottom"/>
            <w:gridSpan w:val="3"/>
          </w:tcPr>
          <w:p>
            <w:pPr>
              <w:ind w:left="2060"/>
              <w:spacing w:after="0"/>
              <w:rPr>
                <w:sz w:val="20"/>
                <w:szCs w:val="20"/>
                <w:color w:val="auto"/>
              </w:rPr>
            </w:pPr>
            <w:r>
              <w:rPr>
                <w:rFonts w:ascii="Arial" w:cs="Arial" w:eastAsia="Arial" w:hAnsi="Arial"/>
                <w:sz w:val="14"/>
                <w:szCs w:val="14"/>
                <w:i w:val="1"/>
                <w:iCs w:val="1"/>
                <w:color w:val="auto"/>
              </w:rPr>
              <w:t>Date</w:t>
            </w:r>
          </w:p>
        </w:tc>
      </w:tr>
      <w:tr>
        <w:trPr>
          <w:trHeight w:val="20"/>
        </w:trPr>
        <w:tc>
          <w:tcPr>
            <w:tcW w:w="18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82"/>
        </w:trPr>
        <w:tc>
          <w:tcPr>
            <w:tcW w:w="18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C. Howard Nye</w:t>
            </w:r>
          </w:p>
        </w:tc>
        <w:tc>
          <w:tcPr>
            <w:tcW w:w="5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2520" w:type="dxa"/>
            <w:vAlign w:val="bottom"/>
          </w:tcPr>
          <w:p>
            <w:pPr>
              <w:ind w:left="100"/>
              <w:spacing w:after="0"/>
              <w:rPr>
                <w:sz w:val="20"/>
                <w:szCs w:val="20"/>
                <w:color w:val="auto"/>
              </w:rPr>
            </w:pPr>
            <w:r>
              <w:rPr>
                <w:rFonts w:ascii="Arial" w:cs="Arial" w:eastAsia="Arial" w:hAnsi="Arial"/>
                <w:sz w:val="17"/>
                <w:szCs w:val="17"/>
                <w:color w:val="auto"/>
              </w:rPr>
              <w:t>Chairman of the Board,</w:t>
            </w: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0" w:type="dxa"/>
            <w:vAlign w:val="bottom"/>
            <w:gridSpan w:val="3"/>
          </w:tcPr>
          <w:p>
            <w:pPr>
              <w:ind w:left="1320"/>
              <w:spacing w:after="0"/>
              <w:rPr>
                <w:sz w:val="20"/>
                <w:szCs w:val="20"/>
                <w:color w:val="auto"/>
              </w:rPr>
            </w:pPr>
            <w:r>
              <w:rPr>
                <w:rFonts w:ascii="Arial" w:cs="Arial" w:eastAsia="Arial" w:hAnsi="Arial"/>
                <w:sz w:val="17"/>
                <w:szCs w:val="17"/>
                <w:color w:val="auto"/>
                <w:w w:val="90"/>
              </w:rPr>
              <w:t>February 23, 2018</w:t>
            </w:r>
          </w:p>
        </w:tc>
      </w:tr>
      <w:tr>
        <w:trPr>
          <w:trHeight w:val="213"/>
        </w:trPr>
        <w:tc>
          <w:tcPr>
            <w:tcW w:w="4280" w:type="dxa"/>
            <w:vAlign w:val="bottom"/>
            <w:gridSpan w:val="3"/>
          </w:tcPr>
          <w:p>
            <w:pPr>
              <w:spacing w:after="0"/>
              <w:rPr>
                <w:sz w:val="20"/>
                <w:szCs w:val="20"/>
                <w:color w:val="auto"/>
              </w:rPr>
            </w:pPr>
            <w:r>
              <w:rPr>
                <w:rFonts w:ascii="Arial" w:cs="Arial" w:eastAsia="Arial" w:hAnsi="Arial"/>
                <w:sz w:val="17"/>
                <w:szCs w:val="17"/>
                <w:color w:val="auto"/>
              </w:rPr>
              <w:t>C. Howard Nye</w:t>
            </w:r>
          </w:p>
        </w:tc>
        <w:tc>
          <w:tcPr>
            <w:tcW w:w="4080" w:type="dxa"/>
            <w:vAlign w:val="bottom"/>
            <w:gridSpan w:val="3"/>
          </w:tcPr>
          <w:p>
            <w:pPr>
              <w:ind w:left="100"/>
              <w:spacing w:after="0"/>
              <w:rPr>
                <w:sz w:val="20"/>
                <w:szCs w:val="20"/>
                <w:color w:val="auto"/>
              </w:rPr>
            </w:pPr>
            <w:r>
              <w:rPr>
                <w:rFonts w:ascii="Arial" w:cs="Arial" w:eastAsia="Arial" w:hAnsi="Arial"/>
                <w:sz w:val="17"/>
                <w:szCs w:val="17"/>
                <w:color w:val="auto"/>
              </w:rPr>
              <w:t>President and Chief Executive Officer</w:t>
            </w:r>
          </w:p>
        </w:tc>
        <w:tc>
          <w:tcPr>
            <w:tcW w:w="2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416"/>
        </w:trPr>
        <w:tc>
          <w:tcPr>
            <w:tcW w:w="428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/s/ James A. J. Nickolas</w:t>
            </w:r>
          </w:p>
        </w:tc>
        <w:tc>
          <w:tcPr>
            <w:tcW w:w="4080" w:type="dxa"/>
            <w:vAlign w:val="bottom"/>
            <w:gridSpan w:val="3"/>
          </w:tcPr>
          <w:p>
            <w:pPr>
              <w:ind w:left="100"/>
              <w:spacing w:after="0"/>
              <w:rPr>
                <w:sz w:val="20"/>
                <w:szCs w:val="20"/>
                <w:color w:val="auto"/>
              </w:rPr>
            </w:pPr>
            <w:r>
              <w:rPr>
                <w:rFonts w:ascii="Arial" w:cs="Arial" w:eastAsia="Arial" w:hAnsi="Arial"/>
                <w:sz w:val="17"/>
                <w:szCs w:val="17"/>
                <w:color w:val="auto"/>
              </w:rPr>
              <w:t>Senior Vice President</w:t>
            </w:r>
          </w:p>
        </w:tc>
        <w:tc>
          <w:tcPr>
            <w:tcW w:w="2600" w:type="dxa"/>
            <w:vAlign w:val="bottom"/>
            <w:gridSpan w:val="3"/>
          </w:tcPr>
          <w:p>
            <w:pPr>
              <w:ind w:left="1320"/>
              <w:spacing w:after="0"/>
              <w:rPr>
                <w:sz w:val="20"/>
                <w:szCs w:val="20"/>
                <w:color w:val="auto"/>
              </w:rPr>
            </w:pPr>
            <w:r>
              <w:rPr>
                <w:rFonts w:ascii="Arial" w:cs="Arial" w:eastAsia="Arial" w:hAnsi="Arial"/>
                <w:sz w:val="17"/>
                <w:szCs w:val="17"/>
                <w:color w:val="auto"/>
                <w:w w:val="90"/>
              </w:rPr>
              <w:t>February 23, 2018</w:t>
            </w:r>
          </w:p>
        </w:tc>
      </w:tr>
      <w:tr>
        <w:trPr>
          <w:trHeight w:val="213"/>
        </w:trPr>
        <w:tc>
          <w:tcPr>
            <w:tcW w:w="4280" w:type="dxa"/>
            <w:vAlign w:val="bottom"/>
            <w:gridSpan w:val="3"/>
          </w:tcPr>
          <w:p>
            <w:pPr>
              <w:spacing w:after="0"/>
              <w:rPr>
                <w:sz w:val="20"/>
                <w:szCs w:val="20"/>
                <w:color w:val="auto"/>
              </w:rPr>
            </w:pPr>
            <w:r>
              <w:rPr>
                <w:rFonts w:ascii="Arial" w:cs="Arial" w:eastAsia="Arial" w:hAnsi="Arial"/>
                <w:sz w:val="17"/>
                <w:szCs w:val="17"/>
                <w:color w:val="auto"/>
              </w:rPr>
              <w:t>James A. J. Nickolas</w:t>
            </w:r>
          </w:p>
        </w:tc>
        <w:tc>
          <w:tcPr>
            <w:tcW w:w="4080" w:type="dxa"/>
            <w:vAlign w:val="bottom"/>
            <w:gridSpan w:val="3"/>
          </w:tcPr>
          <w:p>
            <w:pPr>
              <w:ind w:left="100"/>
              <w:spacing w:after="0"/>
              <w:rPr>
                <w:sz w:val="20"/>
                <w:szCs w:val="20"/>
                <w:color w:val="auto"/>
              </w:rPr>
            </w:pPr>
            <w:r>
              <w:rPr>
                <w:rFonts w:ascii="Arial" w:cs="Arial" w:eastAsia="Arial" w:hAnsi="Arial"/>
                <w:sz w:val="17"/>
                <w:szCs w:val="17"/>
                <w:color w:val="auto"/>
              </w:rPr>
              <w:t>and Chief Financial Officer</w:t>
            </w:r>
          </w:p>
        </w:tc>
        <w:tc>
          <w:tcPr>
            <w:tcW w:w="2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416"/>
        </w:trPr>
        <w:tc>
          <w:tcPr>
            <w:tcW w:w="428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/s/ Dana F. Guzzo</w:t>
            </w:r>
          </w:p>
        </w:tc>
        <w:tc>
          <w:tcPr>
            <w:tcW w:w="4080" w:type="dxa"/>
            <w:vAlign w:val="bottom"/>
            <w:gridSpan w:val="3"/>
          </w:tcPr>
          <w:p>
            <w:pPr>
              <w:ind w:left="100"/>
              <w:spacing w:after="0"/>
              <w:rPr>
                <w:sz w:val="20"/>
                <w:szCs w:val="20"/>
                <w:color w:val="auto"/>
              </w:rPr>
            </w:pPr>
            <w:r>
              <w:rPr>
                <w:rFonts w:ascii="Arial" w:cs="Arial" w:eastAsia="Arial" w:hAnsi="Arial"/>
                <w:sz w:val="17"/>
                <w:szCs w:val="17"/>
                <w:color w:val="auto"/>
              </w:rPr>
              <w:t>Senior Vice President,</w:t>
            </w:r>
          </w:p>
        </w:tc>
        <w:tc>
          <w:tcPr>
            <w:tcW w:w="2600" w:type="dxa"/>
            <w:vAlign w:val="bottom"/>
            <w:gridSpan w:val="3"/>
          </w:tcPr>
          <w:p>
            <w:pPr>
              <w:ind w:left="1320"/>
              <w:spacing w:after="0"/>
              <w:rPr>
                <w:sz w:val="20"/>
                <w:szCs w:val="20"/>
                <w:color w:val="auto"/>
              </w:rPr>
            </w:pPr>
            <w:r>
              <w:rPr>
                <w:rFonts w:ascii="Arial" w:cs="Arial" w:eastAsia="Arial" w:hAnsi="Arial"/>
                <w:sz w:val="17"/>
                <w:szCs w:val="17"/>
                <w:color w:val="auto"/>
                <w:w w:val="90"/>
              </w:rPr>
              <w:t>February 23, 2018</w:t>
            </w:r>
          </w:p>
        </w:tc>
      </w:tr>
      <w:tr>
        <w:trPr>
          <w:trHeight w:val="175"/>
        </w:trPr>
        <w:tc>
          <w:tcPr>
            <w:tcW w:w="4280" w:type="dxa"/>
            <w:vAlign w:val="bottom"/>
            <w:gridSpan w:val="3"/>
          </w:tcPr>
          <w:p>
            <w:pPr>
              <w:spacing w:after="0" w:line="176" w:lineRule="exact"/>
              <w:rPr>
                <w:sz w:val="20"/>
                <w:szCs w:val="20"/>
                <w:color w:val="auto"/>
              </w:rPr>
            </w:pPr>
            <w:r>
              <w:rPr>
                <w:rFonts w:ascii="Arial" w:cs="Arial" w:eastAsia="Arial" w:hAnsi="Arial"/>
                <w:sz w:val="17"/>
                <w:szCs w:val="17"/>
                <w:color w:val="auto"/>
              </w:rPr>
              <w:t>Dana F. Guzzo</w:t>
            </w:r>
          </w:p>
        </w:tc>
        <w:tc>
          <w:tcPr>
            <w:tcW w:w="4080" w:type="dxa"/>
            <w:vAlign w:val="bottom"/>
            <w:gridSpan w:val="3"/>
          </w:tcPr>
          <w:p>
            <w:pPr>
              <w:ind w:left="100"/>
              <w:spacing w:after="0" w:line="176" w:lineRule="exact"/>
              <w:rPr>
                <w:sz w:val="20"/>
                <w:szCs w:val="20"/>
                <w:color w:val="auto"/>
              </w:rPr>
            </w:pPr>
            <w:r>
              <w:rPr>
                <w:rFonts w:ascii="Arial" w:cs="Arial" w:eastAsia="Arial" w:hAnsi="Arial"/>
                <w:sz w:val="17"/>
                <w:szCs w:val="17"/>
                <w:color w:val="auto"/>
              </w:rPr>
              <w:t>Chief Accounting Officer</w:t>
            </w:r>
          </w:p>
        </w:tc>
        <w:tc>
          <w:tcPr>
            <w:tcW w:w="2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220"/>
        </w:trPr>
        <w:tc>
          <w:tcPr>
            <w:tcW w:w="18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4080" w:type="dxa"/>
            <w:vAlign w:val="bottom"/>
            <w:gridSpan w:val="3"/>
          </w:tcPr>
          <w:p>
            <w:pPr>
              <w:ind w:left="100"/>
              <w:spacing w:after="0"/>
              <w:rPr>
                <w:sz w:val="20"/>
                <w:szCs w:val="20"/>
                <w:color w:val="auto"/>
              </w:rPr>
            </w:pPr>
            <w:r>
              <w:rPr>
                <w:rFonts w:ascii="Arial" w:cs="Arial" w:eastAsia="Arial" w:hAnsi="Arial"/>
                <w:sz w:val="17"/>
                <w:szCs w:val="17"/>
                <w:color w:val="auto"/>
              </w:rPr>
              <w:t>and Controller</w:t>
            </w:r>
          </w:p>
        </w:tc>
        <w:tc>
          <w:tcPr>
            <w:tcW w:w="2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428"/>
        </w:trPr>
        <w:tc>
          <w:tcPr>
            <w:tcW w:w="428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/s/ Sue W. Cole</w:t>
            </w:r>
          </w:p>
        </w:tc>
        <w:tc>
          <w:tcPr>
            <w:tcW w:w="4080" w:type="dxa"/>
            <w:vAlign w:val="bottom"/>
            <w:gridSpan w:val="3"/>
          </w:tcPr>
          <w:p>
            <w:pPr>
              <w:ind w:left="100"/>
              <w:spacing w:after="0"/>
              <w:rPr>
                <w:sz w:val="20"/>
                <w:szCs w:val="20"/>
                <w:color w:val="auto"/>
              </w:rPr>
            </w:pPr>
            <w:r>
              <w:rPr>
                <w:rFonts w:ascii="Arial" w:cs="Arial" w:eastAsia="Arial" w:hAnsi="Arial"/>
                <w:sz w:val="17"/>
                <w:szCs w:val="17"/>
                <w:color w:val="auto"/>
              </w:rPr>
              <w:t>Director</w:t>
            </w:r>
          </w:p>
        </w:tc>
        <w:tc>
          <w:tcPr>
            <w:tcW w:w="2600" w:type="dxa"/>
            <w:vAlign w:val="bottom"/>
            <w:gridSpan w:val="3"/>
          </w:tcPr>
          <w:p>
            <w:pPr>
              <w:ind w:left="1320"/>
              <w:spacing w:after="0"/>
              <w:rPr>
                <w:sz w:val="20"/>
                <w:szCs w:val="20"/>
                <w:color w:val="auto"/>
              </w:rPr>
            </w:pPr>
            <w:r>
              <w:rPr>
                <w:rFonts w:ascii="Arial" w:cs="Arial" w:eastAsia="Arial" w:hAnsi="Arial"/>
                <w:sz w:val="17"/>
                <w:szCs w:val="17"/>
                <w:color w:val="auto"/>
                <w:w w:val="90"/>
              </w:rPr>
              <w:t>February 23, 2018</w:t>
            </w:r>
          </w:p>
        </w:tc>
      </w:tr>
      <w:tr>
        <w:trPr>
          <w:trHeight w:val="213"/>
        </w:trPr>
        <w:tc>
          <w:tcPr>
            <w:tcW w:w="4280" w:type="dxa"/>
            <w:vAlign w:val="bottom"/>
            <w:gridSpan w:val="3"/>
          </w:tcPr>
          <w:p>
            <w:pPr>
              <w:spacing w:after="0"/>
              <w:rPr>
                <w:sz w:val="20"/>
                <w:szCs w:val="20"/>
                <w:color w:val="auto"/>
              </w:rPr>
            </w:pPr>
            <w:r>
              <w:rPr>
                <w:rFonts w:ascii="Arial" w:cs="Arial" w:eastAsia="Arial" w:hAnsi="Arial"/>
                <w:sz w:val="17"/>
                <w:szCs w:val="17"/>
                <w:color w:val="auto"/>
              </w:rPr>
              <w:t>Sue W. Cole</w:t>
            </w:r>
          </w:p>
        </w:tc>
        <w:tc>
          <w:tcPr>
            <w:tcW w:w="2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416"/>
        </w:trPr>
        <w:tc>
          <w:tcPr>
            <w:tcW w:w="428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/s/ John J. Koraleski</w:t>
            </w:r>
          </w:p>
        </w:tc>
        <w:tc>
          <w:tcPr>
            <w:tcW w:w="4080" w:type="dxa"/>
            <w:vAlign w:val="bottom"/>
            <w:gridSpan w:val="3"/>
          </w:tcPr>
          <w:p>
            <w:pPr>
              <w:ind w:left="100"/>
              <w:spacing w:after="0"/>
              <w:rPr>
                <w:sz w:val="20"/>
                <w:szCs w:val="20"/>
                <w:color w:val="auto"/>
              </w:rPr>
            </w:pPr>
            <w:r>
              <w:rPr>
                <w:rFonts w:ascii="Arial" w:cs="Arial" w:eastAsia="Arial" w:hAnsi="Arial"/>
                <w:sz w:val="17"/>
                <w:szCs w:val="17"/>
                <w:color w:val="auto"/>
              </w:rPr>
              <w:t>Director</w:t>
            </w:r>
          </w:p>
        </w:tc>
        <w:tc>
          <w:tcPr>
            <w:tcW w:w="2600" w:type="dxa"/>
            <w:vAlign w:val="bottom"/>
            <w:gridSpan w:val="3"/>
          </w:tcPr>
          <w:p>
            <w:pPr>
              <w:ind w:left="1320"/>
              <w:spacing w:after="0"/>
              <w:rPr>
                <w:sz w:val="20"/>
                <w:szCs w:val="20"/>
                <w:color w:val="auto"/>
              </w:rPr>
            </w:pPr>
            <w:r>
              <w:rPr>
                <w:rFonts w:ascii="Arial" w:cs="Arial" w:eastAsia="Arial" w:hAnsi="Arial"/>
                <w:sz w:val="17"/>
                <w:szCs w:val="17"/>
                <w:color w:val="auto"/>
                <w:w w:val="90"/>
              </w:rPr>
              <w:t>February 23, 2018</w:t>
            </w:r>
          </w:p>
        </w:tc>
      </w:tr>
      <w:tr>
        <w:trPr>
          <w:trHeight w:val="213"/>
        </w:trPr>
        <w:tc>
          <w:tcPr>
            <w:tcW w:w="4280" w:type="dxa"/>
            <w:vAlign w:val="bottom"/>
            <w:gridSpan w:val="3"/>
          </w:tcPr>
          <w:p>
            <w:pPr>
              <w:spacing w:after="0"/>
              <w:rPr>
                <w:sz w:val="20"/>
                <w:szCs w:val="20"/>
                <w:color w:val="auto"/>
              </w:rPr>
            </w:pPr>
            <w:r>
              <w:rPr>
                <w:rFonts w:ascii="Arial" w:cs="Arial" w:eastAsia="Arial" w:hAnsi="Arial"/>
                <w:sz w:val="17"/>
                <w:szCs w:val="17"/>
                <w:color w:val="auto"/>
              </w:rPr>
              <w:t>John J. Koraleski</w:t>
            </w:r>
          </w:p>
        </w:tc>
        <w:tc>
          <w:tcPr>
            <w:tcW w:w="2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416"/>
        </w:trPr>
        <w:tc>
          <w:tcPr>
            <w:tcW w:w="428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/s/ David G. Maffucci</w:t>
            </w:r>
          </w:p>
        </w:tc>
        <w:tc>
          <w:tcPr>
            <w:tcW w:w="4080" w:type="dxa"/>
            <w:vAlign w:val="bottom"/>
            <w:gridSpan w:val="3"/>
          </w:tcPr>
          <w:p>
            <w:pPr>
              <w:ind w:left="100"/>
              <w:spacing w:after="0"/>
              <w:rPr>
                <w:sz w:val="20"/>
                <w:szCs w:val="20"/>
                <w:color w:val="auto"/>
              </w:rPr>
            </w:pPr>
            <w:r>
              <w:rPr>
                <w:rFonts w:ascii="Arial" w:cs="Arial" w:eastAsia="Arial" w:hAnsi="Arial"/>
                <w:sz w:val="17"/>
                <w:szCs w:val="17"/>
                <w:color w:val="auto"/>
              </w:rPr>
              <w:t>Director</w:t>
            </w:r>
          </w:p>
        </w:tc>
        <w:tc>
          <w:tcPr>
            <w:tcW w:w="2600" w:type="dxa"/>
            <w:vAlign w:val="bottom"/>
            <w:gridSpan w:val="3"/>
          </w:tcPr>
          <w:p>
            <w:pPr>
              <w:ind w:left="1320"/>
              <w:spacing w:after="0"/>
              <w:rPr>
                <w:sz w:val="20"/>
                <w:szCs w:val="20"/>
                <w:color w:val="auto"/>
              </w:rPr>
            </w:pPr>
            <w:r>
              <w:rPr>
                <w:rFonts w:ascii="Arial" w:cs="Arial" w:eastAsia="Arial" w:hAnsi="Arial"/>
                <w:sz w:val="17"/>
                <w:szCs w:val="17"/>
                <w:color w:val="auto"/>
                <w:w w:val="90"/>
              </w:rPr>
              <w:t>February 23, 2018</w:t>
            </w:r>
          </w:p>
        </w:tc>
      </w:tr>
      <w:tr>
        <w:trPr>
          <w:trHeight w:val="213"/>
        </w:trPr>
        <w:tc>
          <w:tcPr>
            <w:tcW w:w="4280" w:type="dxa"/>
            <w:vAlign w:val="bottom"/>
            <w:gridSpan w:val="3"/>
          </w:tcPr>
          <w:p>
            <w:pPr>
              <w:spacing w:after="0"/>
              <w:rPr>
                <w:sz w:val="20"/>
                <w:szCs w:val="20"/>
                <w:color w:val="auto"/>
              </w:rPr>
            </w:pPr>
            <w:r>
              <w:rPr>
                <w:rFonts w:ascii="Arial" w:cs="Arial" w:eastAsia="Arial" w:hAnsi="Arial"/>
                <w:sz w:val="17"/>
                <w:szCs w:val="17"/>
                <w:color w:val="auto"/>
              </w:rPr>
              <w:t>David G. Maffucci</w:t>
            </w:r>
          </w:p>
        </w:tc>
        <w:tc>
          <w:tcPr>
            <w:tcW w:w="2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416"/>
        </w:trPr>
        <w:tc>
          <w:tcPr>
            <w:tcW w:w="428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/s/ Laree E. Perez</w:t>
            </w:r>
          </w:p>
        </w:tc>
        <w:tc>
          <w:tcPr>
            <w:tcW w:w="4080" w:type="dxa"/>
            <w:vAlign w:val="bottom"/>
            <w:gridSpan w:val="3"/>
          </w:tcPr>
          <w:p>
            <w:pPr>
              <w:ind w:left="100"/>
              <w:spacing w:after="0"/>
              <w:rPr>
                <w:sz w:val="20"/>
                <w:szCs w:val="20"/>
                <w:color w:val="auto"/>
              </w:rPr>
            </w:pPr>
            <w:r>
              <w:rPr>
                <w:rFonts w:ascii="Arial" w:cs="Arial" w:eastAsia="Arial" w:hAnsi="Arial"/>
                <w:sz w:val="17"/>
                <w:szCs w:val="17"/>
                <w:color w:val="auto"/>
              </w:rPr>
              <w:t>Director</w:t>
            </w:r>
          </w:p>
        </w:tc>
        <w:tc>
          <w:tcPr>
            <w:tcW w:w="2600" w:type="dxa"/>
            <w:vAlign w:val="bottom"/>
            <w:gridSpan w:val="3"/>
          </w:tcPr>
          <w:p>
            <w:pPr>
              <w:ind w:left="1320"/>
              <w:spacing w:after="0"/>
              <w:rPr>
                <w:sz w:val="20"/>
                <w:szCs w:val="20"/>
                <w:color w:val="auto"/>
              </w:rPr>
            </w:pPr>
            <w:r>
              <w:rPr>
                <w:rFonts w:ascii="Arial" w:cs="Arial" w:eastAsia="Arial" w:hAnsi="Arial"/>
                <w:sz w:val="17"/>
                <w:szCs w:val="17"/>
                <w:color w:val="auto"/>
                <w:w w:val="90"/>
              </w:rPr>
              <w:t>February 23, 2018</w:t>
            </w:r>
          </w:p>
        </w:tc>
      </w:tr>
      <w:tr>
        <w:trPr>
          <w:trHeight w:val="213"/>
        </w:trPr>
        <w:tc>
          <w:tcPr>
            <w:tcW w:w="4280" w:type="dxa"/>
            <w:vAlign w:val="bottom"/>
            <w:gridSpan w:val="3"/>
          </w:tcPr>
          <w:p>
            <w:pPr>
              <w:spacing w:after="0"/>
              <w:rPr>
                <w:sz w:val="20"/>
                <w:szCs w:val="20"/>
                <w:color w:val="auto"/>
              </w:rPr>
            </w:pPr>
            <w:r>
              <w:rPr>
                <w:rFonts w:ascii="Arial" w:cs="Arial" w:eastAsia="Arial" w:hAnsi="Arial"/>
                <w:sz w:val="17"/>
                <w:szCs w:val="17"/>
                <w:color w:val="auto"/>
              </w:rPr>
              <w:t>Laree E. Perez</w:t>
            </w:r>
          </w:p>
        </w:tc>
        <w:tc>
          <w:tcPr>
            <w:tcW w:w="2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416"/>
        </w:trPr>
        <w:tc>
          <w:tcPr>
            <w:tcW w:w="428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/s/ Michael J. Quillen</w:t>
            </w:r>
          </w:p>
        </w:tc>
        <w:tc>
          <w:tcPr>
            <w:tcW w:w="4080" w:type="dxa"/>
            <w:vAlign w:val="bottom"/>
            <w:gridSpan w:val="3"/>
          </w:tcPr>
          <w:p>
            <w:pPr>
              <w:ind w:left="100"/>
              <w:spacing w:after="0"/>
              <w:rPr>
                <w:sz w:val="20"/>
                <w:szCs w:val="20"/>
                <w:color w:val="auto"/>
              </w:rPr>
            </w:pPr>
            <w:r>
              <w:rPr>
                <w:rFonts w:ascii="Arial" w:cs="Arial" w:eastAsia="Arial" w:hAnsi="Arial"/>
                <w:sz w:val="17"/>
                <w:szCs w:val="17"/>
                <w:color w:val="auto"/>
              </w:rPr>
              <w:t>Director</w:t>
            </w:r>
          </w:p>
        </w:tc>
        <w:tc>
          <w:tcPr>
            <w:tcW w:w="2600" w:type="dxa"/>
            <w:vAlign w:val="bottom"/>
            <w:gridSpan w:val="3"/>
          </w:tcPr>
          <w:p>
            <w:pPr>
              <w:ind w:left="1320"/>
              <w:spacing w:after="0"/>
              <w:rPr>
                <w:sz w:val="20"/>
                <w:szCs w:val="20"/>
                <w:color w:val="auto"/>
              </w:rPr>
            </w:pPr>
            <w:r>
              <w:rPr>
                <w:rFonts w:ascii="Arial" w:cs="Arial" w:eastAsia="Arial" w:hAnsi="Arial"/>
                <w:sz w:val="17"/>
                <w:szCs w:val="17"/>
                <w:color w:val="auto"/>
                <w:w w:val="90"/>
              </w:rPr>
              <w:t>February 23, 2018</w:t>
            </w:r>
          </w:p>
        </w:tc>
      </w:tr>
      <w:tr>
        <w:trPr>
          <w:trHeight w:val="213"/>
        </w:trPr>
        <w:tc>
          <w:tcPr>
            <w:tcW w:w="4280" w:type="dxa"/>
            <w:vAlign w:val="bottom"/>
            <w:gridSpan w:val="3"/>
          </w:tcPr>
          <w:p>
            <w:pPr>
              <w:spacing w:after="0"/>
              <w:rPr>
                <w:sz w:val="20"/>
                <w:szCs w:val="20"/>
                <w:color w:val="auto"/>
              </w:rPr>
            </w:pPr>
            <w:r>
              <w:rPr>
                <w:rFonts w:ascii="Arial" w:cs="Arial" w:eastAsia="Arial" w:hAnsi="Arial"/>
                <w:sz w:val="17"/>
                <w:szCs w:val="17"/>
                <w:color w:val="auto"/>
              </w:rPr>
              <w:t>Michael J. Quillen</w:t>
            </w:r>
          </w:p>
        </w:tc>
        <w:tc>
          <w:tcPr>
            <w:tcW w:w="2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416"/>
        </w:trPr>
        <w:tc>
          <w:tcPr>
            <w:tcW w:w="428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/s/ Dennis L. Rediker</w:t>
            </w:r>
          </w:p>
        </w:tc>
        <w:tc>
          <w:tcPr>
            <w:tcW w:w="4080" w:type="dxa"/>
            <w:vAlign w:val="bottom"/>
            <w:gridSpan w:val="3"/>
          </w:tcPr>
          <w:p>
            <w:pPr>
              <w:ind w:left="100"/>
              <w:spacing w:after="0"/>
              <w:rPr>
                <w:sz w:val="20"/>
                <w:szCs w:val="20"/>
                <w:color w:val="auto"/>
              </w:rPr>
            </w:pPr>
            <w:r>
              <w:rPr>
                <w:rFonts w:ascii="Arial" w:cs="Arial" w:eastAsia="Arial" w:hAnsi="Arial"/>
                <w:sz w:val="17"/>
                <w:szCs w:val="17"/>
                <w:color w:val="auto"/>
              </w:rPr>
              <w:t>Director</w:t>
            </w:r>
          </w:p>
        </w:tc>
        <w:tc>
          <w:tcPr>
            <w:tcW w:w="2600" w:type="dxa"/>
            <w:vAlign w:val="bottom"/>
            <w:gridSpan w:val="3"/>
          </w:tcPr>
          <w:p>
            <w:pPr>
              <w:ind w:left="1320"/>
              <w:spacing w:after="0"/>
              <w:rPr>
                <w:sz w:val="20"/>
                <w:szCs w:val="20"/>
                <w:color w:val="auto"/>
              </w:rPr>
            </w:pPr>
            <w:r>
              <w:rPr>
                <w:rFonts w:ascii="Arial" w:cs="Arial" w:eastAsia="Arial" w:hAnsi="Arial"/>
                <w:sz w:val="17"/>
                <w:szCs w:val="17"/>
                <w:color w:val="auto"/>
                <w:w w:val="90"/>
              </w:rPr>
              <w:t>February 23, 2018</w:t>
            </w:r>
          </w:p>
        </w:tc>
      </w:tr>
      <w:tr>
        <w:trPr>
          <w:trHeight w:val="213"/>
        </w:trPr>
        <w:tc>
          <w:tcPr>
            <w:tcW w:w="4280" w:type="dxa"/>
            <w:vAlign w:val="bottom"/>
            <w:gridSpan w:val="3"/>
          </w:tcPr>
          <w:p>
            <w:pPr>
              <w:spacing w:after="0"/>
              <w:rPr>
                <w:sz w:val="20"/>
                <w:szCs w:val="20"/>
                <w:color w:val="auto"/>
              </w:rPr>
            </w:pPr>
            <w:r>
              <w:rPr>
                <w:rFonts w:ascii="Arial" w:cs="Arial" w:eastAsia="Arial" w:hAnsi="Arial"/>
                <w:sz w:val="17"/>
                <w:szCs w:val="17"/>
                <w:color w:val="auto"/>
              </w:rPr>
              <w:t>Dennis L. Rediker</w:t>
            </w:r>
          </w:p>
        </w:tc>
        <w:tc>
          <w:tcPr>
            <w:tcW w:w="2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416"/>
        </w:trPr>
        <w:tc>
          <w:tcPr>
            <w:tcW w:w="428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/s/ Donald W. Slager</w:t>
            </w:r>
          </w:p>
        </w:tc>
        <w:tc>
          <w:tcPr>
            <w:tcW w:w="4080" w:type="dxa"/>
            <w:vAlign w:val="bottom"/>
            <w:gridSpan w:val="3"/>
          </w:tcPr>
          <w:p>
            <w:pPr>
              <w:ind w:left="100"/>
              <w:spacing w:after="0"/>
              <w:rPr>
                <w:sz w:val="20"/>
                <w:szCs w:val="20"/>
                <w:color w:val="auto"/>
              </w:rPr>
            </w:pPr>
            <w:r>
              <w:rPr>
                <w:rFonts w:ascii="Arial" w:cs="Arial" w:eastAsia="Arial" w:hAnsi="Arial"/>
                <w:sz w:val="17"/>
                <w:szCs w:val="17"/>
                <w:color w:val="auto"/>
              </w:rPr>
              <w:t>Director</w:t>
            </w:r>
          </w:p>
        </w:tc>
        <w:tc>
          <w:tcPr>
            <w:tcW w:w="2600" w:type="dxa"/>
            <w:vAlign w:val="bottom"/>
            <w:gridSpan w:val="3"/>
          </w:tcPr>
          <w:p>
            <w:pPr>
              <w:ind w:left="1320"/>
              <w:spacing w:after="0"/>
              <w:rPr>
                <w:sz w:val="20"/>
                <w:szCs w:val="20"/>
                <w:color w:val="auto"/>
              </w:rPr>
            </w:pPr>
            <w:r>
              <w:rPr>
                <w:rFonts w:ascii="Arial" w:cs="Arial" w:eastAsia="Arial" w:hAnsi="Arial"/>
                <w:sz w:val="17"/>
                <w:szCs w:val="17"/>
                <w:color w:val="auto"/>
                <w:w w:val="90"/>
              </w:rPr>
              <w:t>February 23, 2018</w:t>
            </w:r>
          </w:p>
        </w:tc>
      </w:tr>
      <w:tr>
        <w:trPr>
          <w:trHeight w:val="213"/>
        </w:trPr>
        <w:tc>
          <w:tcPr>
            <w:tcW w:w="4280" w:type="dxa"/>
            <w:vAlign w:val="bottom"/>
            <w:gridSpan w:val="3"/>
          </w:tcPr>
          <w:p>
            <w:pPr>
              <w:spacing w:after="0"/>
              <w:rPr>
                <w:sz w:val="20"/>
                <w:szCs w:val="20"/>
                <w:color w:val="auto"/>
              </w:rPr>
            </w:pPr>
            <w:r>
              <w:rPr>
                <w:rFonts w:ascii="Arial" w:cs="Arial" w:eastAsia="Arial" w:hAnsi="Arial"/>
                <w:sz w:val="17"/>
                <w:szCs w:val="17"/>
                <w:color w:val="auto"/>
              </w:rPr>
              <w:t>Donald W. Slager</w:t>
            </w:r>
          </w:p>
        </w:tc>
        <w:tc>
          <w:tcPr>
            <w:tcW w:w="2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416"/>
        </w:trPr>
        <w:tc>
          <w:tcPr>
            <w:tcW w:w="428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/s/ Stephen P. Zelnak, Jr.</w:t>
            </w:r>
          </w:p>
        </w:tc>
        <w:tc>
          <w:tcPr>
            <w:tcW w:w="4080" w:type="dxa"/>
            <w:vAlign w:val="bottom"/>
            <w:gridSpan w:val="3"/>
          </w:tcPr>
          <w:p>
            <w:pPr>
              <w:ind w:left="100"/>
              <w:spacing w:after="0"/>
              <w:rPr>
                <w:sz w:val="20"/>
                <w:szCs w:val="20"/>
                <w:color w:val="auto"/>
              </w:rPr>
            </w:pPr>
            <w:r>
              <w:rPr>
                <w:rFonts w:ascii="Arial" w:cs="Arial" w:eastAsia="Arial" w:hAnsi="Arial"/>
                <w:sz w:val="17"/>
                <w:szCs w:val="17"/>
                <w:color w:val="auto"/>
              </w:rPr>
              <w:t>Director</w:t>
            </w:r>
          </w:p>
        </w:tc>
        <w:tc>
          <w:tcPr>
            <w:tcW w:w="2600" w:type="dxa"/>
            <w:vAlign w:val="bottom"/>
            <w:gridSpan w:val="3"/>
          </w:tcPr>
          <w:p>
            <w:pPr>
              <w:ind w:left="1320"/>
              <w:spacing w:after="0"/>
              <w:rPr>
                <w:sz w:val="20"/>
                <w:szCs w:val="20"/>
                <w:color w:val="auto"/>
              </w:rPr>
            </w:pPr>
            <w:r>
              <w:rPr>
                <w:rFonts w:ascii="Arial" w:cs="Arial" w:eastAsia="Arial" w:hAnsi="Arial"/>
                <w:sz w:val="17"/>
                <w:szCs w:val="17"/>
                <w:color w:val="auto"/>
                <w:w w:val="90"/>
              </w:rPr>
              <w:t>February 23, 2018</w:t>
            </w:r>
          </w:p>
        </w:tc>
      </w:tr>
      <w:tr>
        <w:trPr>
          <w:trHeight w:val="213"/>
        </w:trPr>
        <w:tc>
          <w:tcPr>
            <w:tcW w:w="4280" w:type="dxa"/>
            <w:vAlign w:val="bottom"/>
            <w:gridSpan w:val="3"/>
          </w:tcPr>
          <w:p>
            <w:pPr>
              <w:spacing w:after="0"/>
              <w:rPr>
                <w:sz w:val="20"/>
                <w:szCs w:val="20"/>
                <w:color w:val="auto"/>
              </w:rPr>
            </w:pPr>
            <w:r>
              <w:rPr>
                <w:rFonts w:ascii="Arial" w:cs="Arial" w:eastAsia="Arial" w:hAnsi="Arial"/>
                <w:sz w:val="17"/>
                <w:szCs w:val="17"/>
                <w:color w:val="auto"/>
              </w:rPr>
              <w:t>Stephen P. Zelnak, Jr.</w:t>
            </w:r>
          </w:p>
        </w:tc>
        <w:tc>
          <w:tcPr>
            <w:tcW w:w="2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r>
    </w:tbl>
    <w:p>
      <w:pPr>
        <w:sectPr>
          <w:pgSz w:w="11900" w:h="16838" w:orient="portrait"/>
          <w:cols w:equalWidth="0" w:num="1">
            <w:col w:w="11320"/>
          </w:cols>
          <w:pgMar w:left="240" w:top="446" w:right="339" w:bottom="1440" w:gutter="0" w:footer="0" w:header="0"/>
        </w:sectPr>
      </w:pPr>
    </w:p>
    <w:bookmarkStart w:id="58" w:name="page59"/>
    <w:bookmarkEnd w:id="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9540" w:type="dxa"/>
            <w:vAlign w:val="bottom"/>
          </w:tcPr>
          <w:p>
            <w:pPr>
              <w:spacing w:after="0"/>
              <w:rPr>
                <w:sz w:val="19"/>
                <w:szCs w:val="19"/>
                <w:color w:val="auto"/>
              </w:rPr>
            </w:pPr>
          </w:p>
        </w:tc>
        <w:tc>
          <w:tcPr>
            <w:tcW w:w="1860" w:type="dxa"/>
            <w:vAlign w:val="bottom"/>
            <w:gridSpan w:val="4"/>
          </w:tcPr>
          <w:p>
            <w:pPr>
              <w:jc w:val="right"/>
              <w:spacing w:after="0"/>
              <w:rPr>
                <w:sz w:val="20"/>
                <w:szCs w:val="20"/>
                <w:color w:val="auto"/>
              </w:rPr>
            </w:pPr>
            <w:r>
              <w:rPr>
                <w:rFonts w:ascii="Arial" w:cs="Arial" w:eastAsia="Arial" w:hAnsi="Arial"/>
                <w:sz w:val="17"/>
                <w:szCs w:val="17"/>
                <w:b w:val="1"/>
                <w:bCs w:val="1"/>
                <w:color w:val="auto"/>
              </w:rPr>
              <w:t>EXHIBIT 12.01</w:t>
            </w: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9540" w:type="dxa"/>
            <w:vAlign w:val="bottom"/>
          </w:tcPr>
          <w:p>
            <w:pPr>
              <w:jc w:val="center"/>
              <w:ind w:left="1754"/>
              <w:spacing w:after="0"/>
              <w:rPr>
                <w:sz w:val="20"/>
                <w:szCs w:val="20"/>
                <w:color w:val="auto"/>
              </w:rPr>
            </w:pPr>
            <w:r>
              <w:rPr>
                <w:rFonts w:ascii="Arial" w:cs="Arial" w:eastAsia="Arial" w:hAnsi="Arial"/>
                <w:sz w:val="17"/>
                <w:szCs w:val="17"/>
                <w:b w:val="1"/>
                <w:bCs w:val="1"/>
                <w:color w:val="auto"/>
              </w:rPr>
              <w:t>MARTIN MARIETTA MATERIALS, INC. AND CONSOLIDATED SUBSIDIARIES</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9540" w:type="dxa"/>
            <w:vAlign w:val="bottom"/>
          </w:tcPr>
          <w:p>
            <w:pPr>
              <w:jc w:val="center"/>
              <w:ind w:left="1774"/>
              <w:spacing w:after="0"/>
              <w:rPr>
                <w:sz w:val="20"/>
                <w:szCs w:val="20"/>
                <w:color w:val="auto"/>
              </w:rPr>
            </w:pPr>
            <w:r>
              <w:rPr>
                <w:rFonts w:ascii="Arial" w:cs="Arial" w:eastAsia="Arial" w:hAnsi="Arial"/>
                <w:sz w:val="17"/>
                <w:szCs w:val="17"/>
                <w:b w:val="1"/>
                <w:bCs w:val="1"/>
                <w:color w:val="auto"/>
              </w:rPr>
              <w:t>COMPUTATION OF RATIO OF EARNINGS TO FIXED CHARGES</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9540" w:type="dxa"/>
            <w:vAlign w:val="bottom"/>
          </w:tcPr>
          <w:p>
            <w:pPr>
              <w:jc w:val="center"/>
              <w:ind w:left="1754"/>
              <w:spacing w:after="0"/>
              <w:rPr>
                <w:sz w:val="20"/>
                <w:szCs w:val="20"/>
                <w:color w:val="auto"/>
              </w:rPr>
            </w:pPr>
            <w:r>
              <w:rPr>
                <w:rFonts w:ascii="Arial" w:cs="Arial" w:eastAsia="Arial" w:hAnsi="Arial"/>
                <w:sz w:val="17"/>
                <w:szCs w:val="17"/>
                <w:b w:val="1"/>
                <w:bCs w:val="1"/>
                <w:color w:val="auto"/>
                <w:w w:val="92"/>
              </w:rPr>
              <w:t>For the Year Ended December 31, 2017</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9540" w:type="dxa"/>
            <w:vAlign w:val="bottom"/>
          </w:tcPr>
          <w:p>
            <w:pPr>
              <w:jc w:val="center"/>
              <w:ind w:left="1754"/>
              <w:spacing w:after="0"/>
              <w:rPr>
                <w:sz w:val="20"/>
                <w:szCs w:val="20"/>
                <w:color w:val="auto"/>
              </w:rPr>
            </w:pPr>
            <w:r>
              <w:rPr>
                <w:rFonts w:ascii="Arial" w:cs="Arial" w:eastAsia="Arial" w:hAnsi="Arial"/>
                <w:sz w:val="17"/>
                <w:szCs w:val="17"/>
                <w:b w:val="1"/>
                <w:bCs w:val="1"/>
                <w:color w:val="auto"/>
                <w:w w:val="92"/>
              </w:rPr>
              <w:t>(add 000, except ratio)</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vMerge w:val="restart"/>
          </w:tcPr>
          <w:p>
            <w:pPr>
              <w:spacing w:after="0"/>
              <w:rPr>
                <w:sz w:val="20"/>
                <w:szCs w:val="20"/>
                <w:color w:val="auto"/>
              </w:rPr>
            </w:pPr>
          </w:p>
        </w:tc>
        <w:tc>
          <w:tcPr>
            <w:tcW w:w="95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EARNINGS: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7"/>
                <w:szCs w:val="17"/>
                <w:color w:val="auto"/>
              </w:rPr>
              <w:t>Earnings before income taxes*</w:t>
            </w:r>
          </w:p>
        </w:tc>
        <w:tc>
          <w:tcPr>
            <w:tcW w:w="12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w w:val="87"/>
              </w:rPr>
              <w:t>618,885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7"/>
                <w:szCs w:val="17"/>
                <w:color w:val="auto"/>
              </w:rPr>
              <w:t>Gain from less than 50%-owned associated companies, net</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4"/>
              </w:rPr>
              <w:t>(11,894)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7"/>
                <w:szCs w:val="17"/>
                <w:color w:val="auto"/>
              </w:rPr>
              <w:t>Interest expense**</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91,487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7"/>
                <w:szCs w:val="17"/>
                <w:color w:val="auto"/>
              </w:rPr>
              <w:t>Portion of rents representative of an interest factor</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23,944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40" w:type="dxa"/>
            <w:vAlign w:val="bottom"/>
            <w:vMerge w:val="restart"/>
          </w:tcPr>
          <w:p>
            <w:pPr>
              <w:ind w:left="340"/>
              <w:spacing w:after="0"/>
              <w:rPr>
                <w:sz w:val="20"/>
                <w:szCs w:val="20"/>
                <w:color w:val="auto"/>
              </w:rPr>
            </w:pPr>
            <w:r>
              <w:rPr>
                <w:rFonts w:ascii="Arial" w:cs="Arial" w:eastAsia="Arial" w:hAnsi="Arial"/>
                <w:sz w:val="17"/>
                <w:szCs w:val="17"/>
                <w:b w:val="1"/>
                <w:bCs w:val="1"/>
                <w:color w:val="auto"/>
              </w:rPr>
              <w:t>Adjusted Earnings and Fixed Charges</w:t>
            </w:r>
          </w:p>
        </w:tc>
        <w:tc>
          <w:tcPr>
            <w:tcW w:w="1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9540" w:type="dxa"/>
            <w:vAlign w:val="bottom"/>
            <w:vMerge w:val="continue"/>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w w:val="87"/>
              </w:rPr>
              <w:t>722,422</w:t>
            </w:r>
          </w:p>
        </w:tc>
        <w:tc>
          <w:tcPr>
            <w:tcW w:w="0" w:type="dxa"/>
            <w:vAlign w:val="bottom"/>
          </w:tcPr>
          <w:p>
            <w:pPr>
              <w:spacing w:after="0"/>
              <w:rPr>
                <w:sz w:val="1"/>
                <w:szCs w:val="1"/>
                <w:color w:val="auto"/>
              </w:rPr>
            </w:pPr>
          </w:p>
        </w:tc>
      </w:tr>
      <w:tr>
        <w:trPr>
          <w:trHeight w:val="104"/>
        </w:trPr>
        <w:tc>
          <w:tcPr>
            <w:tcW w:w="20" w:type="dxa"/>
            <w:vAlign w:val="bottom"/>
            <w:vMerge w:val="restart"/>
          </w:tcPr>
          <w:p>
            <w:pPr>
              <w:spacing w:after="0"/>
              <w:rPr>
                <w:sz w:val="9"/>
                <w:szCs w:val="9"/>
                <w:color w:val="auto"/>
              </w:rPr>
            </w:pPr>
          </w:p>
        </w:tc>
        <w:tc>
          <w:tcPr>
            <w:tcW w:w="95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FIXED CHARGES: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1"/>
        </w:trPr>
        <w:tc>
          <w:tcPr>
            <w:tcW w:w="9560" w:type="dxa"/>
            <w:vAlign w:val="bottom"/>
            <w:gridSpan w:val="2"/>
          </w:tcPr>
          <w:p>
            <w:pPr>
              <w:spacing w:after="0"/>
              <w:rPr>
                <w:sz w:val="20"/>
                <w:szCs w:val="20"/>
                <w:color w:val="auto"/>
              </w:rPr>
            </w:pPr>
            <w:r>
              <w:rPr>
                <w:rFonts w:ascii="Arial" w:cs="Arial" w:eastAsia="Arial" w:hAnsi="Arial"/>
                <w:sz w:val="17"/>
                <w:szCs w:val="17"/>
                <w:color w:val="auto"/>
              </w:rPr>
              <w:t>Interest expense**</w:t>
            </w:r>
          </w:p>
        </w:tc>
        <w:tc>
          <w:tcPr>
            <w:tcW w:w="12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91,487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7"/>
                <w:szCs w:val="17"/>
                <w:color w:val="auto"/>
              </w:rPr>
              <w:t>Capitalized interest</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3,616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7"/>
                <w:szCs w:val="17"/>
                <w:color w:val="auto"/>
              </w:rPr>
              <w:t>Portion of rents representative of an interest factor</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23,944</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9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9540" w:type="dxa"/>
            <w:vAlign w:val="bottom"/>
            <w:shd w:val="clear" w:color="auto" w:fill="CCEEFF"/>
          </w:tcPr>
          <w:p>
            <w:pPr>
              <w:ind w:left="340"/>
              <w:spacing w:after="0"/>
              <w:rPr>
                <w:sz w:val="20"/>
                <w:szCs w:val="20"/>
                <w:color w:val="auto"/>
              </w:rPr>
            </w:pPr>
            <w:r>
              <w:rPr>
                <w:rFonts w:ascii="Arial" w:cs="Arial" w:eastAsia="Arial" w:hAnsi="Arial"/>
                <w:sz w:val="17"/>
                <w:szCs w:val="17"/>
                <w:b w:val="1"/>
                <w:bCs w:val="1"/>
                <w:color w:val="auto"/>
              </w:rPr>
              <w:t>Total Fixed Charges</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7"/>
              </w:rPr>
              <w:t>119,047</w:t>
            </w:r>
          </w:p>
        </w:tc>
        <w:tc>
          <w:tcPr>
            <w:tcW w:w="0" w:type="dxa"/>
            <w:vAlign w:val="bottom"/>
          </w:tcPr>
          <w:p>
            <w:pPr>
              <w:spacing w:after="0"/>
              <w:rPr>
                <w:sz w:val="1"/>
                <w:szCs w:val="1"/>
                <w:color w:val="auto"/>
              </w:rPr>
            </w:pPr>
          </w:p>
        </w:tc>
      </w:tr>
      <w:tr>
        <w:trPr>
          <w:trHeight w:val="312"/>
        </w:trPr>
        <w:tc>
          <w:tcPr>
            <w:tcW w:w="9560" w:type="dxa"/>
            <w:vAlign w:val="bottom"/>
            <w:gridSpan w:val="2"/>
          </w:tcPr>
          <w:p>
            <w:pPr>
              <w:spacing w:after="0"/>
              <w:rPr>
                <w:sz w:val="20"/>
                <w:szCs w:val="20"/>
                <w:color w:val="auto"/>
              </w:rPr>
            </w:pPr>
            <w:r>
              <w:rPr>
                <w:rFonts w:ascii="Arial" w:cs="Arial" w:eastAsia="Arial" w:hAnsi="Arial"/>
                <w:sz w:val="17"/>
                <w:szCs w:val="17"/>
                <w:b w:val="1"/>
                <w:bCs w:val="1"/>
                <w:color w:val="auto"/>
              </w:rPr>
              <w:t>Ratio of Earnings to Fixed Charges</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6.07</w:t>
            </w:r>
          </w:p>
        </w:tc>
        <w:tc>
          <w:tcPr>
            <w:tcW w:w="0" w:type="dxa"/>
            <w:vAlign w:val="bottom"/>
          </w:tcPr>
          <w:p>
            <w:pPr>
              <w:spacing w:after="0"/>
              <w:rPr>
                <w:sz w:val="1"/>
                <w:szCs w:val="1"/>
                <w:color w:val="auto"/>
              </w:rPr>
            </w:pPr>
          </w:p>
        </w:tc>
      </w:tr>
    </w:tbl>
    <w:p>
      <w:pPr>
        <w:spacing w:after="0" w:line="221" w:lineRule="exact"/>
        <w:rPr>
          <w:sz w:val="20"/>
          <w:szCs w:val="20"/>
          <w:color w:val="auto"/>
        </w:rPr>
      </w:pPr>
    </w:p>
    <w:p>
      <w:pPr>
        <w:ind w:right="2800" w:firstLine="4"/>
        <w:spacing w:after="0" w:line="285" w:lineRule="auto"/>
        <w:tabs>
          <w:tab w:leader="none" w:pos="454"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Represents earnings from continuing operations plus/minus net (loss) earnings attributable to noncontrolling interests. ** Interest expense excludes a credit of $84 associated with uncertain tax provisions</w:t>
      </w:r>
      <w:r>
        <w:rPr>
          <w:rFonts w:ascii="Arial" w:cs="Arial" w:eastAsia="Arial" w:hAnsi="Arial"/>
          <w:sz w:val="17"/>
          <w:szCs w:val="17"/>
          <w:i w:val="1"/>
          <w:iCs w:val="1"/>
          <w:color w:val="auto"/>
        </w:rPr>
        <w:t>.</w:t>
      </w:r>
    </w:p>
    <w:p>
      <w:pPr>
        <w:sectPr>
          <w:pgSz w:w="11900" w:h="16838" w:orient="portrait"/>
          <w:cols w:equalWidth="0" w:num="1">
            <w:col w:w="11420"/>
          </w:cols>
          <w:pgMar w:left="240" w:top="121"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7"/>
          <w:szCs w:val="17"/>
          <w:b w:val="1"/>
          <w:bCs w:val="1"/>
          <w:color w:val="auto"/>
        </w:rPr>
        <w:t>Exhibit 13.01</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085CD"/>
        </w:rPr>
        <w:t>STATEMENT OF FINANCIAL RESPONSIBILITY AND MANAGEMENT’S REPORT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0085CD"/>
        </w:rPr>
        <w:t>ON INTERNAL CONTROL OVER FINANCIAL REPORTING</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Management’s Statement of Responsibility</w:t>
      </w:r>
    </w:p>
    <w:p>
      <w:pPr>
        <w:spacing w:after="0" w:line="122"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The management of Martin Marietta Materials, Inc. (the “Company” or “Martin Marietta”), is responsible for the consolidated financial statements, the related financial information contained in this 2017 Annual Report and the establishment and maintenance of adequate internal control over financial reporting. The consolidated balance sheets for Martin Marietta, at December 31, 2017 and 2016, and the related consolidated statements of earnings, comprehensive earnings, total equity and cash flows for each of the three years in the period ended December 31, 2017, include amounts based on estimates and judgments and have been prepared in accordance with accounting principles generally accepted in the United States applied on a consistent basis.</w:t>
      </w:r>
    </w:p>
    <w:p>
      <w:pPr>
        <w:spacing w:after="0" w:line="88"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A system of internal control over financial reporting is designed to provide reasonable assurance, in a cost-effective manner, that assets are safeguarded, transactions are executed and recorded in accordance with management’s authorization, accountability for assets is maintained and financial statements are prepared and presented fairly in accordance with accounting principles generally accepted in the United States. Internal control systems over financial reporting have inherent limitations and may not prevent or detect misstatements. Therefore, even those systems determined to be effective can provide only reasonable assurance with respect to financial statement preparation and presentation.</w:t>
      </w:r>
    </w:p>
    <w:p>
      <w:pPr>
        <w:spacing w:after="0" w:line="88"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The Company operates in an environment that establishes an appropriate system of internal control over financial reporting and ensures that the system is maintained, assessed and monitored on a periodic basis. This internal control system includes examinations by internal audit staff and oversight by the Audit Committee of the Board of Directors.</w:t>
      </w:r>
    </w:p>
    <w:p>
      <w:pPr>
        <w:spacing w:after="0" w:line="85"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 xml:space="preserve">The Company’s management recognizes its responsibility to foster a strong ethical climate. Management has issued written policy statements that document the Company’s business code of ethics. The importance of ethical behavior is regularly communicated to all employees through the distribution of the </w:t>
      </w:r>
      <w:r>
        <w:rPr>
          <w:rFonts w:ascii="Arial" w:cs="Arial" w:eastAsia="Arial" w:hAnsi="Arial"/>
          <w:sz w:val="16"/>
          <w:szCs w:val="16"/>
          <w:i w:val="1"/>
          <w:iCs w:val="1"/>
          <w:color w:val="auto"/>
        </w:rPr>
        <w:t>Code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of Ethical Business Conduct </w:t>
      </w:r>
      <w:r>
        <w:rPr>
          <w:rFonts w:ascii="Arial" w:cs="Arial" w:eastAsia="Arial" w:hAnsi="Arial"/>
          <w:sz w:val="16"/>
          <w:szCs w:val="16"/>
          <w:color w:val="auto"/>
        </w:rPr>
        <w:t>booklet and through ongoing education and review programs designed to create a strong commitment to ethical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practices.</w:t>
      </w:r>
    </w:p>
    <w:p>
      <w:pPr>
        <w:spacing w:after="0" w:line="274"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The Audit Committee of the Board of Directors, which consists of four independent, nonemployee directors, meets periodically and separately with management, the independent auditors and the internal auditors to review the activities of each. The Audit Committee meets standards established by the Securities and Exchange Commission (SEC) and the New York Stock Exchange as they relate to the composition and practices of audit committees.</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Management’s Report on Internal Control over Financial Reporting</w:t>
      </w:r>
    </w:p>
    <w:p>
      <w:pPr>
        <w:spacing w:after="0" w:line="122"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 xml:space="preserve">The management of Martin Marietta is responsible for establishing and maintaining adequate control over financial reporting. Management assessed the effectiveness of the Company’s internal control over financial reporting as of December 31, 2017. In making this assessment, management used the criteria set forth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 (2013 framework) (COSO). Based on management’s assessment under the 2013 framework, management concluded that the Company’s internal control over financial reporting was effective as of December 31, 2017.</w:t>
      </w:r>
    </w:p>
    <w:p>
      <w:pPr>
        <w:spacing w:after="0" w:line="8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2017 consolidated financial statements and effectiveness of internal control over financial reporting have been audited by PricewaterhouseCoopers LLP, an independent registered public accounting firm, whose report appears on the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260350</wp:posOffset>
            </wp:positionV>
            <wp:extent cx="1145540" cy="3295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8">
                      <a:extLst>
                        <a:ext uri="{28A0092B-C50C-407E-A947-70E740481C1C}"/>
                      </a:extLst>
                    </a:blip>
                    <a:srcRect/>
                    <a:stretch>
                      <a:fillRect/>
                    </a:stretch>
                  </pic:blipFill>
                  <pic:spPr bwMode="auto">
                    <a:xfrm>
                      <a:off x="0" y="0"/>
                      <a:ext cx="1145540" cy="329565"/>
                    </a:xfrm>
                    <a:prstGeom prst="rect">
                      <a:avLst/>
                    </a:prstGeom>
                    <a:noFill/>
                  </pic:spPr>
                </pic:pic>
              </a:graphicData>
            </a:graphic>
          </wp:anchor>
        </w:drawing>
        <w:drawing>
          <wp:anchor simplePos="0" relativeHeight="251657728" behindDoc="1" locked="0" layoutInCell="0" allowOverlap="1">
            <wp:simplePos x="0" y="0"/>
            <wp:positionH relativeFrom="column">
              <wp:posOffset>3760470</wp:posOffset>
            </wp:positionH>
            <wp:positionV relativeFrom="paragraph">
              <wp:posOffset>210820</wp:posOffset>
            </wp:positionV>
            <wp:extent cx="1532890" cy="3790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9">
                      <a:extLst>
                        <a:ext uri="{28A0092B-C50C-407E-A947-70E740481C1C}"/>
                      </a:extLst>
                    </a:blip>
                    <a:srcRect/>
                    <a:stretch>
                      <a:fillRect/>
                    </a:stretch>
                  </pic:blipFill>
                  <pic:spPr bwMode="auto">
                    <a:xfrm>
                      <a:off x="0" y="0"/>
                      <a:ext cx="1532890" cy="37909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C. Howard Nye</w:t>
      </w:r>
    </w:p>
    <w:p>
      <w:pPr>
        <w:spacing w:after="0"/>
        <w:rPr>
          <w:sz w:val="20"/>
          <w:szCs w:val="20"/>
          <w:color w:val="auto"/>
        </w:rPr>
      </w:pPr>
      <w:r>
        <w:rPr>
          <w:rFonts w:ascii="Arial" w:cs="Arial" w:eastAsia="Arial" w:hAnsi="Arial"/>
          <w:sz w:val="14"/>
          <w:szCs w:val="14"/>
          <w:i w:val="1"/>
          <w:iCs w:val="1"/>
          <w:color w:val="auto"/>
        </w:rPr>
        <w:t>Chairman, President and Chief Executive Officer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February 23, 2018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James A. J. Nickolas</w:t>
      </w:r>
    </w:p>
    <w:p>
      <w:pPr>
        <w:spacing w:after="0"/>
        <w:rPr>
          <w:sz w:val="20"/>
          <w:szCs w:val="20"/>
          <w:color w:val="auto"/>
        </w:rPr>
      </w:pPr>
      <w:r>
        <w:rPr>
          <w:rFonts w:ascii="Arial" w:cs="Arial" w:eastAsia="Arial" w:hAnsi="Arial"/>
          <w:sz w:val="14"/>
          <w:szCs w:val="14"/>
          <w:i w:val="1"/>
          <w:iCs w:val="1"/>
          <w:color w:val="auto"/>
        </w:rPr>
        <w:t>Senior Vice President and Chief Financial Officer</w:t>
      </w:r>
    </w:p>
    <w:p>
      <w:pPr>
        <w:spacing w:after="0" w:line="321" w:lineRule="exact"/>
        <w:rPr>
          <w:sz w:val="20"/>
          <w:szCs w:val="20"/>
          <w:color w:val="auto"/>
        </w:rPr>
      </w:pPr>
    </w:p>
    <w:p>
      <w:pPr>
        <w:sectPr>
          <w:pgSz w:w="11900" w:h="16838" w:orient="portrait"/>
          <w:cols w:equalWidth="0" w:num="2">
            <w:col w:w="5200" w:space="720"/>
            <w:col w:w="5500"/>
          </w:cols>
          <w:pgMar w:left="240" w:top="118" w:right="239" w:bottom="1440" w:gutter="0" w:footer="0" w:header="0"/>
          <w:type w:val="continuous"/>
        </w:sectPr>
      </w:pPr>
    </w:p>
    <w:p>
      <w:pPr>
        <w:ind w:left="4860"/>
        <w:spacing w:after="0"/>
        <w:rPr>
          <w:sz w:val="20"/>
          <w:szCs w:val="20"/>
          <w:color w:val="auto"/>
        </w:rPr>
      </w:pPr>
      <w:r>
        <w:rPr>
          <w:rFonts w:ascii="Arial" w:cs="Arial" w:eastAsia="Arial" w:hAnsi="Arial"/>
          <w:sz w:val="15"/>
          <w:szCs w:val="15"/>
          <w:b w:val="1"/>
          <w:bCs w:val="1"/>
          <w:color w:val="4D5358"/>
        </w:rPr>
        <w:t>Martin Marietta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0085CD"/>
        </w:rPr>
        <w:t>Page 7</w:t>
      </w:r>
    </w:p>
    <w:p>
      <w:pPr>
        <w:sectPr>
          <w:pgSz w:w="11900" w:h="16838" w:orient="portrait"/>
          <w:cols w:equalWidth="0" w:num="2">
            <w:col w:w="6020" w:space="80"/>
            <w:col w:w="5320"/>
          </w:cols>
          <w:pgMar w:left="240" w:top="118" w:right="239" w:bottom="1440" w:gutter="0" w:footer="0" w:header="0"/>
          <w:type w:val="continuous"/>
        </w:sectPr>
      </w:pPr>
    </w:p>
    <w:bookmarkStart w:id="60" w:name="page61"/>
    <w:bookmarkEnd w:id="60"/>
    <w:p>
      <w:pPr>
        <w:jc w:val="center"/>
        <w:spacing w:after="0"/>
        <w:rPr>
          <w:sz w:val="20"/>
          <w:szCs w:val="20"/>
          <w:color w:val="auto"/>
        </w:rPr>
      </w:pPr>
      <w:r>
        <w:rPr>
          <w:rFonts w:ascii="Arial" w:cs="Arial" w:eastAsia="Arial" w:hAnsi="Arial"/>
          <w:sz w:val="17"/>
          <w:szCs w:val="17"/>
          <w:b w:val="1"/>
          <w:bCs w:val="1"/>
          <w:color w:val="0085CD"/>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0">
                      <a:extLst>
                        <a:ext uri="{28A0092B-C50C-407E-A947-70E740481C1C}"/>
                      </a:extLst>
                    </a:blip>
                    <a:srcRect/>
                    <a:stretch>
                      <a:fillRect/>
                    </a:stretch>
                  </pic:blipFill>
                  <pic:spPr bwMode="auto">
                    <a:xfrm>
                      <a:off x="0" y="0"/>
                      <a:ext cx="7293610" cy="37465"/>
                    </a:xfrm>
                    <a:prstGeom prst="rect">
                      <a:avLst/>
                    </a:prstGeom>
                    <a:noFill/>
                  </pic:spPr>
                </pic:pic>
              </a:graphicData>
            </a:graphic>
          </wp:anchor>
        </w:drawing>
        <w:t>REPORT OF INDEPENDENT REGISTERED PUBLIC ACCOUNTING FIRM</w:t>
      </w:r>
    </w:p>
    <w:p>
      <w:pPr>
        <w:spacing w:after="0" w:line="200" w:lineRule="exact"/>
        <w:rPr>
          <w:sz w:val="20"/>
          <w:szCs w:val="20"/>
          <w:color w:val="auto"/>
        </w:rPr>
      </w:pPr>
    </w:p>
    <w:p>
      <w:pPr>
        <w:spacing w:after="0" w:line="211" w:lineRule="exact"/>
        <w:rPr>
          <w:sz w:val="20"/>
          <w:szCs w:val="20"/>
          <w:color w:val="auto"/>
        </w:rPr>
      </w:pPr>
    </w:p>
    <w:p>
      <w:pPr>
        <w:ind w:right="5380"/>
        <w:spacing w:after="0" w:line="317" w:lineRule="auto"/>
        <w:rPr>
          <w:sz w:val="20"/>
          <w:szCs w:val="20"/>
          <w:color w:val="auto"/>
        </w:rPr>
      </w:pPr>
      <w:r>
        <w:rPr>
          <w:rFonts w:ascii="Arial" w:cs="Arial" w:eastAsia="Arial" w:hAnsi="Arial"/>
          <w:sz w:val="16"/>
          <w:szCs w:val="16"/>
          <w:b w:val="1"/>
          <w:bCs w:val="1"/>
          <w:color w:val="auto"/>
        </w:rPr>
        <w:t xml:space="preserve">To Board of Directors and Shareholders of Martin Marietta Materials, Inc. </w:t>
      </w:r>
      <w:r>
        <w:rPr>
          <w:rFonts w:ascii="Arial" w:cs="Arial" w:eastAsia="Arial" w:hAnsi="Arial"/>
          <w:sz w:val="16"/>
          <w:szCs w:val="16"/>
          <w:i w:val="1"/>
          <w:iCs w:val="1"/>
          <w:color w:val="auto"/>
        </w:rPr>
        <w:t>Opinions on the Financial Statements and Internal Control over Financial Reporting</w:t>
      </w:r>
    </w:p>
    <w:p>
      <w:pPr>
        <w:spacing w:after="0" w:line="1" w:lineRule="exact"/>
        <w:rPr>
          <w:sz w:val="20"/>
          <w:szCs w:val="20"/>
          <w:color w:val="auto"/>
        </w:rPr>
      </w:pPr>
    </w:p>
    <w:p>
      <w:pPr>
        <w:jc w:val="both"/>
        <w:spacing w:after="0"/>
        <w:rPr>
          <w:sz w:val="20"/>
          <w:szCs w:val="20"/>
          <w:color w:val="auto"/>
        </w:rPr>
      </w:pPr>
      <w:r>
        <w:rPr>
          <w:rFonts w:ascii="Arial" w:cs="Arial" w:eastAsia="Arial" w:hAnsi="Arial"/>
          <w:sz w:val="16"/>
          <w:szCs w:val="16"/>
          <w:color w:val="auto"/>
        </w:rPr>
        <w:t xml:space="preserve">We have audited the accompanying consolidated balance sheets of Martin Marietta Materials, Inc. and its subsidiaries as of December 31, 2017 and 2016, and the related consolidated statements of earnings, comprehensive earnings, total equity, and cash flows for each of the two years in the period ended December 31, 2017, including the related notes and schedule of valuation and qualifying accounts for each of the two years in the period ended December 31, 2017 appearing under Item 15(a)(2) (collectively referred to as the “consolidated financial statements”). We also have audited the Company’s internal control over financial reporting as of December 31, 2017,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(2013) issued by the Committee of Sponsoring Organizations of the Treadway Commission (COSO).</w:t>
      </w:r>
    </w:p>
    <w:p>
      <w:pPr>
        <w:spacing w:after="0" w:line="90"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 xml:space="preserve">In our opinion, the consolidated financial statements referred to above present fairly, in all material respects, the financial position of the Company as of December 31, 2017 and 2016, and the results of their operations and their cash flows for each of the two years in the period ended December 31, 2017 in conformity with accounting principles generally accepted in the United States of America. Also in our opinion, the Company maintained, in all material respects, effective internal control over financial reporting as of December 31, 2017,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(2013) issued by the COSO.</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Basis for Opinions</w:t>
      </w:r>
    </w:p>
    <w:p>
      <w:pPr>
        <w:spacing w:after="0" w:line="14"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90"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85"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Definition and Limitations of Internal Control over Financial Reporting</w:t>
      </w:r>
    </w:p>
    <w:p>
      <w:pPr>
        <w:spacing w:after="0" w:line="14" w:lineRule="exact"/>
        <w:rPr>
          <w:sz w:val="20"/>
          <w:szCs w:val="20"/>
          <w:color w:val="auto"/>
        </w:rPr>
      </w:pPr>
    </w:p>
    <w:p>
      <w:pPr>
        <w:jc w:val="both"/>
        <w:spacing w:after="0"/>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69"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ectPr>
          <w:pgSz w:w="11900" w:h="16838" w:orient="portrait"/>
          <w:cols w:equalWidth="0" w:num="1">
            <w:col w:w="11420"/>
          </w:cols>
          <w:pgMar w:left="240" w:top="259" w:right="239" w:bottom="1440" w:gutter="0" w:footer="0" w:header="0"/>
        </w:sect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Raleigh, North Carolina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February 23, 2018</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 PricewaterhouseCoopers LLP</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2016.</w:t>
      </w:r>
    </w:p>
    <w:p>
      <w:pPr>
        <w:spacing w:after="0" w:line="124" w:lineRule="exact"/>
        <w:rPr>
          <w:sz w:val="20"/>
          <w:szCs w:val="20"/>
          <w:color w:val="auto"/>
        </w:rPr>
      </w:pPr>
    </w:p>
    <w:p>
      <w:pPr>
        <w:sectPr>
          <w:pgSz w:w="11900" w:h="16838" w:orient="portrait"/>
          <w:cols w:equalWidth="0" w:num="2">
            <w:col w:w="5340" w:space="720"/>
            <w:col w:w="5360"/>
          </w:cols>
          <w:pgMar w:left="240" w:top="259" w:right="239" w:bottom="1440" w:gutter="0" w:footer="0" w:header="0"/>
          <w:type w:val="continuous"/>
        </w:sectPr>
      </w:pPr>
    </w:p>
    <w:p>
      <w:pPr>
        <w:ind w:left="4860"/>
        <w:spacing w:after="0"/>
        <w:rPr>
          <w:sz w:val="20"/>
          <w:szCs w:val="20"/>
          <w:color w:val="auto"/>
        </w:rPr>
      </w:pPr>
      <w:r>
        <w:rPr>
          <w:rFonts w:ascii="Arial" w:cs="Arial" w:eastAsia="Arial" w:hAnsi="Arial"/>
          <w:sz w:val="15"/>
          <w:szCs w:val="15"/>
          <w:b w:val="1"/>
          <w:bCs w:val="1"/>
          <w:color w:val="4D5358"/>
        </w:rPr>
        <w:t>Martin Marietta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0085CD"/>
        </w:rPr>
        <w:t>Page 8</w:t>
      </w:r>
    </w:p>
    <w:p>
      <w:pPr>
        <w:sectPr>
          <w:pgSz w:w="11900" w:h="16838" w:orient="portrait"/>
          <w:cols w:equalWidth="0" w:num="2">
            <w:col w:w="6020" w:space="80"/>
            <w:col w:w="5320"/>
          </w:cols>
          <w:pgMar w:left="240" w:top="259" w:right="239" w:bottom="1440" w:gutter="0" w:footer="0" w:header="0"/>
          <w:type w:val="continuous"/>
        </w:sectPr>
      </w:pPr>
    </w:p>
    <w:bookmarkStart w:id="61" w:name="page62"/>
    <w:bookmarkEnd w:id="61"/>
    <w:p>
      <w:pPr>
        <w:jc w:val="center"/>
        <w:spacing w:after="0"/>
        <w:rPr>
          <w:sz w:val="20"/>
          <w:szCs w:val="20"/>
          <w:color w:val="auto"/>
        </w:rPr>
      </w:pPr>
      <w:r>
        <w:rPr>
          <w:rFonts w:ascii="Arial" w:cs="Arial" w:eastAsia="Arial" w:hAnsi="Arial"/>
          <w:sz w:val="17"/>
          <w:szCs w:val="17"/>
          <w:b w:val="1"/>
          <w:bCs w:val="1"/>
          <w:color w:val="0085CD"/>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1">
                      <a:extLst>
                        <a:ext uri="{28A0092B-C50C-407E-A947-70E740481C1C}"/>
                      </a:extLst>
                    </a:blip>
                    <a:srcRect/>
                    <a:stretch>
                      <a:fillRect/>
                    </a:stretch>
                  </pic:blipFill>
                  <pic:spPr bwMode="auto">
                    <a:xfrm>
                      <a:off x="0" y="0"/>
                      <a:ext cx="7293610" cy="37465"/>
                    </a:xfrm>
                    <a:prstGeom prst="rect">
                      <a:avLst/>
                    </a:prstGeom>
                    <a:noFill/>
                  </pic:spPr>
                </pic:pic>
              </a:graphicData>
            </a:graphic>
          </wp:anchor>
        </w:drawing>
        <w:t>REPORT OF INDEPENDENT REGISTERED PUBLIC ACCOUNTING FIRM</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To Board of Directors and Shareholders of Martin Marietta Materials, Inc.</w:t>
      </w:r>
    </w:p>
    <w:p>
      <w:pPr>
        <w:spacing w:after="0" w:line="120"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We have audited the accompanying consolidated statements of earnings, comprehensive earnings, total equity and cash flows of Martin Marietta Materials, Inc. and consolidated subsidiaries for the year ended December 31, 2015. These financial statements are the responsibility of the Company’s management. Our responsibility is to express an opinion on these financial statements based on our audit.</w:t>
      </w:r>
    </w:p>
    <w:p>
      <w:pPr>
        <w:spacing w:after="0" w:line="85"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8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results of operations and cash flows of Martin Marietta Materials, Inc. and consolidated subsidiaries for the year ended December 31, 2015, in conformity with U.S. generally accepted accounting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5540375</wp:posOffset>
            </wp:positionH>
            <wp:positionV relativeFrom="paragraph">
              <wp:posOffset>257810</wp:posOffset>
            </wp:positionV>
            <wp:extent cx="1713865" cy="4533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2">
                      <a:extLst>
                        <a:ext uri="{28A0092B-C50C-407E-A947-70E740481C1C}"/>
                      </a:extLst>
                    </a:blip>
                    <a:srcRect/>
                    <a:stretch>
                      <a:fillRect/>
                    </a:stretch>
                  </pic:blipFill>
                  <pic:spPr bwMode="auto">
                    <a:xfrm>
                      <a:off x="0" y="0"/>
                      <a:ext cx="1713865" cy="453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color w:val="auto"/>
        </w:rPr>
        <w:t>Raleigh, North Carolina</w:t>
      </w:r>
    </w:p>
    <w:p>
      <w:pPr>
        <w:jc w:val="both"/>
        <w:spacing w:after="0" w:line="253" w:lineRule="auto"/>
        <w:rPr>
          <w:sz w:val="20"/>
          <w:szCs w:val="20"/>
          <w:color w:val="auto"/>
        </w:rPr>
      </w:pPr>
      <w:r>
        <w:rPr>
          <w:rFonts w:ascii="Arial" w:cs="Arial" w:eastAsia="Arial" w:hAnsi="Arial"/>
          <w:sz w:val="16"/>
          <w:szCs w:val="16"/>
          <w:color w:val="auto"/>
        </w:rPr>
        <w:t>February 23, 2016, except for the recently adopted accounting pronouncements discussed in Note A and the effects of the segment change discussed in Note O, as to which the date is May 12, 2017</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9</w:t>
      </w:r>
    </w:p>
    <w:p>
      <w:pPr>
        <w:sectPr>
          <w:pgSz w:w="11900" w:h="16838" w:orient="portrait"/>
          <w:cols w:equalWidth="0" w:num="1">
            <w:col w:w="11420"/>
          </w:cols>
          <w:pgMar w:left="240" w:top="259" w:right="239" w:bottom="1440" w:gutter="0" w:footer="0" w:header="0"/>
        </w:sectPr>
      </w:pPr>
    </w:p>
    <w:bookmarkStart w:id="62" w:name="page63"/>
    <w:bookmarkEnd w:id="62"/>
    <w:p>
      <w:pPr>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3">
                      <a:extLst>
                        <a:ext uri="{28A0092B-C50C-407E-A947-70E740481C1C}"/>
                      </a:extLst>
                    </a:blip>
                    <a:srcRect/>
                    <a:stretch>
                      <a:fillRect/>
                    </a:stretch>
                  </pic:blipFill>
                  <pic:spPr bwMode="auto">
                    <a:xfrm>
                      <a:off x="0" y="0"/>
                      <a:ext cx="7293610" cy="37465"/>
                    </a:xfrm>
                    <a:prstGeom prst="rect">
                      <a:avLst/>
                    </a:prstGeom>
                    <a:noFill/>
                  </pic:spPr>
                </pic:pic>
              </a:graphicData>
            </a:graphic>
          </wp:anchor>
        </w:drawing>
        <w:drawing>
          <wp:anchor simplePos="0" relativeHeight="251657728" behindDoc="1" locked="0" layoutInCell="0" allowOverlap="1">
            <wp:simplePos x="0" y="0"/>
            <wp:positionH relativeFrom="page">
              <wp:posOffset>154940</wp:posOffset>
            </wp:positionH>
            <wp:positionV relativeFrom="page">
              <wp:posOffset>179705</wp:posOffset>
            </wp:positionV>
            <wp:extent cx="5579110" cy="280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4">
                      <a:extLst>
                        <a:ext uri="{28A0092B-C50C-407E-A947-70E740481C1C}"/>
                      </a:extLst>
                    </a:blip>
                    <a:srcRect/>
                    <a:stretch>
                      <a:fillRect/>
                    </a:stretch>
                  </pic:blipFill>
                  <pic:spPr bwMode="auto">
                    <a:xfrm>
                      <a:off x="0" y="0"/>
                      <a:ext cx="5579110" cy="280035"/>
                    </a:xfrm>
                    <a:prstGeom prst="rect">
                      <a:avLst/>
                    </a:prstGeom>
                    <a:noFill/>
                  </pic:spPr>
                </pic:pic>
              </a:graphicData>
            </a:graphic>
          </wp:anchor>
        </w:drawing>
        <w:t xml:space="preserve">CONSOLIDATED STATEMENTS OF EARNINGS </w:t>
      </w:r>
      <w:r>
        <w:rPr>
          <w:rFonts w:ascii="Arial" w:cs="Arial" w:eastAsia="Arial" w:hAnsi="Arial"/>
          <w:sz w:val="17"/>
          <w:szCs w:val="17"/>
          <w:color w:val="FFFFFF"/>
        </w:rPr>
        <w:t>for years ended December 31</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7580" w:type="dxa"/>
            <w:vAlign w:val="bottom"/>
            <w:gridSpan w:val="2"/>
          </w:tcPr>
          <w:p>
            <w:pPr>
              <w:spacing w:after="0"/>
              <w:rPr>
                <w:sz w:val="20"/>
                <w:szCs w:val="20"/>
                <w:color w:val="auto"/>
              </w:rPr>
            </w:pPr>
            <w:r>
              <w:rPr>
                <w:rFonts w:ascii="Arial" w:cs="Arial" w:eastAsia="Arial" w:hAnsi="Arial"/>
                <w:sz w:val="16"/>
                <w:szCs w:val="16"/>
                <w:color w:val="auto"/>
              </w:rPr>
              <w:t>(add 000, except per share)</w:t>
            </w:r>
          </w:p>
        </w:tc>
        <w:tc>
          <w:tcPr>
            <w:tcW w:w="220" w:type="dxa"/>
            <w:vAlign w:val="bottom"/>
            <w:shd w:val="clear" w:color="auto" w:fill="0085CD"/>
          </w:tcPr>
          <w:p>
            <w:pPr>
              <w:spacing w:after="0"/>
              <w:rPr>
                <w:sz w:val="24"/>
                <w:szCs w:val="24"/>
                <w:color w:val="auto"/>
              </w:rPr>
            </w:pPr>
          </w:p>
        </w:tc>
        <w:tc>
          <w:tcPr>
            <w:tcW w:w="980" w:type="dxa"/>
            <w:vAlign w:val="bottom"/>
            <w:shd w:val="clear" w:color="auto" w:fill="0085CD"/>
          </w:tcPr>
          <w:p>
            <w:pPr>
              <w:jc w:val="right"/>
              <w:ind w:right="334"/>
              <w:spacing w:after="0"/>
              <w:rPr>
                <w:sz w:val="20"/>
                <w:szCs w:val="20"/>
                <w:color w:val="auto"/>
              </w:rPr>
            </w:pPr>
            <w:r>
              <w:rPr>
                <w:rFonts w:ascii="Arial" w:cs="Arial" w:eastAsia="Arial" w:hAnsi="Arial"/>
                <w:sz w:val="17"/>
                <w:szCs w:val="17"/>
                <w:b w:val="1"/>
                <w:bCs w:val="1"/>
                <w:color w:val="FFFFFF"/>
              </w:rPr>
              <w:t>2017</w:t>
            </w:r>
          </w:p>
        </w:tc>
        <w:tc>
          <w:tcPr>
            <w:tcW w:w="200" w:type="dxa"/>
            <w:vAlign w:val="bottom"/>
          </w:tcPr>
          <w:p>
            <w:pPr>
              <w:spacing w:after="0"/>
              <w:rPr>
                <w:sz w:val="24"/>
                <w:szCs w:val="24"/>
                <w:color w:val="auto"/>
              </w:rPr>
            </w:pPr>
          </w:p>
        </w:tc>
        <w:tc>
          <w:tcPr>
            <w:tcW w:w="220" w:type="dxa"/>
            <w:vAlign w:val="bottom"/>
            <w:shd w:val="clear" w:color="auto" w:fill="E0EBED"/>
          </w:tcPr>
          <w:p>
            <w:pPr>
              <w:spacing w:after="0"/>
              <w:rPr>
                <w:sz w:val="24"/>
                <w:szCs w:val="24"/>
                <w:color w:val="auto"/>
              </w:rPr>
            </w:pPr>
          </w:p>
        </w:tc>
        <w:tc>
          <w:tcPr>
            <w:tcW w:w="980" w:type="dxa"/>
            <w:vAlign w:val="bottom"/>
            <w:shd w:val="clear" w:color="auto" w:fill="E0EBED"/>
          </w:tcPr>
          <w:p>
            <w:pPr>
              <w:jc w:val="right"/>
              <w:ind w:right="334"/>
              <w:spacing w:after="0"/>
              <w:rPr>
                <w:sz w:val="20"/>
                <w:szCs w:val="20"/>
                <w:color w:val="auto"/>
              </w:rPr>
            </w:pPr>
            <w:r>
              <w:rPr>
                <w:rFonts w:ascii="Arial" w:cs="Arial" w:eastAsia="Arial" w:hAnsi="Arial"/>
                <w:sz w:val="17"/>
                <w:szCs w:val="17"/>
                <w:color w:val="auto"/>
              </w:rPr>
              <w:t>2016</w:t>
            </w:r>
          </w:p>
        </w:tc>
        <w:tc>
          <w:tcPr>
            <w:tcW w:w="200" w:type="dxa"/>
            <w:vAlign w:val="bottom"/>
          </w:tcPr>
          <w:p>
            <w:pPr>
              <w:spacing w:after="0"/>
              <w:rPr>
                <w:sz w:val="24"/>
                <w:szCs w:val="24"/>
                <w:color w:val="auto"/>
              </w:rPr>
            </w:pPr>
          </w:p>
        </w:tc>
        <w:tc>
          <w:tcPr>
            <w:tcW w:w="220" w:type="dxa"/>
            <w:vAlign w:val="bottom"/>
            <w:shd w:val="clear" w:color="auto" w:fill="E0EBED"/>
          </w:tcPr>
          <w:p>
            <w:pPr>
              <w:spacing w:after="0"/>
              <w:rPr>
                <w:sz w:val="24"/>
                <w:szCs w:val="24"/>
                <w:color w:val="auto"/>
              </w:rPr>
            </w:pPr>
          </w:p>
        </w:tc>
        <w:tc>
          <w:tcPr>
            <w:tcW w:w="820" w:type="dxa"/>
            <w:vAlign w:val="bottom"/>
            <w:shd w:val="clear" w:color="auto" w:fill="E0EBED"/>
          </w:tcPr>
          <w:p>
            <w:pPr>
              <w:jc w:val="right"/>
              <w:ind w:right="214"/>
              <w:spacing w:after="0"/>
              <w:rPr>
                <w:sz w:val="20"/>
                <w:szCs w:val="20"/>
                <w:color w:val="auto"/>
              </w:rPr>
            </w:pPr>
            <w:r>
              <w:rPr>
                <w:rFonts w:ascii="Arial" w:cs="Arial" w:eastAsia="Arial" w:hAnsi="Arial"/>
                <w:sz w:val="17"/>
                <w:szCs w:val="17"/>
                <w:color w:val="auto"/>
              </w:rPr>
              <w:t>2015</w:t>
            </w:r>
          </w:p>
        </w:tc>
      </w:tr>
      <w:tr>
        <w:trPr>
          <w:trHeight w:val="165"/>
        </w:trPr>
        <w:tc>
          <w:tcPr>
            <w:tcW w:w="20" w:type="dxa"/>
            <w:vAlign w:val="bottom"/>
          </w:tcPr>
          <w:p>
            <w:pPr>
              <w:spacing w:after="0"/>
              <w:rPr>
                <w:sz w:val="14"/>
                <w:szCs w:val="14"/>
                <w:color w:val="auto"/>
              </w:rPr>
            </w:pPr>
          </w:p>
        </w:tc>
        <w:tc>
          <w:tcPr>
            <w:tcW w:w="7560" w:type="dxa"/>
            <w:vAlign w:val="bottom"/>
            <w:tcBorders>
              <w:top w:val="single" w:sz="8" w:color="auto"/>
            </w:tcBorders>
          </w:tcPr>
          <w:p>
            <w:pPr>
              <w:spacing w:after="0" w:line="165" w:lineRule="exact"/>
              <w:rPr>
                <w:sz w:val="20"/>
                <w:szCs w:val="20"/>
                <w:color w:val="auto"/>
              </w:rPr>
            </w:pPr>
            <w:r>
              <w:rPr>
                <w:rFonts w:ascii="Arial" w:cs="Arial" w:eastAsia="Arial" w:hAnsi="Arial"/>
                <w:sz w:val="17"/>
                <w:szCs w:val="17"/>
                <w:color w:val="auto"/>
              </w:rPr>
              <w:t>Net Sales</w:t>
            </w:r>
          </w:p>
        </w:tc>
        <w:tc>
          <w:tcPr>
            <w:tcW w:w="220" w:type="dxa"/>
            <w:vAlign w:val="bottom"/>
            <w:tcBorders>
              <w:top w:val="single" w:sz="8" w:color="auto"/>
            </w:tcBorders>
            <w:shd w:val="clear" w:color="auto" w:fill="CDDEE7"/>
          </w:tcPr>
          <w:p>
            <w:pPr>
              <w:jc w:val="right"/>
              <w:spacing w:after="0" w:line="165" w:lineRule="exact"/>
              <w:rPr>
                <w:sz w:val="20"/>
                <w:szCs w:val="20"/>
                <w:color w:val="auto"/>
              </w:rPr>
            </w:pPr>
            <w:r>
              <w:rPr>
                <w:rFonts w:ascii="Arial" w:cs="Arial" w:eastAsia="Arial" w:hAnsi="Arial"/>
                <w:sz w:val="17"/>
                <w:szCs w:val="17"/>
                <w:b w:val="1"/>
                <w:bCs w:val="1"/>
                <w:color w:val="auto"/>
                <w:shd w:val="clear" w:color="auto" w:fill="CDDEE7"/>
              </w:rPr>
              <w:t>$</w:t>
            </w:r>
          </w:p>
        </w:tc>
        <w:tc>
          <w:tcPr>
            <w:tcW w:w="980" w:type="dxa"/>
            <w:vAlign w:val="bottom"/>
            <w:tcBorders>
              <w:top w:val="single" w:sz="8" w:color="auto"/>
            </w:tcBorders>
            <w:shd w:val="clear" w:color="auto" w:fill="CDDEE7"/>
          </w:tcPr>
          <w:p>
            <w:pPr>
              <w:jc w:val="right"/>
              <w:ind w:right="34"/>
              <w:spacing w:after="0" w:line="165" w:lineRule="exact"/>
              <w:rPr>
                <w:sz w:val="20"/>
                <w:szCs w:val="20"/>
                <w:color w:val="auto"/>
              </w:rPr>
            </w:pPr>
            <w:r>
              <w:rPr>
                <w:rFonts w:ascii="Arial" w:cs="Arial" w:eastAsia="Arial" w:hAnsi="Arial"/>
                <w:sz w:val="17"/>
                <w:szCs w:val="17"/>
                <w:b w:val="1"/>
                <w:bCs w:val="1"/>
                <w:color w:val="auto"/>
                <w:shd w:val="clear" w:color="auto" w:fill="CDDEE7"/>
              </w:rPr>
              <w:t>3,721,428</w:t>
            </w:r>
          </w:p>
        </w:tc>
        <w:tc>
          <w:tcPr>
            <w:tcW w:w="2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shd w:val="clear" w:color="auto" w:fill="E0EBED"/>
          </w:tcPr>
          <w:p>
            <w:pPr>
              <w:jc w:val="right"/>
              <w:spacing w:after="0" w:line="165" w:lineRule="exact"/>
              <w:rPr>
                <w:sz w:val="20"/>
                <w:szCs w:val="20"/>
                <w:color w:val="auto"/>
              </w:rPr>
            </w:pPr>
            <w:r>
              <w:rPr>
                <w:rFonts w:ascii="Arial" w:cs="Arial" w:eastAsia="Arial" w:hAnsi="Arial"/>
                <w:sz w:val="17"/>
                <w:szCs w:val="17"/>
                <w:color w:val="auto"/>
                <w:shd w:val="clear" w:color="auto" w:fill="E0EBED"/>
              </w:rPr>
              <w:t>$</w:t>
            </w:r>
          </w:p>
        </w:tc>
        <w:tc>
          <w:tcPr>
            <w:tcW w:w="980" w:type="dxa"/>
            <w:vAlign w:val="bottom"/>
            <w:tcBorders>
              <w:top w:val="single" w:sz="8" w:color="auto"/>
            </w:tcBorders>
            <w:shd w:val="clear" w:color="auto" w:fill="E0EBED"/>
          </w:tcPr>
          <w:p>
            <w:pPr>
              <w:jc w:val="right"/>
              <w:ind w:right="34"/>
              <w:spacing w:after="0" w:line="165" w:lineRule="exact"/>
              <w:rPr>
                <w:sz w:val="20"/>
                <w:szCs w:val="20"/>
                <w:color w:val="auto"/>
              </w:rPr>
            </w:pPr>
            <w:r>
              <w:rPr>
                <w:rFonts w:ascii="Arial" w:cs="Arial" w:eastAsia="Arial" w:hAnsi="Arial"/>
                <w:sz w:val="17"/>
                <w:szCs w:val="17"/>
                <w:color w:val="auto"/>
                <w:shd w:val="clear" w:color="auto" w:fill="E0EBED"/>
              </w:rPr>
              <w:t>3,576,767</w:t>
            </w:r>
          </w:p>
        </w:tc>
        <w:tc>
          <w:tcPr>
            <w:tcW w:w="2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shd w:val="clear" w:color="auto" w:fill="E0EBED"/>
          </w:tcPr>
          <w:p>
            <w:pPr>
              <w:spacing w:after="0"/>
              <w:rPr>
                <w:sz w:val="14"/>
                <w:szCs w:val="14"/>
                <w:color w:val="auto"/>
              </w:rPr>
            </w:pPr>
          </w:p>
        </w:tc>
        <w:tc>
          <w:tcPr>
            <w:tcW w:w="820" w:type="dxa"/>
            <w:vAlign w:val="bottom"/>
            <w:tcBorders>
              <w:top w:val="single" w:sz="8" w:color="auto"/>
            </w:tcBorders>
            <w:shd w:val="clear" w:color="auto" w:fill="E0EBED"/>
          </w:tcPr>
          <w:p>
            <w:pPr>
              <w:jc w:val="right"/>
              <w:spacing w:after="0" w:line="165" w:lineRule="exact"/>
              <w:rPr>
                <w:sz w:val="20"/>
                <w:szCs w:val="20"/>
                <w:color w:val="auto"/>
              </w:rPr>
            </w:pPr>
            <w:r>
              <w:rPr>
                <w:rFonts w:ascii="Arial" w:cs="Arial" w:eastAsia="Arial" w:hAnsi="Arial"/>
                <w:sz w:val="17"/>
                <w:szCs w:val="17"/>
                <w:color w:val="auto"/>
                <w:shd w:val="clear" w:color="auto" w:fill="E0EBED"/>
              </w:rPr>
              <w:t>3,268,116</w:t>
            </w:r>
          </w:p>
        </w:tc>
      </w:tr>
      <w:tr>
        <w:trPr>
          <w:trHeight w:val="217"/>
        </w:trPr>
        <w:tc>
          <w:tcPr>
            <w:tcW w:w="7580" w:type="dxa"/>
            <w:vAlign w:val="bottom"/>
            <w:gridSpan w:val="2"/>
          </w:tcPr>
          <w:p>
            <w:pPr>
              <w:spacing w:after="0"/>
              <w:rPr>
                <w:sz w:val="20"/>
                <w:szCs w:val="20"/>
                <w:color w:val="auto"/>
              </w:rPr>
            </w:pPr>
            <w:r>
              <w:rPr>
                <w:rFonts w:ascii="Arial" w:cs="Arial" w:eastAsia="Arial" w:hAnsi="Arial"/>
                <w:sz w:val="17"/>
                <w:szCs w:val="17"/>
                <w:color w:val="auto"/>
              </w:rPr>
              <w:t>Freight and delivery revenues</w:t>
            </w:r>
          </w:p>
        </w:tc>
        <w:tc>
          <w:tcPr>
            <w:tcW w:w="220" w:type="dxa"/>
            <w:vAlign w:val="bottom"/>
            <w:tcBorders>
              <w:bottom w:val="single" w:sz="8" w:color="CDDEE7"/>
            </w:tcBorders>
            <w:shd w:val="clear" w:color="auto" w:fill="CDDEE7"/>
          </w:tcPr>
          <w:p>
            <w:pPr>
              <w:spacing w:after="0"/>
              <w:rPr>
                <w:sz w:val="18"/>
                <w:szCs w:val="18"/>
                <w:color w:val="auto"/>
              </w:rPr>
            </w:pPr>
          </w:p>
        </w:tc>
        <w:tc>
          <w:tcPr>
            <w:tcW w:w="980" w:type="dxa"/>
            <w:vAlign w:val="bottom"/>
            <w:tcBorders>
              <w:bottom w:val="single" w:sz="8" w:color="CDDEE7"/>
            </w:tcBorders>
            <w:shd w:val="clear" w:color="auto" w:fill="CDDEE7"/>
          </w:tcPr>
          <w:p>
            <w:pPr>
              <w:jc w:val="right"/>
              <w:ind w:right="34"/>
              <w:spacing w:after="0"/>
              <w:rPr>
                <w:sz w:val="20"/>
                <w:szCs w:val="20"/>
                <w:color w:val="auto"/>
              </w:rPr>
            </w:pPr>
            <w:r>
              <w:rPr>
                <w:rFonts w:ascii="Arial" w:cs="Arial" w:eastAsia="Arial" w:hAnsi="Arial"/>
                <w:sz w:val="17"/>
                <w:szCs w:val="17"/>
                <w:b w:val="1"/>
                <w:bCs w:val="1"/>
                <w:color w:val="auto"/>
              </w:rPr>
              <w:t>244,166</w:t>
            </w:r>
          </w:p>
        </w:tc>
        <w:tc>
          <w:tcPr>
            <w:tcW w:w="200" w:type="dxa"/>
            <w:vAlign w:val="bottom"/>
          </w:tcPr>
          <w:p>
            <w:pPr>
              <w:spacing w:after="0"/>
              <w:rPr>
                <w:sz w:val="18"/>
                <w:szCs w:val="18"/>
                <w:color w:val="auto"/>
              </w:rPr>
            </w:pPr>
          </w:p>
        </w:tc>
        <w:tc>
          <w:tcPr>
            <w:tcW w:w="220" w:type="dxa"/>
            <w:vAlign w:val="bottom"/>
            <w:tcBorders>
              <w:bottom w:val="single" w:sz="8" w:color="E0EBED"/>
            </w:tcBorders>
            <w:shd w:val="clear" w:color="auto" w:fill="E0EBED"/>
          </w:tcPr>
          <w:p>
            <w:pPr>
              <w:spacing w:after="0"/>
              <w:rPr>
                <w:sz w:val="18"/>
                <w:szCs w:val="18"/>
                <w:color w:val="auto"/>
              </w:rPr>
            </w:pPr>
          </w:p>
        </w:tc>
        <w:tc>
          <w:tcPr>
            <w:tcW w:w="980" w:type="dxa"/>
            <w:vAlign w:val="bottom"/>
            <w:tcBorders>
              <w:bottom w:val="single" w:sz="8" w:color="E0EBED"/>
            </w:tcBorders>
            <w:shd w:val="clear" w:color="auto" w:fill="E0EBED"/>
          </w:tcPr>
          <w:p>
            <w:pPr>
              <w:jc w:val="right"/>
              <w:ind w:right="34"/>
              <w:spacing w:after="0"/>
              <w:rPr>
                <w:sz w:val="20"/>
                <w:szCs w:val="20"/>
                <w:color w:val="auto"/>
              </w:rPr>
            </w:pPr>
            <w:r>
              <w:rPr>
                <w:rFonts w:ascii="Arial" w:cs="Arial" w:eastAsia="Arial" w:hAnsi="Arial"/>
                <w:sz w:val="17"/>
                <w:szCs w:val="17"/>
                <w:color w:val="auto"/>
              </w:rPr>
              <w:t>241,982</w:t>
            </w:r>
          </w:p>
        </w:tc>
        <w:tc>
          <w:tcPr>
            <w:tcW w:w="200" w:type="dxa"/>
            <w:vAlign w:val="bottom"/>
          </w:tcPr>
          <w:p>
            <w:pPr>
              <w:spacing w:after="0"/>
              <w:rPr>
                <w:sz w:val="18"/>
                <w:szCs w:val="18"/>
                <w:color w:val="auto"/>
              </w:rPr>
            </w:pPr>
          </w:p>
        </w:tc>
        <w:tc>
          <w:tcPr>
            <w:tcW w:w="220" w:type="dxa"/>
            <w:vAlign w:val="bottom"/>
            <w:tcBorders>
              <w:bottom w:val="single" w:sz="8" w:color="E0EBED"/>
            </w:tcBorders>
            <w:shd w:val="clear" w:color="auto" w:fill="E0EBED"/>
          </w:tcPr>
          <w:p>
            <w:pPr>
              <w:spacing w:after="0"/>
              <w:rPr>
                <w:sz w:val="18"/>
                <w:szCs w:val="18"/>
                <w:color w:val="auto"/>
              </w:rPr>
            </w:pPr>
          </w:p>
        </w:tc>
        <w:tc>
          <w:tcPr>
            <w:tcW w:w="820" w:type="dxa"/>
            <w:vAlign w:val="bottom"/>
            <w:tcBorders>
              <w:bottom w:val="single" w:sz="8" w:color="E0EBED"/>
            </w:tcBorders>
            <w:shd w:val="clear" w:color="auto" w:fill="E0EBED"/>
          </w:tcPr>
          <w:p>
            <w:pPr>
              <w:jc w:val="right"/>
              <w:spacing w:after="0"/>
              <w:rPr>
                <w:sz w:val="20"/>
                <w:szCs w:val="20"/>
                <w:color w:val="auto"/>
              </w:rPr>
            </w:pPr>
            <w:r>
              <w:rPr>
                <w:rFonts w:ascii="Arial" w:cs="Arial" w:eastAsia="Arial" w:hAnsi="Arial"/>
                <w:sz w:val="17"/>
                <w:szCs w:val="17"/>
                <w:color w:val="auto"/>
              </w:rPr>
              <w:t>271,454</w:t>
            </w:r>
          </w:p>
        </w:tc>
      </w:tr>
      <w:tr>
        <w:trPr>
          <w:trHeight w:val="188"/>
        </w:trPr>
        <w:tc>
          <w:tcPr>
            <w:tcW w:w="7580" w:type="dxa"/>
            <w:vAlign w:val="bottom"/>
            <w:gridSpan w:val="2"/>
          </w:tcPr>
          <w:p>
            <w:pPr>
              <w:spacing w:after="0" w:line="188" w:lineRule="exact"/>
              <w:rPr>
                <w:sz w:val="20"/>
                <w:szCs w:val="20"/>
                <w:color w:val="auto"/>
              </w:rPr>
            </w:pPr>
            <w:r>
              <w:rPr>
                <w:rFonts w:ascii="Arial" w:cs="Arial" w:eastAsia="Arial" w:hAnsi="Arial"/>
                <w:sz w:val="17"/>
                <w:szCs w:val="17"/>
                <w:b w:val="1"/>
                <w:bCs w:val="1"/>
                <w:color w:val="auto"/>
              </w:rPr>
              <w:t>Total revenues</w:t>
            </w:r>
          </w:p>
        </w:tc>
        <w:tc>
          <w:tcPr>
            <w:tcW w:w="220" w:type="dxa"/>
            <w:vAlign w:val="bottom"/>
            <w:tcBorders>
              <w:top w:val="single" w:sz="8" w:color="auto"/>
            </w:tcBorders>
            <w:shd w:val="clear" w:color="auto" w:fill="CDDEE7"/>
          </w:tcPr>
          <w:p>
            <w:pPr>
              <w:spacing w:after="0"/>
              <w:rPr>
                <w:sz w:val="16"/>
                <w:szCs w:val="16"/>
                <w:color w:val="auto"/>
              </w:rPr>
            </w:pPr>
          </w:p>
        </w:tc>
        <w:tc>
          <w:tcPr>
            <w:tcW w:w="980" w:type="dxa"/>
            <w:vAlign w:val="bottom"/>
            <w:tcBorders>
              <w:top w:val="single" w:sz="8" w:color="auto"/>
            </w:tcBorders>
            <w:shd w:val="clear" w:color="auto" w:fill="CDDEE7"/>
          </w:tcPr>
          <w:p>
            <w:pPr>
              <w:jc w:val="right"/>
              <w:ind w:right="34"/>
              <w:spacing w:after="0" w:line="188" w:lineRule="exact"/>
              <w:rPr>
                <w:sz w:val="20"/>
                <w:szCs w:val="20"/>
                <w:color w:val="auto"/>
              </w:rPr>
            </w:pPr>
            <w:r>
              <w:rPr>
                <w:rFonts w:ascii="Arial" w:cs="Arial" w:eastAsia="Arial" w:hAnsi="Arial"/>
                <w:sz w:val="17"/>
                <w:szCs w:val="17"/>
                <w:b w:val="1"/>
                <w:bCs w:val="1"/>
                <w:color w:val="auto"/>
                <w:shd w:val="clear" w:color="auto" w:fill="CDDEE7"/>
              </w:rPr>
              <w:t>3,965,594</w:t>
            </w:r>
          </w:p>
        </w:tc>
        <w:tc>
          <w:tcPr>
            <w:tcW w:w="2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shd w:val="clear" w:color="auto" w:fill="E0EBED"/>
          </w:tcPr>
          <w:p>
            <w:pPr>
              <w:spacing w:after="0"/>
              <w:rPr>
                <w:sz w:val="16"/>
                <w:szCs w:val="16"/>
                <w:color w:val="auto"/>
              </w:rPr>
            </w:pPr>
          </w:p>
        </w:tc>
        <w:tc>
          <w:tcPr>
            <w:tcW w:w="980" w:type="dxa"/>
            <w:vAlign w:val="bottom"/>
            <w:tcBorders>
              <w:top w:val="single" w:sz="8" w:color="auto"/>
            </w:tcBorders>
            <w:shd w:val="clear" w:color="auto" w:fill="E0EBED"/>
          </w:tcPr>
          <w:p>
            <w:pPr>
              <w:jc w:val="right"/>
              <w:ind w:right="34"/>
              <w:spacing w:after="0" w:line="188" w:lineRule="exact"/>
              <w:rPr>
                <w:sz w:val="20"/>
                <w:szCs w:val="20"/>
                <w:color w:val="auto"/>
              </w:rPr>
            </w:pPr>
            <w:r>
              <w:rPr>
                <w:rFonts w:ascii="Arial" w:cs="Arial" w:eastAsia="Arial" w:hAnsi="Arial"/>
                <w:sz w:val="17"/>
                <w:szCs w:val="17"/>
                <w:color w:val="auto"/>
              </w:rPr>
              <w:t>3,818,749</w:t>
            </w:r>
          </w:p>
        </w:tc>
        <w:tc>
          <w:tcPr>
            <w:tcW w:w="2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shd w:val="clear" w:color="auto" w:fill="E0EBED"/>
          </w:tcPr>
          <w:p>
            <w:pPr>
              <w:spacing w:after="0"/>
              <w:rPr>
                <w:sz w:val="16"/>
                <w:szCs w:val="16"/>
                <w:color w:val="auto"/>
              </w:rPr>
            </w:pPr>
          </w:p>
        </w:tc>
        <w:tc>
          <w:tcPr>
            <w:tcW w:w="820" w:type="dxa"/>
            <w:vAlign w:val="bottom"/>
            <w:tcBorders>
              <w:top w:val="single" w:sz="8" w:color="auto"/>
            </w:tcBorders>
            <w:shd w:val="clear" w:color="auto" w:fill="E0EBED"/>
          </w:tcPr>
          <w:p>
            <w:pPr>
              <w:jc w:val="right"/>
              <w:spacing w:after="0" w:line="188" w:lineRule="exact"/>
              <w:rPr>
                <w:sz w:val="20"/>
                <w:szCs w:val="20"/>
                <w:color w:val="auto"/>
              </w:rPr>
            </w:pPr>
            <w:r>
              <w:rPr>
                <w:rFonts w:ascii="Arial" w:cs="Arial" w:eastAsia="Arial" w:hAnsi="Arial"/>
                <w:sz w:val="17"/>
                <w:szCs w:val="17"/>
                <w:color w:val="auto"/>
              </w:rPr>
              <w:t>3,539,570</w:t>
            </w:r>
          </w:p>
        </w:tc>
      </w:tr>
      <w:tr>
        <w:trPr>
          <w:trHeight w:val="165"/>
        </w:trPr>
        <w:tc>
          <w:tcPr>
            <w:tcW w:w="20" w:type="dxa"/>
            <w:vAlign w:val="bottom"/>
          </w:tcPr>
          <w:p>
            <w:pPr>
              <w:spacing w:after="0"/>
              <w:rPr>
                <w:sz w:val="14"/>
                <w:szCs w:val="14"/>
                <w:color w:val="auto"/>
              </w:rPr>
            </w:pPr>
          </w:p>
        </w:tc>
        <w:tc>
          <w:tcPr>
            <w:tcW w:w="7560" w:type="dxa"/>
            <w:vAlign w:val="bottom"/>
            <w:tcBorders>
              <w:top w:val="single" w:sz="8" w:color="auto"/>
            </w:tcBorders>
          </w:tcPr>
          <w:p>
            <w:pPr>
              <w:spacing w:after="0" w:line="165" w:lineRule="exact"/>
              <w:rPr>
                <w:sz w:val="20"/>
                <w:szCs w:val="20"/>
                <w:color w:val="auto"/>
              </w:rPr>
            </w:pPr>
            <w:r>
              <w:rPr>
                <w:rFonts w:ascii="Arial" w:cs="Arial" w:eastAsia="Arial" w:hAnsi="Arial"/>
                <w:sz w:val="17"/>
                <w:szCs w:val="17"/>
                <w:color w:val="auto"/>
              </w:rPr>
              <w:t>Cost of sales</w:t>
            </w:r>
          </w:p>
        </w:tc>
        <w:tc>
          <w:tcPr>
            <w:tcW w:w="220" w:type="dxa"/>
            <w:vAlign w:val="bottom"/>
            <w:tcBorders>
              <w:top w:val="single" w:sz="8" w:color="auto"/>
            </w:tcBorders>
            <w:shd w:val="clear" w:color="auto" w:fill="CDDEE7"/>
          </w:tcPr>
          <w:p>
            <w:pPr>
              <w:spacing w:after="0"/>
              <w:rPr>
                <w:sz w:val="14"/>
                <w:szCs w:val="14"/>
                <w:color w:val="auto"/>
              </w:rPr>
            </w:pPr>
          </w:p>
        </w:tc>
        <w:tc>
          <w:tcPr>
            <w:tcW w:w="980" w:type="dxa"/>
            <w:vAlign w:val="bottom"/>
            <w:tcBorders>
              <w:top w:val="single" w:sz="8" w:color="auto"/>
            </w:tcBorders>
            <w:shd w:val="clear" w:color="auto" w:fill="CDDEE7"/>
          </w:tcPr>
          <w:p>
            <w:pPr>
              <w:jc w:val="right"/>
              <w:ind w:right="34"/>
              <w:spacing w:after="0" w:line="165" w:lineRule="exact"/>
              <w:rPr>
                <w:sz w:val="20"/>
                <w:szCs w:val="20"/>
                <w:color w:val="auto"/>
              </w:rPr>
            </w:pPr>
            <w:r>
              <w:rPr>
                <w:rFonts w:ascii="Arial" w:cs="Arial" w:eastAsia="Arial" w:hAnsi="Arial"/>
                <w:sz w:val="17"/>
                <w:szCs w:val="17"/>
                <w:b w:val="1"/>
                <w:bCs w:val="1"/>
                <w:color w:val="auto"/>
              </w:rPr>
              <w:t>2,749,488</w:t>
            </w:r>
          </w:p>
        </w:tc>
        <w:tc>
          <w:tcPr>
            <w:tcW w:w="2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shd w:val="clear" w:color="auto" w:fill="E0EBED"/>
          </w:tcPr>
          <w:p>
            <w:pPr>
              <w:spacing w:after="0"/>
              <w:rPr>
                <w:sz w:val="14"/>
                <w:szCs w:val="14"/>
                <w:color w:val="auto"/>
              </w:rPr>
            </w:pPr>
          </w:p>
        </w:tc>
        <w:tc>
          <w:tcPr>
            <w:tcW w:w="980" w:type="dxa"/>
            <w:vAlign w:val="bottom"/>
            <w:tcBorders>
              <w:top w:val="single" w:sz="8" w:color="auto"/>
            </w:tcBorders>
            <w:shd w:val="clear" w:color="auto" w:fill="E0EBED"/>
          </w:tcPr>
          <w:p>
            <w:pPr>
              <w:jc w:val="right"/>
              <w:ind w:right="34"/>
              <w:spacing w:after="0" w:line="165" w:lineRule="exact"/>
              <w:rPr>
                <w:sz w:val="20"/>
                <w:szCs w:val="20"/>
                <w:color w:val="auto"/>
              </w:rPr>
            </w:pPr>
            <w:r>
              <w:rPr>
                <w:rFonts w:ascii="Arial" w:cs="Arial" w:eastAsia="Arial" w:hAnsi="Arial"/>
                <w:sz w:val="17"/>
                <w:szCs w:val="17"/>
                <w:color w:val="auto"/>
              </w:rPr>
              <w:t>2,665,029</w:t>
            </w:r>
          </w:p>
        </w:tc>
        <w:tc>
          <w:tcPr>
            <w:tcW w:w="2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shd w:val="clear" w:color="auto" w:fill="E0EBED"/>
          </w:tcPr>
          <w:p>
            <w:pPr>
              <w:spacing w:after="0"/>
              <w:rPr>
                <w:sz w:val="14"/>
                <w:szCs w:val="14"/>
                <w:color w:val="auto"/>
              </w:rPr>
            </w:pPr>
          </w:p>
        </w:tc>
        <w:tc>
          <w:tcPr>
            <w:tcW w:w="820" w:type="dxa"/>
            <w:vAlign w:val="bottom"/>
            <w:tcBorders>
              <w:top w:val="single" w:sz="8" w:color="auto"/>
            </w:tcBorders>
            <w:shd w:val="clear" w:color="auto" w:fill="E0EBED"/>
          </w:tcPr>
          <w:p>
            <w:pPr>
              <w:jc w:val="right"/>
              <w:spacing w:after="0" w:line="165" w:lineRule="exact"/>
              <w:rPr>
                <w:sz w:val="20"/>
                <w:szCs w:val="20"/>
                <w:color w:val="auto"/>
              </w:rPr>
            </w:pPr>
            <w:r>
              <w:rPr>
                <w:rFonts w:ascii="Arial" w:cs="Arial" w:eastAsia="Arial" w:hAnsi="Arial"/>
                <w:sz w:val="17"/>
                <w:szCs w:val="17"/>
                <w:color w:val="auto"/>
              </w:rPr>
              <w:t>2,541,196</w:t>
            </w:r>
          </w:p>
        </w:tc>
      </w:tr>
      <w:tr>
        <w:trPr>
          <w:trHeight w:val="217"/>
        </w:trPr>
        <w:tc>
          <w:tcPr>
            <w:tcW w:w="7580" w:type="dxa"/>
            <w:vAlign w:val="bottom"/>
            <w:gridSpan w:val="2"/>
          </w:tcPr>
          <w:p>
            <w:pPr>
              <w:spacing w:after="0"/>
              <w:rPr>
                <w:sz w:val="20"/>
                <w:szCs w:val="20"/>
                <w:color w:val="auto"/>
              </w:rPr>
            </w:pPr>
            <w:r>
              <w:rPr>
                <w:rFonts w:ascii="Arial" w:cs="Arial" w:eastAsia="Arial" w:hAnsi="Arial"/>
                <w:sz w:val="17"/>
                <w:szCs w:val="17"/>
                <w:color w:val="auto"/>
              </w:rPr>
              <w:t>Freight and delivery costs</w:t>
            </w:r>
          </w:p>
        </w:tc>
        <w:tc>
          <w:tcPr>
            <w:tcW w:w="220" w:type="dxa"/>
            <w:vAlign w:val="bottom"/>
            <w:tcBorders>
              <w:bottom w:val="single" w:sz="8" w:color="auto"/>
            </w:tcBorders>
            <w:shd w:val="clear" w:color="auto" w:fill="CDDEE7"/>
          </w:tcPr>
          <w:p>
            <w:pPr>
              <w:spacing w:after="0"/>
              <w:rPr>
                <w:sz w:val="18"/>
                <w:szCs w:val="18"/>
                <w:color w:val="auto"/>
              </w:rPr>
            </w:pPr>
          </w:p>
        </w:tc>
        <w:tc>
          <w:tcPr>
            <w:tcW w:w="980" w:type="dxa"/>
            <w:vAlign w:val="bottom"/>
            <w:tcBorders>
              <w:bottom w:val="single" w:sz="8" w:color="auto"/>
            </w:tcBorders>
            <w:shd w:val="clear" w:color="auto" w:fill="CDDEE7"/>
          </w:tcPr>
          <w:p>
            <w:pPr>
              <w:jc w:val="right"/>
              <w:ind w:right="34"/>
              <w:spacing w:after="0"/>
              <w:rPr>
                <w:sz w:val="20"/>
                <w:szCs w:val="20"/>
                <w:color w:val="auto"/>
              </w:rPr>
            </w:pPr>
            <w:r>
              <w:rPr>
                <w:rFonts w:ascii="Arial" w:cs="Arial" w:eastAsia="Arial" w:hAnsi="Arial"/>
                <w:sz w:val="17"/>
                <w:szCs w:val="17"/>
                <w:b w:val="1"/>
                <w:bCs w:val="1"/>
                <w:color w:val="auto"/>
              </w:rPr>
              <w:t>244,166</w:t>
            </w: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shd w:val="clear" w:color="auto" w:fill="E0EBED"/>
          </w:tcPr>
          <w:p>
            <w:pPr>
              <w:spacing w:after="0"/>
              <w:rPr>
                <w:sz w:val="18"/>
                <w:szCs w:val="18"/>
                <w:color w:val="auto"/>
              </w:rPr>
            </w:pPr>
          </w:p>
        </w:tc>
        <w:tc>
          <w:tcPr>
            <w:tcW w:w="980" w:type="dxa"/>
            <w:vAlign w:val="bottom"/>
            <w:tcBorders>
              <w:bottom w:val="single" w:sz="8" w:color="auto"/>
            </w:tcBorders>
            <w:shd w:val="clear" w:color="auto" w:fill="E0EBED"/>
          </w:tcPr>
          <w:p>
            <w:pPr>
              <w:jc w:val="right"/>
              <w:ind w:right="34"/>
              <w:spacing w:after="0"/>
              <w:rPr>
                <w:sz w:val="20"/>
                <w:szCs w:val="20"/>
                <w:color w:val="auto"/>
              </w:rPr>
            </w:pPr>
            <w:r>
              <w:rPr>
                <w:rFonts w:ascii="Arial" w:cs="Arial" w:eastAsia="Arial" w:hAnsi="Arial"/>
                <w:sz w:val="17"/>
                <w:szCs w:val="17"/>
                <w:color w:val="auto"/>
              </w:rPr>
              <w:t>241,982</w:t>
            </w: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shd w:val="clear" w:color="auto" w:fill="E0EBED"/>
          </w:tcPr>
          <w:p>
            <w:pPr>
              <w:spacing w:after="0"/>
              <w:rPr>
                <w:sz w:val="18"/>
                <w:szCs w:val="18"/>
                <w:color w:val="auto"/>
              </w:rPr>
            </w:pPr>
          </w:p>
        </w:tc>
        <w:tc>
          <w:tcPr>
            <w:tcW w:w="820" w:type="dxa"/>
            <w:vAlign w:val="bottom"/>
            <w:tcBorders>
              <w:bottom w:val="single" w:sz="8" w:color="auto"/>
            </w:tcBorders>
            <w:shd w:val="clear" w:color="auto" w:fill="E0EBED"/>
          </w:tcPr>
          <w:p>
            <w:pPr>
              <w:jc w:val="right"/>
              <w:spacing w:after="0"/>
              <w:rPr>
                <w:sz w:val="20"/>
                <w:szCs w:val="20"/>
                <w:color w:val="auto"/>
              </w:rPr>
            </w:pPr>
            <w:r>
              <w:rPr>
                <w:rFonts w:ascii="Arial" w:cs="Arial" w:eastAsia="Arial" w:hAnsi="Arial"/>
                <w:sz w:val="17"/>
                <w:szCs w:val="17"/>
                <w:color w:val="auto"/>
              </w:rPr>
              <w:t>271,454</w:t>
            </w:r>
          </w:p>
        </w:tc>
      </w:tr>
      <w:tr>
        <w:trPr>
          <w:trHeight w:val="188"/>
        </w:trPr>
        <w:tc>
          <w:tcPr>
            <w:tcW w:w="7580" w:type="dxa"/>
            <w:vAlign w:val="bottom"/>
            <w:tcBorders>
              <w:bottom w:val="single" w:sz="8" w:color="auto"/>
            </w:tcBorders>
            <w:gridSpan w:val="2"/>
          </w:tcPr>
          <w:p>
            <w:pPr>
              <w:spacing w:after="0" w:line="189" w:lineRule="exact"/>
              <w:rPr>
                <w:sz w:val="20"/>
                <w:szCs w:val="20"/>
                <w:color w:val="auto"/>
              </w:rPr>
            </w:pPr>
            <w:r>
              <w:rPr>
                <w:rFonts w:ascii="Arial" w:cs="Arial" w:eastAsia="Arial" w:hAnsi="Arial"/>
                <w:sz w:val="17"/>
                <w:szCs w:val="17"/>
                <w:color w:val="auto"/>
              </w:rPr>
              <w:t>Total cost of revenues</w:t>
            </w:r>
          </w:p>
        </w:tc>
        <w:tc>
          <w:tcPr>
            <w:tcW w:w="220" w:type="dxa"/>
            <w:vAlign w:val="bottom"/>
            <w:tcBorders>
              <w:bottom w:val="single" w:sz="8" w:color="auto"/>
            </w:tcBorders>
            <w:shd w:val="clear" w:color="auto" w:fill="CDDEE7"/>
          </w:tcPr>
          <w:p>
            <w:pPr>
              <w:spacing w:after="0"/>
              <w:rPr>
                <w:sz w:val="16"/>
                <w:szCs w:val="16"/>
                <w:color w:val="auto"/>
              </w:rPr>
            </w:pPr>
          </w:p>
        </w:tc>
        <w:tc>
          <w:tcPr>
            <w:tcW w:w="980" w:type="dxa"/>
            <w:vAlign w:val="bottom"/>
            <w:tcBorders>
              <w:bottom w:val="single" w:sz="8" w:color="auto"/>
            </w:tcBorders>
            <w:shd w:val="clear" w:color="auto" w:fill="CDDEE7"/>
          </w:tcPr>
          <w:p>
            <w:pPr>
              <w:jc w:val="right"/>
              <w:ind w:right="34"/>
              <w:spacing w:after="0" w:line="189" w:lineRule="exact"/>
              <w:rPr>
                <w:sz w:val="20"/>
                <w:szCs w:val="20"/>
                <w:color w:val="auto"/>
              </w:rPr>
            </w:pPr>
            <w:r>
              <w:rPr>
                <w:rFonts w:ascii="Arial" w:cs="Arial" w:eastAsia="Arial" w:hAnsi="Arial"/>
                <w:sz w:val="17"/>
                <w:szCs w:val="17"/>
                <w:b w:val="1"/>
                <w:bCs w:val="1"/>
                <w:color w:val="auto"/>
              </w:rPr>
              <w:t>2,993,654</w:t>
            </w:r>
          </w:p>
        </w:tc>
        <w:tc>
          <w:tcPr>
            <w:tcW w:w="2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shd w:val="clear" w:color="auto" w:fill="E0EBED"/>
          </w:tcPr>
          <w:p>
            <w:pPr>
              <w:spacing w:after="0"/>
              <w:rPr>
                <w:sz w:val="16"/>
                <w:szCs w:val="16"/>
                <w:color w:val="auto"/>
              </w:rPr>
            </w:pPr>
          </w:p>
        </w:tc>
        <w:tc>
          <w:tcPr>
            <w:tcW w:w="980" w:type="dxa"/>
            <w:vAlign w:val="bottom"/>
            <w:tcBorders>
              <w:bottom w:val="single" w:sz="8" w:color="auto"/>
            </w:tcBorders>
            <w:shd w:val="clear" w:color="auto" w:fill="E0EBED"/>
          </w:tcPr>
          <w:p>
            <w:pPr>
              <w:jc w:val="right"/>
              <w:ind w:right="34"/>
              <w:spacing w:after="0" w:line="189" w:lineRule="exact"/>
              <w:rPr>
                <w:sz w:val="20"/>
                <w:szCs w:val="20"/>
                <w:color w:val="auto"/>
              </w:rPr>
            </w:pPr>
            <w:r>
              <w:rPr>
                <w:rFonts w:ascii="Arial" w:cs="Arial" w:eastAsia="Arial" w:hAnsi="Arial"/>
                <w:sz w:val="17"/>
                <w:szCs w:val="17"/>
                <w:color w:val="auto"/>
              </w:rPr>
              <w:t>2,907,011</w:t>
            </w:r>
          </w:p>
        </w:tc>
        <w:tc>
          <w:tcPr>
            <w:tcW w:w="2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shd w:val="clear" w:color="auto" w:fill="E0EBED"/>
          </w:tcPr>
          <w:p>
            <w:pPr>
              <w:spacing w:after="0"/>
              <w:rPr>
                <w:sz w:val="16"/>
                <w:szCs w:val="16"/>
                <w:color w:val="auto"/>
              </w:rPr>
            </w:pPr>
          </w:p>
        </w:tc>
        <w:tc>
          <w:tcPr>
            <w:tcW w:w="820" w:type="dxa"/>
            <w:vAlign w:val="bottom"/>
            <w:tcBorders>
              <w:bottom w:val="single" w:sz="8" w:color="auto"/>
            </w:tcBorders>
            <w:shd w:val="clear" w:color="auto" w:fill="E0EBED"/>
          </w:tcPr>
          <w:p>
            <w:pPr>
              <w:jc w:val="right"/>
              <w:spacing w:after="0" w:line="189" w:lineRule="exact"/>
              <w:rPr>
                <w:sz w:val="20"/>
                <w:szCs w:val="20"/>
                <w:color w:val="auto"/>
              </w:rPr>
            </w:pPr>
            <w:r>
              <w:rPr>
                <w:rFonts w:ascii="Arial" w:cs="Arial" w:eastAsia="Arial" w:hAnsi="Arial"/>
                <w:sz w:val="17"/>
                <w:szCs w:val="17"/>
                <w:color w:val="auto"/>
              </w:rPr>
              <w:t>2,812,650</w:t>
            </w:r>
          </w:p>
        </w:tc>
      </w:tr>
      <w:tr>
        <w:trPr>
          <w:trHeight w:val="178"/>
        </w:trPr>
        <w:tc>
          <w:tcPr>
            <w:tcW w:w="7580" w:type="dxa"/>
            <w:vAlign w:val="bottom"/>
            <w:gridSpan w:val="2"/>
          </w:tcPr>
          <w:p>
            <w:pPr>
              <w:spacing w:after="0" w:line="178" w:lineRule="exact"/>
              <w:rPr>
                <w:sz w:val="20"/>
                <w:szCs w:val="20"/>
                <w:color w:val="auto"/>
              </w:rPr>
            </w:pPr>
            <w:r>
              <w:rPr>
                <w:rFonts w:ascii="Arial" w:cs="Arial" w:eastAsia="Arial" w:hAnsi="Arial"/>
                <w:sz w:val="18"/>
                <w:szCs w:val="18"/>
                <w:b w:val="1"/>
                <w:bCs w:val="1"/>
                <w:color w:val="auto"/>
              </w:rPr>
              <w:t>Gross Profit</w:t>
            </w:r>
          </w:p>
        </w:tc>
        <w:tc>
          <w:tcPr>
            <w:tcW w:w="220" w:type="dxa"/>
            <w:vAlign w:val="bottom"/>
            <w:shd w:val="clear" w:color="auto" w:fill="CDDEE7"/>
          </w:tcPr>
          <w:p>
            <w:pPr>
              <w:spacing w:after="0"/>
              <w:rPr>
                <w:sz w:val="15"/>
                <w:szCs w:val="15"/>
                <w:color w:val="auto"/>
              </w:rPr>
            </w:pPr>
          </w:p>
        </w:tc>
        <w:tc>
          <w:tcPr>
            <w:tcW w:w="980" w:type="dxa"/>
            <w:vAlign w:val="bottom"/>
            <w:shd w:val="clear" w:color="auto" w:fill="CDDEE7"/>
          </w:tcPr>
          <w:p>
            <w:pPr>
              <w:jc w:val="right"/>
              <w:ind w:right="34"/>
              <w:spacing w:after="0" w:line="178" w:lineRule="exact"/>
              <w:rPr>
                <w:sz w:val="20"/>
                <w:szCs w:val="20"/>
                <w:color w:val="auto"/>
              </w:rPr>
            </w:pPr>
            <w:r>
              <w:rPr>
                <w:rFonts w:ascii="Arial" w:cs="Arial" w:eastAsia="Arial" w:hAnsi="Arial"/>
                <w:sz w:val="17"/>
                <w:szCs w:val="17"/>
                <w:b w:val="1"/>
                <w:bCs w:val="1"/>
                <w:color w:val="auto"/>
              </w:rPr>
              <w:t>971,940</w:t>
            </w:r>
          </w:p>
        </w:tc>
        <w:tc>
          <w:tcPr>
            <w:tcW w:w="200" w:type="dxa"/>
            <w:vAlign w:val="bottom"/>
          </w:tcPr>
          <w:p>
            <w:pPr>
              <w:spacing w:after="0"/>
              <w:rPr>
                <w:sz w:val="15"/>
                <w:szCs w:val="15"/>
                <w:color w:val="auto"/>
              </w:rPr>
            </w:pPr>
          </w:p>
        </w:tc>
        <w:tc>
          <w:tcPr>
            <w:tcW w:w="220" w:type="dxa"/>
            <w:vAlign w:val="bottom"/>
            <w:shd w:val="clear" w:color="auto" w:fill="E0EBED"/>
          </w:tcPr>
          <w:p>
            <w:pPr>
              <w:spacing w:after="0"/>
              <w:rPr>
                <w:sz w:val="15"/>
                <w:szCs w:val="15"/>
                <w:color w:val="auto"/>
              </w:rPr>
            </w:pPr>
          </w:p>
        </w:tc>
        <w:tc>
          <w:tcPr>
            <w:tcW w:w="980" w:type="dxa"/>
            <w:vAlign w:val="bottom"/>
            <w:shd w:val="clear" w:color="auto" w:fill="E0EBED"/>
          </w:tcPr>
          <w:p>
            <w:pPr>
              <w:jc w:val="right"/>
              <w:ind w:right="34"/>
              <w:spacing w:after="0" w:line="178" w:lineRule="exact"/>
              <w:rPr>
                <w:sz w:val="20"/>
                <w:szCs w:val="20"/>
                <w:color w:val="auto"/>
              </w:rPr>
            </w:pPr>
            <w:r>
              <w:rPr>
                <w:rFonts w:ascii="Arial" w:cs="Arial" w:eastAsia="Arial" w:hAnsi="Arial"/>
                <w:sz w:val="17"/>
                <w:szCs w:val="17"/>
                <w:color w:val="auto"/>
              </w:rPr>
              <w:t>911,738</w:t>
            </w:r>
          </w:p>
        </w:tc>
        <w:tc>
          <w:tcPr>
            <w:tcW w:w="200" w:type="dxa"/>
            <w:vAlign w:val="bottom"/>
          </w:tcPr>
          <w:p>
            <w:pPr>
              <w:spacing w:after="0"/>
              <w:rPr>
                <w:sz w:val="15"/>
                <w:szCs w:val="15"/>
                <w:color w:val="auto"/>
              </w:rPr>
            </w:pPr>
          </w:p>
        </w:tc>
        <w:tc>
          <w:tcPr>
            <w:tcW w:w="220" w:type="dxa"/>
            <w:vAlign w:val="bottom"/>
            <w:shd w:val="clear" w:color="auto" w:fill="E0EBED"/>
          </w:tcPr>
          <w:p>
            <w:pPr>
              <w:spacing w:after="0"/>
              <w:rPr>
                <w:sz w:val="15"/>
                <w:szCs w:val="15"/>
                <w:color w:val="auto"/>
              </w:rPr>
            </w:pPr>
          </w:p>
        </w:tc>
        <w:tc>
          <w:tcPr>
            <w:tcW w:w="820" w:type="dxa"/>
            <w:vAlign w:val="bottom"/>
            <w:shd w:val="clear" w:color="auto" w:fill="E0EBED"/>
          </w:tcPr>
          <w:p>
            <w:pPr>
              <w:jc w:val="right"/>
              <w:spacing w:after="0" w:line="178" w:lineRule="exact"/>
              <w:rPr>
                <w:sz w:val="20"/>
                <w:szCs w:val="20"/>
                <w:color w:val="auto"/>
              </w:rPr>
            </w:pPr>
            <w:r>
              <w:rPr>
                <w:rFonts w:ascii="Arial" w:cs="Arial" w:eastAsia="Arial" w:hAnsi="Arial"/>
                <w:sz w:val="17"/>
                <w:szCs w:val="17"/>
                <w:color w:val="auto"/>
              </w:rPr>
              <w:t>726,920</w:t>
            </w:r>
          </w:p>
        </w:tc>
      </w:tr>
      <w:tr>
        <w:trPr>
          <w:trHeight w:val="195"/>
        </w:trPr>
        <w:tc>
          <w:tcPr>
            <w:tcW w:w="7580" w:type="dxa"/>
            <w:vAlign w:val="bottom"/>
            <w:gridSpan w:val="2"/>
          </w:tcPr>
          <w:p>
            <w:pPr>
              <w:spacing w:after="0"/>
              <w:rPr>
                <w:sz w:val="20"/>
                <w:szCs w:val="20"/>
                <w:color w:val="auto"/>
              </w:rPr>
            </w:pPr>
            <w:r>
              <w:rPr>
                <w:rFonts w:ascii="Arial" w:cs="Arial" w:eastAsia="Arial" w:hAnsi="Arial"/>
                <w:sz w:val="17"/>
                <w:szCs w:val="17"/>
                <w:color w:val="auto"/>
              </w:rPr>
              <w:t>Selling, general and administrative expenses</w:t>
            </w:r>
          </w:p>
        </w:tc>
        <w:tc>
          <w:tcPr>
            <w:tcW w:w="220" w:type="dxa"/>
            <w:vAlign w:val="bottom"/>
            <w:shd w:val="clear" w:color="auto" w:fill="CDDEE7"/>
          </w:tcPr>
          <w:p>
            <w:pPr>
              <w:spacing w:after="0"/>
              <w:rPr>
                <w:sz w:val="16"/>
                <w:szCs w:val="16"/>
                <w:color w:val="auto"/>
              </w:rPr>
            </w:pPr>
          </w:p>
        </w:tc>
        <w:tc>
          <w:tcPr>
            <w:tcW w:w="980" w:type="dxa"/>
            <w:vAlign w:val="bottom"/>
            <w:shd w:val="clear" w:color="auto" w:fill="CDDEE7"/>
          </w:tcPr>
          <w:p>
            <w:pPr>
              <w:jc w:val="right"/>
              <w:ind w:right="34"/>
              <w:spacing w:after="0"/>
              <w:rPr>
                <w:sz w:val="20"/>
                <w:szCs w:val="20"/>
                <w:color w:val="auto"/>
              </w:rPr>
            </w:pPr>
            <w:r>
              <w:rPr>
                <w:rFonts w:ascii="Arial" w:cs="Arial" w:eastAsia="Arial" w:hAnsi="Arial"/>
                <w:sz w:val="17"/>
                <w:szCs w:val="17"/>
                <w:b w:val="1"/>
                <w:bCs w:val="1"/>
                <w:color w:val="auto"/>
              </w:rPr>
              <w:t>262,128</w:t>
            </w:r>
          </w:p>
        </w:tc>
        <w:tc>
          <w:tcPr>
            <w:tcW w:w="200" w:type="dxa"/>
            <w:vAlign w:val="bottom"/>
          </w:tcPr>
          <w:p>
            <w:pPr>
              <w:spacing w:after="0"/>
              <w:rPr>
                <w:sz w:val="16"/>
                <w:szCs w:val="16"/>
                <w:color w:val="auto"/>
              </w:rPr>
            </w:pPr>
          </w:p>
        </w:tc>
        <w:tc>
          <w:tcPr>
            <w:tcW w:w="220" w:type="dxa"/>
            <w:vAlign w:val="bottom"/>
            <w:shd w:val="clear" w:color="auto" w:fill="E0EBED"/>
          </w:tcPr>
          <w:p>
            <w:pPr>
              <w:spacing w:after="0"/>
              <w:rPr>
                <w:sz w:val="16"/>
                <w:szCs w:val="16"/>
                <w:color w:val="auto"/>
              </w:rPr>
            </w:pPr>
          </w:p>
        </w:tc>
        <w:tc>
          <w:tcPr>
            <w:tcW w:w="980" w:type="dxa"/>
            <w:vAlign w:val="bottom"/>
            <w:shd w:val="clear" w:color="auto" w:fill="E0EBED"/>
          </w:tcPr>
          <w:p>
            <w:pPr>
              <w:jc w:val="right"/>
              <w:ind w:right="34"/>
              <w:spacing w:after="0"/>
              <w:rPr>
                <w:sz w:val="20"/>
                <w:szCs w:val="20"/>
                <w:color w:val="auto"/>
              </w:rPr>
            </w:pPr>
            <w:r>
              <w:rPr>
                <w:rFonts w:ascii="Arial" w:cs="Arial" w:eastAsia="Arial" w:hAnsi="Arial"/>
                <w:sz w:val="17"/>
                <w:szCs w:val="17"/>
                <w:color w:val="auto"/>
              </w:rPr>
              <w:t>241,606</w:t>
            </w:r>
          </w:p>
        </w:tc>
        <w:tc>
          <w:tcPr>
            <w:tcW w:w="200" w:type="dxa"/>
            <w:vAlign w:val="bottom"/>
          </w:tcPr>
          <w:p>
            <w:pPr>
              <w:spacing w:after="0"/>
              <w:rPr>
                <w:sz w:val="16"/>
                <w:szCs w:val="16"/>
                <w:color w:val="auto"/>
              </w:rPr>
            </w:pPr>
          </w:p>
        </w:tc>
        <w:tc>
          <w:tcPr>
            <w:tcW w:w="220" w:type="dxa"/>
            <w:vAlign w:val="bottom"/>
            <w:shd w:val="clear" w:color="auto" w:fill="E0EBED"/>
          </w:tcPr>
          <w:p>
            <w:pPr>
              <w:spacing w:after="0"/>
              <w:rPr>
                <w:sz w:val="16"/>
                <w:szCs w:val="16"/>
                <w:color w:val="auto"/>
              </w:rPr>
            </w:pPr>
          </w:p>
        </w:tc>
        <w:tc>
          <w:tcPr>
            <w:tcW w:w="820" w:type="dxa"/>
            <w:vAlign w:val="bottom"/>
            <w:shd w:val="clear" w:color="auto" w:fill="E0EBED"/>
          </w:tcPr>
          <w:p>
            <w:pPr>
              <w:jc w:val="right"/>
              <w:spacing w:after="0"/>
              <w:rPr>
                <w:sz w:val="20"/>
                <w:szCs w:val="20"/>
                <w:color w:val="auto"/>
              </w:rPr>
            </w:pPr>
            <w:r>
              <w:rPr>
                <w:rFonts w:ascii="Arial" w:cs="Arial" w:eastAsia="Arial" w:hAnsi="Arial"/>
                <w:sz w:val="17"/>
                <w:szCs w:val="17"/>
                <w:color w:val="auto"/>
              </w:rPr>
              <w:t>210,754</w:t>
            </w:r>
          </w:p>
        </w:tc>
      </w:tr>
      <w:tr>
        <w:trPr>
          <w:trHeight w:val="195"/>
        </w:trPr>
        <w:tc>
          <w:tcPr>
            <w:tcW w:w="7580" w:type="dxa"/>
            <w:vAlign w:val="bottom"/>
            <w:gridSpan w:val="2"/>
          </w:tcPr>
          <w:p>
            <w:pPr>
              <w:spacing w:after="0"/>
              <w:rPr>
                <w:sz w:val="20"/>
                <w:szCs w:val="20"/>
                <w:color w:val="auto"/>
              </w:rPr>
            </w:pPr>
            <w:r>
              <w:rPr>
                <w:rFonts w:ascii="Arial" w:cs="Arial" w:eastAsia="Arial" w:hAnsi="Arial"/>
                <w:sz w:val="17"/>
                <w:szCs w:val="17"/>
                <w:color w:val="auto"/>
              </w:rPr>
              <w:t>Acquisition-related expenses</w:t>
            </w:r>
          </w:p>
        </w:tc>
        <w:tc>
          <w:tcPr>
            <w:tcW w:w="220" w:type="dxa"/>
            <w:vAlign w:val="bottom"/>
            <w:shd w:val="clear" w:color="auto" w:fill="CDDEE7"/>
          </w:tcPr>
          <w:p>
            <w:pPr>
              <w:spacing w:after="0"/>
              <w:rPr>
                <w:sz w:val="16"/>
                <w:szCs w:val="16"/>
                <w:color w:val="auto"/>
              </w:rPr>
            </w:pPr>
          </w:p>
        </w:tc>
        <w:tc>
          <w:tcPr>
            <w:tcW w:w="980" w:type="dxa"/>
            <w:vAlign w:val="bottom"/>
            <w:shd w:val="clear" w:color="auto" w:fill="CDDEE7"/>
          </w:tcPr>
          <w:p>
            <w:pPr>
              <w:jc w:val="right"/>
              <w:ind w:right="34"/>
              <w:spacing w:after="0"/>
              <w:rPr>
                <w:sz w:val="20"/>
                <w:szCs w:val="20"/>
                <w:color w:val="auto"/>
              </w:rPr>
            </w:pPr>
            <w:r>
              <w:rPr>
                <w:rFonts w:ascii="Arial" w:cs="Arial" w:eastAsia="Arial" w:hAnsi="Arial"/>
                <w:sz w:val="17"/>
                <w:szCs w:val="17"/>
                <w:b w:val="1"/>
                <w:bCs w:val="1"/>
                <w:color w:val="auto"/>
              </w:rPr>
              <w:t>8,638</w:t>
            </w:r>
          </w:p>
        </w:tc>
        <w:tc>
          <w:tcPr>
            <w:tcW w:w="200" w:type="dxa"/>
            <w:vAlign w:val="bottom"/>
          </w:tcPr>
          <w:p>
            <w:pPr>
              <w:spacing w:after="0"/>
              <w:rPr>
                <w:sz w:val="16"/>
                <w:szCs w:val="16"/>
                <w:color w:val="auto"/>
              </w:rPr>
            </w:pPr>
          </w:p>
        </w:tc>
        <w:tc>
          <w:tcPr>
            <w:tcW w:w="220" w:type="dxa"/>
            <w:vAlign w:val="bottom"/>
            <w:shd w:val="clear" w:color="auto" w:fill="E0EBED"/>
          </w:tcPr>
          <w:p>
            <w:pPr>
              <w:spacing w:after="0"/>
              <w:rPr>
                <w:sz w:val="16"/>
                <w:szCs w:val="16"/>
                <w:color w:val="auto"/>
              </w:rPr>
            </w:pPr>
          </w:p>
        </w:tc>
        <w:tc>
          <w:tcPr>
            <w:tcW w:w="980" w:type="dxa"/>
            <w:vAlign w:val="bottom"/>
            <w:shd w:val="clear" w:color="auto" w:fill="E0EBED"/>
          </w:tcPr>
          <w:p>
            <w:pPr>
              <w:jc w:val="right"/>
              <w:ind w:right="34"/>
              <w:spacing w:after="0"/>
              <w:rPr>
                <w:sz w:val="20"/>
                <w:szCs w:val="20"/>
                <w:color w:val="auto"/>
              </w:rPr>
            </w:pPr>
            <w:r>
              <w:rPr>
                <w:rFonts w:ascii="Arial" w:cs="Arial" w:eastAsia="Arial" w:hAnsi="Arial"/>
                <w:sz w:val="17"/>
                <w:szCs w:val="17"/>
                <w:color w:val="auto"/>
              </w:rPr>
              <w:t>909</w:t>
            </w:r>
          </w:p>
        </w:tc>
        <w:tc>
          <w:tcPr>
            <w:tcW w:w="200" w:type="dxa"/>
            <w:vAlign w:val="bottom"/>
          </w:tcPr>
          <w:p>
            <w:pPr>
              <w:spacing w:after="0"/>
              <w:rPr>
                <w:sz w:val="16"/>
                <w:szCs w:val="16"/>
                <w:color w:val="auto"/>
              </w:rPr>
            </w:pPr>
          </w:p>
        </w:tc>
        <w:tc>
          <w:tcPr>
            <w:tcW w:w="220" w:type="dxa"/>
            <w:vAlign w:val="bottom"/>
            <w:shd w:val="clear" w:color="auto" w:fill="E0EBED"/>
          </w:tcPr>
          <w:p>
            <w:pPr>
              <w:spacing w:after="0"/>
              <w:rPr>
                <w:sz w:val="16"/>
                <w:szCs w:val="16"/>
                <w:color w:val="auto"/>
              </w:rPr>
            </w:pPr>
          </w:p>
        </w:tc>
        <w:tc>
          <w:tcPr>
            <w:tcW w:w="820" w:type="dxa"/>
            <w:vAlign w:val="bottom"/>
            <w:shd w:val="clear" w:color="auto" w:fill="E0EBED"/>
          </w:tcPr>
          <w:p>
            <w:pPr>
              <w:jc w:val="right"/>
              <w:spacing w:after="0"/>
              <w:rPr>
                <w:sz w:val="20"/>
                <w:szCs w:val="20"/>
                <w:color w:val="auto"/>
              </w:rPr>
            </w:pPr>
            <w:r>
              <w:rPr>
                <w:rFonts w:ascii="Arial" w:cs="Arial" w:eastAsia="Arial" w:hAnsi="Arial"/>
                <w:sz w:val="17"/>
                <w:szCs w:val="17"/>
                <w:color w:val="auto"/>
              </w:rPr>
              <w:t>6,346</w:t>
            </w:r>
          </w:p>
        </w:tc>
      </w:tr>
      <w:tr>
        <w:trPr>
          <w:trHeight w:val="217"/>
        </w:trPr>
        <w:tc>
          <w:tcPr>
            <w:tcW w:w="75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Other operating expenses and (income), net</w:t>
            </w:r>
          </w:p>
        </w:tc>
        <w:tc>
          <w:tcPr>
            <w:tcW w:w="220" w:type="dxa"/>
            <w:vAlign w:val="bottom"/>
            <w:tcBorders>
              <w:bottom w:val="single" w:sz="8" w:color="auto"/>
            </w:tcBorders>
            <w:shd w:val="clear" w:color="auto" w:fill="CDDEE7"/>
          </w:tcPr>
          <w:p>
            <w:pPr>
              <w:spacing w:after="0"/>
              <w:rPr>
                <w:sz w:val="18"/>
                <w:szCs w:val="18"/>
                <w:color w:val="auto"/>
              </w:rPr>
            </w:pPr>
          </w:p>
        </w:tc>
        <w:tc>
          <w:tcPr>
            <w:tcW w:w="980" w:type="dxa"/>
            <w:vAlign w:val="bottom"/>
            <w:tcBorders>
              <w:bottom w:val="single" w:sz="8" w:color="auto"/>
            </w:tcBorders>
            <w:shd w:val="clear" w:color="auto" w:fill="CDDEE7"/>
          </w:tcPr>
          <w:p>
            <w:pPr>
              <w:jc w:val="right"/>
              <w:ind w:right="34"/>
              <w:spacing w:after="0"/>
              <w:rPr>
                <w:sz w:val="20"/>
                <w:szCs w:val="20"/>
                <w:color w:val="auto"/>
              </w:rPr>
            </w:pPr>
            <w:r>
              <w:rPr>
                <w:rFonts w:ascii="Arial" w:cs="Arial" w:eastAsia="Arial" w:hAnsi="Arial"/>
                <w:sz w:val="17"/>
                <w:szCs w:val="17"/>
                <w:b w:val="1"/>
                <w:bCs w:val="1"/>
                <w:color w:val="auto"/>
              </w:rPr>
              <w:t>793</w:t>
            </w: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shd w:val="clear" w:color="auto" w:fill="E0EBED"/>
          </w:tcPr>
          <w:p>
            <w:pPr>
              <w:spacing w:after="0"/>
              <w:rPr>
                <w:sz w:val="18"/>
                <w:szCs w:val="18"/>
                <w:color w:val="auto"/>
              </w:rPr>
            </w:pPr>
          </w:p>
        </w:tc>
        <w:tc>
          <w:tcPr>
            <w:tcW w:w="980" w:type="dxa"/>
            <w:vAlign w:val="bottom"/>
            <w:tcBorders>
              <w:bottom w:val="single" w:sz="8" w:color="auto"/>
            </w:tcBorders>
            <w:shd w:val="clear" w:color="auto" w:fill="E0EBED"/>
          </w:tcPr>
          <w:p>
            <w:pPr>
              <w:jc w:val="right"/>
              <w:ind w:right="34"/>
              <w:spacing w:after="0"/>
              <w:rPr>
                <w:sz w:val="20"/>
                <w:szCs w:val="20"/>
                <w:color w:val="auto"/>
              </w:rPr>
            </w:pPr>
            <w:r>
              <w:rPr>
                <w:rFonts w:ascii="Arial" w:cs="Arial" w:eastAsia="Arial" w:hAnsi="Arial"/>
                <w:sz w:val="17"/>
                <w:szCs w:val="17"/>
                <w:color w:val="auto"/>
              </w:rPr>
              <w:t>(8,043)</w:t>
            </w: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shd w:val="clear" w:color="auto" w:fill="E0EBED"/>
          </w:tcPr>
          <w:p>
            <w:pPr>
              <w:spacing w:after="0"/>
              <w:rPr>
                <w:sz w:val="18"/>
                <w:szCs w:val="18"/>
                <w:color w:val="auto"/>
              </w:rPr>
            </w:pPr>
          </w:p>
        </w:tc>
        <w:tc>
          <w:tcPr>
            <w:tcW w:w="820" w:type="dxa"/>
            <w:vAlign w:val="bottom"/>
            <w:tcBorders>
              <w:bottom w:val="single" w:sz="8" w:color="auto"/>
            </w:tcBorders>
            <w:shd w:val="clear" w:color="auto" w:fill="E0EBED"/>
          </w:tcPr>
          <w:p>
            <w:pPr>
              <w:jc w:val="right"/>
              <w:spacing w:after="0"/>
              <w:rPr>
                <w:sz w:val="20"/>
                <w:szCs w:val="20"/>
                <w:color w:val="auto"/>
              </w:rPr>
            </w:pPr>
            <w:r>
              <w:rPr>
                <w:rFonts w:ascii="Arial" w:cs="Arial" w:eastAsia="Arial" w:hAnsi="Arial"/>
                <w:sz w:val="17"/>
                <w:szCs w:val="17"/>
                <w:color w:val="auto"/>
              </w:rPr>
              <w:t>15,653</w:t>
            </w:r>
          </w:p>
        </w:tc>
      </w:tr>
      <w:tr>
        <w:trPr>
          <w:trHeight w:val="178"/>
        </w:trPr>
        <w:tc>
          <w:tcPr>
            <w:tcW w:w="7580" w:type="dxa"/>
            <w:vAlign w:val="bottom"/>
            <w:gridSpan w:val="2"/>
          </w:tcPr>
          <w:p>
            <w:pPr>
              <w:spacing w:after="0" w:line="178" w:lineRule="exact"/>
              <w:rPr>
                <w:sz w:val="20"/>
                <w:szCs w:val="20"/>
                <w:color w:val="auto"/>
              </w:rPr>
            </w:pPr>
            <w:r>
              <w:rPr>
                <w:rFonts w:ascii="Arial" w:cs="Arial" w:eastAsia="Arial" w:hAnsi="Arial"/>
                <w:sz w:val="18"/>
                <w:szCs w:val="18"/>
                <w:b w:val="1"/>
                <w:bCs w:val="1"/>
                <w:color w:val="auto"/>
              </w:rPr>
              <w:t>Earnings from Operations</w:t>
            </w:r>
          </w:p>
        </w:tc>
        <w:tc>
          <w:tcPr>
            <w:tcW w:w="220" w:type="dxa"/>
            <w:vAlign w:val="bottom"/>
            <w:shd w:val="clear" w:color="auto" w:fill="CDDEE7"/>
          </w:tcPr>
          <w:p>
            <w:pPr>
              <w:spacing w:after="0"/>
              <w:rPr>
                <w:sz w:val="15"/>
                <w:szCs w:val="15"/>
                <w:color w:val="auto"/>
              </w:rPr>
            </w:pPr>
          </w:p>
        </w:tc>
        <w:tc>
          <w:tcPr>
            <w:tcW w:w="980" w:type="dxa"/>
            <w:vAlign w:val="bottom"/>
            <w:shd w:val="clear" w:color="auto" w:fill="CDDEE7"/>
          </w:tcPr>
          <w:p>
            <w:pPr>
              <w:jc w:val="right"/>
              <w:ind w:right="34"/>
              <w:spacing w:after="0" w:line="178" w:lineRule="exact"/>
              <w:rPr>
                <w:sz w:val="20"/>
                <w:szCs w:val="20"/>
                <w:color w:val="auto"/>
              </w:rPr>
            </w:pPr>
            <w:r>
              <w:rPr>
                <w:rFonts w:ascii="Arial" w:cs="Arial" w:eastAsia="Arial" w:hAnsi="Arial"/>
                <w:sz w:val="17"/>
                <w:szCs w:val="17"/>
                <w:b w:val="1"/>
                <w:bCs w:val="1"/>
                <w:color w:val="auto"/>
              </w:rPr>
              <w:t>700,381</w:t>
            </w:r>
          </w:p>
        </w:tc>
        <w:tc>
          <w:tcPr>
            <w:tcW w:w="200" w:type="dxa"/>
            <w:vAlign w:val="bottom"/>
          </w:tcPr>
          <w:p>
            <w:pPr>
              <w:spacing w:after="0"/>
              <w:rPr>
                <w:sz w:val="15"/>
                <w:szCs w:val="15"/>
                <w:color w:val="auto"/>
              </w:rPr>
            </w:pPr>
          </w:p>
        </w:tc>
        <w:tc>
          <w:tcPr>
            <w:tcW w:w="220" w:type="dxa"/>
            <w:vAlign w:val="bottom"/>
            <w:shd w:val="clear" w:color="auto" w:fill="E0EBED"/>
          </w:tcPr>
          <w:p>
            <w:pPr>
              <w:spacing w:after="0"/>
              <w:rPr>
                <w:sz w:val="15"/>
                <w:szCs w:val="15"/>
                <w:color w:val="auto"/>
              </w:rPr>
            </w:pPr>
          </w:p>
        </w:tc>
        <w:tc>
          <w:tcPr>
            <w:tcW w:w="980" w:type="dxa"/>
            <w:vAlign w:val="bottom"/>
            <w:shd w:val="clear" w:color="auto" w:fill="E0EBED"/>
          </w:tcPr>
          <w:p>
            <w:pPr>
              <w:jc w:val="right"/>
              <w:ind w:right="34"/>
              <w:spacing w:after="0" w:line="178" w:lineRule="exact"/>
              <w:rPr>
                <w:sz w:val="20"/>
                <w:szCs w:val="20"/>
                <w:color w:val="auto"/>
              </w:rPr>
            </w:pPr>
            <w:r>
              <w:rPr>
                <w:rFonts w:ascii="Arial" w:cs="Arial" w:eastAsia="Arial" w:hAnsi="Arial"/>
                <w:sz w:val="17"/>
                <w:szCs w:val="17"/>
                <w:color w:val="auto"/>
              </w:rPr>
              <w:t>677,266</w:t>
            </w:r>
          </w:p>
        </w:tc>
        <w:tc>
          <w:tcPr>
            <w:tcW w:w="200" w:type="dxa"/>
            <w:vAlign w:val="bottom"/>
          </w:tcPr>
          <w:p>
            <w:pPr>
              <w:spacing w:after="0"/>
              <w:rPr>
                <w:sz w:val="15"/>
                <w:szCs w:val="15"/>
                <w:color w:val="auto"/>
              </w:rPr>
            </w:pPr>
          </w:p>
        </w:tc>
        <w:tc>
          <w:tcPr>
            <w:tcW w:w="220" w:type="dxa"/>
            <w:vAlign w:val="bottom"/>
            <w:shd w:val="clear" w:color="auto" w:fill="E0EBED"/>
          </w:tcPr>
          <w:p>
            <w:pPr>
              <w:spacing w:after="0"/>
              <w:rPr>
                <w:sz w:val="15"/>
                <w:szCs w:val="15"/>
                <w:color w:val="auto"/>
              </w:rPr>
            </w:pPr>
          </w:p>
        </w:tc>
        <w:tc>
          <w:tcPr>
            <w:tcW w:w="820" w:type="dxa"/>
            <w:vAlign w:val="bottom"/>
            <w:shd w:val="clear" w:color="auto" w:fill="E0EBED"/>
          </w:tcPr>
          <w:p>
            <w:pPr>
              <w:jc w:val="right"/>
              <w:spacing w:after="0" w:line="178" w:lineRule="exact"/>
              <w:rPr>
                <w:sz w:val="20"/>
                <w:szCs w:val="20"/>
                <w:color w:val="auto"/>
              </w:rPr>
            </w:pPr>
            <w:r>
              <w:rPr>
                <w:rFonts w:ascii="Arial" w:cs="Arial" w:eastAsia="Arial" w:hAnsi="Arial"/>
                <w:sz w:val="17"/>
                <w:szCs w:val="17"/>
                <w:color w:val="auto"/>
              </w:rPr>
              <w:t>494,167</w:t>
            </w:r>
          </w:p>
        </w:tc>
      </w:tr>
      <w:tr>
        <w:trPr>
          <w:trHeight w:val="195"/>
        </w:trPr>
        <w:tc>
          <w:tcPr>
            <w:tcW w:w="7580" w:type="dxa"/>
            <w:vAlign w:val="bottom"/>
            <w:gridSpan w:val="2"/>
          </w:tcPr>
          <w:p>
            <w:pPr>
              <w:spacing w:after="0"/>
              <w:rPr>
                <w:sz w:val="20"/>
                <w:szCs w:val="20"/>
                <w:color w:val="auto"/>
              </w:rPr>
            </w:pPr>
            <w:r>
              <w:rPr>
                <w:rFonts w:ascii="Arial" w:cs="Arial" w:eastAsia="Arial" w:hAnsi="Arial"/>
                <w:sz w:val="17"/>
                <w:szCs w:val="17"/>
                <w:color w:val="auto"/>
              </w:rPr>
              <w:t>Interest expense</w:t>
            </w:r>
          </w:p>
        </w:tc>
        <w:tc>
          <w:tcPr>
            <w:tcW w:w="220" w:type="dxa"/>
            <w:vAlign w:val="bottom"/>
            <w:shd w:val="clear" w:color="auto" w:fill="CDDEE7"/>
          </w:tcPr>
          <w:p>
            <w:pPr>
              <w:spacing w:after="0"/>
              <w:rPr>
                <w:sz w:val="16"/>
                <w:szCs w:val="16"/>
                <w:color w:val="auto"/>
              </w:rPr>
            </w:pPr>
          </w:p>
        </w:tc>
        <w:tc>
          <w:tcPr>
            <w:tcW w:w="980" w:type="dxa"/>
            <w:vAlign w:val="bottom"/>
            <w:shd w:val="clear" w:color="auto" w:fill="CDDEE7"/>
          </w:tcPr>
          <w:p>
            <w:pPr>
              <w:jc w:val="right"/>
              <w:ind w:right="34"/>
              <w:spacing w:after="0"/>
              <w:rPr>
                <w:sz w:val="20"/>
                <w:szCs w:val="20"/>
                <w:color w:val="auto"/>
              </w:rPr>
            </w:pPr>
            <w:r>
              <w:rPr>
                <w:rFonts w:ascii="Arial" w:cs="Arial" w:eastAsia="Arial" w:hAnsi="Arial"/>
                <w:sz w:val="17"/>
                <w:szCs w:val="17"/>
                <w:b w:val="1"/>
                <w:bCs w:val="1"/>
                <w:color w:val="auto"/>
              </w:rPr>
              <w:t>91,487</w:t>
            </w:r>
          </w:p>
        </w:tc>
        <w:tc>
          <w:tcPr>
            <w:tcW w:w="200" w:type="dxa"/>
            <w:vAlign w:val="bottom"/>
          </w:tcPr>
          <w:p>
            <w:pPr>
              <w:spacing w:after="0"/>
              <w:rPr>
                <w:sz w:val="16"/>
                <w:szCs w:val="16"/>
                <w:color w:val="auto"/>
              </w:rPr>
            </w:pPr>
          </w:p>
        </w:tc>
        <w:tc>
          <w:tcPr>
            <w:tcW w:w="220" w:type="dxa"/>
            <w:vAlign w:val="bottom"/>
            <w:shd w:val="clear" w:color="auto" w:fill="E0EBED"/>
          </w:tcPr>
          <w:p>
            <w:pPr>
              <w:spacing w:after="0"/>
              <w:rPr>
                <w:sz w:val="16"/>
                <w:szCs w:val="16"/>
                <w:color w:val="auto"/>
              </w:rPr>
            </w:pPr>
          </w:p>
        </w:tc>
        <w:tc>
          <w:tcPr>
            <w:tcW w:w="980" w:type="dxa"/>
            <w:vAlign w:val="bottom"/>
            <w:shd w:val="clear" w:color="auto" w:fill="E0EBED"/>
          </w:tcPr>
          <w:p>
            <w:pPr>
              <w:jc w:val="right"/>
              <w:ind w:right="34"/>
              <w:spacing w:after="0"/>
              <w:rPr>
                <w:sz w:val="20"/>
                <w:szCs w:val="20"/>
                <w:color w:val="auto"/>
              </w:rPr>
            </w:pPr>
            <w:r>
              <w:rPr>
                <w:rFonts w:ascii="Arial" w:cs="Arial" w:eastAsia="Arial" w:hAnsi="Arial"/>
                <w:sz w:val="17"/>
                <w:szCs w:val="17"/>
                <w:color w:val="auto"/>
              </w:rPr>
              <w:t>81,677</w:t>
            </w:r>
          </w:p>
        </w:tc>
        <w:tc>
          <w:tcPr>
            <w:tcW w:w="200" w:type="dxa"/>
            <w:vAlign w:val="bottom"/>
          </w:tcPr>
          <w:p>
            <w:pPr>
              <w:spacing w:after="0"/>
              <w:rPr>
                <w:sz w:val="16"/>
                <w:szCs w:val="16"/>
                <w:color w:val="auto"/>
              </w:rPr>
            </w:pPr>
          </w:p>
        </w:tc>
        <w:tc>
          <w:tcPr>
            <w:tcW w:w="220" w:type="dxa"/>
            <w:vAlign w:val="bottom"/>
            <w:shd w:val="clear" w:color="auto" w:fill="E0EBED"/>
          </w:tcPr>
          <w:p>
            <w:pPr>
              <w:spacing w:after="0"/>
              <w:rPr>
                <w:sz w:val="16"/>
                <w:szCs w:val="16"/>
                <w:color w:val="auto"/>
              </w:rPr>
            </w:pPr>
          </w:p>
        </w:tc>
        <w:tc>
          <w:tcPr>
            <w:tcW w:w="820" w:type="dxa"/>
            <w:vAlign w:val="bottom"/>
            <w:shd w:val="clear" w:color="auto" w:fill="E0EBED"/>
          </w:tcPr>
          <w:p>
            <w:pPr>
              <w:jc w:val="right"/>
              <w:spacing w:after="0"/>
              <w:rPr>
                <w:sz w:val="20"/>
                <w:szCs w:val="20"/>
                <w:color w:val="auto"/>
              </w:rPr>
            </w:pPr>
            <w:r>
              <w:rPr>
                <w:rFonts w:ascii="Arial" w:cs="Arial" w:eastAsia="Arial" w:hAnsi="Arial"/>
                <w:sz w:val="17"/>
                <w:szCs w:val="17"/>
                <w:color w:val="auto"/>
              </w:rPr>
              <w:t>76,287</w:t>
            </w:r>
          </w:p>
        </w:tc>
      </w:tr>
      <w:tr>
        <w:trPr>
          <w:trHeight w:val="217"/>
        </w:trPr>
        <w:tc>
          <w:tcPr>
            <w:tcW w:w="75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Other nonoperating (income) and expenses, net</w:t>
            </w:r>
          </w:p>
        </w:tc>
        <w:tc>
          <w:tcPr>
            <w:tcW w:w="220" w:type="dxa"/>
            <w:vAlign w:val="bottom"/>
            <w:tcBorders>
              <w:bottom w:val="single" w:sz="8" w:color="auto"/>
            </w:tcBorders>
            <w:shd w:val="clear" w:color="auto" w:fill="CDDEE7"/>
          </w:tcPr>
          <w:p>
            <w:pPr>
              <w:spacing w:after="0"/>
              <w:rPr>
                <w:sz w:val="18"/>
                <w:szCs w:val="18"/>
                <w:color w:val="auto"/>
              </w:rPr>
            </w:pPr>
          </w:p>
        </w:tc>
        <w:tc>
          <w:tcPr>
            <w:tcW w:w="980" w:type="dxa"/>
            <w:vAlign w:val="bottom"/>
            <w:tcBorders>
              <w:bottom w:val="single" w:sz="8" w:color="auto"/>
            </w:tcBorders>
            <w:shd w:val="clear" w:color="auto" w:fill="CDDEE7"/>
          </w:tcPr>
          <w:p>
            <w:pPr>
              <w:jc w:val="right"/>
              <w:ind w:right="34"/>
              <w:spacing w:after="0"/>
              <w:rPr>
                <w:sz w:val="20"/>
                <w:szCs w:val="20"/>
                <w:color w:val="auto"/>
              </w:rPr>
            </w:pPr>
            <w:r>
              <w:rPr>
                <w:rFonts w:ascii="Arial" w:cs="Arial" w:eastAsia="Arial" w:hAnsi="Arial"/>
                <w:sz w:val="17"/>
                <w:szCs w:val="17"/>
                <w:b w:val="1"/>
                <w:bCs w:val="1"/>
                <w:color w:val="auto"/>
              </w:rPr>
              <w:t>(10,034)</w:t>
            </w: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shd w:val="clear" w:color="auto" w:fill="E0EBED"/>
          </w:tcPr>
          <w:p>
            <w:pPr>
              <w:spacing w:after="0"/>
              <w:rPr>
                <w:sz w:val="18"/>
                <w:szCs w:val="18"/>
                <w:color w:val="auto"/>
              </w:rPr>
            </w:pPr>
          </w:p>
        </w:tc>
        <w:tc>
          <w:tcPr>
            <w:tcW w:w="980" w:type="dxa"/>
            <w:vAlign w:val="bottom"/>
            <w:tcBorders>
              <w:bottom w:val="single" w:sz="8" w:color="auto"/>
            </w:tcBorders>
            <w:shd w:val="clear" w:color="auto" w:fill="E0EBED"/>
          </w:tcPr>
          <w:p>
            <w:pPr>
              <w:jc w:val="right"/>
              <w:ind w:right="34"/>
              <w:spacing w:after="0"/>
              <w:rPr>
                <w:sz w:val="20"/>
                <w:szCs w:val="20"/>
                <w:color w:val="auto"/>
              </w:rPr>
            </w:pPr>
            <w:r>
              <w:rPr>
                <w:rFonts w:ascii="Arial" w:cs="Arial" w:eastAsia="Arial" w:hAnsi="Arial"/>
                <w:sz w:val="17"/>
                <w:szCs w:val="17"/>
                <w:color w:val="auto"/>
              </w:rPr>
              <w:t>(11,439)</w:t>
            </w: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shd w:val="clear" w:color="auto" w:fill="E0EBED"/>
          </w:tcPr>
          <w:p>
            <w:pPr>
              <w:spacing w:after="0"/>
              <w:rPr>
                <w:sz w:val="18"/>
                <w:szCs w:val="18"/>
                <w:color w:val="auto"/>
              </w:rPr>
            </w:pPr>
          </w:p>
        </w:tc>
        <w:tc>
          <w:tcPr>
            <w:tcW w:w="820" w:type="dxa"/>
            <w:vAlign w:val="bottom"/>
            <w:tcBorders>
              <w:bottom w:val="single" w:sz="8" w:color="auto"/>
            </w:tcBorders>
            <w:shd w:val="clear" w:color="auto" w:fill="E0EBED"/>
          </w:tcPr>
          <w:p>
            <w:pPr>
              <w:jc w:val="right"/>
              <w:spacing w:after="0"/>
              <w:rPr>
                <w:sz w:val="20"/>
                <w:szCs w:val="20"/>
                <w:color w:val="auto"/>
              </w:rPr>
            </w:pPr>
            <w:r>
              <w:rPr>
                <w:rFonts w:ascii="Arial" w:cs="Arial" w:eastAsia="Arial" w:hAnsi="Arial"/>
                <w:sz w:val="17"/>
                <w:szCs w:val="17"/>
                <w:color w:val="auto"/>
              </w:rPr>
              <w:t>4,079</w:t>
            </w:r>
          </w:p>
        </w:tc>
      </w:tr>
      <w:tr>
        <w:trPr>
          <w:trHeight w:val="165"/>
        </w:trPr>
        <w:tc>
          <w:tcPr>
            <w:tcW w:w="7580" w:type="dxa"/>
            <w:vAlign w:val="bottom"/>
            <w:gridSpan w:val="2"/>
          </w:tcPr>
          <w:p>
            <w:pPr>
              <w:spacing w:after="0" w:line="165" w:lineRule="exact"/>
              <w:rPr>
                <w:sz w:val="20"/>
                <w:szCs w:val="20"/>
                <w:color w:val="auto"/>
              </w:rPr>
            </w:pPr>
            <w:r>
              <w:rPr>
                <w:rFonts w:ascii="Arial" w:cs="Arial" w:eastAsia="Arial" w:hAnsi="Arial"/>
                <w:sz w:val="17"/>
                <w:szCs w:val="17"/>
                <w:color w:val="auto"/>
              </w:rPr>
              <w:t>Earnings before income tax (benefit) expense</w:t>
            </w:r>
          </w:p>
        </w:tc>
        <w:tc>
          <w:tcPr>
            <w:tcW w:w="220" w:type="dxa"/>
            <w:vAlign w:val="bottom"/>
            <w:shd w:val="clear" w:color="auto" w:fill="CDDEE7"/>
          </w:tcPr>
          <w:p>
            <w:pPr>
              <w:spacing w:after="0"/>
              <w:rPr>
                <w:sz w:val="14"/>
                <w:szCs w:val="14"/>
                <w:color w:val="auto"/>
              </w:rPr>
            </w:pPr>
          </w:p>
        </w:tc>
        <w:tc>
          <w:tcPr>
            <w:tcW w:w="980" w:type="dxa"/>
            <w:vAlign w:val="bottom"/>
            <w:shd w:val="clear" w:color="auto" w:fill="CDDEE7"/>
          </w:tcPr>
          <w:p>
            <w:pPr>
              <w:jc w:val="right"/>
              <w:ind w:right="34"/>
              <w:spacing w:after="0" w:line="165" w:lineRule="exact"/>
              <w:rPr>
                <w:sz w:val="20"/>
                <w:szCs w:val="20"/>
                <w:color w:val="auto"/>
              </w:rPr>
            </w:pPr>
            <w:r>
              <w:rPr>
                <w:rFonts w:ascii="Arial" w:cs="Arial" w:eastAsia="Arial" w:hAnsi="Arial"/>
                <w:sz w:val="17"/>
                <w:szCs w:val="17"/>
                <w:b w:val="1"/>
                <w:bCs w:val="1"/>
                <w:color w:val="auto"/>
              </w:rPr>
              <w:t>618,928</w:t>
            </w:r>
          </w:p>
        </w:tc>
        <w:tc>
          <w:tcPr>
            <w:tcW w:w="200" w:type="dxa"/>
            <w:vAlign w:val="bottom"/>
          </w:tcPr>
          <w:p>
            <w:pPr>
              <w:spacing w:after="0"/>
              <w:rPr>
                <w:sz w:val="14"/>
                <w:szCs w:val="14"/>
                <w:color w:val="auto"/>
              </w:rPr>
            </w:pPr>
          </w:p>
        </w:tc>
        <w:tc>
          <w:tcPr>
            <w:tcW w:w="220" w:type="dxa"/>
            <w:vAlign w:val="bottom"/>
            <w:shd w:val="clear" w:color="auto" w:fill="E0EBED"/>
          </w:tcPr>
          <w:p>
            <w:pPr>
              <w:spacing w:after="0"/>
              <w:rPr>
                <w:sz w:val="14"/>
                <w:szCs w:val="14"/>
                <w:color w:val="auto"/>
              </w:rPr>
            </w:pPr>
          </w:p>
        </w:tc>
        <w:tc>
          <w:tcPr>
            <w:tcW w:w="980" w:type="dxa"/>
            <w:vAlign w:val="bottom"/>
            <w:shd w:val="clear" w:color="auto" w:fill="E0EBED"/>
          </w:tcPr>
          <w:p>
            <w:pPr>
              <w:jc w:val="right"/>
              <w:ind w:right="34"/>
              <w:spacing w:after="0" w:line="165" w:lineRule="exact"/>
              <w:rPr>
                <w:sz w:val="20"/>
                <w:szCs w:val="20"/>
                <w:color w:val="auto"/>
              </w:rPr>
            </w:pPr>
            <w:r>
              <w:rPr>
                <w:rFonts w:ascii="Arial" w:cs="Arial" w:eastAsia="Arial" w:hAnsi="Arial"/>
                <w:sz w:val="17"/>
                <w:szCs w:val="17"/>
                <w:color w:val="auto"/>
              </w:rPr>
              <w:t>607,028</w:t>
            </w:r>
          </w:p>
        </w:tc>
        <w:tc>
          <w:tcPr>
            <w:tcW w:w="200" w:type="dxa"/>
            <w:vAlign w:val="bottom"/>
          </w:tcPr>
          <w:p>
            <w:pPr>
              <w:spacing w:after="0"/>
              <w:rPr>
                <w:sz w:val="14"/>
                <w:szCs w:val="14"/>
                <w:color w:val="auto"/>
              </w:rPr>
            </w:pPr>
          </w:p>
        </w:tc>
        <w:tc>
          <w:tcPr>
            <w:tcW w:w="220" w:type="dxa"/>
            <w:vAlign w:val="bottom"/>
            <w:shd w:val="clear" w:color="auto" w:fill="E0EBED"/>
          </w:tcPr>
          <w:p>
            <w:pPr>
              <w:spacing w:after="0"/>
              <w:rPr>
                <w:sz w:val="14"/>
                <w:szCs w:val="14"/>
                <w:color w:val="auto"/>
              </w:rPr>
            </w:pPr>
          </w:p>
        </w:tc>
        <w:tc>
          <w:tcPr>
            <w:tcW w:w="820" w:type="dxa"/>
            <w:vAlign w:val="bottom"/>
            <w:shd w:val="clear" w:color="auto" w:fill="E0EBED"/>
          </w:tcPr>
          <w:p>
            <w:pPr>
              <w:jc w:val="right"/>
              <w:spacing w:after="0" w:line="165" w:lineRule="exact"/>
              <w:rPr>
                <w:sz w:val="20"/>
                <w:szCs w:val="20"/>
                <w:color w:val="auto"/>
              </w:rPr>
            </w:pPr>
            <w:r>
              <w:rPr>
                <w:rFonts w:ascii="Arial" w:cs="Arial" w:eastAsia="Arial" w:hAnsi="Arial"/>
                <w:sz w:val="17"/>
                <w:szCs w:val="17"/>
                <w:color w:val="auto"/>
              </w:rPr>
              <w:t>413,801</w:t>
            </w:r>
          </w:p>
        </w:tc>
      </w:tr>
      <w:tr>
        <w:trPr>
          <w:trHeight w:val="217"/>
        </w:trPr>
        <w:tc>
          <w:tcPr>
            <w:tcW w:w="75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Income tax (benefit) expense</w:t>
            </w:r>
          </w:p>
        </w:tc>
        <w:tc>
          <w:tcPr>
            <w:tcW w:w="220" w:type="dxa"/>
            <w:vAlign w:val="bottom"/>
            <w:tcBorders>
              <w:bottom w:val="single" w:sz="8" w:color="auto"/>
            </w:tcBorders>
            <w:shd w:val="clear" w:color="auto" w:fill="CDDEE7"/>
          </w:tcPr>
          <w:p>
            <w:pPr>
              <w:spacing w:after="0"/>
              <w:rPr>
                <w:sz w:val="18"/>
                <w:szCs w:val="18"/>
                <w:color w:val="auto"/>
              </w:rPr>
            </w:pPr>
          </w:p>
        </w:tc>
        <w:tc>
          <w:tcPr>
            <w:tcW w:w="980" w:type="dxa"/>
            <w:vAlign w:val="bottom"/>
            <w:tcBorders>
              <w:bottom w:val="single" w:sz="8" w:color="auto"/>
            </w:tcBorders>
            <w:shd w:val="clear" w:color="auto" w:fill="CDDEE7"/>
          </w:tcPr>
          <w:p>
            <w:pPr>
              <w:jc w:val="right"/>
              <w:ind w:right="34"/>
              <w:spacing w:after="0"/>
              <w:rPr>
                <w:sz w:val="20"/>
                <w:szCs w:val="20"/>
                <w:color w:val="auto"/>
              </w:rPr>
            </w:pPr>
            <w:r>
              <w:rPr>
                <w:rFonts w:ascii="Arial" w:cs="Arial" w:eastAsia="Arial" w:hAnsi="Arial"/>
                <w:sz w:val="17"/>
                <w:szCs w:val="17"/>
                <w:b w:val="1"/>
                <w:bCs w:val="1"/>
                <w:color w:val="auto"/>
              </w:rPr>
              <w:t>(94,457)</w:t>
            </w: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shd w:val="clear" w:color="auto" w:fill="E0EBED"/>
          </w:tcPr>
          <w:p>
            <w:pPr>
              <w:spacing w:after="0"/>
              <w:rPr>
                <w:sz w:val="18"/>
                <w:szCs w:val="18"/>
                <w:color w:val="auto"/>
              </w:rPr>
            </w:pPr>
          </w:p>
        </w:tc>
        <w:tc>
          <w:tcPr>
            <w:tcW w:w="980" w:type="dxa"/>
            <w:vAlign w:val="bottom"/>
            <w:tcBorders>
              <w:bottom w:val="single" w:sz="8" w:color="auto"/>
            </w:tcBorders>
            <w:shd w:val="clear" w:color="auto" w:fill="E0EBED"/>
          </w:tcPr>
          <w:p>
            <w:pPr>
              <w:jc w:val="right"/>
              <w:ind w:right="34"/>
              <w:spacing w:after="0"/>
              <w:rPr>
                <w:sz w:val="20"/>
                <w:szCs w:val="20"/>
                <w:color w:val="auto"/>
              </w:rPr>
            </w:pPr>
            <w:r>
              <w:rPr>
                <w:rFonts w:ascii="Arial" w:cs="Arial" w:eastAsia="Arial" w:hAnsi="Arial"/>
                <w:sz w:val="17"/>
                <w:szCs w:val="17"/>
                <w:color w:val="auto"/>
              </w:rPr>
              <w:t>181,584</w:t>
            </w: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shd w:val="clear" w:color="auto" w:fill="E0EBED"/>
          </w:tcPr>
          <w:p>
            <w:pPr>
              <w:spacing w:after="0"/>
              <w:rPr>
                <w:sz w:val="18"/>
                <w:szCs w:val="18"/>
                <w:color w:val="auto"/>
              </w:rPr>
            </w:pPr>
          </w:p>
        </w:tc>
        <w:tc>
          <w:tcPr>
            <w:tcW w:w="820" w:type="dxa"/>
            <w:vAlign w:val="bottom"/>
            <w:tcBorders>
              <w:bottom w:val="single" w:sz="8" w:color="auto"/>
            </w:tcBorders>
            <w:shd w:val="clear" w:color="auto" w:fill="E0EBED"/>
          </w:tcPr>
          <w:p>
            <w:pPr>
              <w:jc w:val="right"/>
              <w:spacing w:after="0"/>
              <w:rPr>
                <w:sz w:val="20"/>
                <w:szCs w:val="20"/>
                <w:color w:val="auto"/>
              </w:rPr>
            </w:pPr>
            <w:r>
              <w:rPr>
                <w:rFonts w:ascii="Arial" w:cs="Arial" w:eastAsia="Arial" w:hAnsi="Arial"/>
                <w:sz w:val="17"/>
                <w:szCs w:val="17"/>
                <w:color w:val="auto"/>
              </w:rPr>
              <w:t>124,863</w:t>
            </w:r>
          </w:p>
        </w:tc>
      </w:tr>
      <w:tr>
        <w:trPr>
          <w:trHeight w:val="178"/>
        </w:trPr>
        <w:tc>
          <w:tcPr>
            <w:tcW w:w="7580" w:type="dxa"/>
            <w:vAlign w:val="bottom"/>
            <w:gridSpan w:val="2"/>
          </w:tcPr>
          <w:p>
            <w:pPr>
              <w:spacing w:after="0" w:line="178" w:lineRule="exact"/>
              <w:rPr>
                <w:sz w:val="20"/>
                <w:szCs w:val="20"/>
                <w:color w:val="auto"/>
              </w:rPr>
            </w:pPr>
            <w:r>
              <w:rPr>
                <w:rFonts w:ascii="Arial" w:cs="Arial" w:eastAsia="Arial" w:hAnsi="Arial"/>
                <w:sz w:val="18"/>
                <w:szCs w:val="18"/>
                <w:b w:val="1"/>
                <w:bCs w:val="1"/>
                <w:color w:val="auto"/>
              </w:rPr>
              <w:t>Consolidated net earnings</w:t>
            </w:r>
          </w:p>
        </w:tc>
        <w:tc>
          <w:tcPr>
            <w:tcW w:w="220" w:type="dxa"/>
            <w:vAlign w:val="bottom"/>
            <w:shd w:val="clear" w:color="auto" w:fill="CDDEE7"/>
          </w:tcPr>
          <w:p>
            <w:pPr>
              <w:spacing w:after="0"/>
              <w:rPr>
                <w:sz w:val="15"/>
                <w:szCs w:val="15"/>
                <w:color w:val="auto"/>
              </w:rPr>
            </w:pPr>
          </w:p>
        </w:tc>
        <w:tc>
          <w:tcPr>
            <w:tcW w:w="980" w:type="dxa"/>
            <w:vAlign w:val="bottom"/>
            <w:shd w:val="clear" w:color="auto" w:fill="CDDEE7"/>
          </w:tcPr>
          <w:p>
            <w:pPr>
              <w:jc w:val="right"/>
              <w:ind w:right="34"/>
              <w:spacing w:after="0" w:line="178" w:lineRule="exact"/>
              <w:rPr>
                <w:sz w:val="20"/>
                <w:szCs w:val="20"/>
                <w:color w:val="auto"/>
              </w:rPr>
            </w:pPr>
            <w:r>
              <w:rPr>
                <w:rFonts w:ascii="Arial" w:cs="Arial" w:eastAsia="Arial" w:hAnsi="Arial"/>
                <w:sz w:val="17"/>
                <w:szCs w:val="17"/>
                <w:b w:val="1"/>
                <w:bCs w:val="1"/>
                <w:color w:val="auto"/>
              </w:rPr>
              <w:t>713,385</w:t>
            </w:r>
          </w:p>
        </w:tc>
        <w:tc>
          <w:tcPr>
            <w:tcW w:w="200" w:type="dxa"/>
            <w:vAlign w:val="bottom"/>
          </w:tcPr>
          <w:p>
            <w:pPr>
              <w:spacing w:after="0"/>
              <w:rPr>
                <w:sz w:val="15"/>
                <w:szCs w:val="15"/>
                <w:color w:val="auto"/>
              </w:rPr>
            </w:pPr>
          </w:p>
        </w:tc>
        <w:tc>
          <w:tcPr>
            <w:tcW w:w="220" w:type="dxa"/>
            <w:vAlign w:val="bottom"/>
            <w:shd w:val="clear" w:color="auto" w:fill="E0EBED"/>
          </w:tcPr>
          <w:p>
            <w:pPr>
              <w:spacing w:after="0"/>
              <w:rPr>
                <w:sz w:val="15"/>
                <w:szCs w:val="15"/>
                <w:color w:val="auto"/>
              </w:rPr>
            </w:pPr>
          </w:p>
        </w:tc>
        <w:tc>
          <w:tcPr>
            <w:tcW w:w="980" w:type="dxa"/>
            <w:vAlign w:val="bottom"/>
            <w:shd w:val="clear" w:color="auto" w:fill="E0EBED"/>
          </w:tcPr>
          <w:p>
            <w:pPr>
              <w:jc w:val="right"/>
              <w:ind w:right="34"/>
              <w:spacing w:after="0" w:line="178" w:lineRule="exact"/>
              <w:rPr>
                <w:sz w:val="20"/>
                <w:szCs w:val="20"/>
                <w:color w:val="auto"/>
              </w:rPr>
            </w:pPr>
            <w:r>
              <w:rPr>
                <w:rFonts w:ascii="Arial" w:cs="Arial" w:eastAsia="Arial" w:hAnsi="Arial"/>
                <w:sz w:val="17"/>
                <w:szCs w:val="17"/>
                <w:color w:val="auto"/>
              </w:rPr>
              <w:t>425,444</w:t>
            </w:r>
          </w:p>
        </w:tc>
        <w:tc>
          <w:tcPr>
            <w:tcW w:w="200" w:type="dxa"/>
            <w:vAlign w:val="bottom"/>
          </w:tcPr>
          <w:p>
            <w:pPr>
              <w:spacing w:after="0"/>
              <w:rPr>
                <w:sz w:val="15"/>
                <w:szCs w:val="15"/>
                <w:color w:val="auto"/>
              </w:rPr>
            </w:pPr>
          </w:p>
        </w:tc>
        <w:tc>
          <w:tcPr>
            <w:tcW w:w="220" w:type="dxa"/>
            <w:vAlign w:val="bottom"/>
            <w:shd w:val="clear" w:color="auto" w:fill="E0EBED"/>
          </w:tcPr>
          <w:p>
            <w:pPr>
              <w:spacing w:after="0"/>
              <w:rPr>
                <w:sz w:val="15"/>
                <w:szCs w:val="15"/>
                <w:color w:val="auto"/>
              </w:rPr>
            </w:pPr>
          </w:p>
        </w:tc>
        <w:tc>
          <w:tcPr>
            <w:tcW w:w="820" w:type="dxa"/>
            <w:vAlign w:val="bottom"/>
            <w:shd w:val="clear" w:color="auto" w:fill="E0EBED"/>
          </w:tcPr>
          <w:p>
            <w:pPr>
              <w:jc w:val="right"/>
              <w:spacing w:after="0" w:line="178" w:lineRule="exact"/>
              <w:rPr>
                <w:sz w:val="20"/>
                <w:szCs w:val="20"/>
                <w:color w:val="auto"/>
              </w:rPr>
            </w:pPr>
            <w:r>
              <w:rPr>
                <w:rFonts w:ascii="Arial" w:cs="Arial" w:eastAsia="Arial" w:hAnsi="Arial"/>
                <w:sz w:val="17"/>
                <w:szCs w:val="17"/>
                <w:color w:val="auto"/>
              </w:rPr>
              <w:t>288,938</w:t>
            </w:r>
          </w:p>
        </w:tc>
      </w:tr>
      <w:tr>
        <w:trPr>
          <w:trHeight w:val="217"/>
        </w:trPr>
        <w:tc>
          <w:tcPr>
            <w:tcW w:w="75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Less: Net earnings attributable to noncontrolling interests</w:t>
            </w:r>
          </w:p>
        </w:tc>
        <w:tc>
          <w:tcPr>
            <w:tcW w:w="220" w:type="dxa"/>
            <w:vAlign w:val="bottom"/>
            <w:tcBorders>
              <w:bottom w:val="single" w:sz="8" w:color="auto"/>
            </w:tcBorders>
            <w:shd w:val="clear" w:color="auto" w:fill="CDDEE7"/>
          </w:tcPr>
          <w:p>
            <w:pPr>
              <w:spacing w:after="0"/>
              <w:rPr>
                <w:sz w:val="18"/>
                <w:szCs w:val="18"/>
                <w:color w:val="auto"/>
              </w:rPr>
            </w:pPr>
          </w:p>
        </w:tc>
        <w:tc>
          <w:tcPr>
            <w:tcW w:w="980" w:type="dxa"/>
            <w:vAlign w:val="bottom"/>
            <w:tcBorders>
              <w:bottom w:val="single" w:sz="8" w:color="auto"/>
            </w:tcBorders>
            <w:shd w:val="clear" w:color="auto" w:fill="CDDEE7"/>
          </w:tcPr>
          <w:p>
            <w:pPr>
              <w:jc w:val="right"/>
              <w:ind w:right="34"/>
              <w:spacing w:after="0"/>
              <w:rPr>
                <w:sz w:val="20"/>
                <w:szCs w:val="20"/>
                <w:color w:val="auto"/>
              </w:rPr>
            </w:pPr>
            <w:r>
              <w:rPr>
                <w:rFonts w:ascii="Arial" w:cs="Arial" w:eastAsia="Arial" w:hAnsi="Arial"/>
                <w:sz w:val="17"/>
                <w:szCs w:val="17"/>
                <w:b w:val="1"/>
                <w:bCs w:val="1"/>
                <w:color w:val="auto"/>
              </w:rPr>
              <w:t>43</w:t>
            </w: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shd w:val="clear" w:color="auto" w:fill="E0EBED"/>
          </w:tcPr>
          <w:p>
            <w:pPr>
              <w:spacing w:after="0"/>
              <w:rPr>
                <w:sz w:val="18"/>
                <w:szCs w:val="18"/>
                <w:color w:val="auto"/>
              </w:rPr>
            </w:pPr>
          </w:p>
        </w:tc>
        <w:tc>
          <w:tcPr>
            <w:tcW w:w="980" w:type="dxa"/>
            <w:vAlign w:val="bottom"/>
            <w:tcBorders>
              <w:bottom w:val="single" w:sz="8" w:color="auto"/>
            </w:tcBorders>
            <w:shd w:val="clear" w:color="auto" w:fill="E0EBED"/>
          </w:tcPr>
          <w:p>
            <w:pPr>
              <w:jc w:val="right"/>
              <w:ind w:right="34"/>
              <w:spacing w:after="0"/>
              <w:rPr>
                <w:sz w:val="20"/>
                <w:szCs w:val="20"/>
                <w:color w:val="auto"/>
              </w:rPr>
            </w:pPr>
            <w:r>
              <w:rPr>
                <w:rFonts w:ascii="Arial" w:cs="Arial" w:eastAsia="Arial" w:hAnsi="Arial"/>
                <w:sz w:val="17"/>
                <w:szCs w:val="17"/>
                <w:color w:val="auto"/>
              </w:rPr>
              <w:t>58</w:t>
            </w: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shd w:val="clear" w:color="auto" w:fill="E0EBED"/>
          </w:tcPr>
          <w:p>
            <w:pPr>
              <w:spacing w:after="0"/>
              <w:rPr>
                <w:sz w:val="18"/>
                <w:szCs w:val="18"/>
                <w:color w:val="auto"/>
              </w:rPr>
            </w:pPr>
          </w:p>
        </w:tc>
        <w:tc>
          <w:tcPr>
            <w:tcW w:w="820" w:type="dxa"/>
            <w:vAlign w:val="bottom"/>
            <w:tcBorders>
              <w:bottom w:val="single" w:sz="8" w:color="auto"/>
            </w:tcBorders>
            <w:shd w:val="clear" w:color="auto" w:fill="E0EBED"/>
          </w:tcPr>
          <w:p>
            <w:pPr>
              <w:jc w:val="right"/>
              <w:spacing w:after="0"/>
              <w:rPr>
                <w:sz w:val="20"/>
                <w:szCs w:val="20"/>
                <w:color w:val="auto"/>
              </w:rPr>
            </w:pPr>
            <w:r>
              <w:rPr>
                <w:rFonts w:ascii="Arial" w:cs="Arial" w:eastAsia="Arial" w:hAnsi="Arial"/>
                <w:sz w:val="17"/>
                <w:szCs w:val="17"/>
                <w:color w:val="auto"/>
              </w:rPr>
              <w:t>146</w:t>
            </w:r>
          </w:p>
        </w:tc>
      </w:tr>
      <w:tr>
        <w:trPr>
          <w:trHeight w:val="201"/>
        </w:trPr>
        <w:tc>
          <w:tcPr>
            <w:tcW w:w="758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Net Earnings Attributable to Martin Marietta</w:t>
            </w:r>
          </w:p>
        </w:tc>
        <w:tc>
          <w:tcPr>
            <w:tcW w:w="220" w:type="dxa"/>
            <w:vAlign w:val="bottom"/>
            <w:shd w:val="clear" w:color="auto" w:fill="CDDEE7"/>
          </w:tcPr>
          <w:p>
            <w:pPr>
              <w:jc w:val="right"/>
              <w:spacing w:after="0"/>
              <w:rPr>
                <w:sz w:val="20"/>
                <w:szCs w:val="20"/>
                <w:color w:val="auto"/>
              </w:rPr>
            </w:pPr>
            <w:r>
              <w:rPr>
                <w:rFonts w:ascii="Arial" w:cs="Arial" w:eastAsia="Arial" w:hAnsi="Arial"/>
                <w:sz w:val="17"/>
                <w:szCs w:val="17"/>
                <w:b w:val="1"/>
                <w:bCs w:val="1"/>
                <w:color w:val="auto"/>
              </w:rPr>
              <w:t>$</w:t>
            </w:r>
          </w:p>
        </w:tc>
        <w:tc>
          <w:tcPr>
            <w:tcW w:w="980" w:type="dxa"/>
            <w:vAlign w:val="bottom"/>
            <w:shd w:val="clear" w:color="auto" w:fill="CDDEE7"/>
          </w:tcPr>
          <w:p>
            <w:pPr>
              <w:jc w:val="right"/>
              <w:ind w:right="34"/>
              <w:spacing w:after="0"/>
              <w:rPr>
                <w:sz w:val="20"/>
                <w:szCs w:val="20"/>
                <w:color w:val="auto"/>
              </w:rPr>
            </w:pPr>
            <w:r>
              <w:rPr>
                <w:rFonts w:ascii="Arial" w:cs="Arial" w:eastAsia="Arial" w:hAnsi="Arial"/>
                <w:sz w:val="17"/>
                <w:szCs w:val="17"/>
                <w:b w:val="1"/>
                <w:bCs w:val="1"/>
                <w:color w:val="auto"/>
              </w:rPr>
              <w:t>713,342</w:t>
            </w:r>
          </w:p>
        </w:tc>
        <w:tc>
          <w:tcPr>
            <w:tcW w:w="200" w:type="dxa"/>
            <w:vAlign w:val="bottom"/>
          </w:tcPr>
          <w:p>
            <w:pPr>
              <w:spacing w:after="0"/>
              <w:rPr>
                <w:sz w:val="17"/>
                <w:szCs w:val="17"/>
                <w:color w:val="auto"/>
              </w:rPr>
            </w:pPr>
          </w:p>
        </w:tc>
        <w:tc>
          <w:tcPr>
            <w:tcW w:w="220" w:type="dxa"/>
            <w:vAlign w:val="bottom"/>
            <w:shd w:val="clear" w:color="auto" w:fill="E0EBED"/>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E0EBED"/>
          </w:tcPr>
          <w:p>
            <w:pPr>
              <w:jc w:val="right"/>
              <w:ind w:right="34"/>
              <w:spacing w:after="0"/>
              <w:rPr>
                <w:sz w:val="20"/>
                <w:szCs w:val="20"/>
                <w:color w:val="auto"/>
              </w:rPr>
            </w:pPr>
            <w:r>
              <w:rPr>
                <w:rFonts w:ascii="Arial" w:cs="Arial" w:eastAsia="Arial" w:hAnsi="Arial"/>
                <w:sz w:val="17"/>
                <w:szCs w:val="17"/>
                <w:color w:val="auto"/>
              </w:rPr>
              <w:t>425,386</w:t>
            </w:r>
          </w:p>
        </w:tc>
        <w:tc>
          <w:tcPr>
            <w:tcW w:w="200" w:type="dxa"/>
            <w:vAlign w:val="bottom"/>
          </w:tcPr>
          <w:p>
            <w:pPr>
              <w:spacing w:after="0"/>
              <w:rPr>
                <w:sz w:val="17"/>
                <w:szCs w:val="17"/>
                <w:color w:val="auto"/>
              </w:rPr>
            </w:pPr>
          </w:p>
        </w:tc>
        <w:tc>
          <w:tcPr>
            <w:tcW w:w="220" w:type="dxa"/>
            <w:vAlign w:val="bottom"/>
            <w:shd w:val="clear" w:color="auto" w:fill="E0EBED"/>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E0EBED"/>
          </w:tcPr>
          <w:p>
            <w:pPr>
              <w:jc w:val="right"/>
              <w:spacing w:after="0"/>
              <w:rPr>
                <w:sz w:val="20"/>
                <w:szCs w:val="20"/>
                <w:color w:val="auto"/>
              </w:rPr>
            </w:pPr>
            <w:r>
              <w:rPr>
                <w:rFonts w:ascii="Arial" w:cs="Arial" w:eastAsia="Arial" w:hAnsi="Arial"/>
                <w:sz w:val="17"/>
                <w:szCs w:val="17"/>
                <w:color w:val="auto"/>
              </w:rPr>
              <w:t>288,792</w:t>
            </w:r>
          </w:p>
        </w:tc>
      </w:tr>
      <w:tr>
        <w:trPr>
          <w:trHeight w:val="26"/>
        </w:trPr>
        <w:tc>
          <w:tcPr>
            <w:tcW w:w="20" w:type="dxa"/>
            <w:vAlign w:val="bottom"/>
          </w:tcPr>
          <w:p>
            <w:pPr>
              <w:spacing w:after="0"/>
              <w:rPr>
                <w:sz w:val="2"/>
                <w:szCs w:val="2"/>
                <w:color w:val="auto"/>
              </w:rPr>
            </w:pPr>
          </w:p>
        </w:tc>
        <w:tc>
          <w:tcPr>
            <w:tcW w:w="75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4815205</wp:posOffset>
            </wp:positionH>
            <wp:positionV relativeFrom="paragraph">
              <wp:posOffset>-7620</wp:posOffset>
            </wp:positionV>
            <wp:extent cx="2439035" cy="535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5">
                      <a:extLst>
                        <a:ext uri="{28A0092B-C50C-407E-A947-70E740481C1C}"/>
                      </a:extLst>
                    </a:blip>
                    <a:srcRect/>
                    <a:stretch>
                      <a:fillRect/>
                    </a:stretch>
                  </pic:blipFill>
                  <pic:spPr bwMode="auto">
                    <a:xfrm>
                      <a:off x="0" y="0"/>
                      <a:ext cx="2439035" cy="535940"/>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Earnings Attributable to Martin Marietta Per Common Share (see Note A)</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20" w:type="dxa"/>
            <w:vAlign w:val="bottom"/>
          </w:tcPr>
          <w:p>
            <w:pPr>
              <w:ind w:left="180"/>
              <w:spacing w:after="0"/>
              <w:rPr>
                <w:sz w:val="20"/>
                <w:szCs w:val="20"/>
                <w:color w:val="auto"/>
              </w:rPr>
            </w:pPr>
            <w:r>
              <w:rPr>
                <w:rFonts w:ascii="Arial" w:cs="Arial" w:eastAsia="Arial" w:hAnsi="Arial"/>
                <w:sz w:val="17"/>
                <w:szCs w:val="17"/>
                <w:color w:val="auto"/>
              </w:rPr>
              <w:t>–</w:t>
            </w:r>
          </w:p>
        </w:tc>
        <w:tc>
          <w:tcPr>
            <w:tcW w:w="7260" w:type="dxa"/>
            <w:vAlign w:val="bottom"/>
          </w:tcPr>
          <w:p>
            <w:pPr>
              <w:ind w:left="40"/>
              <w:spacing w:after="0"/>
              <w:rPr>
                <w:sz w:val="20"/>
                <w:szCs w:val="20"/>
                <w:color w:val="auto"/>
              </w:rPr>
            </w:pPr>
            <w:r>
              <w:rPr>
                <w:rFonts w:ascii="Arial" w:cs="Arial" w:eastAsia="Arial" w:hAnsi="Arial"/>
                <w:sz w:val="17"/>
                <w:szCs w:val="17"/>
                <w:color w:val="auto"/>
              </w:rPr>
              <w:t>Basic attributable to common shareholders</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shd w:val="clear" w:color="auto" w:fill="CDDEE7"/>
          </w:tcPr>
          <w:p>
            <w:pPr>
              <w:jc w:val="right"/>
              <w:spacing w:after="0"/>
              <w:rPr>
                <w:sz w:val="20"/>
                <w:szCs w:val="20"/>
                <w:color w:val="auto"/>
              </w:rPr>
            </w:pPr>
            <w:r>
              <w:rPr>
                <w:rFonts w:ascii="Arial" w:cs="Arial" w:eastAsia="Arial" w:hAnsi="Arial"/>
                <w:sz w:val="17"/>
                <w:szCs w:val="17"/>
                <w:b w:val="1"/>
                <w:bCs w:val="1"/>
                <w:color w:val="auto"/>
                <w:w w:val="84"/>
              </w:rPr>
              <w:t>$</w:t>
            </w:r>
          </w:p>
        </w:tc>
        <w:tc>
          <w:tcPr>
            <w:tcW w:w="980" w:type="dxa"/>
            <w:vAlign w:val="bottom"/>
            <w:tcBorders>
              <w:bottom w:val="single" w:sz="8" w:color="auto"/>
            </w:tcBorders>
            <w:shd w:val="clear" w:color="auto" w:fill="CDDEE7"/>
          </w:tcPr>
          <w:p>
            <w:pPr>
              <w:jc w:val="right"/>
              <w:ind w:right="34"/>
              <w:spacing w:after="0"/>
              <w:rPr>
                <w:sz w:val="20"/>
                <w:szCs w:val="20"/>
                <w:color w:val="auto"/>
              </w:rPr>
            </w:pPr>
            <w:r>
              <w:rPr>
                <w:rFonts w:ascii="Arial" w:cs="Arial" w:eastAsia="Arial" w:hAnsi="Arial"/>
                <w:sz w:val="17"/>
                <w:szCs w:val="17"/>
                <w:b w:val="1"/>
                <w:bCs w:val="1"/>
                <w:color w:val="auto"/>
              </w:rPr>
              <w:t>11.30</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shd w:val="clear" w:color="auto" w:fill="E0EBED"/>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E0EBED"/>
          </w:tcPr>
          <w:p>
            <w:pPr>
              <w:jc w:val="right"/>
              <w:ind w:right="34"/>
              <w:spacing w:after="0"/>
              <w:rPr>
                <w:sz w:val="20"/>
                <w:szCs w:val="20"/>
                <w:color w:val="auto"/>
              </w:rPr>
            </w:pPr>
            <w:r>
              <w:rPr>
                <w:rFonts w:ascii="Arial" w:cs="Arial" w:eastAsia="Arial" w:hAnsi="Arial"/>
                <w:sz w:val="17"/>
                <w:szCs w:val="17"/>
                <w:color w:val="auto"/>
              </w:rPr>
              <w:t>6.66</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shd w:val="clear" w:color="auto" w:fill="E0EBED"/>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shd w:val="clear" w:color="auto" w:fill="E0EBED"/>
          </w:tcPr>
          <w:p>
            <w:pPr>
              <w:jc w:val="right"/>
              <w:spacing w:after="0"/>
              <w:rPr>
                <w:sz w:val="20"/>
                <w:szCs w:val="20"/>
                <w:color w:val="auto"/>
              </w:rPr>
            </w:pPr>
            <w:r>
              <w:rPr>
                <w:rFonts w:ascii="Arial" w:cs="Arial" w:eastAsia="Arial" w:hAnsi="Arial"/>
                <w:sz w:val="17"/>
                <w:szCs w:val="17"/>
                <w:color w:val="auto"/>
              </w:rPr>
              <w:t>4.31</w:t>
            </w:r>
          </w:p>
        </w:tc>
        <w:tc>
          <w:tcPr>
            <w:tcW w:w="0" w:type="dxa"/>
            <w:vAlign w:val="bottom"/>
          </w:tcPr>
          <w:p>
            <w:pPr>
              <w:spacing w:after="0"/>
              <w:rPr>
                <w:sz w:val="1"/>
                <w:szCs w:val="1"/>
                <w:color w:val="auto"/>
              </w:rPr>
            </w:pPr>
          </w:p>
        </w:tc>
      </w:tr>
      <w:tr>
        <w:trPr>
          <w:trHeight w:val="201"/>
        </w:trPr>
        <w:tc>
          <w:tcPr>
            <w:tcW w:w="320" w:type="dxa"/>
            <w:vAlign w:val="bottom"/>
          </w:tcPr>
          <w:p>
            <w:pPr>
              <w:ind w:left="180"/>
              <w:spacing w:after="0"/>
              <w:rPr>
                <w:sz w:val="20"/>
                <w:szCs w:val="20"/>
                <w:color w:val="auto"/>
              </w:rPr>
            </w:pPr>
            <w:r>
              <w:rPr>
                <w:rFonts w:ascii="Arial" w:cs="Arial" w:eastAsia="Arial" w:hAnsi="Arial"/>
                <w:sz w:val="17"/>
                <w:szCs w:val="17"/>
                <w:color w:val="auto"/>
              </w:rPr>
              <w:t>–</w:t>
            </w:r>
          </w:p>
        </w:tc>
        <w:tc>
          <w:tcPr>
            <w:tcW w:w="7260" w:type="dxa"/>
            <w:vAlign w:val="bottom"/>
          </w:tcPr>
          <w:p>
            <w:pPr>
              <w:ind w:left="40"/>
              <w:spacing w:after="0"/>
              <w:rPr>
                <w:sz w:val="20"/>
                <w:szCs w:val="20"/>
                <w:color w:val="auto"/>
              </w:rPr>
            </w:pPr>
            <w:r>
              <w:rPr>
                <w:rFonts w:ascii="Arial" w:cs="Arial" w:eastAsia="Arial" w:hAnsi="Arial"/>
                <w:sz w:val="17"/>
                <w:szCs w:val="17"/>
                <w:color w:val="auto"/>
              </w:rPr>
              <w:t>Diluted attributable to common shareholders</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shd w:val="clear" w:color="auto" w:fill="CDDEE7"/>
          </w:tcPr>
          <w:p>
            <w:pPr>
              <w:jc w:val="right"/>
              <w:spacing w:after="0"/>
              <w:rPr>
                <w:sz w:val="20"/>
                <w:szCs w:val="20"/>
                <w:color w:val="auto"/>
              </w:rPr>
            </w:pPr>
            <w:r>
              <w:rPr>
                <w:rFonts w:ascii="Arial" w:cs="Arial" w:eastAsia="Arial" w:hAnsi="Arial"/>
                <w:sz w:val="17"/>
                <w:szCs w:val="17"/>
                <w:b w:val="1"/>
                <w:bCs w:val="1"/>
                <w:color w:val="auto"/>
                <w:w w:val="84"/>
              </w:rPr>
              <w:t>$</w:t>
            </w:r>
          </w:p>
        </w:tc>
        <w:tc>
          <w:tcPr>
            <w:tcW w:w="980" w:type="dxa"/>
            <w:vAlign w:val="bottom"/>
            <w:tcBorders>
              <w:bottom w:val="single" w:sz="8" w:color="auto"/>
            </w:tcBorders>
            <w:shd w:val="clear" w:color="auto" w:fill="CDDEE7"/>
          </w:tcPr>
          <w:p>
            <w:pPr>
              <w:jc w:val="right"/>
              <w:ind w:right="34"/>
              <w:spacing w:after="0"/>
              <w:rPr>
                <w:sz w:val="20"/>
                <w:szCs w:val="20"/>
                <w:color w:val="auto"/>
              </w:rPr>
            </w:pPr>
            <w:r>
              <w:rPr>
                <w:rFonts w:ascii="Arial" w:cs="Arial" w:eastAsia="Arial" w:hAnsi="Arial"/>
                <w:sz w:val="17"/>
                <w:szCs w:val="17"/>
                <w:b w:val="1"/>
                <w:bCs w:val="1"/>
                <w:color w:val="auto"/>
              </w:rPr>
              <w:t>11.25</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shd w:val="clear" w:color="auto" w:fill="E0EBED"/>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E0EBED"/>
          </w:tcPr>
          <w:p>
            <w:pPr>
              <w:jc w:val="right"/>
              <w:ind w:right="34"/>
              <w:spacing w:after="0"/>
              <w:rPr>
                <w:sz w:val="20"/>
                <w:szCs w:val="20"/>
                <w:color w:val="auto"/>
              </w:rPr>
            </w:pPr>
            <w:r>
              <w:rPr>
                <w:rFonts w:ascii="Arial" w:cs="Arial" w:eastAsia="Arial" w:hAnsi="Arial"/>
                <w:sz w:val="17"/>
                <w:szCs w:val="17"/>
                <w:color w:val="auto"/>
              </w:rPr>
              <w:t>6.63</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shd w:val="clear" w:color="auto" w:fill="E0EBED"/>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shd w:val="clear" w:color="auto" w:fill="E0EBED"/>
          </w:tcPr>
          <w:p>
            <w:pPr>
              <w:jc w:val="right"/>
              <w:spacing w:after="0"/>
              <w:rPr>
                <w:sz w:val="20"/>
                <w:szCs w:val="20"/>
                <w:color w:val="auto"/>
              </w:rPr>
            </w:pPr>
            <w:r>
              <w:rPr>
                <w:rFonts w:ascii="Arial" w:cs="Arial" w:eastAsia="Arial" w:hAnsi="Arial"/>
                <w:sz w:val="17"/>
                <w:szCs w:val="17"/>
                <w:color w:val="auto"/>
              </w:rPr>
              <w:t>4.29</w:t>
            </w:r>
          </w:p>
        </w:tc>
        <w:tc>
          <w:tcPr>
            <w:tcW w:w="0" w:type="dxa"/>
            <w:vAlign w:val="bottom"/>
          </w:tcPr>
          <w:p>
            <w:pPr>
              <w:spacing w:after="0"/>
              <w:rPr>
                <w:sz w:val="1"/>
                <w:szCs w:val="1"/>
                <w:color w:val="auto"/>
              </w:rPr>
            </w:pPr>
          </w:p>
        </w:tc>
      </w:tr>
      <w:tr>
        <w:trPr>
          <w:trHeight w:val="401"/>
        </w:trPr>
        <w:tc>
          <w:tcPr>
            <w:tcW w:w="7580" w:type="dxa"/>
            <w:vAlign w:val="bottom"/>
            <w:gridSpan w:val="2"/>
          </w:tcPr>
          <w:p>
            <w:pPr>
              <w:spacing w:after="0"/>
              <w:rPr>
                <w:sz w:val="20"/>
                <w:szCs w:val="20"/>
                <w:color w:val="auto"/>
              </w:rPr>
            </w:pPr>
            <w:r>
              <w:rPr>
                <w:rFonts w:ascii="Arial" w:cs="Arial" w:eastAsia="Arial" w:hAnsi="Arial"/>
                <w:sz w:val="18"/>
                <w:szCs w:val="18"/>
                <w:b w:val="1"/>
                <w:bCs w:val="1"/>
                <w:color w:val="auto"/>
              </w:rPr>
              <w:t>Weighted-Average Common Shares Outstanding</w:t>
            </w:r>
          </w:p>
        </w:tc>
        <w:tc>
          <w:tcPr>
            <w:tcW w:w="100" w:type="dxa"/>
            <w:vAlign w:val="bottom"/>
            <w:shd w:val="clear" w:color="auto" w:fill="CDDEE7"/>
          </w:tcPr>
          <w:p>
            <w:pPr>
              <w:spacing w:after="0"/>
              <w:rPr>
                <w:sz w:val="24"/>
                <w:szCs w:val="24"/>
                <w:color w:val="auto"/>
              </w:rPr>
            </w:pPr>
          </w:p>
        </w:tc>
        <w:tc>
          <w:tcPr>
            <w:tcW w:w="120" w:type="dxa"/>
            <w:vAlign w:val="bottom"/>
            <w:shd w:val="clear" w:color="auto" w:fill="CDDEE7"/>
          </w:tcPr>
          <w:p>
            <w:pPr>
              <w:spacing w:after="0"/>
              <w:rPr>
                <w:sz w:val="24"/>
                <w:szCs w:val="24"/>
                <w:color w:val="auto"/>
              </w:rPr>
            </w:pPr>
          </w:p>
        </w:tc>
        <w:tc>
          <w:tcPr>
            <w:tcW w:w="980" w:type="dxa"/>
            <w:vAlign w:val="bottom"/>
            <w:vMerge w:val="restart"/>
            <w:shd w:val="clear" w:color="auto" w:fill="CDDEE7"/>
          </w:tcPr>
          <w:p>
            <w:pPr>
              <w:jc w:val="right"/>
              <w:ind w:right="34"/>
              <w:spacing w:after="0"/>
              <w:rPr>
                <w:sz w:val="20"/>
                <w:szCs w:val="20"/>
                <w:color w:val="auto"/>
              </w:rPr>
            </w:pPr>
            <w:r>
              <w:rPr>
                <w:rFonts w:ascii="Arial" w:cs="Arial" w:eastAsia="Arial" w:hAnsi="Arial"/>
                <w:sz w:val="17"/>
                <w:szCs w:val="17"/>
                <w:b w:val="1"/>
                <w:bCs w:val="1"/>
                <w:color w:val="auto"/>
              </w:rPr>
              <w:t>62,932</w:t>
            </w:r>
          </w:p>
        </w:tc>
        <w:tc>
          <w:tcPr>
            <w:tcW w:w="200" w:type="dxa"/>
            <w:vAlign w:val="bottom"/>
          </w:tcPr>
          <w:p>
            <w:pPr>
              <w:spacing w:after="0"/>
              <w:rPr>
                <w:sz w:val="24"/>
                <w:szCs w:val="24"/>
                <w:color w:val="auto"/>
              </w:rPr>
            </w:pPr>
          </w:p>
        </w:tc>
        <w:tc>
          <w:tcPr>
            <w:tcW w:w="100" w:type="dxa"/>
            <w:vAlign w:val="bottom"/>
            <w:shd w:val="clear" w:color="auto" w:fill="E0EBED"/>
          </w:tcPr>
          <w:p>
            <w:pPr>
              <w:spacing w:after="0"/>
              <w:rPr>
                <w:sz w:val="24"/>
                <w:szCs w:val="24"/>
                <w:color w:val="auto"/>
              </w:rPr>
            </w:pPr>
          </w:p>
        </w:tc>
        <w:tc>
          <w:tcPr>
            <w:tcW w:w="120" w:type="dxa"/>
            <w:vAlign w:val="bottom"/>
            <w:shd w:val="clear" w:color="auto" w:fill="E0EBED"/>
          </w:tcPr>
          <w:p>
            <w:pPr>
              <w:spacing w:after="0"/>
              <w:rPr>
                <w:sz w:val="24"/>
                <w:szCs w:val="24"/>
                <w:color w:val="auto"/>
              </w:rPr>
            </w:pPr>
          </w:p>
        </w:tc>
        <w:tc>
          <w:tcPr>
            <w:tcW w:w="980" w:type="dxa"/>
            <w:vAlign w:val="bottom"/>
            <w:shd w:val="clear" w:color="auto" w:fill="E0EBED"/>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shd w:val="clear" w:color="auto" w:fill="E0EBED"/>
          </w:tcPr>
          <w:p>
            <w:pPr>
              <w:spacing w:after="0"/>
              <w:rPr>
                <w:sz w:val="24"/>
                <w:szCs w:val="24"/>
                <w:color w:val="auto"/>
              </w:rPr>
            </w:pPr>
          </w:p>
        </w:tc>
        <w:tc>
          <w:tcPr>
            <w:tcW w:w="120" w:type="dxa"/>
            <w:vAlign w:val="bottom"/>
            <w:shd w:val="clear" w:color="auto" w:fill="E0EBED"/>
          </w:tcPr>
          <w:p>
            <w:pPr>
              <w:spacing w:after="0"/>
              <w:rPr>
                <w:sz w:val="24"/>
                <w:szCs w:val="24"/>
                <w:color w:val="auto"/>
              </w:rPr>
            </w:pPr>
          </w:p>
        </w:tc>
        <w:tc>
          <w:tcPr>
            <w:tcW w:w="820" w:type="dxa"/>
            <w:vAlign w:val="bottom"/>
            <w:shd w:val="clear" w:color="auto" w:fill="E0EBED"/>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7580" w:type="dxa"/>
            <w:vAlign w:val="bottom"/>
            <w:gridSpan w:val="2"/>
          </w:tcPr>
          <w:p>
            <w:pPr>
              <w:ind w:left="180"/>
              <w:spacing w:after="0"/>
              <w:rPr>
                <w:sz w:val="20"/>
                <w:szCs w:val="20"/>
                <w:color w:val="auto"/>
              </w:rPr>
            </w:pPr>
            <w:r>
              <w:rPr>
                <w:rFonts w:ascii="Arial" w:cs="Arial" w:eastAsia="Arial" w:hAnsi="Arial"/>
                <w:sz w:val="17"/>
                <w:szCs w:val="17"/>
                <w:color w:val="auto"/>
              </w:rPr>
              <w:t>– Basic</w:t>
            </w:r>
          </w:p>
        </w:tc>
        <w:tc>
          <w:tcPr>
            <w:tcW w:w="100" w:type="dxa"/>
            <w:vAlign w:val="bottom"/>
            <w:tcBorders>
              <w:bottom w:val="single" w:sz="8" w:color="auto"/>
            </w:tcBorders>
            <w:shd w:val="clear" w:color="auto" w:fill="CDDEE7"/>
          </w:tcPr>
          <w:p>
            <w:pPr>
              <w:spacing w:after="0"/>
              <w:rPr>
                <w:sz w:val="17"/>
                <w:szCs w:val="17"/>
                <w:color w:val="auto"/>
              </w:rPr>
            </w:pPr>
          </w:p>
        </w:tc>
        <w:tc>
          <w:tcPr>
            <w:tcW w:w="120" w:type="dxa"/>
            <w:vAlign w:val="bottom"/>
            <w:tcBorders>
              <w:bottom w:val="single" w:sz="8" w:color="auto"/>
            </w:tcBorders>
            <w:shd w:val="clear" w:color="auto" w:fill="CDDEE7"/>
          </w:tcPr>
          <w:p>
            <w:pPr>
              <w:spacing w:after="0"/>
              <w:rPr>
                <w:sz w:val="17"/>
                <w:szCs w:val="17"/>
                <w:color w:val="auto"/>
              </w:rPr>
            </w:pPr>
          </w:p>
        </w:tc>
        <w:tc>
          <w:tcPr>
            <w:tcW w:w="980" w:type="dxa"/>
            <w:vAlign w:val="bottom"/>
            <w:tcBorders>
              <w:bottom w:val="single" w:sz="8" w:color="auto"/>
            </w:tcBorders>
            <w:vMerge w:val="continue"/>
            <w:shd w:val="clear" w:color="auto" w:fill="CDDEE7"/>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shd w:val="clear" w:color="auto" w:fill="E0EBED"/>
          </w:tcPr>
          <w:p>
            <w:pPr>
              <w:spacing w:after="0"/>
              <w:rPr>
                <w:sz w:val="17"/>
                <w:szCs w:val="17"/>
                <w:color w:val="auto"/>
              </w:rPr>
            </w:pPr>
          </w:p>
        </w:tc>
        <w:tc>
          <w:tcPr>
            <w:tcW w:w="120" w:type="dxa"/>
            <w:vAlign w:val="bottom"/>
            <w:tcBorders>
              <w:bottom w:val="single" w:sz="8" w:color="auto"/>
            </w:tcBorders>
            <w:shd w:val="clear" w:color="auto" w:fill="E0EBED"/>
          </w:tcPr>
          <w:p>
            <w:pPr>
              <w:spacing w:after="0"/>
              <w:rPr>
                <w:sz w:val="17"/>
                <w:szCs w:val="17"/>
                <w:color w:val="auto"/>
              </w:rPr>
            </w:pPr>
          </w:p>
        </w:tc>
        <w:tc>
          <w:tcPr>
            <w:tcW w:w="980" w:type="dxa"/>
            <w:vAlign w:val="bottom"/>
            <w:tcBorders>
              <w:bottom w:val="single" w:sz="8" w:color="auto"/>
            </w:tcBorders>
            <w:shd w:val="clear" w:color="auto" w:fill="E0EBED"/>
          </w:tcPr>
          <w:p>
            <w:pPr>
              <w:jc w:val="right"/>
              <w:ind w:right="34"/>
              <w:spacing w:after="0"/>
              <w:rPr>
                <w:sz w:val="20"/>
                <w:szCs w:val="20"/>
                <w:color w:val="auto"/>
              </w:rPr>
            </w:pPr>
            <w:r>
              <w:rPr>
                <w:rFonts w:ascii="Arial" w:cs="Arial" w:eastAsia="Arial" w:hAnsi="Arial"/>
                <w:sz w:val="17"/>
                <w:szCs w:val="17"/>
                <w:color w:val="auto"/>
              </w:rPr>
              <w:t>63,610</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shd w:val="clear" w:color="auto" w:fill="E0EBED"/>
          </w:tcPr>
          <w:p>
            <w:pPr>
              <w:spacing w:after="0"/>
              <w:rPr>
                <w:sz w:val="17"/>
                <w:szCs w:val="17"/>
                <w:color w:val="auto"/>
              </w:rPr>
            </w:pPr>
          </w:p>
        </w:tc>
        <w:tc>
          <w:tcPr>
            <w:tcW w:w="120" w:type="dxa"/>
            <w:vAlign w:val="bottom"/>
            <w:tcBorders>
              <w:bottom w:val="single" w:sz="8" w:color="auto"/>
            </w:tcBorders>
            <w:shd w:val="clear" w:color="auto" w:fill="E0EBED"/>
          </w:tcPr>
          <w:p>
            <w:pPr>
              <w:spacing w:after="0"/>
              <w:rPr>
                <w:sz w:val="17"/>
                <w:szCs w:val="17"/>
                <w:color w:val="auto"/>
              </w:rPr>
            </w:pPr>
          </w:p>
        </w:tc>
        <w:tc>
          <w:tcPr>
            <w:tcW w:w="820" w:type="dxa"/>
            <w:vAlign w:val="bottom"/>
            <w:tcBorders>
              <w:bottom w:val="single" w:sz="8" w:color="auto"/>
            </w:tcBorders>
            <w:shd w:val="clear" w:color="auto" w:fill="E0EBED"/>
          </w:tcPr>
          <w:p>
            <w:pPr>
              <w:jc w:val="right"/>
              <w:spacing w:after="0"/>
              <w:rPr>
                <w:sz w:val="20"/>
                <w:szCs w:val="20"/>
                <w:color w:val="auto"/>
              </w:rPr>
            </w:pPr>
            <w:r>
              <w:rPr>
                <w:rFonts w:ascii="Arial" w:cs="Arial" w:eastAsia="Arial" w:hAnsi="Arial"/>
                <w:sz w:val="17"/>
                <w:szCs w:val="17"/>
                <w:color w:val="auto"/>
              </w:rPr>
              <w:t>66,770</w:t>
            </w:r>
          </w:p>
        </w:tc>
        <w:tc>
          <w:tcPr>
            <w:tcW w:w="0" w:type="dxa"/>
            <w:vAlign w:val="bottom"/>
          </w:tcPr>
          <w:p>
            <w:pPr>
              <w:spacing w:after="0"/>
              <w:rPr>
                <w:sz w:val="1"/>
                <w:szCs w:val="1"/>
                <w:color w:val="auto"/>
              </w:rPr>
            </w:pPr>
          </w:p>
        </w:tc>
      </w:tr>
      <w:tr>
        <w:trPr>
          <w:trHeight w:val="201"/>
        </w:trPr>
        <w:tc>
          <w:tcPr>
            <w:tcW w:w="320" w:type="dxa"/>
            <w:vAlign w:val="bottom"/>
          </w:tcPr>
          <w:p>
            <w:pPr>
              <w:ind w:left="180"/>
              <w:spacing w:after="0"/>
              <w:rPr>
                <w:sz w:val="20"/>
                <w:szCs w:val="20"/>
                <w:color w:val="auto"/>
              </w:rPr>
            </w:pPr>
            <w:r>
              <w:rPr>
                <w:rFonts w:ascii="Arial" w:cs="Arial" w:eastAsia="Arial" w:hAnsi="Arial"/>
                <w:sz w:val="17"/>
                <w:szCs w:val="17"/>
                <w:color w:val="auto"/>
              </w:rPr>
              <w:t>–</w:t>
            </w:r>
          </w:p>
        </w:tc>
        <w:tc>
          <w:tcPr>
            <w:tcW w:w="7260" w:type="dxa"/>
            <w:vAlign w:val="bottom"/>
          </w:tcPr>
          <w:p>
            <w:pPr>
              <w:ind w:left="40"/>
              <w:spacing w:after="0"/>
              <w:rPr>
                <w:sz w:val="20"/>
                <w:szCs w:val="20"/>
                <w:color w:val="auto"/>
              </w:rPr>
            </w:pPr>
            <w:r>
              <w:rPr>
                <w:rFonts w:ascii="Arial" w:cs="Arial" w:eastAsia="Arial" w:hAnsi="Arial"/>
                <w:sz w:val="17"/>
                <w:szCs w:val="17"/>
                <w:color w:val="auto"/>
              </w:rPr>
              <w:t>Diluted</w:t>
            </w:r>
          </w:p>
        </w:tc>
        <w:tc>
          <w:tcPr>
            <w:tcW w:w="100" w:type="dxa"/>
            <w:vAlign w:val="bottom"/>
            <w:tcBorders>
              <w:bottom w:val="single" w:sz="8" w:color="auto"/>
            </w:tcBorders>
            <w:shd w:val="clear" w:color="auto" w:fill="CDDEE7"/>
          </w:tcPr>
          <w:p>
            <w:pPr>
              <w:spacing w:after="0"/>
              <w:rPr>
                <w:sz w:val="17"/>
                <w:szCs w:val="17"/>
                <w:color w:val="auto"/>
              </w:rPr>
            </w:pPr>
          </w:p>
        </w:tc>
        <w:tc>
          <w:tcPr>
            <w:tcW w:w="120" w:type="dxa"/>
            <w:vAlign w:val="bottom"/>
            <w:tcBorders>
              <w:bottom w:val="single" w:sz="8" w:color="auto"/>
            </w:tcBorders>
            <w:shd w:val="clear" w:color="auto" w:fill="CDDEE7"/>
          </w:tcPr>
          <w:p>
            <w:pPr>
              <w:spacing w:after="0"/>
              <w:rPr>
                <w:sz w:val="17"/>
                <w:szCs w:val="17"/>
                <w:color w:val="auto"/>
              </w:rPr>
            </w:pPr>
          </w:p>
        </w:tc>
        <w:tc>
          <w:tcPr>
            <w:tcW w:w="980" w:type="dxa"/>
            <w:vAlign w:val="bottom"/>
            <w:tcBorders>
              <w:bottom w:val="single" w:sz="8" w:color="auto"/>
            </w:tcBorders>
            <w:shd w:val="clear" w:color="auto" w:fill="CDDEE7"/>
          </w:tcPr>
          <w:p>
            <w:pPr>
              <w:jc w:val="right"/>
              <w:ind w:right="34"/>
              <w:spacing w:after="0"/>
              <w:rPr>
                <w:sz w:val="20"/>
                <w:szCs w:val="20"/>
                <w:color w:val="auto"/>
              </w:rPr>
            </w:pPr>
            <w:r>
              <w:rPr>
                <w:rFonts w:ascii="Arial" w:cs="Arial" w:eastAsia="Arial" w:hAnsi="Arial"/>
                <w:sz w:val="17"/>
                <w:szCs w:val="17"/>
                <w:b w:val="1"/>
                <w:bCs w:val="1"/>
                <w:color w:val="auto"/>
              </w:rPr>
              <w:t>63,217</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shd w:val="clear" w:color="auto" w:fill="E0EBED"/>
          </w:tcPr>
          <w:p>
            <w:pPr>
              <w:spacing w:after="0"/>
              <w:rPr>
                <w:sz w:val="17"/>
                <w:szCs w:val="17"/>
                <w:color w:val="auto"/>
              </w:rPr>
            </w:pPr>
          </w:p>
        </w:tc>
        <w:tc>
          <w:tcPr>
            <w:tcW w:w="120" w:type="dxa"/>
            <w:vAlign w:val="bottom"/>
            <w:tcBorders>
              <w:bottom w:val="single" w:sz="8" w:color="auto"/>
            </w:tcBorders>
            <w:shd w:val="clear" w:color="auto" w:fill="E0EBED"/>
          </w:tcPr>
          <w:p>
            <w:pPr>
              <w:spacing w:after="0"/>
              <w:rPr>
                <w:sz w:val="17"/>
                <w:szCs w:val="17"/>
                <w:color w:val="auto"/>
              </w:rPr>
            </w:pPr>
          </w:p>
        </w:tc>
        <w:tc>
          <w:tcPr>
            <w:tcW w:w="980" w:type="dxa"/>
            <w:vAlign w:val="bottom"/>
            <w:tcBorders>
              <w:bottom w:val="single" w:sz="8" w:color="auto"/>
            </w:tcBorders>
            <w:shd w:val="clear" w:color="auto" w:fill="E0EBED"/>
          </w:tcPr>
          <w:p>
            <w:pPr>
              <w:jc w:val="right"/>
              <w:ind w:right="34"/>
              <w:spacing w:after="0"/>
              <w:rPr>
                <w:sz w:val="20"/>
                <w:szCs w:val="20"/>
                <w:color w:val="auto"/>
              </w:rPr>
            </w:pPr>
            <w:r>
              <w:rPr>
                <w:rFonts w:ascii="Arial" w:cs="Arial" w:eastAsia="Arial" w:hAnsi="Arial"/>
                <w:sz w:val="17"/>
                <w:szCs w:val="17"/>
                <w:color w:val="auto"/>
              </w:rPr>
              <w:t>63,861</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shd w:val="clear" w:color="auto" w:fill="E0EBED"/>
          </w:tcPr>
          <w:p>
            <w:pPr>
              <w:spacing w:after="0"/>
              <w:rPr>
                <w:sz w:val="17"/>
                <w:szCs w:val="17"/>
                <w:color w:val="auto"/>
              </w:rPr>
            </w:pPr>
          </w:p>
        </w:tc>
        <w:tc>
          <w:tcPr>
            <w:tcW w:w="120" w:type="dxa"/>
            <w:vAlign w:val="bottom"/>
            <w:tcBorders>
              <w:bottom w:val="single" w:sz="8" w:color="auto"/>
            </w:tcBorders>
            <w:shd w:val="clear" w:color="auto" w:fill="E0EBED"/>
          </w:tcPr>
          <w:p>
            <w:pPr>
              <w:spacing w:after="0"/>
              <w:rPr>
                <w:sz w:val="17"/>
                <w:szCs w:val="17"/>
                <w:color w:val="auto"/>
              </w:rPr>
            </w:pPr>
          </w:p>
        </w:tc>
        <w:tc>
          <w:tcPr>
            <w:tcW w:w="820" w:type="dxa"/>
            <w:vAlign w:val="bottom"/>
            <w:tcBorders>
              <w:bottom w:val="single" w:sz="8" w:color="auto"/>
            </w:tcBorders>
            <w:shd w:val="clear" w:color="auto" w:fill="E0EBED"/>
          </w:tcPr>
          <w:p>
            <w:pPr>
              <w:jc w:val="right"/>
              <w:spacing w:after="0"/>
              <w:rPr>
                <w:sz w:val="20"/>
                <w:szCs w:val="20"/>
                <w:color w:val="auto"/>
              </w:rPr>
            </w:pPr>
            <w:r>
              <w:rPr>
                <w:rFonts w:ascii="Arial" w:cs="Arial" w:eastAsia="Arial" w:hAnsi="Arial"/>
                <w:sz w:val="17"/>
                <w:szCs w:val="17"/>
                <w:color w:val="auto"/>
              </w:rPr>
              <w:t>67,020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auto"/>
        </w:rPr>
        <w:t>The notes on pages 15 through 41 are an integral part of these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10</w:t>
      </w:r>
    </w:p>
    <w:p>
      <w:pPr>
        <w:sectPr>
          <w:pgSz w:w="11900" w:h="16838" w:orient="portrait"/>
          <w:cols w:equalWidth="0" w:num="1">
            <w:col w:w="11420"/>
          </w:cols>
          <w:pgMar w:left="240" w:top="376" w:right="239" w:bottom="1440" w:gutter="0" w:footer="0" w:header="0"/>
        </w:sectPr>
      </w:pPr>
    </w:p>
    <w:bookmarkStart w:id="63" w:name="page64"/>
    <w:bookmarkEnd w:id="63"/>
    <w:p>
      <w:pPr>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6">
                      <a:extLst>
                        <a:ext uri="{28A0092B-C50C-407E-A947-70E740481C1C}"/>
                      </a:extLst>
                    </a:blip>
                    <a:srcRect/>
                    <a:stretch>
                      <a:fillRect/>
                    </a:stretch>
                  </pic:blipFill>
                  <pic:spPr bwMode="auto">
                    <a:xfrm>
                      <a:off x="0" y="0"/>
                      <a:ext cx="7293610" cy="37465"/>
                    </a:xfrm>
                    <a:prstGeom prst="rect">
                      <a:avLst/>
                    </a:prstGeom>
                    <a:noFill/>
                  </pic:spPr>
                </pic:pic>
              </a:graphicData>
            </a:graphic>
          </wp:anchor>
        </w:drawing>
        <w:drawing>
          <wp:anchor simplePos="0" relativeHeight="251657728" behindDoc="1" locked="0" layoutInCell="0" allowOverlap="1">
            <wp:simplePos x="0" y="0"/>
            <wp:positionH relativeFrom="page">
              <wp:posOffset>154940</wp:posOffset>
            </wp:positionH>
            <wp:positionV relativeFrom="page">
              <wp:posOffset>179705</wp:posOffset>
            </wp:positionV>
            <wp:extent cx="6090285" cy="280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7">
                      <a:extLst>
                        <a:ext uri="{28A0092B-C50C-407E-A947-70E740481C1C}"/>
                      </a:extLst>
                    </a:blip>
                    <a:srcRect/>
                    <a:stretch>
                      <a:fillRect/>
                    </a:stretch>
                  </pic:blipFill>
                  <pic:spPr bwMode="auto">
                    <a:xfrm>
                      <a:off x="0" y="0"/>
                      <a:ext cx="6090285" cy="280035"/>
                    </a:xfrm>
                    <a:prstGeom prst="rect">
                      <a:avLst/>
                    </a:prstGeom>
                    <a:noFill/>
                  </pic:spPr>
                </pic:pic>
              </a:graphicData>
            </a:graphic>
          </wp:anchor>
        </w:drawing>
        <w:t xml:space="preserve">CONSOLIDATED STATEMENTS OF COMPREHENSIVE EARNINGS </w:t>
      </w:r>
      <w:r>
        <w:rPr>
          <w:rFonts w:ascii="Arial" w:cs="Arial" w:eastAsia="Arial" w:hAnsi="Arial"/>
          <w:sz w:val="17"/>
          <w:szCs w:val="17"/>
          <w:color w:val="FFFFFF"/>
        </w:rPr>
        <w:t>for years ended December 31</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7860" w:type="dxa"/>
            <w:vAlign w:val="bottom"/>
            <w:gridSpan w:val="2"/>
          </w:tcPr>
          <w:p>
            <w:pPr>
              <w:spacing w:after="0"/>
              <w:rPr>
                <w:sz w:val="20"/>
                <w:szCs w:val="20"/>
                <w:color w:val="auto"/>
              </w:rPr>
            </w:pPr>
            <w:r>
              <w:rPr>
                <w:rFonts w:ascii="Arial" w:cs="Arial" w:eastAsia="Arial" w:hAnsi="Arial"/>
                <w:sz w:val="16"/>
                <w:szCs w:val="16"/>
                <w:color w:val="auto"/>
              </w:rPr>
              <w:t>(add 000)</w:t>
            </w:r>
          </w:p>
        </w:tc>
        <w:tc>
          <w:tcPr>
            <w:tcW w:w="200" w:type="dxa"/>
            <w:vAlign w:val="bottom"/>
            <w:shd w:val="clear" w:color="auto" w:fill="0085CD"/>
          </w:tcPr>
          <w:p>
            <w:pPr>
              <w:spacing w:after="0"/>
              <w:rPr>
                <w:sz w:val="24"/>
                <w:szCs w:val="24"/>
                <w:color w:val="auto"/>
              </w:rPr>
            </w:pPr>
          </w:p>
        </w:tc>
        <w:tc>
          <w:tcPr>
            <w:tcW w:w="720" w:type="dxa"/>
            <w:vAlign w:val="bottom"/>
            <w:shd w:val="clear" w:color="auto" w:fill="0085CD"/>
          </w:tcPr>
          <w:p>
            <w:pPr>
              <w:jc w:val="right"/>
              <w:ind w:right="134"/>
              <w:spacing w:after="0"/>
              <w:rPr>
                <w:sz w:val="20"/>
                <w:szCs w:val="20"/>
                <w:color w:val="auto"/>
              </w:rPr>
            </w:pPr>
            <w:r>
              <w:rPr>
                <w:rFonts w:ascii="Arial" w:cs="Arial" w:eastAsia="Arial" w:hAnsi="Arial"/>
                <w:sz w:val="17"/>
                <w:szCs w:val="17"/>
                <w:b w:val="1"/>
                <w:bCs w:val="1"/>
                <w:color w:val="FFFFFF"/>
              </w:rPr>
              <w:t>2017</w:t>
            </w:r>
          </w:p>
        </w:tc>
        <w:tc>
          <w:tcPr>
            <w:tcW w:w="120" w:type="dxa"/>
            <w:vAlign w:val="bottom"/>
            <w:shd w:val="clear" w:color="auto" w:fill="0085CD"/>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shd w:val="clear" w:color="auto" w:fill="E0EBED"/>
          </w:tcPr>
          <w:p>
            <w:pPr>
              <w:spacing w:after="0"/>
              <w:rPr>
                <w:sz w:val="24"/>
                <w:szCs w:val="24"/>
                <w:color w:val="auto"/>
              </w:rPr>
            </w:pPr>
          </w:p>
        </w:tc>
        <w:tc>
          <w:tcPr>
            <w:tcW w:w="840" w:type="dxa"/>
            <w:vAlign w:val="bottom"/>
            <w:shd w:val="clear" w:color="auto" w:fill="E0EBED"/>
          </w:tcPr>
          <w:p>
            <w:pPr>
              <w:jc w:val="right"/>
              <w:ind w:right="254"/>
              <w:spacing w:after="0"/>
              <w:rPr>
                <w:sz w:val="20"/>
                <w:szCs w:val="20"/>
                <w:color w:val="auto"/>
              </w:rPr>
            </w:pPr>
            <w:r>
              <w:rPr>
                <w:rFonts w:ascii="Arial" w:cs="Arial" w:eastAsia="Arial" w:hAnsi="Arial"/>
                <w:sz w:val="17"/>
                <w:szCs w:val="17"/>
                <w:color w:val="auto"/>
              </w:rPr>
              <w:t>2016</w:t>
            </w:r>
          </w:p>
        </w:tc>
        <w:tc>
          <w:tcPr>
            <w:tcW w:w="220" w:type="dxa"/>
            <w:vAlign w:val="bottom"/>
          </w:tcPr>
          <w:p>
            <w:pPr>
              <w:spacing w:after="0"/>
              <w:rPr>
                <w:sz w:val="24"/>
                <w:szCs w:val="24"/>
                <w:color w:val="auto"/>
              </w:rPr>
            </w:pPr>
          </w:p>
        </w:tc>
        <w:tc>
          <w:tcPr>
            <w:tcW w:w="200" w:type="dxa"/>
            <w:vAlign w:val="bottom"/>
            <w:shd w:val="clear" w:color="auto" w:fill="E0EBED"/>
          </w:tcPr>
          <w:p>
            <w:pPr>
              <w:spacing w:after="0"/>
              <w:rPr>
                <w:sz w:val="24"/>
                <w:szCs w:val="24"/>
                <w:color w:val="auto"/>
              </w:rPr>
            </w:pPr>
          </w:p>
        </w:tc>
        <w:tc>
          <w:tcPr>
            <w:tcW w:w="840" w:type="dxa"/>
            <w:vAlign w:val="bottom"/>
            <w:shd w:val="clear" w:color="auto" w:fill="E0EBED"/>
          </w:tcPr>
          <w:p>
            <w:pPr>
              <w:jc w:val="right"/>
              <w:ind w:right="254"/>
              <w:spacing w:after="0"/>
              <w:rPr>
                <w:sz w:val="20"/>
                <w:szCs w:val="20"/>
                <w:color w:val="auto"/>
              </w:rPr>
            </w:pPr>
            <w:r>
              <w:rPr>
                <w:rFonts w:ascii="Arial" w:cs="Arial" w:eastAsia="Arial" w:hAnsi="Arial"/>
                <w:sz w:val="17"/>
                <w:szCs w:val="17"/>
                <w:color w:val="auto"/>
              </w:rPr>
              <w:t>2015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840" w:type="dxa"/>
            <w:vAlign w:val="bottom"/>
            <w:tcBorders>
              <w:top w:val="single" w:sz="8" w:color="auto"/>
              <w:bottom w:val="single" w:sz="8" w:color="auto"/>
            </w:tcBorders>
          </w:tcPr>
          <w:p>
            <w:pPr>
              <w:spacing w:after="0" w:line="201" w:lineRule="exact"/>
              <w:rPr>
                <w:sz w:val="20"/>
                <w:szCs w:val="20"/>
                <w:color w:val="auto"/>
              </w:rPr>
            </w:pPr>
            <w:r>
              <w:rPr>
                <w:rFonts w:ascii="Arial" w:cs="Arial" w:eastAsia="Arial" w:hAnsi="Arial"/>
                <w:sz w:val="18"/>
                <w:szCs w:val="18"/>
                <w:b w:val="1"/>
                <w:bCs w:val="1"/>
                <w:color w:val="auto"/>
              </w:rPr>
              <w:t>Consolidated Net Earnings</w:t>
            </w:r>
          </w:p>
        </w:tc>
        <w:tc>
          <w:tcPr>
            <w:tcW w:w="200" w:type="dxa"/>
            <w:vAlign w:val="bottom"/>
            <w:tcBorders>
              <w:top w:val="single" w:sz="8" w:color="auto"/>
              <w:bottom w:val="single" w:sz="8" w:color="auto"/>
            </w:tcBorders>
            <w:shd w:val="clear" w:color="auto" w:fill="CDDEE7"/>
          </w:tcPr>
          <w:p>
            <w:pPr>
              <w:jc w:val="right"/>
              <w:spacing w:after="0"/>
              <w:rPr>
                <w:sz w:val="20"/>
                <w:szCs w:val="20"/>
                <w:color w:val="auto"/>
              </w:rPr>
            </w:pPr>
            <w:r>
              <w:rPr>
                <w:rFonts w:ascii="Arial" w:cs="Arial" w:eastAsia="Arial" w:hAnsi="Arial"/>
                <w:sz w:val="17"/>
                <w:szCs w:val="17"/>
                <w:b w:val="1"/>
                <w:bCs w:val="1"/>
                <w:color w:val="auto"/>
                <w:shd w:val="clear" w:color="auto" w:fill="CDDEE7"/>
              </w:rPr>
              <w:t>$</w:t>
            </w:r>
          </w:p>
        </w:tc>
        <w:tc>
          <w:tcPr>
            <w:tcW w:w="840" w:type="dxa"/>
            <w:vAlign w:val="bottom"/>
            <w:tcBorders>
              <w:top w:val="single" w:sz="8" w:color="auto"/>
              <w:bottom w:val="single" w:sz="8" w:color="auto"/>
            </w:tcBorders>
            <w:gridSpan w:val="2"/>
            <w:shd w:val="clear" w:color="auto" w:fill="CDDEE7"/>
          </w:tcPr>
          <w:p>
            <w:pPr>
              <w:jc w:val="right"/>
              <w:ind w:right="120"/>
              <w:spacing w:after="0"/>
              <w:rPr>
                <w:sz w:val="20"/>
                <w:szCs w:val="20"/>
                <w:color w:val="auto"/>
              </w:rPr>
            </w:pPr>
            <w:r>
              <w:rPr>
                <w:rFonts w:ascii="Arial" w:cs="Arial" w:eastAsia="Arial" w:hAnsi="Arial"/>
                <w:sz w:val="17"/>
                <w:szCs w:val="17"/>
                <w:b w:val="1"/>
                <w:bCs w:val="1"/>
                <w:color w:val="auto"/>
                <w:shd w:val="clear" w:color="auto" w:fill="CDDEE7"/>
              </w:rPr>
              <w:t>713,385</w:t>
            </w:r>
          </w:p>
        </w:tc>
        <w:tc>
          <w:tcPr>
            <w:tcW w:w="22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shd w:val="clear" w:color="auto" w:fill="E0EBED"/>
          </w:tcPr>
          <w:p>
            <w:pPr>
              <w:jc w:val="right"/>
              <w:spacing w:after="0"/>
              <w:rPr>
                <w:sz w:val="20"/>
                <w:szCs w:val="20"/>
                <w:color w:val="auto"/>
              </w:rPr>
            </w:pPr>
            <w:r>
              <w:rPr>
                <w:rFonts w:ascii="Arial" w:cs="Arial" w:eastAsia="Arial" w:hAnsi="Arial"/>
                <w:sz w:val="17"/>
                <w:szCs w:val="17"/>
                <w:color w:val="auto"/>
                <w:shd w:val="clear" w:color="auto" w:fill="E0EBED"/>
              </w:rPr>
              <w:t>$</w:t>
            </w:r>
          </w:p>
        </w:tc>
        <w:tc>
          <w:tcPr>
            <w:tcW w:w="840" w:type="dxa"/>
            <w:vAlign w:val="bottom"/>
            <w:tcBorders>
              <w:top w:val="single" w:sz="8" w:color="auto"/>
              <w:bottom w:val="single" w:sz="8" w:color="auto"/>
            </w:tcBorders>
            <w:shd w:val="clear" w:color="auto" w:fill="E0EBED"/>
          </w:tcPr>
          <w:p>
            <w:pPr>
              <w:jc w:val="right"/>
              <w:ind w:right="34"/>
              <w:spacing w:after="0"/>
              <w:rPr>
                <w:sz w:val="20"/>
                <w:szCs w:val="20"/>
                <w:color w:val="auto"/>
              </w:rPr>
            </w:pPr>
            <w:r>
              <w:rPr>
                <w:rFonts w:ascii="Arial" w:cs="Arial" w:eastAsia="Arial" w:hAnsi="Arial"/>
                <w:sz w:val="17"/>
                <w:szCs w:val="17"/>
                <w:color w:val="auto"/>
                <w:shd w:val="clear" w:color="auto" w:fill="E0EBED"/>
              </w:rPr>
              <w:t>425,444</w:t>
            </w:r>
          </w:p>
        </w:tc>
        <w:tc>
          <w:tcPr>
            <w:tcW w:w="22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shd w:val="clear" w:color="auto" w:fill="E0EBED"/>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auto"/>
            </w:tcBorders>
            <w:shd w:val="clear" w:color="auto" w:fill="E0EBED"/>
          </w:tcPr>
          <w:p>
            <w:pPr>
              <w:jc w:val="right"/>
              <w:ind w:right="34"/>
              <w:spacing w:after="0"/>
              <w:rPr>
                <w:sz w:val="20"/>
                <w:szCs w:val="20"/>
                <w:color w:val="auto"/>
              </w:rPr>
            </w:pPr>
            <w:r>
              <w:rPr>
                <w:rFonts w:ascii="Arial" w:cs="Arial" w:eastAsia="Arial" w:hAnsi="Arial"/>
                <w:sz w:val="17"/>
                <w:szCs w:val="17"/>
                <w:color w:val="auto"/>
              </w:rPr>
              <w:t>288,938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840" w:type="dxa"/>
            <w:vAlign w:val="bottom"/>
          </w:tcPr>
          <w:p>
            <w:pPr>
              <w:spacing w:after="0" w:line="188" w:lineRule="exact"/>
              <w:rPr>
                <w:sz w:val="20"/>
                <w:szCs w:val="20"/>
                <w:color w:val="auto"/>
              </w:rPr>
            </w:pPr>
            <w:r>
              <w:rPr>
                <w:rFonts w:ascii="Arial" w:cs="Arial" w:eastAsia="Arial" w:hAnsi="Arial"/>
                <w:sz w:val="17"/>
                <w:szCs w:val="17"/>
                <w:color w:val="auto"/>
              </w:rPr>
              <w:t>Other comprehensive (loss) earnings, net of tax:</w:t>
            </w:r>
          </w:p>
        </w:tc>
        <w:tc>
          <w:tcPr>
            <w:tcW w:w="200" w:type="dxa"/>
            <w:vAlign w:val="bottom"/>
            <w:shd w:val="clear" w:color="auto" w:fill="CDDEE7"/>
          </w:tcPr>
          <w:p>
            <w:pPr>
              <w:spacing w:after="0"/>
              <w:rPr>
                <w:sz w:val="16"/>
                <w:szCs w:val="16"/>
                <w:color w:val="auto"/>
              </w:rPr>
            </w:pPr>
          </w:p>
        </w:tc>
        <w:tc>
          <w:tcPr>
            <w:tcW w:w="720" w:type="dxa"/>
            <w:vAlign w:val="bottom"/>
            <w:shd w:val="clear" w:color="auto" w:fill="CDDEE7"/>
          </w:tcPr>
          <w:p>
            <w:pPr>
              <w:spacing w:after="0"/>
              <w:rPr>
                <w:sz w:val="16"/>
                <w:szCs w:val="16"/>
                <w:color w:val="auto"/>
              </w:rPr>
            </w:pPr>
          </w:p>
        </w:tc>
        <w:tc>
          <w:tcPr>
            <w:tcW w:w="120" w:type="dxa"/>
            <w:vAlign w:val="bottom"/>
            <w:shd w:val="clear" w:color="auto" w:fill="CDDEE7"/>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840" w:type="dxa"/>
            <w:vAlign w:val="bottom"/>
            <w:shd w:val="clear" w:color="auto" w:fill="E0EBED"/>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840" w:type="dxa"/>
            <w:vAlign w:val="bottom"/>
            <w:shd w:val="clear" w:color="auto" w:fill="E0EBED"/>
          </w:tcPr>
          <w:p>
            <w:pPr>
              <w:spacing w:after="0"/>
              <w:rPr>
                <w:sz w:val="16"/>
                <w:szCs w:val="16"/>
                <w:color w:val="auto"/>
              </w:rPr>
            </w:pPr>
          </w:p>
        </w:tc>
        <w:tc>
          <w:tcPr>
            <w:tcW w:w="0" w:type="dxa"/>
            <w:vAlign w:val="bottom"/>
          </w:tcPr>
          <w:p>
            <w:pPr>
              <w:spacing w:after="0"/>
              <w:rPr>
                <w:sz w:val="1"/>
                <w:szCs w:val="1"/>
                <w:color w:val="auto"/>
              </w:rPr>
            </w:pPr>
          </w:p>
        </w:tc>
      </w:tr>
      <w:tr>
        <w:trPr>
          <w:trHeight w:val="401"/>
        </w:trPr>
        <w:tc>
          <w:tcPr>
            <w:tcW w:w="20" w:type="dxa"/>
            <w:vAlign w:val="bottom"/>
          </w:tcPr>
          <w:p>
            <w:pPr>
              <w:spacing w:after="0"/>
              <w:rPr>
                <w:sz w:val="24"/>
                <w:szCs w:val="24"/>
                <w:color w:val="auto"/>
              </w:rPr>
            </w:pPr>
          </w:p>
        </w:tc>
        <w:tc>
          <w:tcPr>
            <w:tcW w:w="7840" w:type="dxa"/>
            <w:vAlign w:val="bottom"/>
          </w:tcPr>
          <w:p>
            <w:pPr>
              <w:ind w:left="160"/>
              <w:spacing w:after="0"/>
              <w:rPr>
                <w:sz w:val="20"/>
                <w:szCs w:val="20"/>
                <w:color w:val="auto"/>
              </w:rPr>
            </w:pPr>
            <w:r>
              <w:rPr>
                <w:rFonts w:ascii="Arial" w:cs="Arial" w:eastAsia="Arial" w:hAnsi="Arial"/>
                <w:sz w:val="17"/>
                <w:szCs w:val="17"/>
                <w:color w:val="auto"/>
              </w:rPr>
              <w:t>Defined benefit pension and postretirement plans:</w:t>
            </w:r>
          </w:p>
        </w:tc>
        <w:tc>
          <w:tcPr>
            <w:tcW w:w="200" w:type="dxa"/>
            <w:vAlign w:val="bottom"/>
            <w:shd w:val="clear" w:color="auto" w:fill="CDDEE7"/>
          </w:tcPr>
          <w:p>
            <w:pPr>
              <w:spacing w:after="0"/>
              <w:rPr>
                <w:sz w:val="24"/>
                <w:szCs w:val="24"/>
                <w:color w:val="auto"/>
              </w:rPr>
            </w:pPr>
          </w:p>
        </w:tc>
        <w:tc>
          <w:tcPr>
            <w:tcW w:w="840" w:type="dxa"/>
            <w:vAlign w:val="bottom"/>
            <w:gridSpan w:val="2"/>
            <w:vMerge w:val="restart"/>
            <w:shd w:val="clear" w:color="auto" w:fill="CDDEE7"/>
          </w:tcPr>
          <w:p>
            <w:pPr>
              <w:jc w:val="right"/>
              <w:ind w:right="60"/>
              <w:spacing w:after="0"/>
              <w:rPr>
                <w:sz w:val="20"/>
                <w:szCs w:val="20"/>
                <w:color w:val="auto"/>
              </w:rPr>
            </w:pPr>
            <w:r>
              <w:rPr>
                <w:rFonts w:ascii="Arial" w:cs="Arial" w:eastAsia="Arial" w:hAnsi="Arial"/>
                <w:sz w:val="17"/>
                <w:szCs w:val="17"/>
                <w:b w:val="1"/>
                <w:bCs w:val="1"/>
                <w:color w:val="auto"/>
              </w:rPr>
              <w:t>(8,052)</w:t>
            </w:r>
          </w:p>
        </w:tc>
        <w:tc>
          <w:tcPr>
            <w:tcW w:w="220" w:type="dxa"/>
            <w:vAlign w:val="bottom"/>
          </w:tcPr>
          <w:p>
            <w:pPr>
              <w:spacing w:after="0"/>
              <w:rPr>
                <w:sz w:val="24"/>
                <w:szCs w:val="24"/>
                <w:color w:val="auto"/>
              </w:rPr>
            </w:pPr>
          </w:p>
        </w:tc>
        <w:tc>
          <w:tcPr>
            <w:tcW w:w="200" w:type="dxa"/>
            <w:vAlign w:val="bottom"/>
            <w:shd w:val="clear" w:color="auto" w:fill="E0EBED"/>
          </w:tcPr>
          <w:p>
            <w:pPr>
              <w:spacing w:after="0"/>
              <w:rPr>
                <w:sz w:val="24"/>
                <w:szCs w:val="24"/>
                <w:color w:val="auto"/>
              </w:rPr>
            </w:pPr>
          </w:p>
        </w:tc>
        <w:tc>
          <w:tcPr>
            <w:tcW w:w="840" w:type="dxa"/>
            <w:vAlign w:val="bottom"/>
            <w:shd w:val="clear" w:color="auto" w:fill="E0EBED"/>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shd w:val="clear" w:color="auto" w:fill="E0EBED"/>
          </w:tcPr>
          <w:p>
            <w:pPr>
              <w:spacing w:after="0"/>
              <w:rPr>
                <w:sz w:val="24"/>
                <w:szCs w:val="24"/>
                <w:color w:val="auto"/>
              </w:rPr>
            </w:pPr>
          </w:p>
        </w:tc>
        <w:tc>
          <w:tcPr>
            <w:tcW w:w="840" w:type="dxa"/>
            <w:vAlign w:val="bottom"/>
            <w:shd w:val="clear" w:color="auto" w:fill="E0EBED"/>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840" w:type="dxa"/>
            <w:vAlign w:val="bottom"/>
          </w:tcPr>
          <w:p>
            <w:pPr>
              <w:ind w:left="340"/>
              <w:spacing w:after="0" w:line="172" w:lineRule="exact"/>
              <w:rPr>
                <w:sz w:val="20"/>
                <w:szCs w:val="20"/>
                <w:color w:val="auto"/>
              </w:rPr>
            </w:pPr>
            <w:r>
              <w:rPr>
                <w:rFonts w:ascii="Arial" w:cs="Arial" w:eastAsia="Arial" w:hAnsi="Arial"/>
                <w:sz w:val="17"/>
                <w:szCs w:val="17"/>
                <w:color w:val="auto"/>
              </w:rPr>
              <w:t>Net loss arising during period, net of tax of $(2,625), $(19,734) and $(4,530), respectively</w:t>
            </w:r>
          </w:p>
        </w:tc>
        <w:tc>
          <w:tcPr>
            <w:tcW w:w="200" w:type="dxa"/>
            <w:vAlign w:val="bottom"/>
            <w:shd w:val="clear" w:color="auto" w:fill="CDDEE7"/>
          </w:tcPr>
          <w:p>
            <w:pPr>
              <w:spacing w:after="0"/>
              <w:rPr>
                <w:sz w:val="15"/>
                <w:szCs w:val="15"/>
                <w:color w:val="auto"/>
              </w:rPr>
            </w:pPr>
          </w:p>
        </w:tc>
        <w:tc>
          <w:tcPr>
            <w:tcW w:w="840" w:type="dxa"/>
            <w:vAlign w:val="bottom"/>
            <w:gridSpan w:val="2"/>
            <w:vMerge w:val="continue"/>
            <w:shd w:val="clear" w:color="auto" w:fill="CDDEE7"/>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shd w:val="clear" w:color="auto" w:fill="E0EBED"/>
          </w:tcPr>
          <w:p>
            <w:pPr>
              <w:spacing w:after="0"/>
              <w:rPr>
                <w:sz w:val="15"/>
                <w:szCs w:val="15"/>
                <w:color w:val="auto"/>
              </w:rPr>
            </w:pPr>
          </w:p>
        </w:tc>
        <w:tc>
          <w:tcPr>
            <w:tcW w:w="840" w:type="dxa"/>
            <w:vAlign w:val="bottom"/>
            <w:shd w:val="clear" w:color="auto" w:fill="E0EBED"/>
          </w:tcPr>
          <w:p>
            <w:pPr>
              <w:jc w:val="right"/>
              <w:spacing w:after="0" w:line="172" w:lineRule="exact"/>
              <w:rPr>
                <w:sz w:val="20"/>
                <w:szCs w:val="20"/>
                <w:color w:val="auto"/>
              </w:rPr>
            </w:pPr>
            <w:r>
              <w:rPr>
                <w:rFonts w:ascii="Arial" w:cs="Arial" w:eastAsia="Arial" w:hAnsi="Arial"/>
                <w:sz w:val="17"/>
                <w:szCs w:val="17"/>
                <w:color w:val="auto"/>
              </w:rPr>
              <w:t>(31,620)</w:t>
            </w:r>
          </w:p>
        </w:tc>
        <w:tc>
          <w:tcPr>
            <w:tcW w:w="220" w:type="dxa"/>
            <w:vAlign w:val="bottom"/>
          </w:tcPr>
          <w:p>
            <w:pPr>
              <w:spacing w:after="0"/>
              <w:rPr>
                <w:sz w:val="15"/>
                <w:szCs w:val="15"/>
                <w:color w:val="auto"/>
              </w:rPr>
            </w:pPr>
          </w:p>
        </w:tc>
        <w:tc>
          <w:tcPr>
            <w:tcW w:w="200" w:type="dxa"/>
            <w:vAlign w:val="bottom"/>
            <w:shd w:val="clear" w:color="auto" w:fill="E0EBED"/>
          </w:tcPr>
          <w:p>
            <w:pPr>
              <w:spacing w:after="0"/>
              <w:rPr>
                <w:sz w:val="15"/>
                <w:szCs w:val="15"/>
                <w:color w:val="auto"/>
              </w:rPr>
            </w:pPr>
          </w:p>
        </w:tc>
        <w:tc>
          <w:tcPr>
            <w:tcW w:w="840" w:type="dxa"/>
            <w:vAlign w:val="bottom"/>
            <w:shd w:val="clear" w:color="auto" w:fill="E0EBED"/>
          </w:tcPr>
          <w:p>
            <w:pPr>
              <w:jc w:val="right"/>
              <w:spacing w:after="0" w:line="172" w:lineRule="exact"/>
              <w:rPr>
                <w:sz w:val="20"/>
                <w:szCs w:val="20"/>
                <w:color w:val="auto"/>
              </w:rPr>
            </w:pPr>
            <w:r>
              <w:rPr>
                <w:rFonts w:ascii="Arial" w:cs="Arial" w:eastAsia="Arial" w:hAnsi="Arial"/>
                <w:sz w:val="17"/>
                <w:szCs w:val="17"/>
                <w:color w:val="auto"/>
              </w:rPr>
              <w:t>(7,101)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840" w:type="dxa"/>
            <w:vAlign w:val="bottom"/>
          </w:tcPr>
          <w:p>
            <w:pPr>
              <w:ind w:left="340"/>
              <w:spacing w:after="0"/>
              <w:rPr>
                <w:sz w:val="20"/>
                <w:szCs w:val="20"/>
                <w:color w:val="auto"/>
              </w:rPr>
            </w:pPr>
            <w:r>
              <w:rPr>
                <w:rFonts w:ascii="Arial" w:cs="Arial" w:eastAsia="Arial" w:hAnsi="Arial"/>
                <w:sz w:val="17"/>
                <w:szCs w:val="17"/>
                <w:color w:val="auto"/>
              </w:rPr>
              <w:t>Amortization of prior service credit, net of tax of $(547), $(617) and $(731), respectively</w:t>
            </w:r>
          </w:p>
        </w:tc>
        <w:tc>
          <w:tcPr>
            <w:tcW w:w="200" w:type="dxa"/>
            <w:vAlign w:val="bottom"/>
            <w:shd w:val="clear" w:color="auto" w:fill="CDDEE7"/>
          </w:tcPr>
          <w:p>
            <w:pPr>
              <w:spacing w:after="0"/>
              <w:rPr>
                <w:sz w:val="16"/>
                <w:szCs w:val="16"/>
                <w:color w:val="auto"/>
              </w:rPr>
            </w:pPr>
          </w:p>
        </w:tc>
        <w:tc>
          <w:tcPr>
            <w:tcW w:w="720" w:type="dxa"/>
            <w:vAlign w:val="bottom"/>
            <w:shd w:val="clear" w:color="auto" w:fill="CDDEE7"/>
          </w:tcPr>
          <w:p>
            <w:pPr>
              <w:jc w:val="right"/>
              <w:spacing w:after="0"/>
              <w:rPr>
                <w:sz w:val="20"/>
                <w:szCs w:val="20"/>
                <w:color w:val="auto"/>
              </w:rPr>
            </w:pPr>
            <w:r>
              <w:rPr>
                <w:rFonts w:ascii="Arial" w:cs="Arial" w:eastAsia="Arial" w:hAnsi="Arial"/>
                <w:sz w:val="17"/>
                <w:szCs w:val="17"/>
                <w:b w:val="1"/>
                <w:bCs w:val="1"/>
                <w:color w:val="auto"/>
              </w:rPr>
              <w:t>(883)</w:t>
            </w:r>
          </w:p>
        </w:tc>
        <w:tc>
          <w:tcPr>
            <w:tcW w:w="120" w:type="dxa"/>
            <w:vAlign w:val="bottom"/>
            <w:shd w:val="clear" w:color="auto" w:fill="CDDEE7"/>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840" w:type="dxa"/>
            <w:vAlign w:val="bottom"/>
            <w:shd w:val="clear" w:color="auto" w:fill="E0EBED"/>
          </w:tcPr>
          <w:p>
            <w:pPr>
              <w:jc w:val="right"/>
              <w:ind w:right="34"/>
              <w:spacing w:after="0"/>
              <w:rPr>
                <w:sz w:val="20"/>
                <w:szCs w:val="20"/>
                <w:color w:val="auto"/>
              </w:rPr>
            </w:pPr>
            <w:r>
              <w:rPr>
                <w:rFonts w:ascii="Arial" w:cs="Arial" w:eastAsia="Arial" w:hAnsi="Arial"/>
                <w:sz w:val="17"/>
                <w:szCs w:val="17"/>
                <w:color w:val="auto"/>
              </w:rPr>
              <w:t>(992)</w:t>
            </w:r>
          </w:p>
        </w:tc>
        <w:tc>
          <w:tcPr>
            <w:tcW w:w="22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840" w:type="dxa"/>
            <w:vAlign w:val="bottom"/>
            <w:shd w:val="clear" w:color="auto" w:fill="E0EBED"/>
          </w:tcPr>
          <w:p>
            <w:pPr>
              <w:jc w:val="right"/>
              <w:ind w:right="34"/>
              <w:spacing w:after="0"/>
              <w:rPr>
                <w:sz w:val="20"/>
                <w:szCs w:val="20"/>
                <w:color w:val="auto"/>
              </w:rPr>
            </w:pPr>
            <w:r>
              <w:rPr>
                <w:rFonts w:ascii="Arial" w:cs="Arial" w:eastAsia="Arial" w:hAnsi="Arial"/>
                <w:sz w:val="17"/>
                <w:szCs w:val="17"/>
                <w:color w:val="auto"/>
              </w:rPr>
              <w:t>(1,149)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40" w:type="dxa"/>
            <w:vAlign w:val="bottom"/>
          </w:tcPr>
          <w:p>
            <w:pPr>
              <w:ind w:left="340"/>
              <w:spacing w:after="0"/>
              <w:rPr>
                <w:sz w:val="20"/>
                <w:szCs w:val="20"/>
                <w:color w:val="auto"/>
              </w:rPr>
            </w:pPr>
            <w:r>
              <w:rPr>
                <w:rFonts w:ascii="Arial" w:cs="Arial" w:eastAsia="Arial" w:hAnsi="Arial"/>
                <w:sz w:val="17"/>
                <w:szCs w:val="17"/>
                <w:color w:val="auto"/>
              </w:rPr>
              <w:t>Amortization of actuarial loss, net of tax of $5,271, $4,437 and $6,551, respectively</w:t>
            </w:r>
          </w:p>
        </w:tc>
        <w:tc>
          <w:tcPr>
            <w:tcW w:w="200" w:type="dxa"/>
            <w:vAlign w:val="bottom"/>
            <w:shd w:val="clear" w:color="auto" w:fill="CDDEE7"/>
          </w:tcPr>
          <w:p>
            <w:pPr>
              <w:spacing w:after="0"/>
              <w:rPr>
                <w:sz w:val="18"/>
                <w:szCs w:val="18"/>
                <w:color w:val="auto"/>
              </w:rPr>
            </w:pPr>
          </w:p>
        </w:tc>
        <w:tc>
          <w:tcPr>
            <w:tcW w:w="720" w:type="dxa"/>
            <w:vAlign w:val="bottom"/>
            <w:shd w:val="clear" w:color="auto" w:fill="CDDEE7"/>
          </w:tcPr>
          <w:p>
            <w:pPr>
              <w:jc w:val="right"/>
              <w:spacing w:after="0"/>
              <w:rPr>
                <w:sz w:val="20"/>
                <w:szCs w:val="20"/>
                <w:color w:val="auto"/>
              </w:rPr>
            </w:pPr>
            <w:r>
              <w:rPr>
                <w:rFonts w:ascii="Arial" w:cs="Arial" w:eastAsia="Arial" w:hAnsi="Arial"/>
                <w:sz w:val="17"/>
                <w:szCs w:val="17"/>
                <w:b w:val="1"/>
                <w:bCs w:val="1"/>
                <w:color w:val="auto"/>
              </w:rPr>
              <w:t>8,503</w:t>
            </w:r>
          </w:p>
        </w:tc>
        <w:tc>
          <w:tcPr>
            <w:tcW w:w="120" w:type="dxa"/>
            <w:vAlign w:val="bottom"/>
            <w:shd w:val="clear" w:color="auto" w:fill="CDDEE7"/>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shd w:val="clear" w:color="auto" w:fill="E0EBED"/>
          </w:tcPr>
          <w:p>
            <w:pPr>
              <w:spacing w:after="0"/>
              <w:rPr>
                <w:sz w:val="18"/>
                <w:szCs w:val="18"/>
                <w:color w:val="auto"/>
              </w:rPr>
            </w:pPr>
          </w:p>
        </w:tc>
        <w:tc>
          <w:tcPr>
            <w:tcW w:w="840" w:type="dxa"/>
            <w:vAlign w:val="bottom"/>
            <w:shd w:val="clear" w:color="auto" w:fill="E0EBED"/>
          </w:tcPr>
          <w:p>
            <w:pPr>
              <w:jc w:val="right"/>
              <w:ind w:right="34"/>
              <w:spacing w:after="0"/>
              <w:rPr>
                <w:sz w:val="20"/>
                <w:szCs w:val="20"/>
                <w:color w:val="auto"/>
              </w:rPr>
            </w:pPr>
            <w:r>
              <w:rPr>
                <w:rFonts w:ascii="Arial" w:cs="Arial" w:eastAsia="Arial" w:hAnsi="Arial"/>
                <w:sz w:val="17"/>
                <w:szCs w:val="17"/>
                <w:color w:val="auto"/>
              </w:rPr>
              <w:t>7,138</w:t>
            </w:r>
          </w:p>
        </w:tc>
        <w:tc>
          <w:tcPr>
            <w:tcW w:w="220" w:type="dxa"/>
            <w:vAlign w:val="bottom"/>
          </w:tcPr>
          <w:p>
            <w:pPr>
              <w:spacing w:after="0"/>
              <w:rPr>
                <w:sz w:val="18"/>
                <w:szCs w:val="18"/>
                <w:color w:val="auto"/>
              </w:rPr>
            </w:pPr>
          </w:p>
        </w:tc>
        <w:tc>
          <w:tcPr>
            <w:tcW w:w="200" w:type="dxa"/>
            <w:vAlign w:val="bottom"/>
            <w:shd w:val="clear" w:color="auto" w:fill="E0EBED"/>
          </w:tcPr>
          <w:p>
            <w:pPr>
              <w:spacing w:after="0"/>
              <w:rPr>
                <w:sz w:val="18"/>
                <w:szCs w:val="18"/>
                <w:color w:val="auto"/>
              </w:rPr>
            </w:pPr>
          </w:p>
        </w:tc>
        <w:tc>
          <w:tcPr>
            <w:tcW w:w="840" w:type="dxa"/>
            <w:vAlign w:val="bottom"/>
            <w:shd w:val="clear" w:color="auto" w:fill="E0EBED"/>
          </w:tcPr>
          <w:p>
            <w:pPr>
              <w:jc w:val="right"/>
              <w:ind w:right="34"/>
              <w:spacing w:after="0"/>
              <w:rPr>
                <w:sz w:val="20"/>
                <w:szCs w:val="20"/>
                <w:color w:val="auto"/>
              </w:rPr>
            </w:pPr>
            <w:r>
              <w:rPr>
                <w:rFonts w:ascii="Arial" w:cs="Arial" w:eastAsia="Arial" w:hAnsi="Arial"/>
                <w:sz w:val="17"/>
                <w:szCs w:val="17"/>
                <w:color w:val="auto"/>
              </w:rPr>
              <w:t>10,299</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840" w:type="dxa"/>
            <w:vAlign w:val="bottom"/>
          </w:tcPr>
          <w:p>
            <w:pPr>
              <w:ind w:left="340"/>
              <w:spacing w:after="0"/>
              <w:rPr>
                <w:sz w:val="20"/>
                <w:szCs w:val="20"/>
                <w:color w:val="auto"/>
              </w:rPr>
            </w:pPr>
            <w:r>
              <w:rPr>
                <w:rFonts w:ascii="Arial" w:cs="Arial" w:eastAsia="Arial" w:hAnsi="Arial"/>
                <w:sz w:val="17"/>
                <w:szCs w:val="17"/>
                <w:color w:val="auto"/>
              </w:rPr>
              <w:t>Amount recognized in net periodic pension cost due to settlement, net of tax of $8, $44 and $0,</w:t>
            </w:r>
          </w:p>
        </w:tc>
        <w:tc>
          <w:tcPr>
            <w:tcW w:w="200" w:type="dxa"/>
            <w:vAlign w:val="bottom"/>
            <w:shd w:val="clear" w:color="auto" w:fill="CDDEE7"/>
          </w:tcPr>
          <w:p>
            <w:pPr>
              <w:spacing w:after="0"/>
              <w:rPr>
                <w:sz w:val="16"/>
                <w:szCs w:val="16"/>
                <w:color w:val="auto"/>
              </w:rPr>
            </w:pPr>
          </w:p>
        </w:tc>
        <w:tc>
          <w:tcPr>
            <w:tcW w:w="720" w:type="dxa"/>
            <w:vAlign w:val="bottom"/>
            <w:vMerge w:val="restart"/>
            <w:shd w:val="clear" w:color="auto" w:fill="CDDEE7"/>
          </w:tcPr>
          <w:p>
            <w:pPr>
              <w:jc w:val="right"/>
              <w:spacing w:after="0"/>
              <w:rPr>
                <w:sz w:val="20"/>
                <w:szCs w:val="20"/>
                <w:color w:val="auto"/>
              </w:rPr>
            </w:pPr>
            <w:r>
              <w:rPr>
                <w:rFonts w:ascii="Arial" w:cs="Arial" w:eastAsia="Arial" w:hAnsi="Arial"/>
                <w:sz w:val="17"/>
                <w:szCs w:val="17"/>
                <w:b w:val="1"/>
                <w:bCs w:val="1"/>
                <w:color w:val="auto"/>
              </w:rPr>
              <w:t>13</w:t>
            </w:r>
          </w:p>
        </w:tc>
        <w:tc>
          <w:tcPr>
            <w:tcW w:w="120" w:type="dxa"/>
            <w:vAlign w:val="bottom"/>
            <w:shd w:val="clear" w:color="auto" w:fill="CDDEE7"/>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840" w:type="dxa"/>
            <w:vAlign w:val="bottom"/>
            <w:shd w:val="clear" w:color="auto" w:fill="E0EBED"/>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840" w:type="dxa"/>
            <w:vAlign w:val="bottom"/>
            <w:shd w:val="clear" w:color="auto" w:fill="E0EBED"/>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840" w:type="dxa"/>
            <w:vAlign w:val="bottom"/>
          </w:tcPr>
          <w:p>
            <w:pPr>
              <w:ind w:left="500"/>
              <w:spacing w:after="0"/>
              <w:rPr>
                <w:sz w:val="20"/>
                <w:szCs w:val="20"/>
                <w:color w:val="auto"/>
              </w:rPr>
            </w:pPr>
            <w:r>
              <w:rPr>
                <w:rFonts w:ascii="Arial" w:cs="Arial" w:eastAsia="Arial" w:hAnsi="Arial"/>
                <w:sz w:val="17"/>
                <w:szCs w:val="17"/>
                <w:color w:val="auto"/>
              </w:rPr>
              <w:t>respectively</w:t>
            </w:r>
          </w:p>
        </w:tc>
        <w:tc>
          <w:tcPr>
            <w:tcW w:w="200" w:type="dxa"/>
            <w:vAlign w:val="bottom"/>
            <w:shd w:val="clear" w:color="auto" w:fill="CDDEE7"/>
          </w:tcPr>
          <w:p>
            <w:pPr>
              <w:spacing w:after="0"/>
              <w:rPr>
                <w:sz w:val="16"/>
                <w:szCs w:val="16"/>
                <w:color w:val="auto"/>
              </w:rPr>
            </w:pPr>
          </w:p>
        </w:tc>
        <w:tc>
          <w:tcPr>
            <w:tcW w:w="720" w:type="dxa"/>
            <w:vAlign w:val="bottom"/>
            <w:vMerge w:val="continue"/>
            <w:shd w:val="clear" w:color="auto" w:fill="CDDEE7"/>
          </w:tcPr>
          <w:p>
            <w:pPr>
              <w:spacing w:after="0"/>
              <w:rPr>
                <w:sz w:val="16"/>
                <w:szCs w:val="16"/>
                <w:color w:val="auto"/>
              </w:rPr>
            </w:pPr>
          </w:p>
        </w:tc>
        <w:tc>
          <w:tcPr>
            <w:tcW w:w="120" w:type="dxa"/>
            <w:vAlign w:val="bottom"/>
            <w:shd w:val="clear" w:color="auto" w:fill="CDDEE7"/>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840" w:type="dxa"/>
            <w:vAlign w:val="bottom"/>
            <w:shd w:val="clear" w:color="auto" w:fill="E0EBED"/>
          </w:tcPr>
          <w:p>
            <w:pPr>
              <w:jc w:val="right"/>
              <w:ind w:right="34"/>
              <w:spacing w:after="0"/>
              <w:rPr>
                <w:sz w:val="20"/>
                <w:szCs w:val="20"/>
                <w:color w:val="auto"/>
              </w:rPr>
            </w:pPr>
            <w:r>
              <w:rPr>
                <w:rFonts w:ascii="Arial" w:cs="Arial" w:eastAsia="Arial" w:hAnsi="Arial"/>
                <w:sz w:val="17"/>
                <w:szCs w:val="17"/>
                <w:color w:val="auto"/>
              </w:rPr>
              <w:t>71</w:t>
            </w:r>
          </w:p>
        </w:tc>
        <w:tc>
          <w:tcPr>
            <w:tcW w:w="22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840" w:type="dxa"/>
            <w:vAlign w:val="bottom"/>
            <w:shd w:val="clear" w:color="auto" w:fill="E0EBED"/>
          </w:tcPr>
          <w:p>
            <w:pPr>
              <w:jc w:val="right"/>
              <w:ind w:right="3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840" w:type="dxa"/>
            <w:vAlign w:val="bottom"/>
          </w:tcPr>
          <w:p>
            <w:pPr>
              <w:ind w:left="340"/>
              <w:spacing w:after="0"/>
              <w:rPr>
                <w:sz w:val="20"/>
                <w:szCs w:val="20"/>
                <w:color w:val="auto"/>
              </w:rPr>
            </w:pPr>
            <w:r>
              <w:rPr>
                <w:rFonts w:ascii="Arial" w:cs="Arial" w:eastAsia="Arial" w:hAnsi="Arial"/>
                <w:sz w:val="17"/>
                <w:szCs w:val="17"/>
                <w:color w:val="auto"/>
              </w:rPr>
              <w:t>Amount recognized in net periodic pension cost due to special plan termination benefits, net of tax</w:t>
            </w:r>
          </w:p>
        </w:tc>
        <w:tc>
          <w:tcPr>
            <w:tcW w:w="200" w:type="dxa"/>
            <w:vAlign w:val="bottom"/>
            <w:shd w:val="clear" w:color="auto" w:fill="CDDEE7"/>
          </w:tcPr>
          <w:p>
            <w:pPr>
              <w:spacing w:after="0"/>
              <w:rPr>
                <w:sz w:val="16"/>
                <w:szCs w:val="16"/>
                <w:color w:val="auto"/>
              </w:rPr>
            </w:pPr>
          </w:p>
        </w:tc>
        <w:tc>
          <w:tcPr>
            <w:tcW w:w="720" w:type="dxa"/>
            <w:vAlign w:val="bottom"/>
            <w:vMerge w:val="restart"/>
            <w:shd w:val="clear" w:color="auto" w:fill="CDDEE7"/>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shd w:val="clear" w:color="auto" w:fill="CDDEE7"/>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840" w:type="dxa"/>
            <w:vAlign w:val="bottom"/>
            <w:shd w:val="clear" w:color="auto" w:fill="E0EBED"/>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840" w:type="dxa"/>
            <w:vAlign w:val="bottom"/>
            <w:shd w:val="clear" w:color="auto" w:fill="E0EBED"/>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7"/>
                <w:szCs w:val="17"/>
                <w:color w:val="auto"/>
              </w:rPr>
            </w:pPr>
          </w:p>
        </w:tc>
        <w:tc>
          <w:tcPr>
            <w:tcW w:w="7840" w:type="dxa"/>
            <w:vAlign w:val="bottom"/>
          </w:tcPr>
          <w:p>
            <w:pPr>
              <w:ind w:left="500"/>
              <w:spacing w:after="0"/>
              <w:rPr>
                <w:sz w:val="20"/>
                <w:szCs w:val="20"/>
                <w:color w:val="auto"/>
              </w:rPr>
            </w:pPr>
            <w:r>
              <w:rPr>
                <w:rFonts w:ascii="Arial" w:cs="Arial" w:eastAsia="Arial" w:hAnsi="Arial"/>
                <w:sz w:val="17"/>
                <w:szCs w:val="17"/>
                <w:color w:val="auto"/>
              </w:rPr>
              <w:t>of $0, $293 and $811, respectively</w:t>
            </w:r>
          </w:p>
        </w:tc>
        <w:tc>
          <w:tcPr>
            <w:tcW w:w="200" w:type="dxa"/>
            <w:vAlign w:val="bottom"/>
            <w:tcBorders>
              <w:bottom w:val="single" w:sz="8" w:color="auto"/>
            </w:tcBorders>
            <w:shd w:val="clear" w:color="auto" w:fill="CDDEE7"/>
          </w:tcPr>
          <w:p>
            <w:pPr>
              <w:spacing w:after="0"/>
              <w:rPr>
                <w:sz w:val="17"/>
                <w:szCs w:val="17"/>
                <w:color w:val="auto"/>
              </w:rPr>
            </w:pPr>
          </w:p>
        </w:tc>
        <w:tc>
          <w:tcPr>
            <w:tcW w:w="720" w:type="dxa"/>
            <w:vAlign w:val="bottom"/>
            <w:tcBorders>
              <w:bottom w:val="single" w:sz="8" w:color="auto"/>
            </w:tcBorders>
            <w:vMerge w:val="continue"/>
            <w:shd w:val="clear" w:color="auto" w:fill="CDDEE7"/>
          </w:tcPr>
          <w:p>
            <w:pPr>
              <w:spacing w:after="0"/>
              <w:rPr>
                <w:sz w:val="17"/>
                <w:szCs w:val="17"/>
                <w:color w:val="auto"/>
              </w:rPr>
            </w:pPr>
          </w:p>
        </w:tc>
        <w:tc>
          <w:tcPr>
            <w:tcW w:w="120" w:type="dxa"/>
            <w:vAlign w:val="bottom"/>
            <w:tcBorders>
              <w:bottom w:val="single" w:sz="8" w:color="auto"/>
            </w:tcBorders>
            <w:shd w:val="clear" w:color="auto" w:fill="CDDEE7"/>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shd w:val="clear" w:color="auto" w:fill="E0EBED"/>
          </w:tcPr>
          <w:p>
            <w:pPr>
              <w:spacing w:after="0"/>
              <w:rPr>
                <w:sz w:val="17"/>
                <w:szCs w:val="17"/>
                <w:color w:val="auto"/>
              </w:rPr>
            </w:pPr>
          </w:p>
        </w:tc>
        <w:tc>
          <w:tcPr>
            <w:tcW w:w="840" w:type="dxa"/>
            <w:vAlign w:val="bottom"/>
            <w:tcBorders>
              <w:bottom w:val="single" w:sz="8" w:color="auto"/>
            </w:tcBorders>
            <w:shd w:val="clear" w:color="auto" w:fill="E0EBED"/>
          </w:tcPr>
          <w:p>
            <w:pPr>
              <w:jc w:val="right"/>
              <w:ind w:right="34"/>
              <w:spacing w:after="0"/>
              <w:rPr>
                <w:sz w:val="20"/>
                <w:szCs w:val="20"/>
                <w:color w:val="auto"/>
              </w:rPr>
            </w:pPr>
            <w:r>
              <w:rPr>
                <w:rFonts w:ascii="Arial" w:cs="Arial" w:eastAsia="Arial" w:hAnsi="Arial"/>
                <w:sz w:val="17"/>
                <w:szCs w:val="17"/>
                <w:color w:val="auto"/>
              </w:rPr>
              <w:t>471</w:t>
            </w:r>
          </w:p>
        </w:tc>
        <w:tc>
          <w:tcPr>
            <w:tcW w:w="2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shd w:val="clear" w:color="auto" w:fill="E0EBED"/>
          </w:tcPr>
          <w:p>
            <w:pPr>
              <w:spacing w:after="0"/>
              <w:rPr>
                <w:sz w:val="17"/>
                <w:szCs w:val="17"/>
                <w:color w:val="auto"/>
              </w:rPr>
            </w:pPr>
          </w:p>
        </w:tc>
        <w:tc>
          <w:tcPr>
            <w:tcW w:w="840" w:type="dxa"/>
            <w:vAlign w:val="bottom"/>
            <w:tcBorders>
              <w:bottom w:val="single" w:sz="8" w:color="auto"/>
            </w:tcBorders>
            <w:shd w:val="clear" w:color="auto" w:fill="E0EBED"/>
          </w:tcPr>
          <w:p>
            <w:pPr>
              <w:jc w:val="right"/>
              <w:ind w:right="34"/>
              <w:spacing w:after="0"/>
              <w:rPr>
                <w:sz w:val="20"/>
                <w:szCs w:val="20"/>
                <w:color w:val="auto"/>
              </w:rPr>
            </w:pPr>
            <w:r>
              <w:rPr>
                <w:rFonts w:ascii="Arial" w:cs="Arial" w:eastAsia="Arial" w:hAnsi="Arial"/>
                <w:sz w:val="17"/>
                <w:szCs w:val="17"/>
                <w:color w:val="auto"/>
              </w:rPr>
              <w:t>1,274</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840" w:type="dxa"/>
            <w:vAlign w:val="bottom"/>
          </w:tcPr>
          <w:p>
            <w:pPr>
              <w:spacing w:after="0"/>
              <w:rPr>
                <w:sz w:val="16"/>
                <w:szCs w:val="16"/>
                <w:color w:val="auto"/>
              </w:rPr>
            </w:pPr>
          </w:p>
        </w:tc>
        <w:tc>
          <w:tcPr>
            <w:tcW w:w="200" w:type="dxa"/>
            <w:vAlign w:val="bottom"/>
            <w:shd w:val="clear" w:color="auto" w:fill="CDDEE7"/>
          </w:tcPr>
          <w:p>
            <w:pPr>
              <w:spacing w:after="0"/>
              <w:rPr>
                <w:sz w:val="16"/>
                <w:szCs w:val="16"/>
                <w:color w:val="auto"/>
              </w:rPr>
            </w:pPr>
          </w:p>
        </w:tc>
        <w:tc>
          <w:tcPr>
            <w:tcW w:w="720" w:type="dxa"/>
            <w:vAlign w:val="bottom"/>
            <w:shd w:val="clear" w:color="auto" w:fill="CDDEE7"/>
          </w:tcPr>
          <w:p>
            <w:pPr>
              <w:jc w:val="right"/>
              <w:spacing w:after="0" w:line="188" w:lineRule="exact"/>
              <w:rPr>
                <w:sz w:val="20"/>
                <w:szCs w:val="20"/>
                <w:color w:val="auto"/>
              </w:rPr>
            </w:pPr>
            <w:r>
              <w:rPr>
                <w:rFonts w:ascii="Arial" w:cs="Arial" w:eastAsia="Arial" w:hAnsi="Arial"/>
                <w:sz w:val="17"/>
                <w:szCs w:val="17"/>
                <w:b w:val="1"/>
                <w:bCs w:val="1"/>
                <w:color w:val="auto"/>
              </w:rPr>
              <w:t>(419)</w:t>
            </w:r>
          </w:p>
        </w:tc>
        <w:tc>
          <w:tcPr>
            <w:tcW w:w="120" w:type="dxa"/>
            <w:vAlign w:val="bottom"/>
            <w:shd w:val="clear" w:color="auto" w:fill="CDDEE7"/>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840" w:type="dxa"/>
            <w:vAlign w:val="bottom"/>
            <w:shd w:val="clear" w:color="auto" w:fill="E0EBED"/>
          </w:tcPr>
          <w:p>
            <w:pPr>
              <w:jc w:val="right"/>
              <w:ind w:right="34"/>
              <w:spacing w:after="0" w:line="188" w:lineRule="exact"/>
              <w:rPr>
                <w:sz w:val="20"/>
                <w:szCs w:val="20"/>
                <w:color w:val="auto"/>
              </w:rPr>
            </w:pPr>
            <w:r>
              <w:rPr>
                <w:rFonts w:ascii="Arial" w:cs="Arial" w:eastAsia="Arial" w:hAnsi="Arial"/>
                <w:sz w:val="17"/>
                <w:szCs w:val="17"/>
                <w:color w:val="auto"/>
              </w:rPr>
              <w:t>(24,932)</w:t>
            </w:r>
          </w:p>
        </w:tc>
        <w:tc>
          <w:tcPr>
            <w:tcW w:w="22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840" w:type="dxa"/>
            <w:vAlign w:val="bottom"/>
            <w:shd w:val="clear" w:color="auto" w:fill="E0EBED"/>
          </w:tcPr>
          <w:p>
            <w:pPr>
              <w:jc w:val="right"/>
              <w:ind w:right="34"/>
              <w:spacing w:after="0" w:line="188" w:lineRule="exact"/>
              <w:rPr>
                <w:sz w:val="20"/>
                <w:szCs w:val="20"/>
                <w:color w:val="auto"/>
              </w:rPr>
            </w:pPr>
            <w:r>
              <w:rPr>
                <w:rFonts w:ascii="Arial" w:cs="Arial" w:eastAsia="Arial" w:hAnsi="Arial"/>
                <w:sz w:val="17"/>
                <w:szCs w:val="17"/>
                <w:color w:val="auto"/>
              </w:rPr>
              <w:t>3,323</w:t>
            </w: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7840" w:type="dxa"/>
            <w:vAlign w:val="bottom"/>
          </w:tcPr>
          <w:p>
            <w:pPr>
              <w:ind w:left="160"/>
              <w:spacing w:after="0"/>
              <w:rPr>
                <w:sz w:val="20"/>
                <w:szCs w:val="20"/>
                <w:color w:val="auto"/>
              </w:rPr>
            </w:pPr>
            <w:r>
              <w:rPr>
                <w:rFonts w:ascii="Arial" w:cs="Arial" w:eastAsia="Arial" w:hAnsi="Arial"/>
                <w:sz w:val="17"/>
                <w:szCs w:val="17"/>
                <w:color w:val="auto"/>
              </w:rPr>
              <w:t>Foreign currency translation gain (loss)</w:t>
            </w:r>
          </w:p>
        </w:tc>
        <w:tc>
          <w:tcPr>
            <w:tcW w:w="200" w:type="dxa"/>
            <w:vAlign w:val="bottom"/>
            <w:shd w:val="clear" w:color="auto" w:fill="CDDEE7"/>
          </w:tcPr>
          <w:p>
            <w:pPr>
              <w:spacing w:after="0"/>
              <w:rPr>
                <w:sz w:val="24"/>
                <w:szCs w:val="24"/>
                <w:color w:val="auto"/>
              </w:rPr>
            </w:pPr>
          </w:p>
        </w:tc>
        <w:tc>
          <w:tcPr>
            <w:tcW w:w="840" w:type="dxa"/>
            <w:vAlign w:val="bottom"/>
            <w:gridSpan w:val="2"/>
            <w:shd w:val="clear" w:color="auto" w:fill="CDDEE7"/>
          </w:tcPr>
          <w:p>
            <w:pPr>
              <w:jc w:val="right"/>
              <w:ind w:right="120"/>
              <w:spacing w:after="0"/>
              <w:rPr>
                <w:sz w:val="20"/>
                <w:szCs w:val="20"/>
                <w:color w:val="auto"/>
              </w:rPr>
            </w:pPr>
            <w:r>
              <w:rPr>
                <w:rFonts w:ascii="Arial" w:cs="Arial" w:eastAsia="Arial" w:hAnsi="Arial"/>
                <w:sz w:val="17"/>
                <w:szCs w:val="17"/>
                <w:b w:val="1"/>
                <w:bCs w:val="1"/>
                <w:color w:val="auto"/>
              </w:rPr>
              <w:t>1,140</w:t>
            </w:r>
          </w:p>
        </w:tc>
        <w:tc>
          <w:tcPr>
            <w:tcW w:w="220" w:type="dxa"/>
            <w:vAlign w:val="bottom"/>
          </w:tcPr>
          <w:p>
            <w:pPr>
              <w:spacing w:after="0"/>
              <w:rPr>
                <w:sz w:val="24"/>
                <w:szCs w:val="24"/>
                <w:color w:val="auto"/>
              </w:rPr>
            </w:pPr>
          </w:p>
        </w:tc>
        <w:tc>
          <w:tcPr>
            <w:tcW w:w="200" w:type="dxa"/>
            <w:vAlign w:val="bottom"/>
            <w:shd w:val="clear" w:color="auto" w:fill="E0EBED"/>
          </w:tcPr>
          <w:p>
            <w:pPr>
              <w:spacing w:after="0"/>
              <w:rPr>
                <w:sz w:val="24"/>
                <w:szCs w:val="24"/>
                <w:color w:val="auto"/>
              </w:rPr>
            </w:pPr>
          </w:p>
        </w:tc>
        <w:tc>
          <w:tcPr>
            <w:tcW w:w="840" w:type="dxa"/>
            <w:vAlign w:val="bottom"/>
            <w:shd w:val="clear" w:color="auto" w:fill="E0EBED"/>
          </w:tcPr>
          <w:p>
            <w:pPr>
              <w:jc w:val="right"/>
              <w:spacing w:after="0"/>
              <w:rPr>
                <w:sz w:val="20"/>
                <w:szCs w:val="20"/>
                <w:color w:val="auto"/>
              </w:rPr>
            </w:pPr>
            <w:r>
              <w:rPr>
                <w:rFonts w:ascii="Arial" w:cs="Arial" w:eastAsia="Arial" w:hAnsi="Arial"/>
                <w:sz w:val="17"/>
                <w:szCs w:val="17"/>
                <w:color w:val="auto"/>
              </w:rPr>
              <w:t>(898)</w:t>
            </w:r>
          </w:p>
        </w:tc>
        <w:tc>
          <w:tcPr>
            <w:tcW w:w="220" w:type="dxa"/>
            <w:vAlign w:val="bottom"/>
          </w:tcPr>
          <w:p>
            <w:pPr>
              <w:spacing w:after="0"/>
              <w:rPr>
                <w:sz w:val="24"/>
                <w:szCs w:val="24"/>
                <w:color w:val="auto"/>
              </w:rPr>
            </w:pPr>
          </w:p>
        </w:tc>
        <w:tc>
          <w:tcPr>
            <w:tcW w:w="200" w:type="dxa"/>
            <w:vAlign w:val="bottom"/>
            <w:shd w:val="clear" w:color="auto" w:fill="E0EBED"/>
          </w:tcPr>
          <w:p>
            <w:pPr>
              <w:spacing w:after="0"/>
              <w:rPr>
                <w:sz w:val="24"/>
                <w:szCs w:val="24"/>
                <w:color w:val="auto"/>
              </w:rPr>
            </w:pPr>
          </w:p>
        </w:tc>
        <w:tc>
          <w:tcPr>
            <w:tcW w:w="840" w:type="dxa"/>
            <w:vAlign w:val="bottom"/>
            <w:shd w:val="clear" w:color="auto" w:fill="E0EBED"/>
          </w:tcPr>
          <w:p>
            <w:pPr>
              <w:jc w:val="right"/>
              <w:spacing w:after="0"/>
              <w:rPr>
                <w:sz w:val="20"/>
                <w:szCs w:val="20"/>
                <w:color w:val="auto"/>
              </w:rPr>
            </w:pPr>
            <w:r>
              <w:rPr>
                <w:rFonts w:ascii="Arial" w:cs="Arial" w:eastAsia="Arial" w:hAnsi="Arial"/>
                <w:sz w:val="17"/>
                <w:szCs w:val="17"/>
                <w:color w:val="auto"/>
              </w:rPr>
              <w:t>(3,542)</w:t>
            </w:r>
          </w:p>
        </w:tc>
        <w:tc>
          <w:tcPr>
            <w:tcW w:w="0" w:type="dxa"/>
            <w:vAlign w:val="bottom"/>
          </w:tcPr>
          <w:p>
            <w:pPr>
              <w:spacing w:after="0"/>
              <w:rPr>
                <w:sz w:val="1"/>
                <w:szCs w:val="1"/>
                <w:color w:val="auto"/>
              </w:rPr>
            </w:pPr>
          </w:p>
        </w:tc>
      </w:tr>
      <w:tr>
        <w:trPr>
          <w:trHeight w:val="388"/>
        </w:trPr>
        <w:tc>
          <w:tcPr>
            <w:tcW w:w="20" w:type="dxa"/>
            <w:vAlign w:val="bottom"/>
          </w:tcPr>
          <w:p>
            <w:pPr>
              <w:spacing w:after="0"/>
              <w:rPr>
                <w:sz w:val="24"/>
                <w:szCs w:val="24"/>
                <w:color w:val="auto"/>
              </w:rPr>
            </w:pPr>
          </w:p>
        </w:tc>
        <w:tc>
          <w:tcPr>
            <w:tcW w:w="7840" w:type="dxa"/>
            <w:vAlign w:val="bottom"/>
          </w:tcPr>
          <w:p>
            <w:pPr>
              <w:ind w:left="160"/>
              <w:spacing w:after="0"/>
              <w:rPr>
                <w:sz w:val="20"/>
                <w:szCs w:val="20"/>
                <w:color w:val="auto"/>
              </w:rPr>
            </w:pPr>
            <w:r>
              <w:rPr>
                <w:rFonts w:ascii="Arial" w:cs="Arial" w:eastAsia="Arial" w:hAnsi="Arial"/>
                <w:sz w:val="17"/>
                <w:szCs w:val="17"/>
                <w:color w:val="auto"/>
              </w:rPr>
              <w:t>Amortization of terminated value of forward starting interest rate swap agreements into interest</w:t>
            </w:r>
          </w:p>
        </w:tc>
        <w:tc>
          <w:tcPr>
            <w:tcW w:w="200" w:type="dxa"/>
            <w:vAlign w:val="bottom"/>
            <w:shd w:val="clear" w:color="auto" w:fill="CDDEE7"/>
          </w:tcPr>
          <w:p>
            <w:pPr>
              <w:spacing w:after="0"/>
              <w:rPr>
                <w:sz w:val="24"/>
                <w:szCs w:val="24"/>
                <w:color w:val="auto"/>
              </w:rPr>
            </w:pPr>
          </w:p>
        </w:tc>
        <w:tc>
          <w:tcPr>
            <w:tcW w:w="840" w:type="dxa"/>
            <w:vAlign w:val="bottom"/>
            <w:gridSpan w:val="2"/>
            <w:vMerge w:val="restart"/>
            <w:shd w:val="clear" w:color="auto" w:fill="CDDEE7"/>
          </w:tcPr>
          <w:p>
            <w:pPr>
              <w:jc w:val="right"/>
              <w:ind w:right="120"/>
              <w:spacing w:after="0"/>
              <w:rPr>
                <w:sz w:val="20"/>
                <w:szCs w:val="20"/>
                <w:color w:val="auto"/>
              </w:rPr>
            </w:pPr>
            <w:r>
              <w:rPr>
                <w:rFonts w:ascii="Arial" w:cs="Arial" w:eastAsia="Arial" w:hAnsi="Arial"/>
                <w:sz w:val="17"/>
                <w:szCs w:val="17"/>
                <w:b w:val="1"/>
                <w:bCs w:val="1"/>
                <w:color w:val="auto"/>
              </w:rPr>
              <w:t>872</w:t>
            </w:r>
          </w:p>
        </w:tc>
        <w:tc>
          <w:tcPr>
            <w:tcW w:w="220" w:type="dxa"/>
            <w:vAlign w:val="bottom"/>
          </w:tcPr>
          <w:p>
            <w:pPr>
              <w:spacing w:after="0"/>
              <w:rPr>
                <w:sz w:val="24"/>
                <w:szCs w:val="24"/>
                <w:color w:val="auto"/>
              </w:rPr>
            </w:pPr>
          </w:p>
        </w:tc>
        <w:tc>
          <w:tcPr>
            <w:tcW w:w="200" w:type="dxa"/>
            <w:vAlign w:val="bottom"/>
            <w:shd w:val="clear" w:color="auto" w:fill="E0EBED"/>
          </w:tcPr>
          <w:p>
            <w:pPr>
              <w:spacing w:after="0"/>
              <w:rPr>
                <w:sz w:val="24"/>
                <w:szCs w:val="24"/>
                <w:color w:val="auto"/>
              </w:rPr>
            </w:pPr>
          </w:p>
        </w:tc>
        <w:tc>
          <w:tcPr>
            <w:tcW w:w="840" w:type="dxa"/>
            <w:vAlign w:val="bottom"/>
            <w:shd w:val="clear" w:color="auto" w:fill="E0EBED"/>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shd w:val="clear" w:color="auto" w:fill="E0EBED"/>
          </w:tcPr>
          <w:p>
            <w:pPr>
              <w:spacing w:after="0"/>
              <w:rPr>
                <w:sz w:val="24"/>
                <w:szCs w:val="24"/>
                <w:color w:val="auto"/>
              </w:rPr>
            </w:pPr>
          </w:p>
        </w:tc>
        <w:tc>
          <w:tcPr>
            <w:tcW w:w="840" w:type="dxa"/>
            <w:vAlign w:val="bottom"/>
            <w:shd w:val="clear" w:color="auto" w:fill="E0EBED"/>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7"/>
                <w:szCs w:val="17"/>
                <w:color w:val="auto"/>
              </w:rPr>
            </w:pPr>
          </w:p>
        </w:tc>
        <w:tc>
          <w:tcPr>
            <w:tcW w:w="7840" w:type="dxa"/>
            <w:vAlign w:val="bottom"/>
          </w:tcPr>
          <w:p>
            <w:pPr>
              <w:ind w:left="320"/>
              <w:spacing w:after="0"/>
              <w:rPr>
                <w:sz w:val="20"/>
                <w:szCs w:val="20"/>
                <w:color w:val="auto"/>
              </w:rPr>
            </w:pPr>
            <w:r>
              <w:rPr>
                <w:rFonts w:ascii="Arial" w:cs="Arial" w:eastAsia="Arial" w:hAnsi="Arial"/>
                <w:sz w:val="17"/>
                <w:szCs w:val="17"/>
                <w:color w:val="auto"/>
              </w:rPr>
              <w:t>expense, net of tax of $571, $541 and $509, respectively</w:t>
            </w:r>
          </w:p>
        </w:tc>
        <w:tc>
          <w:tcPr>
            <w:tcW w:w="200" w:type="dxa"/>
            <w:vAlign w:val="bottom"/>
            <w:tcBorders>
              <w:bottom w:val="single" w:sz="8" w:color="auto"/>
            </w:tcBorders>
            <w:shd w:val="clear" w:color="auto" w:fill="CDDEE7"/>
          </w:tcPr>
          <w:p>
            <w:pPr>
              <w:spacing w:after="0"/>
              <w:rPr>
                <w:sz w:val="17"/>
                <w:szCs w:val="17"/>
                <w:color w:val="auto"/>
              </w:rPr>
            </w:pPr>
          </w:p>
        </w:tc>
        <w:tc>
          <w:tcPr>
            <w:tcW w:w="840" w:type="dxa"/>
            <w:vAlign w:val="bottom"/>
            <w:tcBorders>
              <w:bottom w:val="single" w:sz="8" w:color="auto"/>
            </w:tcBorders>
            <w:gridSpan w:val="2"/>
            <w:vMerge w:val="continue"/>
            <w:shd w:val="clear" w:color="auto" w:fill="CDDEE7"/>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shd w:val="clear" w:color="auto" w:fill="E0EBED"/>
          </w:tcPr>
          <w:p>
            <w:pPr>
              <w:spacing w:after="0"/>
              <w:rPr>
                <w:sz w:val="17"/>
                <w:szCs w:val="17"/>
                <w:color w:val="auto"/>
              </w:rPr>
            </w:pPr>
          </w:p>
        </w:tc>
        <w:tc>
          <w:tcPr>
            <w:tcW w:w="840" w:type="dxa"/>
            <w:vAlign w:val="bottom"/>
            <w:tcBorders>
              <w:bottom w:val="single" w:sz="8" w:color="auto"/>
            </w:tcBorders>
            <w:shd w:val="clear" w:color="auto" w:fill="E0EBED"/>
          </w:tcPr>
          <w:p>
            <w:pPr>
              <w:jc w:val="right"/>
              <w:ind w:right="34"/>
              <w:spacing w:after="0"/>
              <w:rPr>
                <w:sz w:val="20"/>
                <w:szCs w:val="20"/>
                <w:color w:val="auto"/>
              </w:rPr>
            </w:pPr>
            <w:r>
              <w:rPr>
                <w:rFonts w:ascii="Arial" w:cs="Arial" w:eastAsia="Arial" w:hAnsi="Arial"/>
                <w:sz w:val="17"/>
                <w:szCs w:val="17"/>
                <w:color w:val="auto"/>
              </w:rPr>
              <w:t>826</w:t>
            </w:r>
          </w:p>
        </w:tc>
        <w:tc>
          <w:tcPr>
            <w:tcW w:w="2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shd w:val="clear" w:color="auto" w:fill="E0EBED"/>
          </w:tcPr>
          <w:p>
            <w:pPr>
              <w:spacing w:after="0"/>
              <w:rPr>
                <w:sz w:val="17"/>
                <w:szCs w:val="17"/>
                <w:color w:val="auto"/>
              </w:rPr>
            </w:pPr>
          </w:p>
        </w:tc>
        <w:tc>
          <w:tcPr>
            <w:tcW w:w="840" w:type="dxa"/>
            <w:vAlign w:val="bottom"/>
            <w:tcBorders>
              <w:bottom w:val="single" w:sz="8" w:color="auto"/>
            </w:tcBorders>
            <w:shd w:val="clear" w:color="auto" w:fill="E0EBED"/>
          </w:tcPr>
          <w:p>
            <w:pPr>
              <w:jc w:val="right"/>
              <w:ind w:right="34"/>
              <w:spacing w:after="0"/>
              <w:rPr>
                <w:sz w:val="20"/>
                <w:szCs w:val="20"/>
                <w:color w:val="auto"/>
              </w:rPr>
            </w:pPr>
            <w:r>
              <w:rPr>
                <w:rFonts w:ascii="Arial" w:cs="Arial" w:eastAsia="Arial" w:hAnsi="Arial"/>
                <w:sz w:val="17"/>
                <w:szCs w:val="17"/>
                <w:color w:val="auto"/>
              </w:rPr>
              <w:t>771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8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shd w:val="clear" w:color="auto" w:fill="CDDEE7"/>
          </w:tcPr>
          <w:p>
            <w:pPr>
              <w:spacing w:after="0"/>
              <w:rPr>
                <w:sz w:val="16"/>
                <w:szCs w:val="16"/>
                <w:color w:val="auto"/>
              </w:rPr>
            </w:pPr>
          </w:p>
        </w:tc>
        <w:tc>
          <w:tcPr>
            <w:tcW w:w="840" w:type="dxa"/>
            <w:vAlign w:val="bottom"/>
            <w:tcBorders>
              <w:bottom w:val="single" w:sz="8" w:color="auto"/>
            </w:tcBorders>
            <w:gridSpan w:val="2"/>
            <w:shd w:val="clear" w:color="auto" w:fill="CDDEE7"/>
          </w:tcPr>
          <w:p>
            <w:pPr>
              <w:jc w:val="right"/>
              <w:ind w:right="120"/>
              <w:spacing w:after="0" w:line="188" w:lineRule="exact"/>
              <w:rPr>
                <w:sz w:val="20"/>
                <w:szCs w:val="20"/>
                <w:color w:val="auto"/>
              </w:rPr>
            </w:pPr>
            <w:r>
              <w:rPr>
                <w:rFonts w:ascii="Arial" w:cs="Arial" w:eastAsia="Arial" w:hAnsi="Arial"/>
                <w:sz w:val="17"/>
                <w:szCs w:val="17"/>
                <w:b w:val="1"/>
                <w:bCs w:val="1"/>
                <w:color w:val="auto"/>
              </w:rPr>
              <w:t>1,593</w:t>
            </w: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shd w:val="clear" w:color="auto" w:fill="E0EBED"/>
          </w:tcPr>
          <w:p>
            <w:pPr>
              <w:spacing w:after="0"/>
              <w:rPr>
                <w:sz w:val="16"/>
                <w:szCs w:val="16"/>
                <w:color w:val="auto"/>
              </w:rPr>
            </w:pPr>
          </w:p>
        </w:tc>
        <w:tc>
          <w:tcPr>
            <w:tcW w:w="840" w:type="dxa"/>
            <w:vAlign w:val="bottom"/>
            <w:tcBorders>
              <w:bottom w:val="single" w:sz="8" w:color="auto"/>
            </w:tcBorders>
            <w:shd w:val="clear" w:color="auto" w:fill="E0EBED"/>
          </w:tcPr>
          <w:p>
            <w:pPr>
              <w:jc w:val="right"/>
              <w:spacing w:after="0" w:line="188" w:lineRule="exact"/>
              <w:rPr>
                <w:sz w:val="20"/>
                <w:szCs w:val="20"/>
                <w:color w:val="auto"/>
              </w:rPr>
            </w:pPr>
            <w:r>
              <w:rPr>
                <w:rFonts w:ascii="Arial" w:cs="Arial" w:eastAsia="Arial" w:hAnsi="Arial"/>
                <w:sz w:val="17"/>
                <w:szCs w:val="17"/>
                <w:color w:val="auto"/>
              </w:rPr>
              <w:t>(25,004)</w:t>
            </w: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shd w:val="clear" w:color="auto" w:fill="E0EBED"/>
          </w:tcPr>
          <w:p>
            <w:pPr>
              <w:spacing w:after="0"/>
              <w:rPr>
                <w:sz w:val="16"/>
                <w:szCs w:val="16"/>
                <w:color w:val="auto"/>
              </w:rPr>
            </w:pPr>
          </w:p>
        </w:tc>
        <w:tc>
          <w:tcPr>
            <w:tcW w:w="840" w:type="dxa"/>
            <w:vAlign w:val="bottom"/>
            <w:tcBorders>
              <w:bottom w:val="single" w:sz="8" w:color="auto"/>
            </w:tcBorders>
            <w:shd w:val="clear" w:color="auto" w:fill="E0EBED"/>
          </w:tcPr>
          <w:p>
            <w:pPr>
              <w:jc w:val="right"/>
              <w:ind w:right="34"/>
              <w:spacing w:after="0" w:line="188" w:lineRule="exact"/>
              <w:rPr>
                <w:sz w:val="20"/>
                <w:szCs w:val="20"/>
                <w:color w:val="auto"/>
              </w:rPr>
            </w:pPr>
            <w:r>
              <w:rPr>
                <w:rFonts w:ascii="Arial" w:cs="Arial" w:eastAsia="Arial" w:hAnsi="Arial"/>
                <w:sz w:val="17"/>
                <w:szCs w:val="17"/>
                <w:color w:val="auto"/>
              </w:rPr>
              <w:t>552</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40" w:type="dxa"/>
            <w:vAlign w:val="bottom"/>
          </w:tcPr>
          <w:p>
            <w:pPr>
              <w:spacing w:after="0" w:line="165" w:lineRule="exact"/>
              <w:rPr>
                <w:sz w:val="20"/>
                <w:szCs w:val="20"/>
                <w:color w:val="auto"/>
              </w:rPr>
            </w:pPr>
            <w:r>
              <w:rPr>
                <w:rFonts w:ascii="Arial" w:cs="Arial" w:eastAsia="Arial" w:hAnsi="Arial"/>
                <w:sz w:val="17"/>
                <w:szCs w:val="17"/>
                <w:color w:val="auto"/>
              </w:rPr>
              <w:t>Consolidated comprehensive earnings</w:t>
            </w:r>
          </w:p>
        </w:tc>
        <w:tc>
          <w:tcPr>
            <w:tcW w:w="200" w:type="dxa"/>
            <w:vAlign w:val="bottom"/>
            <w:shd w:val="clear" w:color="auto" w:fill="CDDEE7"/>
          </w:tcPr>
          <w:p>
            <w:pPr>
              <w:spacing w:after="0"/>
              <w:rPr>
                <w:sz w:val="14"/>
                <w:szCs w:val="14"/>
                <w:color w:val="auto"/>
              </w:rPr>
            </w:pPr>
          </w:p>
        </w:tc>
        <w:tc>
          <w:tcPr>
            <w:tcW w:w="720" w:type="dxa"/>
            <w:vAlign w:val="bottom"/>
            <w:shd w:val="clear" w:color="auto" w:fill="CDDEE7"/>
          </w:tcPr>
          <w:p>
            <w:pPr>
              <w:jc w:val="right"/>
              <w:spacing w:after="0" w:line="165" w:lineRule="exact"/>
              <w:rPr>
                <w:sz w:val="20"/>
                <w:szCs w:val="20"/>
                <w:color w:val="auto"/>
              </w:rPr>
            </w:pPr>
            <w:r>
              <w:rPr>
                <w:rFonts w:ascii="Arial" w:cs="Arial" w:eastAsia="Arial" w:hAnsi="Arial"/>
                <w:sz w:val="17"/>
                <w:szCs w:val="17"/>
                <w:b w:val="1"/>
                <w:bCs w:val="1"/>
                <w:color w:val="auto"/>
              </w:rPr>
              <w:t>714,978</w:t>
            </w:r>
          </w:p>
        </w:tc>
        <w:tc>
          <w:tcPr>
            <w:tcW w:w="120" w:type="dxa"/>
            <w:vAlign w:val="bottom"/>
            <w:shd w:val="clear" w:color="auto" w:fill="CDDEE7"/>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shd w:val="clear" w:color="auto" w:fill="E0EBED"/>
          </w:tcPr>
          <w:p>
            <w:pPr>
              <w:spacing w:after="0"/>
              <w:rPr>
                <w:sz w:val="14"/>
                <w:szCs w:val="14"/>
                <w:color w:val="auto"/>
              </w:rPr>
            </w:pPr>
          </w:p>
        </w:tc>
        <w:tc>
          <w:tcPr>
            <w:tcW w:w="840" w:type="dxa"/>
            <w:vAlign w:val="bottom"/>
            <w:shd w:val="clear" w:color="auto" w:fill="E0EBED"/>
          </w:tcPr>
          <w:p>
            <w:pPr>
              <w:jc w:val="right"/>
              <w:ind w:right="34"/>
              <w:spacing w:after="0" w:line="165" w:lineRule="exact"/>
              <w:rPr>
                <w:sz w:val="20"/>
                <w:szCs w:val="20"/>
                <w:color w:val="auto"/>
              </w:rPr>
            </w:pPr>
            <w:r>
              <w:rPr>
                <w:rFonts w:ascii="Arial" w:cs="Arial" w:eastAsia="Arial" w:hAnsi="Arial"/>
                <w:sz w:val="17"/>
                <w:szCs w:val="17"/>
                <w:color w:val="auto"/>
              </w:rPr>
              <w:t>400,440</w:t>
            </w:r>
          </w:p>
        </w:tc>
        <w:tc>
          <w:tcPr>
            <w:tcW w:w="220" w:type="dxa"/>
            <w:vAlign w:val="bottom"/>
          </w:tcPr>
          <w:p>
            <w:pPr>
              <w:spacing w:after="0"/>
              <w:rPr>
                <w:sz w:val="14"/>
                <w:szCs w:val="14"/>
                <w:color w:val="auto"/>
              </w:rPr>
            </w:pPr>
          </w:p>
        </w:tc>
        <w:tc>
          <w:tcPr>
            <w:tcW w:w="200" w:type="dxa"/>
            <w:vAlign w:val="bottom"/>
            <w:shd w:val="clear" w:color="auto" w:fill="E0EBED"/>
          </w:tcPr>
          <w:p>
            <w:pPr>
              <w:spacing w:after="0"/>
              <w:rPr>
                <w:sz w:val="14"/>
                <w:szCs w:val="14"/>
                <w:color w:val="auto"/>
              </w:rPr>
            </w:pPr>
          </w:p>
        </w:tc>
        <w:tc>
          <w:tcPr>
            <w:tcW w:w="840" w:type="dxa"/>
            <w:vAlign w:val="bottom"/>
            <w:shd w:val="clear" w:color="auto" w:fill="E0EBED"/>
          </w:tcPr>
          <w:p>
            <w:pPr>
              <w:jc w:val="right"/>
              <w:ind w:right="34"/>
              <w:spacing w:after="0" w:line="165" w:lineRule="exact"/>
              <w:rPr>
                <w:sz w:val="20"/>
                <w:szCs w:val="20"/>
                <w:color w:val="auto"/>
              </w:rPr>
            </w:pPr>
            <w:r>
              <w:rPr>
                <w:rFonts w:ascii="Arial" w:cs="Arial" w:eastAsia="Arial" w:hAnsi="Arial"/>
                <w:sz w:val="17"/>
                <w:szCs w:val="17"/>
                <w:color w:val="auto"/>
              </w:rPr>
              <w:t>289,490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4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rPr>
              <w:t>Less: Comprehensive earnings attributable to noncontrolling interests</w:t>
            </w:r>
          </w:p>
        </w:tc>
        <w:tc>
          <w:tcPr>
            <w:tcW w:w="200" w:type="dxa"/>
            <w:vAlign w:val="bottom"/>
            <w:tcBorders>
              <w:bottom w:val="single" w:sz="8" w:color="auto"/>
            </w:tcBorders>
            <w:shd w:val="clear" w:color="auto" w:fill="CDDEE7"/>
          </w:tcPr>
          <w:p>
            <w:pPr>
              <w:spacing w:after="0"/>
              <w:rPr>
                <w:sz w:val="18"/>
                <w:szCs w:val="18"/>
                <w:color w:val="auto"/>
              </w:rPr>
            </w:pPr>
          </w:p>
        </w:tc>
        <w:tc>
          <w:tcPr>
            <w:tcW w:w="720" w:type="dxa"/>
            <w:vAlign w:val="bottom"/>
            <w:tcBorders>
              <w:bottom w:val="single" w:sz="8" w:color="auto"/>
            </w:tcBorders>
            <w:shd w:val="clear" w:color="auto" w:fill="CDDEE7"/>
          </w:tcPr>
          <w:p>
            <w:pPr>
              <w:jc w:val="right"/>
              <w:spacing w:after="0"/>
              <w:rPr>
                <w:sz w:val="20"/>
                <w:szCs w:val="20"/>
                <w:color w:val="auto"/>
              </w:rPr>
            </w:pPr>
            <w:r>
              <w:rPr>
                <w:rFonts w:ascii="Arial" w:cs="Arial" w:eastAsia="Arial" w:hAnsi="Arial"/>
                <w:sz w:val="17"/>
                <w:szCs w:val="17"/>
                <w:b w:val="1"/>
                <w:bCs w:val="1"/>
                <w:color w:val="auto"/>
              </w:rPr>
              <w:t>53</w:t>
            </w:r>
          </w:p>
        </w:tc>
        <w:tc>
          <w:tcPr>
            <w:tcW w:w="120" w:type="dxa"/>
            <w:vAlign w:val="bottom"/>
            <w:tcBorders>
              <w:bottom w:val="single" w:sz="8" w:color="auto"/>
            </w:tcBorders>
            <w:shd w:val="clear" w:color="auto" w:fill="CDDEE7"/>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shd w:val="clear" w:color="auto" w:fill="E0EBED"/>
          </w:tcPr>
          <w:p>
            <w:pPr>
              <w:spacing w:after="0"/>
              <w:rPr>
                <w:sz w:val="18"/>
                <w:szCs w:val="18"/>
                <w:color w:val="auto"/>
              </w:rPr>
            </w:pPr>
          </w:p>
        </w:tc>
        <w:tc>
          <w:tcPr>
            <w:tcW w:w="840" w:type="dxa"/>
            <w:vAlign w:val="bottom"/>
            <w:tcBorders>
              <w:bottom w:val="single" w:sz="8" w:color="auto"/>
            </w:tcBorders>
            <w:shd w:val="clear" w:color="auto" w:fill="E0EBED"/>
          </w:tcPr>
          <w:p>
            <w:pPr>
              <w:jc w:val="right"/>
              <w:ind w:right="34"/>
              <w:spacing w:after="0"/>
              <w:rPr>
                <w:sz w:val="20"/>
                <w:szCs w:val="20"/>
                <w:color w:val="auto"/>
              </w:rPr>
            </w:pPr>
            <w:r>
              <w:rPr>
                <w:rFonts w:ascii="Arial" w:cs="Arial" w:eastAsia="Arial" w:hAnsi="Arial"/>
                <w:sz w:val="17"/>
                <w:szCs w:val="17"/>
                <w:color w:val="auto"/>
              </w:rPr>
              <w:t>119</w:t>
            </w: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shd w:val="clear" w:color="auto" w:fill="E0EBED"/>
          </w:tcPr>
          <w:p>
            <w:pPr>
              <w:spacing w:after="0"/>
              <w:rPr>
                <w:sz w:val="18"/>
                <w:szCs w:val="18"/>
                <w:color w:val="auto"/>
              </w:rPr>
            </w:pPr>
          </w:p>
        </w:tc>
        <w:tc>
          <w:tcPr>
            <w:tcW w:w="840" w:type="dxa"/>
            <w:vAlign w:val="bottom"/>
            <w:tcBorders>
              <w:bottom w:val="single" w:sz="8" w:color="auto"/>
            </w:tcBorders>
            <w:shd w:val="clear" w:color="auto" w:fill="E0EBED"/>
          </w:tcPr>
          <w:p>
            <w:pPr>
              <w:jc w:val="right"/>
              <w:ind w:right="34"/>
              <w:spacing w:after="0"/>
              <w:rPr>
                <w:sz w:val="20"/>
                <w:szCs w:val="20"/>
                <w:color w:val="auto"/>
              </w:rPr>
            </w:pPr>
            <w:r>
              <w:rPr>
                <w:rFonts w:ascii="Arial" w:cs="Arial" w:eastAsia="Arial" w:hAnsi="Arial"/>
                <w:sz w:val="17"/>
                <w:szCs w:val="17"/>
                <w:color w:val="auto"/>
              </w:rPr>
              <w:t>161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840" w:type="dxa"/>
            <w:vAlign w:val="bottom"/>
            <w:tcBorders>
              <w:bottom w:val="single" w:sz="8" w:color="auto"/>
            </w:tcBorders>
          </w:tcPr>
          <w:p>
            <w:pPr>
              <w:spacing w:after="0" w:line="201" w:lineRule="exact"/>
              <w:rPr>
                <w:sz w:val="20"/>
                <w:szCs w:val="20"/>
                <w:color w:val="auto"/>
              </w:rPr>
            </w:pPr>
            <w:r>
              <w:rPr>
                <w:rFonts w:ascii="Arial" w:cs="Arial" w:eastAsia="Arial" w:hAnsi="Arial"/>
                <w:sz w:val="18"/>
                <w:szCs w:val="18"/>
                <w:b w:val="1"/>
                <w:bCs w:val="1"/>
                <w:color w:val="auto"/>
              </w:rPr>
              <w:t>Comprehensive Earnings Attributable to Martin Marietta</w:t>
            </w:r>
          </w:p>
        </w:tc>
        <w:tc>
          <w:tcPr>
            <w:tcW w:w="200" w:type="dxa"/>
            <w:vAlign w:val="bottom"/>
            <w:tcBorders>
              <w:bottom w:val="single" w:sz="8" w:color="auto"/>
            </w:tcBorders>
            <w:shd w:val="clear" w:color="auto" w:fill="CDDEE7"/>
          </w:tcPr>
          <w:p>
            <w:pPr>
              <w:jc w:val="right"/>
              <w:spacing w:after="0"/>
              <w:rPr>
                <w:sz w:val="20"/>
                <w:szCs w:val="20"/>
                <w:color w:val="auto"/>
              </w:rPr>
            </w:pPr>
            <w:r>
              <w:rPr>
                <w:rFonts w:ascii="Arial" w:cs="Arial" w:eastAsia="Arial" w:hAnsi="Arial"/>
                <w:sz w:val="17"/>
                <w:szCs w:val="17"/>
                <w:b w:val="1"/>
                <w:bCs w:val="1"/>
                <w:color w:val="auto"/>
              </w:rPr>
              <w:t>$</w:t>
            </w:r>
          </w:p>
        </w:tc>
        <w:tc>
          <w:tcPr>
            <w:tcW w:w="720" w:type="dxa"/>
            <w:vAlign w:val="bottom"/>
            <w:tcBorders>
              <w:bottom w:val="single" w:sz="8" w:color="auto"/>
            </w:tcBorders>
            <w:shd w:val="clear" w:color="auto" w:fill="CDDEE7"/>
          </w:tcPr>
          <w:p>
            <w:pPr>
              <w:jc w:val="right"/>
              <w:spacing w:after="0"/>
              <w:rPr>
                <w:sz w:val="20"/>
                <w:szCs w:val="20"/>
                <w:color w:val="auto"/>
              </w:rPr>
            </w:pPr>
            <w:r>
              <w:rPr>
                <w:rFonts w:ascii="Arial" w:cs="Arial" w:eastAsia="Arial" w:hAnsi="Arial"/>
                <w:sz w:val="17"/>
                <w:szCs w:val="17"/>
                <w:b w:val="1"/>
                <w:bCs w:val="1"/>
                <w:color w:val="auto"/>
              </w:rPr>
              <w:t>714,925</w:t>
            </w:r>
          </w:p>
        </w:tc>
        <w:tc>
          <w:tcPr>
            <w:tcW w:w="120" w:type="dxa"/>
            <w:vAlign w:val="bottom"/>
            <w:tcBorders>
              <w:bottom w:val="single" w:sz="8" w:color="auto"/>
            </w:tcBorders>
            <w:shd w:val="clear" w:color="auto" w:fill="CDDEE7"/>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shd w:val="clear" w:color="auto" w:fill="E0EBED"/>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E0EBED"/>
          </w:tcPr>
          <w:p>
            <w:pPr>
              <w:jc w:val="right"/>
              <w:ind w:right="34"/>
              <w:spacing w:after="0"/>
              <w:rPr>
                <w:sz w:val="20"/>
                <w:szCs w:val="20"/>
                <w:color w:val="auto"/>
              </w:rPr>
            </w:pPr>
            <w:r>
              <w:rPr>
                <w:rFonts w:ascii="Arial" w:cs="Arial" w:eastAsia="Arial" w:hAnsi="Arial"/>
                <w:sz w:val="17"/>
                <w:szCs w:val="17"/>
                <w:color w:val="auto"/>
              </w:rPr>
              <w:t>400,321</w:t>
            </w:r>
          </w:p>
        </w:tc>
        <w:tc>
          <w:tcPr>
            <w:tcW w:w="2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shd w:val="clear" w:color="auto" w:fill="E0EBED"/>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E0EBED"/>
          </w:tcPr>
          <w:p>
            <w:pPr>
              <w:jc w:val="right"/>
              <w:ind w:right="34"/>
              <w:spacing w:after="0"/>
              <w:rPr>
                <w:sz w:val="20"/>
                <w:szCs w:val="20"/>
                <w:color w:val="auto"/>
              </w:rPr>
            </w:pPr>
            <w:r>
              <w:rPr>
                <w:rFonts w:ascii="Arial" w:cs="Arial" w:eastAsia="Arial" w:hAnsi="Arial"/>
                <w:sz w:val="17"/>
                <w:szCs w:val="17"/>
                <w:color w:val="auto"/>
              </w:rPr>
              <w:t>289,329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auto"/>
        </w:rPr>
        <w:t>The notes on pages 15 through 41 are an integral part of these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11</w:t>
      </w:r>
    </w:p>
    <w:p>
      <w:pPr>
        <w:sectPr>
          <w:pgSz w:w="11900" w:h="16838" w:orient="portrait"/>
          <w:cols w:equalWidth="0" w:num="1">
            <w:col w:w="11420"/>
          </w:cols>
          <w:pgMar w:left="240" w:top="376" w:right="2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325"/>
        </w:trPr>
        <w:tc>
          <w:tcPr>
            <w:tcW w:w="20" w:type="dxa"/>
            <w:vAlign w:val="bottom"/>
          </w:tcPr>
          <w:p>
            <w:pPr>
              <w:spacing w:after="0"/>
              <w:rPr>
                <w:sz w:val="24"/>
                <w:szCs w:val="24"/>
                <w:color w:val="auto"/>
              </w:rPr>
            </w:pPr>
          </w:p>
        </w:tc>
        <w:tc>
          <w:tcPr>
            <w:tcW w:w="8760" w:type="dxa"/>
            <w:vAlign w:val="bottom"/>
            <w:shd w:val="clear" w:color="auto" w:fill="0085CD"/>
          </w:tcPr>
          <w:p>
            <w:pPr>
              <w:spacing w:after="0"/>
              <w:rPr>
                <w:sz w:val="20"/>
                <w:szCs w:val="20"/>
                <w:color w:val="auto"/>
              </w:rPr>
            </w:pPr>
            <w:r>
              <w:rPr>
                <w:rFonts w:ascii="Arial" w:cs="Arial" w:eastAsia="Arial" w:hAnsi="Arial"/>
                <w:sz w:val="17"/>
                <w:szCs w:val="17"/>
                <w:b w:val="1"/>
                <w:bCs w:val="1"/>
                <w:color w:val="FFFFFF"/>
              </w:rPr>
              <w:t xml:space="preserve">CONSOLIDATED BALANCE SHEETS </w:t>
            </w:r>
            <w:r>
              <w:rPr>
                <w:rFonts w:ascii="Arial" w:cs="Arial" w:eastAsia="Arial" w:hAnsi="Arial"/>
                <w:sz w:val="17"/>
                <w:szCs w:val="17"/>
                <w:color w:val="FFFFFF"/>
              </w:rPr>
              <w:t>at December 31</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760" w:type="dxa"/>
            <w:vAlign w:val="bottom"/>
            <w:shd w:val="clear" w:color="auto" w:fill="0085CD"/>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80"/>
        </w:trPr>
        <w:tc>
          <w:tcPr>
            <w:tcW w:w="878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780" w:type="dxa"/>
            <w:vAlign w:val="bottom"/>
            <w:gridSpan w:val="2"/>
          </w:tcPr>
          <w:p>
            <w:pPr>
              <w:spacing w:after="0"/>
              <w:rPr>
                <w:sz w:val="20"/>
                <w:szCs w:val="20"/>
                <w:color w:val="auto"/>
              </w:rPr>
            </w:pPr>
            <w:r>
              <w:rPr>
                <w:rFonts w:ascii="Arial" w:cs="Arial" w:eastAsia="Arial" w:hAnsi="Arial"/>
                <w:sz w:val="17"/>
                <w:szCs w:val="17"/>
                <w:b w:val="1"/>
                <w:bCs w:val="1"/>
                <w:color w:val="auto"/>
              </w:rPr>
              <w:t xml:space="preserve">Assets </w:t>
            </w:r>
            <w:r>
              <w:rPr>
                <w:rFonts w:ascii="Arial" w:cs="Arial" w:eastAsia="Arial" w:hAnsi="Arial"/>
                <w:sz w:val="15"/>
                <w:szCs w:val="15"/>
                <w:color w:val="auto"/>
              </w:rPr>
              <w:t>(add 000)</w:t>
            </w:r>
          </w:p>
        </w:tc>
        <w:tc>
          <w:tcPr>
            <w:tcW w:w="40" w:type="dxa"/>
            <w:vAlign w:val="bottom"/>
          </w:tcPr>
          <w:p>
            <w:pPr>
              <w:spacing w:after="0"/>
              <w:rPr>
                <w:sz w:val="24"/>
                <w:szCs w:val="24"/>
                <w:color w:val="auto"/>
              </w:rPr>
            </w:pPr>
          </w:p>
        </w:tc>
        <w:tc>
          <w:tcPr>
            <w:tcW w:w="120" w:type="dxa"/>
            <w:vAlign w:val="bottom"/>
            <w:shd w:val="clear" w:color="auto" w:fill="0085CD"/>
          </w:tcPr>
          <w:p>
            <w:pPr>
              <w:spacing w:after="0"/>
              <w:rPr>
                <w:sz w:val="24"/>
                <w:szCs w:val="24"/>
                <w:color w:val="auto"/>
              </w:rPr>
            </w:pPr>
          </w:p>
        </w:tc>
        <w:tc>
          <w:tcPr>
            <w:tcW w:w="100" w:type="dxa"/>
            <w:vAlign w:val="bottom"/>
            <w:shd w:val="clear" w:color="auto" w:fill="0085CD"/>
          </w:tcPr>
          <w:p>
            <w:pPr>
              <w:spacing w:after="0"/>
              <w:rPr>
                <w:sz w:val="24"/>
                <w:szCs w:val="24"/>
                <w:color w:val="auto"/>
              </w:rPr>
            </w:pPr>
          </w:p>
        </w:tc>
        <w:tc>
          <w:tcPr>
            <w:tcW w:w="980" w:type="dxa"/>
            <w:vAlign w:val="bottom"/>
            <w:shd w:val="clear" w:color="auto" w:fill="0085CD"/>
          </w:tcPr>
          <w:p>
            <w:pPr>
              <w:jc w:val="right"/>
              <w:ind w:right="314"/>
              <w:spacing w:after="0"/>
              <w:rPr>
                <w:sz w:val="20"/>
                <w:szCs w:val="20"/>
                <w:color w:val="auto"/>
              </w:rPr>
            </w:pPr>
            <w:r>
              <w:rPr>
                <w:rFonts w:ascii="Arial" w:cs="Arial" w:eastAsia="Arial" w:hAnsi="Arial"/>
                <w:sz w:val="17"/>
                <w:szCs w:val="17"/>
                <w:b w:val="1"/>
                <w:bCs w:val="1"/>
                <w:color w:val="FFFFFF"/>
              </w:rPr>
              <w:t>2017</w:t>
            </w:r>
          </w:p>
        </w:tc>
        <w:tc>
          <w:tcPr>
            <w:tcW w:w="220" w:type="dxa"/>
            <w:vAlign w:val="bottom"/>
          </w:tcPr>
          <w:p>
            <w:pPr>
              <w:spacing w:after="0"/>
              <w:rPr>
                <w:sz w:val="24"/>
                <w:szCs w:val="24"/>
                <w:color w:val="auto"/>
              </w:rPr>
            </w:pPr>
          </w:p>
        </w:tc>
        <w:tc>
          <w:tcPr>
            <w:tcW w:w="200" w:type="dxa"/>
            <w:vAlign w:val="bottom"/>
            <w:shd w:val="clear" w:color="auto" w:fill="E0EBED"/>
          </w:tcPr>
          <w:p>
            <w:pPr>
              <w:spacing w:after="0"/>
              <w:rPr>
                <w:sz w:val="24"/>
                <w:szCs w:val="24"/>
                <w:color w:val="auto"/>
              </w:rPr>
            </w:pPr>
          </w:p>
        </w:tc>
        <w:tc>
          <w:tcPr>
            <w:tcW w:w="980" w:type="dxa"/>
            <w:vAlign w:val="bottom"/>
            <w:shd w:val="clear" w:color="auto" w:fill="E0EBED"/>
          </w:tcPr>
          <w:p>
            <w:pPr>
              <w:jc w:val="right"/>
              <w:ind w:right="314"/>
              <w:spacing w:after="0"/>
              <w:rPr>
                <w:sz w:val="20"/>
                <w:szCs w:val="20"/>
                <w:color w:val="auto"/>
              </w:rPr>
            </w:pPr>
            <w:r>
              <w:rPr>
                <w:rFonts w:ascii="Arial" w:cs="Arial" w:eastAsia="Arial" w:hAnsi="Arial"/>
                <w:sz w:val="17"/>
                <w:szCs w:val="17"/>
                <w:color w:val="auto"/>
              </w:rPr>
              <w:t>2016</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760" w:type="dxa"/>
            <w:vAlign w:val="bottom"/>
            <w:tcBorders>
              <w:top w:val="single" w:sz="8" w:color="auto"/>
            </w:tcBorders>
          </w:tcPr>
          <w:p>
            <w:pPr>
              <w:spacing w:after="0" w:line="200" w:lineRule="exact"/>
              <w:rPr>
                <w:sz w:val="20"/>
                <w:szCs w:val="20"/>
                <w:color w:val="auto"/>
              </w:rPr>
            </w:pPr>
            <w:r>
              <w:rPr>
                <w:rFonts w:ascii="Arial" w:cs="Arial" w:eastAsia="Arial" w:hAnsi="Arial"/>
                <w:sz w:val="18"/>
                <w:szCs w:val="18"/>
                <w:b w:val="1"/>
                <w:bCs w:val="1"/>
                <w:color w:val="auto"/>
              </w:rPr>
              <w:t>Current Assets:</w:t>
            </w:r>
          </w:p>
        </w:tc>
        <w:tc>
          <w:tcPr>
            <w:tcW w:w="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shd w:val="clear" w:color="auto" w:fill="CDDEE7"/>
          </w:tcPr>
          <w:p>
            <w:pPr>
              <w:spacing w:after="0"/>
              <w:rPr>
                <w:sz w:val="17"/>
                <w:szCs w:val="17"/>
                <w:color w:val="auto"/>
              </w:rPr>
            </w:pPr>
          </w:p>
        </w:tc>
        <w:tc>
          <w:tcPr>
            <w:tcW w:w="100" w:type="dxa"/>
            <w:vAlign w:val="bottom"/>
            <w:tcBorders>
              <w:top w:val="single" w:sz="8" w:color="auto"/>
            </w:tcBorders>
            <w:vMerge w:val="restart"/>
            <w:shd w:val="clear" w:color="auto" w:fill="CDDEE7"/>
          </w:tcPr>
          <w:p>
            <w:pPr>
              <w:jc w:val="right"/>
              <w:spacing w:after="0"/>
              <w:rPr>
                <w:sz w:val="20"/>
                <w:szCs w:val="20"/>
                <w:color w:val="auto"/>
              </w:rPr>
            </w:pPr>
            <w:r>
              <w:rPr>
                <w:rFonts w:ascii="Arial" w:cs="Arial" w:eastAsia="Arial" w:hAnsi="Arial"/>
                <w:sz w:val="15"/>
                <w:szCs w:val="15"/>
                <w:b w:val="1"/>
                <w:bCs w:val="1"/>
                <w:color w:val="auto"/>
                <w:w w:val="71"/>
                <w:shd w:val="clear" w:color="auto" w:fill="CDDEE7"/>
              </w:rPr>
              <w:t>$</w:t>
            </w:r>
          </w:p>
        </w:tc>
        <w:tc>
          <w:tcPr>
            <w:tcW w:w="980" w:type="dxa"/>
            <w:vAlign w:val="bottom"/>
            <w:tcBorders>
              <w:top w:val="single" w:sz="8" w:color="auto"/>
            </w:tcBorders>
            <w:vMerge w:val="restart"/>
            <w:shd w:val="clear" w:color="auto" w:fill="CDDEE7"/>
          </w:tcPr>
          <w:p>
            <w:pPr>
              <w:jc w:val="right"/>
              <w:ind w:right="34"/>
              <w:spacing w:after="0"/>
              <w:rPr>
                <w:sz w:val="20"/>
                <w:szCs w:val="20"/>
                <w:color w:val="auto"/>
              </w:rPr>
            </w:pPr>
            <w:r>
              <w:rPr>
                <w:rFonts w:ascii="Arial" w:cs="Arial" w:eastAsia="Arial" w:hAnsi="Arial"/>
                <w:sz w:val="17"/>
                <w:szCs w:val="17"/>
                <w:b w:val="1"/>
                <w:bCs w:val="1"/>
                <w:color w:val="auto"/>
                <w:shd w:val="clear" w:color="auto" w:fill="CDDEE7"/>
              </w:rPr>
              <w:t>1,446,364</w:t>
            </w:r>
          </w:p>
        </w:tc>
        <w:tc>
          <w:tcPr>
            <w:tcW w:w="2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shd w:val="clear" w:color="auto" w:fill="E0EBED"/>
          </w:tcPr>
          <w:p>
            <w:pPr>
              <w:spacing w:after="0"/>
              <w:rPr>
                <w:sz w:val="17"/>
                <w:szCs w:val="17"/>
                <w:color w:val="auto"/>
              </w:rPr>
            </w:pPr>
          </w:p>
        </w:tc>
        <w:tc>
          <w:tcPr>
            <w:tcW w:w="980" w:type="dxa"/>
            <w:vAlign w:val="bottom"/>
            <w:tcBorders>
              <w:top w:val="single" w:sz="8" w:color="auto"/>
            </w:tcBorders>
            <w:shd w:val="clear" w:color="auto" w:fill="E0EBED"/>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8780" w:type="dxa"/>
            <w:vAlign w:val="bottom"/>
            <w:gridSpan w:val="2"/>
          </w:tcPr>
          <w:p>
            <w:pPr>
              <w:spacing w:after="0" w:line="172" w:lineRule="exact"/>
              <w:rPr>
                <w:sz w:val="20"/>
                <w:szCs w:val="20"/>
                <w:color w:val="auto"/>
              </w:rPr>
            </w:pPr>
            <w:r>
              <w:rPr>
                <w:rFonts w:ascii="Arial" w:cs="Arial" w:eastAsia="Arial" w:hAnsi="Arial"/>
                <w:sz w:val="17"/>
                <w:szCs w:val="17"/>
                <w:color w:val="auto"/>
              </w:rPr>
              <w:t>Cash and cash equivalents</w:t>
            </w:r>
          </w:p>
        </w:tc>
        <w:tc>
          <w:tcPr>
            <w:tcW w:w="40" w:type="dxa"/>
            <w:vAlign w:val="bottom"/>
          </w:tcPr>
          <w:p>
            <w:pPr>
              <w:spacing w:after="0"/>
              <w:rPr>
                <w:sz w:val="15"/>
                <w:szCs w:val="15"/>
                <w:color w:val="auto"/>
              </w:rPr>
            </w:pPr>
          </w:p>
        </w:tc>
        <w:tc>
          <w:tcPr>
            <w:tcW w:w="120" w:type="dxa"/>
            <w:vAlign w:val="bottom"/>
            <w:shd w:val="clear" w:color="auto" w:fill="CDDEE7"/>
          </w:tcPr>
          <w:p>
            <w:pPr>
              <w:spacing w:after="0"/>
              <w:rPr>
                <w:sz w:val="15"/>
                <w:szCs w:val="15"/>
                <w:color w:val="auto"/>
              </w:rPr>
            </w:pPr>
          </w:p>
        </w:tc>
        <w:tc>
          <w:tcPr>
            <w:tcW w:w="100" w:type="dxa"/>
            <w:vAlign w:val="bottom"/>
            <w:vMerge w:val="continue"/>
            <w:shd w:val="clear" w:color="auto" w:fill="CDDEE7"/>
          </w:tcPr>
          <w:p>
            <w:pPr>
              <w:spacing w:after="0"/>
              <w:rPr>
                <w:sz w:val="15"/>
                <w:szCs w:val="15"/>
                <w:color w:val="auto"/>
              </w:rPr>
            </w:pPr>
          </w:p>
        </w:tc>
        <w:tc>
          <w:tcPr>
            <w:tcW w:w="980" w:type="dxa"/>
            <w:vAlign w:val="bottom"/>
            <w:vMerge w:val="continue"/>
            <w:shd w:val="clear" w:color="auto" w:fill="CDDEE7"/>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shd w:val="clear" w:color="auto" w:fill="E0EBED"/>
          </w:tcPr>
          <w:p>
            <w:pPr>
              <w:jc w:val="right"/>
              <w:spacing w:after="0" w:line="172" w:lineRule="exact"/>
              <w:rPr>
                <w:sz w:val="20"/>
                <w:szCs w:val="20"/>
                <w:color w:val="auto"/>
              </w:rPr>
            </w:pPr>
            <w:r>
              <w:rPr>
                <w:rFonts w:ascii="Arial" w:cs="Arial" w:eastAsia="Arial" w:hAnsi="Arial"/>
                <w:sz w:val="17"/>
                <w:szCs w:val="17"/>
                <w:color w:val="auto"/>
              </w:rPr>
              <w:t>$</w:t>
            </w:r>
          </w:p>
        </w:tc>
        <w:tc>
          <w:tcPr>
            <w:tcW w:w="980" w:type="dxa"/>
            <w:vAlign w:val="bottom"/>
            <w:shd w:val="clear" w:color="auto" w:fill="E0EBED"/>
          </w:tcPr>
          <w:p>
            <w:pPr>
              <w:jc w:val="right"/>
              <w:ind w:right="34"/>
              <w:spacing w:after="0" w:line="172" w:lineRule="exact"/>
              <w:rPr>
                <w:sz w:val="20"/>
                <w:szCs w:val="20"/>
                <w:color w:val="auto"/>
              </w:rPr>
            </w:pPr>
            <w:r>
              <w:rPr>
                <w:rFonts w:ascii="Arial" w:cs="Arial" w:eastAsia="Arial" w:hAnsi="Arial"/>
                <w:sz w:val="17"/>
                <w:szCs w:val="17"/>
                <w:color w:val="auto"/>
              </w:rPr>
              <w:t>50,038</w:t>
            </w:r>
          </w:p>
        </w:tc>
        <w:tc>
          <w:tcPr>
            <w:tcW w:w="0" w:type="dxa"/>
            <w:vAlign w:val="bottom"/>
          </w:tcPr>
          <w:p>
            <w:pPr>
              <w:spacing w:after="0"/>
              <w:rPr>
                <w:sz w:val="1"/>
                <w:szCs w:val="1"/>
                <w:color w:val="auto"/>
              </w:rPr>
            </w:pPr>
          </w:p>
        </w:tc>
      </w:tr>
      <w:tr>
        <w:trPr>
          <w:trHeight w:val="195"/>
        </w:trPr>
        <w:tc>
          <w:tcPr>
            <w:tcW w:w="8780" w:type="dxa"/>
            <w:vAlign w:val="bottom"/>
            <w:gridSpan w:val="2"/>
          </w:tcPr>
          <w:p>
            <w:pPr>
              <w:spacing w:after="0"/>
              <w:rPr>
                <w:sz w:val="20"/>
                <w:szCs w:val="20"/>
                <w:color w:val="auto"/>
              </w:rPr>
            </w:pPr>
            <w:r>
              <w:rPr>
                <w:rFonts w:ascii="Arial" w:cs="Arial" w:eastAsia="Arial" w:hAnsi="Arial"/>
                <w:sz w:val="17"/>
                <w:szCs w:val="17"/>
                <w:color w:val="auto"/>
              </w:rPr>
              <w:t>Accounts receivable, net</w:t>
            </w:r>
          </w:p>
        </w:tc>
        <w:tc>
          <w:tcPr>
            <w:tcW w:w="40" w:type="dxa"/>
            <w:vAlign w:val="bottom"/>
          </w:tcPr>
          <w:p>
            <w:pPr>
              <w:spacing w:after="0"/>
              <w:rPr>
                <w:sz w:val="16"/>
                <w:szCs w:val="16"/>
                <w:color w:val="auto"/>
              </w:rPr>
            </w:pPr>
          </w:p>
        </w:tc>
        <w:tc>
          <w:tcPr>
            <w:tcW w:w="12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980" w:type="dxa"/>
            <w:vAlign w:val="bottom"/>
            <w:shd w:val="clear" w:color="auto" w:fill="CDDEE7"/>
          </w:tcPr>
          <w:p>
            <w:pPr>
              <w:jc w:val="right"/>
              <w:ind w:right="34"/>
              <w:spacing w:after="0"/>
              <w:rPr>
                <w:sz w:val="20"/>
                <w:szCs w:val="20"/>
                <w:color w:val="auto"/>
              </w:rPr>
            </w:pPr>
            <w:r>
              <w:rPr>
                <w:rFonts w:ascii="Arial" w:cs="Arial" w:eastAsia="Arial" w:hAnsi="Arial"/>
                <w:sz w:val="17"/>
                <w:szCs w:val="17"/>
                <w:b w:val="1"/>
                <w:bCs w:val="1"/>
                <w:color w:val="auto"/>
              </w:rPr>
              <w:t>487,240</w:t>
            </w:r>
          </w:p>
        </w:tc>
        <w:tc>
          <w:tcPr>
            <w:tcW w:w="22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980" w:type="dxa"/>
            <w:vAlign w:val="bottom"/>
            <w:shd w:val="clear" w:color="auto" w:fill="E0EBED"/>
          </w:tcPr>
          <w:p>
            <w:pPr>
              <w:jc w:val="right"/>
              <w:ind w:right="34"/>
              <w:spacing w:after="0"/>
              <w:rPr>
                <w:sz w:val="20"/>
                <w:szCs w:val="20"/>
                <w:color w:val="auto"/>
              </w:rPr>
            </w:pPr>
            <w:r>
              <w:rPr>
                <w:rFonts w:ascii="Arial" w:cs="Arial" w:eastAsia="Arial" w:hAnsi="Arial"/>
                <w:sz w:val="17"/>
                <w:szCs w:val="17"/>
                <w:color w:val="auto"/>
              </w:rPr>
              <w:t>457,910</w:t>
            </w:r>
          </w:p>
        </w:tc>
        <w:tc>
          <w:tcPr>
            <w:tcW w:w="0" w:type="dxa"/>
            <w:vAlign w:val="bottom"/>
          </w:tcPr>
          <w:p>
            <w:pPr>
              <w:spacing w:after="0"/>
              <w:rPr>
                <w:sz w:val="1"/>
                <w:szCs w:val="1"/>
                <w:color w:val="auto"/>
              </w:rPr>
            </w:pPr>
          </w:p>
        </w:tc>
      </w:tr>
      <w:tr>
        <w:trPr>
          <w:trHeight w:val="195"/>
        </w:trPr>
        <w:tc>
          <w:tcPr>
            <w:tcW w:w="8780" w:type="dxa"/>
            <w:vAlign w:val="bottom"/>
            <w:gridSpan w:val="2"/>
          </w:tcPr>
          <w:p>
            <w:pPr>
              <w:spacing w:after="0"/>
              <w:rPr>
                <w:sz w:val="20"/>
                <w:szCs w:val="20"/>
                <w:color w:val="auto"/>
              </w:rPr>
            </w:pPr>
            <w:r>
              <w:rPr>
                <w:rFonts w:ascii="Arial" w:cs="Arial" w:eastAsia="Arial" w:hAnsi="Arial"/>
                <w:sz w:val="17"/>
                <w:szCs w:val="17"/>
                <w:color w:val="auto"/>
              </w:rPr>
              <w:t>Inventories, net</w:t>
            </w:r>
          </w:p>
        </w:tc>
        <w:tc>
          <w:tcPr>
            <w:tcW w:w="40" w:type="dxa"/>
            <w:vAlign w:val="bottom"/>
          </w:tcPr>
          <w:p>
            <w:pPr>
              <w:spacing w:after="0"/>
              <w:rPr>
                <w:sz w:val="16"/>
                <w:szCs w:val="16"/>
                <w:color w:val="auto"/>
              </w:rPr>
            </w:pPr>
          </w:p>
        </w:tc>
        <w:tc>
          <w:tcPr>
            <w:tcW w:w="12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980" w:type="dxa"/>
            <w:vAlign w:val="bottom"/>
            <w:shd w:val="clear" w:color="auto" w:fill="CDDEE7"/>
          </w:tcPr>
          <w:p>
            <w:pPr>
              <w:jc w:val="right"/>
              <w:ind w:right="34"/>
              <w:spacing w:after="0"/>
              <w:rPr>
                <w:sz w:val="20"/>
                <w:szCs w:val="20"/>
                <w:color w:val="auto"/>
              </w:rPr>
            </w:pPr>
            <w:r>
              <w:rPr>
                <w:rFonts w:ascii="Arial" w:cs="Arial" w:eastAsia="Arial" w:hAnsi="Arial"/>
                <w:sz w:val="17"/>
                <w:szCs w:val="17"/>
                <w:b w:val="1"/>
                <w:bCs w:val="1"/>
                <w:color w:val="auto"/>
              </w:rPr>
              <w:t>600,591</w:t>
            </w:r>
          </w:p>
        </w:tc>
        <w:tc>
          <w:tcPr>
            <w:tcW w:w="22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980" w:type="dxa"/>
            <w:vAlign w:val="bottom"/>
            <w:shd w:val="clear" w:color="auto" w:fill="E0EBED"/>
          </w:tcPr>
          <w:p>
            <w:pPr>
              <w:jc w:val="right"/>
              <w:ind w:right="34"/>
              <w:spacing w:after="0"/>
              <w:rPr>
                <w:sz w:val="20"/>
                <w:szCs w:val="20"/>
                <w:color w:val="auto"/>
              </w:rPr>
            </w:pPr>
            <w:r>
              <w:rPr>
                <w:rFonts w:ascii="Arial" w:cs="Arial" w:eastAsia="Arial" w:hAnsi="Arial"/>
                <w:sz w:val="17"/>
                <w:szCs w:val="17"/>
                <w:color w:val="auto"/>
              </w:rPr>
              <w:t>521,624</w:t>
            </w:r>
          </w:p>
        </w:tc>
        <w:tc>
          <w:tcPr>
            <w:tcW w:w="0" w:type="dxa"/>
            <w:vAlign w:val="bottom"/>
          </w:tcPr>
          <w:p>
            <w:pPr>
              <w:spacing w:after="0"/>
              <w:rPr>
                <w:sz w:val="1"/>
                <w:szCs w:val="1"/>
                <w:color w:val="auto"/>
              </w:rPr>
            </w:pPr>
          </w:p>
        </w:tc>
      </w:tr>
      <w:tr>
        <w:trPr>
          <w:trHeight w:val="217"/>
        </w:trPr>
        <w:tc>
          <w:tcPr>
            <w:tcW w:w="87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Other current assets</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shd w:val="clear" w:color="auto" w:fill="CDDEE7"/>
          </w:tcPr>
          <w:p>
            <w:pPr>
              <w:spacing w:after="0"/>
              <w:rPr>
                <w:sz w:val="18"/>
                <w:szCs w:val="18"/>
                <w:color w:val="auto"/>
              </w:rPr>
            </w:pPr>
          </w:p>
        </w:tc>
        <w:tc>
          <w:tcPr>
            <w:tcW w:w="100" w:type="dxa"/>
            <w:vAlign w:val="bottom"/>
            <w:tcBorders>
              <w:bottom w:val="single" w:sz="8" w:color="auto"/>
            </w:tcBorders>
            <w:shd w:val="clear" w:color="auto" w:fill="CDDEE7"/>
          </w:tcPr>
          <w:p>
            <w:pPr>
              <w:spacing w:after="0"/>
              <w:rPr>
                <w:sz w:val="18"/>
                <w:szCs w:val="18"/>
                <w:color w:val="auto"/>
              </w:rPr>
            </w:pPr>
          </w:p>
        </w:tc>
        <w:tc>
          <w:tcPr>
            <w:tcW w:w="980" w:type="dxa"/>
            <w:vAlign w:val="bottom"/>
            <w:tcBorders>
              <w:bottom w:val="single" w:sz="8" w:color="auto"/>
            </w:tcBorders>
            <w:shd w:val="clear" w:color="auto" w:fill="CDDEE7"/>
          </w:tcPr>
          <w:p>
            <w:pPr>
              <w:jc w:val="right"/>
              <w:ind w:right="34"/>
              <w:spacing w:after="0"/>
              <w:rPr>
                <w:sz w:val="20"/>
                <w:szCs w:val="20"/>
                <w:color w:val="auto"/>
              </w:rPr>
            </w:pPr>
            <w:r>
              <w:rPr>
                <w:rFonts w:ascii="Arial" w:cs="Arial" w:eastAsia="Arial" w:hAnsi="Arial"/>
                <w:sz w:val="17"/>
                <w:szCs w:val="17"/>
                <w:b w:val="1"/>
                <w:bCs w:val="1"/>
                <w:color w:val="auto"/>
              </w:rPr>
              <w:t>96,965</w:t>
            </w: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shd w:val="clear" w:color="auto" w:fill="E0EBED"/>
          </w:tcPr>
          <w:p>
            <w:pPr>
              <w:spacing w:after="0"/>
              <w:rPr>
                <w:sz w:val="18"/>
                <w:szCs w:val="18"/>
                <w:color w:val="auto"/>
              </w:rPr>
            </w:pPr>
          </w:p>
        </w:tc>
        <w:tc>
          <w:tcPr>
            <w:tcW w:w="980" w:type="dxa"/>
            <w:vAlign w:val="bottom"/>
            <w:tcBorders>
              <w:bottom w:val="single" w:sz="8" w:color="auto"/>
            </w:tcBorders>
            <w:shd w:val="clear" w:color="auto" w:fill="E0EBED"/>
          </w:tcPr>
          <w:p>
            <w:pPr>
              <w:jc w:val="right"/>
              <w:ind w:right="34"/>
              <w:spacing w:after="0"/>
              <w:rPr>
                <w:sz w:val="20"/>
                <w:szCs w:val="20"/>
                <w:color w:val="auto"/>
              </w:rPr>
            </w:pPr>
            <w:r>
              <w:rPr>
                <w:rFonts w:ascii="Arial" w:cs="Arial" w:eastAsia="Arial" w:hAnsi="Arial"/>
                <w:sz w:val="17"/>
                <w:szCs w:val="17"/>
                <w:color w:val="auto"/>
              </w:rPr>
              <w:t>56,813</w:t>
            </w:r>
          </w:p>
        </w:tc>
        <w:tc>
          <w:tcPr>
            <w:tcW w:w="0" w:type="dxa"/>
            <w:vAlign w:val="bottom"/>
          </w:tcPr>
          <w:p>
            <w:pPr>
              <w:spacing w:after="0"/>
              <w:rPr>
                <w:sz w:val="1"/>
                <w:szCs w:val="1"/>
                <w:color w:val="auto"/>
              </w:rPr>
            </w:pPr>
          </w:p>
        </w:tc>
      </w:tr>
      <w:tr>
        <w:trPr>
          <w:trHeight w:val="201"/>
        </w:trPr>
        <w:tc>
          <w:tcPr>
            <w:tcW w:w="878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Total Current Assets</w:t>
            </w:r>
          </w:p>
        </w:tc>
        <w:tc>
          <w:tcPr>
            <w:tcW w:w="40" w:type="dxa"/>
            <w:vAlign w:val="bottom"/>
          </w:tcPr>
          <w:p>
            <w:pPr>
              <w:spacing w:after="0"/>
              <w:rPr>
                <w:sz w:val="17"/>
                <w:szCs w:val="17"/>
                <w:color w:val="auto"/>
              </w:rPr>
            </w:pPr>
          </w:p>
        </w:tc>
        <w:tc>
          <w:tcPr>
            <w:tcW w:w="120" w:type="dxa"/>
            <w:vAlign w:val="bottom"/>
            <w:shd w:val="clear" w:color="auto" w:fill="CDDEE7"/>
          </w:tcPr>
          <w:p>
            <w:pPr>
              <w:spacing w:after="0"/>
              <w:rPr>
                <w:sz w:val="17"/>
                <w:szCs w:val="17"/>
                <w:color w:val="auto"/>
              </w:rPr>
            </w:pPr>
          </w:p>
        </w:tc>
        <w:tc>
          <w:tcPr>
            <w:tcW w:w="100" w:type="dxa"/>
            <w:vAlign w:val="bottom"/>
            <w:shd w:val="clear" w:color="auto" w:fill="CDDEE7"/>
          </w:tcPr>
          <w:p>
            <w:pPr>
              <w:spacing w:after="0"/>
              <w:rPr>
                <w:sz w:val="17"/>
                <w:szCs w:val="17"/>
                <w:color w:val="auto"/>
              </w:rPr>
            </w:pPr>
          </w:p>
        </w:tc>
        <w:tc>
          <w:tcPr>
            <w:tcW w:w="980" w:type="dxa"/>
            <w:vAlign w:val="bottom"/>
            <w:shd w:val="clear" w:color="auto" w:fill="CDDEE7"/>
          </w:tcPr>
          <w:p>
            <w:pPr>
              <w:jc w:val="right"/>
              <w:ind w:right="34"/>
              <w:spacing w:after="0"/>
              <w:rPr>
                <w:sz w:val="20"/>
                <w:szCs w:val="20"/>
                <w:color w:val="auto"/>
              </w:rPr>
            </w:pPr>
            <w:r>
              <w:rPr>
                <w:rFonts w:ascii="Arial" w:cs="Arial" w:eastAsia="Arial" w:hAnsi="Arial"/>
                <w:sz w:val="17"/>
                <w:szCs w:val="17"/>
                <w:b w:val="1"/>
                <w:bCs w:val="1"/>
                <w:color w:val="auto"/>
              </w:rPr>
              <w:t>2,631,160</w:t>
            </w:r>
          </w:p>
        </w:tc>
        <w:tc>
          <w:tcPr>
            <w:tcW w:w="220" w:type="dxa"/>
            <w:vAlign w:val="bottom"/>
          </w:tcPr>
          <w:p>
            <w:pPr>
              <w:spacing w:after="0"/>
              <w:rPr>
                <w:sz w:val="17"/>
                <w:szCs w:val="17"/>
                <w:color w:val="auto"/>
              </w:rPr>
            </w:pPr>
          </w:p>
        </w:tc>
        <w:tc>
          <w:tcPr>
            <w:tcW w:w="200" w:type="dxa"/>
            <w:vAlign w:val="bottom"/>
            <w:shd w:val="clear" w:color="auto" w:fill="E0EBED"/>
          </w:tcPr>
          <w:p>
            <w:pPr>
              <w:spacing w:after="0"/>
              <w:rPr>
                <w:sz w:val="17"/>
                <w:szCs w:val="17"/>
                <w:color w:val="auto"/>
              </w:rPr>
            </w:pPr>
          </w:p>
        </w:tc>
        <w:tc>
          <w:tcPr>
            <w:tcW w:w="980" w:type="dxa"/>
            <w:vAlign w:val="bottom"/>
            <w:shd w:val="clear" w:color="auto" w:fill="E0EBED"/>
          </w:tcPr>
          <w:p>
            <w:pPr>
              <w:jc w:val="right"/>
              <w:ind w:right="34"/>
              <w:spacing w:after="0"/>
              <w:rPr>
                <w:sz w:val="20"/>
                <w:szCs w:val="20"/>
                <w:color w:val="auto"/>
              </w:rPr>
            </w:pPr>
            <w:r>
              <w:rPr>
                <w:rFonts w:ascii="Arial" w:cs="Arial" w:eastAsia="Arial" w:hAnsi="Arial"/>
                <w:sz w:val="17"/>
                <w:szCs w:val="17"/>
                <w:color w:val="auto"/>
              </w:rPr>
              <w:t>1,086,385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1"/>
        </w:trPr>
        <w:tc>
          <w:tcPr>
            <w:tcW w:w="8780" w:type="dxa"/>
            <w:vAlign w:val="bottom"/>
            <w:gridSpan w:val="2"/>
          </w:tcPr>
          <w:p>
            <w:pPr>
              <w:spacing w:after="0"/>
              <w:rPr>
                <w:sz w:val="20"/>
                <w:szCs w:val="20"/>
                <w:color w:val="auto"/>
              </w:rPr>
            </w:pPr>
            <w:r>
              <w:rPr>
                <w:rFonts w:ascii="Arial" w:cs="Arial" w:eastAsia="Arial" w:hAnsi="Arial"/>
                <w:sz w:val="17"/>
                <w:szCs w:val="17"/>
                <w:color w:val="auto"/>
              </w:rPr>
              <w:t>Property, plant and equipment, net</w:t>
            </w:r>
          </w:p>
        </w:tc>
        <w:tc>
          <w:tcPr>
            <w:tcW w:w="40" w:type="dxa"/>
            <w:vAlign w:val="bottom"/>
          </w:tcPr>
          <w:p>
            <w:pPr>
              <w:spacing w:after="0"/>
              <w:rPr>
                <w:sz w:val="24"/>
                <w:szCs w:val="24"/>
                <w:color w:val="auto"/>
              </w:rPr>
            </w:pPr>
          </w:p>
        </w:tc>
        <w:tc>
          <w:tcPr>
            <w:tcW w:w="120" w:type="dxa"/>
            <w:vAlign w:val="bottom"/>
            <w:shd w:val="clear" w:color="auto" w:fill="CDDEE7"/>
          </w:tcPr>
          <w:p>
            <w:pPr>
              <w:spacing w:after="0"/>
              <w:rPr>
                <w:sz w:val="24"/>
                <w:szCs w:val="24"/>
                <w:color w:val="auto"/>
              </w:rPr>
            </w:pPr>
          </w:p>
        </w:tc>
        <w:tc>
          <w:tcPr>
            <w:tcW w:w="100" w:type="dxa"/>
            <w:vAlign w:val="bottom"/>
            <w:shd w:val="clear" w:color="auto" w:fill="CDDEE7"/>
          </w:tcPr>
          <w:p>
            <w:pPr>
              <w:spacing w:after="0"/>
              <w:rPr>
                <w:sz w:val="24"/>
                <w:szCs w:val="24"/>
                <w:color w:val="auto"/>
              </w:rPr>
            </w:pPr>
          </w:p>
        </w:tc>
        <w:tc>
          <w:tcPr>
            <w:tcW w:w="980" w:type="dxa"/>
            <w:vAlign w:val="bottom"/>
            <w:shd w:val="clear" w:color="auto" w:fill="CDDEE7"/>
          </w:tcPr>
          <w:p>
            <w:pPr>
              <w:jc w:val="right"/>
              <w:ind w:right="34"/>
              <w:spacing w:after="0"/>
              <w:rPr>
                <w:sz w:val="20"/>
                <w:szCs w:val="20"/>
                <w:color w:val="auto"/>
              </w:rPr>
            </w:pPr>
            <w:r>
              <w:rPr>
                <w:rFonts w:ascii="Arial" w:cs="Arial" w:eastAsia="Arial" w:hAnsi="Arial"/>
                <w:sz w:val="17"/>
                <w:szCs w:val="17"/>
                <w:b w:val="1"/>
                <w:bCs w:val="1"/>
                <w:color w:val="auto"/>
              </w:rPr>
              <w:t>3,592,813</w:t>
            </w:r>
          </w:p>
        </w:tc>
        <w:tc>
          <w:tcPr>
            <w:tcW w:w="220" w:type="dxa"/>
            <w:vAlign w:val="bottom"/>
          </w:tcPr>
          <w:p>
            <w:pPr>
              <w:spacing w:after="0"/>
              <w:rPr>
                <w:sz w:val="24"/>
                <w:szCs w:val="24"/>
                <w:color w:val="auto"/>
              </w:rPr>
            </w:pPr>
          </w:p>
        </w:tc>
        <w:tc>
          <w:tcPr>
            <w:tcW w:w="200" w:type="dxa"/>
            <w:vAlign w:val="bottom"/>
            <w:shd w:val="clear" w:color="auto" w:fill="E0EBED"/>
          </w:tcPr>
          <w:p>
            <w:pPr>
              <w:spacing w:after="0"/>
              <w:rPr>
                <w:sz w:val="24"/>
                <w:szCs w:val="24"/>
                <w:color w:val="auto"/>
              </w:rPr>
            </w:pPr>
          </w:p>
        </w:tc>
        <w:tc>
          <w:tcPr>
            <w:tcW w:w="980" w:type="dxa"/>
            <w:vAlign w:val="bottom"/>
            <w:shd w:val="clear" w:color="auto" w:fill="E0EBED"/>
          </w:tcPr>
          <w:p>
            <w:pPr>
              <w:jc w:val="right"/>
              <w:ind w:right="34"/>
              <w:spacing w:after="0"/>
              <w:rPr>
                <w:sz w:val="20"/>
                <w:szCs w:val="20"/>
                <w:color w:val="auto"/>
              </w:rPr>
            </w:pPr>
            <w:r>
              <w:rPr>
                <w:rFonts w:ascii="Arial" w:cs="Arial" w:eastAsia="Arial" w:hAnsi="Arial"/>
                <w:sz w:val="17"/>
                <w:szCs w:val="17"/>
                <w:color w:val="auto"/>
              </w:rPr>
              <w:t>3,423,395</w:t>
            </w:r>
          </w:p>
        </w:tc>
        <w:tc>
          <w:tcPr>
            <w:tcW w:w="0" w:type="dxa"/>
            <w:vAlign w:val="bottom"/>
          </w:tcPr>
          <w:p>
            <w:pPr>
              <w:spacing w:after="0"/>
              <w:rPr>
                <w:sz w:val="1"/>
                <w:szCs w:val="1"/>
                <w:color w:val="auto"/>
              </w:rPr>
            </w:pPr>
          </w:p>
        </w:tc>
      </w:tr>
      <w:tr>
        <w:trPr>
          <w:trHeight w:val="217"/>
        </w:trPr>
        <w:tc>
          <w:tcPr>
            <w:tcW w:w="8780" w:type="dxa"/>
            <w:vAlign w:val="bottom"/>
            <w:gridSpan w:val="2"/>
          </w:tcPr>
          <w:p>
            <w:pPr>
              <w:spacing w:after="0"/>
              <w:rPr>
                <w:sz w:val="20"/>
                <w:szCs w:val="20"/>
                <w:color w:val="auto"/>
              </w:rPr>
            </w:pPr>
            <w:r>
              <w:rPr>
                <w:rFonts w:ascii="Arial" w:cs="Arial" w:eastAsia="Arial" w:hAnsi="Arial"/>
                <w:sz w:val="17"/>
                <w:szCs w:val="17"/>
                <w:color w:val="auto"/>
              </w:rPr>
              <w:t>Goodwill</w:t>
            </w:r>
          </w:p>
        </w:tc>
        <w:tc>
          <w:tcPr>
            <w:tcW w:w="40" w:type="dxa"/>
            <w:vAlign w:val="bottom"/>
          </w:tcPr>
          <w:p>
            <w:pPr>
              <w:spacing w:after="0"/>
              <w:rPr>
                <w:sz w:val="18"/>
                <w:szCs w:val="18"/>
                <w:color w:val="auto"/>
              </w:rPr>
            </w:pPr>
          </w:p>
        </w:tc>
        <w:tc>
          <w:tcPr>
            <w:tcW w:w="120" w:type="dxa"/>
            <w:vAlign w:val="bottom"/>
            <w:shd w:val="clear" w:color="auto" w:fill="CDDEE7"/>
          </w:tcPr>
          <w:p>
            <w:pPr>
              <w:spacing w:after="0"/>
              <w:rPr>
                <w:sz w:val="18"/>
                <w:szCs w:val="18"/>
                <w:color w:val="auto"/>
              </w:rPr>
            </w:pPr>
          </w:p>
        </w:tc>
        <w:tc>
          <w:tcPr>
            <w:tcW w:w="100" w:type="dxa"/>
            <w:vAlign w:val="bottom"/>
            <w:shd w:val="clear" w:color="auto" w:fill="CDDEE7"/>
          </w:tcPr>
          <w:p>
            <w:pPr>
              <w:spacing w:after="0"/>
              <w:rPr>
                <w:sz w:val="18"/>
                <w:szCs w:val="18"/>
                <w:color w:val="auto"/>
              </w:rPr>
            </w:pPr>
          </w:p>
        </w:tc>
        <w:tc>
          <w:tcPr>
            <w:tcW w:w="980" w:type="dxa"/>
            <w:vAlign w:val="bottom"/>
            <w:shd w:val="clear" w:color="auto" w:fill="CDDEE7"/>
          </w:tcPr>
          <w:p>
            <w:pPr>
              <w:jc w:val="right"/>
              <w:ind w:right="34"/>
              <w:spacing w:after="0"/>
              <w:rPr>
                <w:sz w:val="20"/>
                <w:szCs w:val="20"/>
                <w:color w:val="auto"/>
              </w:rPr>
            </w:pPr>
            <w:r>
              <w:rPr>
                <w:rFonts w:ascii="Arial" w:cs="Arial" w:eastAsia="Arial" w:hAnsi="Arial"/>
                <w:sz w:val="17"/>
                <w:szCs w:val="17"/>
                <w:b w:val="1"/>
                <w:bCs w:val="1"/>
                <w:color w:val="auto"/>
              </w:rPr>
              <w:t>2,160,290</w:t>
            </w:r>
          </w:p>
        </w:tc>
        <w:tc>
          <w:tcPr>
            <w:tcW w:w="220" w:type="dxa"/>
            <w:vAlign w:val="bottom"/>
          </w:tcPr>
          <w:p>
            <w:pPr>
              <w:spacing w:after="0"/>
              <w:rPr>
                <w:sz w:val="18"/>
                <w:szCs w:val="18"/>
                <w:color w:val="auto"/>
              </w:rPr>
            </w:pPr>
          </w:p>
        </w:tc>
        <w:tc>
          <w:tcPr>
            <w:tcW w:w="200" w:type="dxa"/>
            <w:vAlign w:val="bottom"/>
            <w:shd w:val="clear" w:color="auto" w:fill="E0EBED"/>
          </w:tcPr>
          <w:p>
            <w:pPr>
              <w:spacing w:after="0"/>
              <w:rPr>
                <w:sz w:val="18"/>
                <w:szCs w:val="18"/>
                <w:color w:val="auto"/>
              </w:rPr>
            </w:pPr>
          </w:p>
        </w:tc>
        <w:tc>
          <w:tcPr>
            <w:tcW w:w="980" w:type="dxa"/>
            <w:vAlign w:val="bottom"/>
            <w:shd w:val="clear" w:color="auto" w:fill="E0EBED"/>
          </w:tcPr>
          <w:p>
            <w:pPr>
              <w:jc w:val="right"/>
              <w:ind w:right="34"/>
              <w:spacing w:after="0"/>
              <w:rPr>
                <w:sz w:val="20"/>
                <w:szCs w:val="20"/>
                <w:color w:val="auto"/>
              </w:rPr>
            </w:pPr>
            <w:r>
              <w:rPr>
                <w:rFonts w:ascii="Arial" w:cs="Arial" w:eastAsia="Arial" w:hAnsi="Arial"/>
                <w:sz w:val="17"/>
                <w:szCs w:val="17"/>
                <w:color w:val="auto"/>
              </w:rPr>
              <w:t>2,159,337</w:t>
            </w:r>
          </w:p>
        </w:tc>
        <w:tc>
          <w:tcPr>
            <w:tcW w:w="0" w:type="dxa"/>
            <w:vAlign w:val="bottom"/>
          </w:tcPr>
          <w:p>
            <w:pPr>
              <w:spacing w:after="0"/>
              <w:rPr>
                <w:sz w:val="1"/>
                <w:szCs w:val="1"/>
                <w:color w:val="auto"/>
              </w:rPr>
            </w:pPr>
          </w:p>
        </w:tc>
      </w:tr>
      <w:tr>
        <w:trPr>
          <w:trHeight w:val="173"/>
        </w:trPr>
        <w:tc>
          <w:tcPr>
            <w:tcW w:w="8780" w:type="dxa"/>
            <w:vAlign w:val="bottom"/>
            <w:gridSpan w:val="2"/>
          </w:tcPr>
          <w:p>
            <w:pPr>
              <w:spacing w:after="0" w:line="172" w:lineRule="exact"/>
              <w:rPr>
                <w:sz w:val="20"/>
                <w:szCs w:val="20"/>
                <w:color w:val="auto"/>
              </w:rPr>
            </w:pPr>
            <w:r>
              <w:rPr>
                <w:rFonts w:ascii="Arial" w:cs="Arial" w:eastAsia="Arial" w:hAnsi="Arial"/>
                <w:sz w:val="17"/>
                <w:szCs w:val="17"/>
                <w:color w:val="auto"/>
              </w:rPr>
              <w:t>Operating permits, net</w:t>
            </w:r>
          </w:p>
        </w:tc>
        <w:tc>
          <w:tcPr>
            <w:tcW w:w="40" w:type="dxa"/>
            <w:vAlign w:val="bottom"/>
          </w:tcPr>
          <w:p>
            <w:pPr>
              <w:spacing w:after="0"/>
              <w:rPr>
                <w:sz w:val="15"/>
                <w:szCs w:val="15"/>
                <w:color w:val="auto"/>
              </w:rPr>
            </w:pPr>
          </w:p>
        </w:tc>
        <w:tc>
          <w:tcPr>
            <w:tcW w:w="120" w:type="dxa"/>
            <w:vAlign w:val="bottom"/>
            <w:shd w:val="clear" w:color="auto" w:fill="CDDEE7"/>
          </w:tcPr>
          <w:p>
            <w:pPr>
              <w:spacing w:after="0"/>
              <w:rPr>
                <w:sz w:val="15"/>
                <w:szCs w:val="15"/>
                <w:color w:val="auto"/>
              </w:rPr>
            </w:pPr>
          </w:p>
        </w:tc>
        <w:tc>
          <w:tcPr>
            <w:tcW w:w="100" w:type="dxa"/>
            <w:vAlign w:val="bottom"/>
            <w:shd w:val="clear" w:color="auto" w:fill="CDDEE7"/>
          </w:tcPr>
          <w:p>
            <w:pPr>
              <w:spacing w:after="0"/>
              <w:rPr>
                <w:sz w:val="15"/>
                <w:szCs w:val="15"/>
                <w:color w:val="auto"/>
              </w:rPr>
            </w:pPr>
          </w:p>
        </w:tc>
        <w:tc>
          <w:tcPr>
            <w:tcW w:w="980" w:type="dxa"/>
            <w:vAlign w:val="bottom"/>
            <w:shd w:val="clear" w:color="auto" w:fill="CDDEE7"/>
          </w:tcPr>
          <w:p>
            <w:pPr>
              <w:jc w:val="right"/>
              <w:ind w:right="34"/>
              <w:spacing w:after="0" w:line="172" w:lineRule="exact"/>
              <w:rPr>
                <w:sz w:val="20"/>
                <w:szCs w:val="20"/>
                <w:color w:val="auto"/>
              </w:rPr>
            </w:pPr>
            <w:r>
              <w:rPr>
                <w:rFonts w:ascii="Arial" w:cs="Arial" w:eastAsia="Arial" w:hAnsi="Arial"/>
                <w:sz w:val="17"/>
                <w:szCs w:val="17"/>
                <w:b w:val="1"/>
                <w:bCs w:val="1"/>
                <w:color w:val="auto"/>
              </w:rPr>
              <w:t>439,116</w:t>
            </w:r>
          </w:p>
        </w:tc>
        <w:tc>
          <w:tcPr>
            <w:tcW w:w="220" w:type="dxa"/>
            <w:vAlign w:val="bottom"/>
          </w:tcPr>
          <w:p>
            <w:pPr>
              <w:spacing w:after="0"/>
              <w:rPr>
                <w:sz w:val="15"/>
                <w:szCs w:val="15"/>
                <w:color w:val="auto"/>
              </w:rPr>
            </w:pPr>
          </w:p>
        </w:tc>
        <w:tc>
          <w:tcPr>
            <w:tcW w:w="200" w:type="dxa"/>
            <w:vAlign w:val="bottom"/>
            <w:shd w:val="clear" w:color="auto" w:fill="E0EBED"/>
          </w:tcPr>
          <w:p>
            <w:pPr>
              <w:spacing w:after="0"/>
              <w:rPr>
                <w:sz w:val="15"/>
                <w:szCs w:val="15"/>
                <w:color w:val="auto"/>
              </w:rPr>
            </w:pPr>
          </w:p>
        </w:tc>
        <w:tc>
          <w:tcPr>
            <w:tcW w:w="980" w:type="dxa"/>
            <w:vAlign w:val="bottom"/>
            <w:shd w:val="clear" w:color="auto" w:fill="E0EBED"/>
          </w:tcPr>
          <w:p>
            <w:pPr>
              <w:jc w:val="right"/>
              <w:ind w:right="34"/>
              <w:spacing w:after="0" w:line="172" w:lineRule="exact"/>
              <w:rPr>
                <w:sz w:val="20"/>
                <w:szCs w:val="20"/>
                <w:color w:val="auto"/>
              </w:rPr>
            </w:pPr>
            <w:r>
              <w:rPr>
                <w:rFonts w:ascii="Arial" w:cs="Arial" w:eastAsia="Arial" w:hAnsi="Arial"/>
                <w:sz w:val="17"/>
                <w:szCs w:val="17"/>
                <w:color w:val="auto"/>
              </w:rPr>
              <w:t>442,202</w:t>
            </w:r>
          </w:p>
        </w:tc>
        <w:tc>
          <w:tcPr>
            <w:tcW w:w="0" w:type="dxa"/>
            <w:vAlign w:val="bottom"/>
          </w:tcPr>
          <w:p>
            <w:pPr>
              <w:spacing w:after="0"/>
              <w:rPr>
                <w:sz w:val="1"/>
                <w:szCs w:val="1"/>
                <w:color w:val="auto"/>
              </w:rPr>
            </w:pPr>
          </w:p>
        </w:tc>
      </w:tr>
      <w:tr>
        <w:trPr>
          <w:trHeight w:val="195"/>
        </w:trPr>
        <w:tc>
          <w:tcPr>
            <w:tcW w:w="8780" w:type="dxa"/>
            <w:vAlign w:val="bottom"/>
            <w:gridSpan w:val="2"/>
          </w:tcPr>
          <w:p>
            <w:pPr>
              <w:spacing w:after="0"/>
              <w:rPr>
                <w:sz w:val="20"/>
                <w:szCs w:val="20"/>
                <w:color w:val="auto"/>
              </w:rPr>
            </w:pPr>
            <w:r>
              <w:rPr>
                <w:rFonts w:ascii="Arial" w:cs="Arial" w:eastAsia="Arial" w:hAnsi="Arial"/>
                <w:sz w:val="17"/>
                <w:szCs w:val="17"/>
                <w:color w:val="auto"/>
              </w:rPr>
              <w:t>Other intangibles, net</w:t>
            </w:r>
          </w:p>
        </w:tc>
        <w:tc>
          <w:tcPr>
            <w:tcW w:w="40" w:type="dxa"/>
            <w:vAlign w:val="bottom"/>
          </w:tcPr>
          <w:p>
            <w:pPr>
              <w:spacing w:after="0"/>
              <w:rPr>
                <w:sz w:val="16"/>
                <w:szCs w:val="16"/>
                <w:color w:val="auto"/>
              </w:rPr>
            </w:pPr>
          </w:p>
        </w:tc>
        <w:tc>
          <w:tcPr>
            <w:tcW w:w="12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980" w:type="dxa"/>
            <w:vAlign w:val="bottom"/>
            <w:shd w:val="clear" w:color="auto" w:fill="CDDEE7"/>
          </w:tcPr>
          <w:p>
            <w:pPr>
              <w:jc w:val="right"/>
              <w:ind w:right="34"/>
              <w:spacing w:after="0"/>
              <w:rPr>
                <w:sz w:val="20"/>
                <w:szCs w:val="20"/>
                <w:color w:val="auto"/>
              </w:rPr>
            </w:pPr>
            <w:r>
              <w:rPr>
                <w:rFonts w:ascii="Arial" w:cs="Arial" w:eastAsia="Arial" w:hAnsi="Arial"/>
                <w:sz w:val="17"/>
                <w:szCs w:val="17"/>
                <w:b w:val="1"/>
                <w:bCs w:val="1"/>
                <w:color w:val="auto"/>
              </w:rPr>
              <w:t>67,233</w:t>
            </w:r>
          </w:p>
        </w:tc>
        <w:tc>
          <w:tcPr>
            <w:tcW w:w="22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980" w:type="dxa"/>
            <w:vAlign w:val="bottom"/>
            <w:shd w:val="clear" w:color="auto" w:fill="E0EBED"/>
          </w:tcPr>
          <w:p>
            <w:pPr>
              <w:jc w:val="right"/>
              <w:ind w:right="34"/>
              <w:spacing w:after="0"/>
              <w:rPr>
                <w:sz w:val="20"/>
                <w:szCs w:val="20"/>
                <w:color w:val="auto"/>
              </w:rPr>
            </w:pPr>
            <w:r>
              <w:rPr>
                <w:rFonts w:ascii="Arial" w:cs="Arial" w:eastAsia="Arial" w:hAnsi="Arial"/>
                <w:sz w:val="17"/>
                <w:szCs w:val="17"/>
                <w:color w:val="auto"/>
              </w:rPr>
              <w:t>69,110</w:t>
            </w:r>
          </w:p>
        </w:tc>
        <w:tc>
          <w:tcPr>
            <w:tcW w:w="0" w:type="dxa"/>
            <w:vAlign w:val="bottom"/>
          </w:tcPr>
          <w:p>
            <w:pPr>
              <w:spacing w:after="0"/>
              <w:rPr>
                <w:sz w:val="1"/>
                <w:szCs w:val="1"/>
                <w:color w:val="auto"/>
              </w:rPr>
            </w:pPr>
          </w:p>
        </w:tc>
      </w:tr>
      <w:tr>
        <w:trPr>
          <w:trHeight w:val="217"/>
        </w:trPr>
        <w:tc>
          <w:tcPr>
            <w:tcW w:w="87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Other noncurrent assets</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shd w:val="clear" w:color="auto" w:fill="CDDEE7"/>
          </w:tcPr>
          <w:p>
            <w:pPr>
              <w:spacing w:after="0"/>
              <w:rPr>
                <w:sz w:val="18"/>
                <w:szCs w:val="18"/>
                <w:color w:val="auto"/>
              </w:rPr>
            </w:pPr>
          </w:p>
        </w:tc>
        <w:tc>
          <w:tcPr>
            <w:tcW w:w="100" w:type="dxa"/>
            <w:vAlign w:val="bottom"/>
            <w:tcBorders>
              <w:bottom w:val="single" w:sz="8" w:color="auto"/>
            </w:tcBorders>
            <w:shd w:val="clear" w:color="auto" w:fill="CDDEE7"/>
          </w:tcPr>
          <w:p>
            <w:pPr>
              <w:spacing w:after="0"/>
              <w:rPr>
                <w:sz w:val="18"/>
                <w:szCs w:val="18"/>
                <w:color w:val="auto"/>
              </w:rPr>
            </w:pPr>
          </w:p>
        </w:tc>
        <w:tc>
          <w:tcPr>
            <w:tcW w:w="980" w:type="dxa"/>
            <w:vAlign w:val="bottom"/>
            <w:tcBorders>
              <w:bottom w:val="single" w:sz="8" w:color="auto"/>
            </w:tcBorders>
            <w:shd w:val="clear" w:color="auto" w:fill="CDDEE7"/>
          </w:tcPr>
          <w:p>
            <w:pPr>
              <w:jc w:val="right"/>
              <w:ind w:right="34"/>
              <w:spacing w:after="0"/>
              <w:rPr>
                <w:sz w:val="20"/>
                <w:szCs w:val="20"/>
                <w:color w:val="auto"/>
              </w:rPr>
            </w:pPr>
            <w:r>
              <w:rPr>
                <w:rFonts w:ascii="Arial" w:cs="Arial" w:eastAsia="Arial" w:hAnsi="Arial"/>
                <w:sz w:val="17"/>
                <w:szCs w:val="17"/>
                <w:b w:val="1"/>
                <w:bCs w:val="1"/>
                <w:color w:val="auto"/>
              </w:rPr>
              <w:t>101,899</w:t>
            </w: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shd w:val="clear" w:color="auto" w:fill="E0EBED"/>
          </w:tcPr>
          <w:p>
            <w:pPr>
              <w:spacing w:after="0"/>
              <w:rPr>
                <w:sz w:val="18"/>
                <w:szCs w:val="18"/>
                <w:color w:val="auto"/>
              </w:rPr>
            </w:pPr>
          </w:p>
        </w:tc>
        <w:tc>
          <w:tcPr>
            <w:tcW w:w="980" w:type="dxa"/>
            <w:vAlign w:val="bottom"/>
            <w:tcBorders>
              <w:bottom w:val="single" w:sz="8" w:color="auto"/>
            </w:tcBorders>
            <w:shd w:val="clear" w:color="auto" w:fill="E0EBED"/>
          </w:tcPr>
          <w:p>
            <w:pPr>
              <w:jc w:val="right"/>
              <w:ind w:right="34"/>
              <w:spacing w:after="0"/>
              <w:rPr>
                <w:sz w:val="20"/>
                <w:szCs w:val="20"/>
                <w:color w:val="auto"/>
              </w:rPr>
            </w:pPr>
            <w:r>
              <w:rPr>
                <w:rFonts w:ascii="Arial" w:cs="Arial" w:eastAsia="Arial" w:hAnsi="Arial"/>
                <w:sz w:val="17"/>
                <w:szCs w:val="17"/>
                <w:color w:val="auto"/>
              </w:rPr>
              <w:t>120,476</w:t>
            </w:r>
          </w:p>
        </w:tc>
        <w:tc>
          <w:tcPr>
            <w:tcW w:w="0" w:type="dxa"/>
            <w:vAlign w:val="bottom"/>
          </w:tcPr>
          <w:p>
            <w:pPr>
              <w:spacing w:after="0"/>
              <w:rPr>
                <w:sz w:val="1"/>
                <w:szCs w:val="1"/>
                <w:color w:val="auto"/>
              </w:rPr>
            </w:pPr>
          </w:p>
        </w:tc>
      </w:tr>
      <w:tr>
        <w:trPr>
          <w:trHeight w:val="201"/>
        </w:trPr>
        <w:tc>
          <w:tcPr>
            <w:tcW w:w="878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Total Assets</w:t>
            </w:r>
          </w:p>
        </w:tc>
        <w:tc>
          <w:tcPr>
            <w:tcW w:w="40" w:type="dxa"/>
            <w:vAlign w:val="bottom"/>
          </w:tcPr>
          <w:p>
            <w:pPr>
              <w:spacing w:after="0"/>
              <w:rPr>
                <w:sz w:val="17"/>
                <w:szCs w:val="17"/>
                <w:color w:val="auto"/>
              </w:rPr>
            </w:pPr>
          </w:p>
        </w:tc>
        <w:tc>
          <w:tcPr>
            <w:tcW w:w="120" w:type="dxa"/>
            <w:vAlign w:val="bottom"/>
            <w:shd w:val="clear" w:color="auto" w:fill="CDDEE7"/>
          </w:tcPr>
          <w:p>
            <w:pPr>
              <w:spacing w:after="0"/>
              <w:rPr>
                <w:sz w:val="17"/>
                <w:szCs w:val="17"/>
                <w:color w:val="auto"/>
              </w:rPr>
            </w:pPr>
          </w:p>
        </w:tc>
        <w:tc>
          <w:tcPr>
            <w:tcW w:w="100" w:type="dxa"/>
            <w:vAlign w:val="bottom"/>
            <w:shd w:val="clear" w:color="auto" w:fill="CDDEE7"/>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shd w:val="clear" w:color="auto" w:fill="CDDEE7"/>
          </w:tcPr>
          <w:p>
            <w:pPr>
              <w:jc w:val="right"/>
              <w:ind w:right="34"/>
              <w:spacing w:after="0"/>
              <w:rPr>
                <w:sz w:val="20"/>
                <w:szCs w:val="20"/>
                <w:color w:val="auto"/>
              </w:rPr>
            </w:pPr>
            <w:r>
              <w:rPr>
                <w:rFonts w:ascii="Arial" w:cs="Arial" w:eastAsia="Arial" w:hAnsi="Arial"/>
                <w:sz w:val="17"/>
                <w:szCs w:val="17"/>
                <w:b w:val="1"/>
                <w:bCs w:val="1"/>
                <w:color w:val="auto"/>
              </w:rPr>
              <w:t>8,992,511</w:t>
            </w:r>
          </w:p>
        </w:tc>
        <w:tc>
          <w:tcPr>
            <w:tcW w:w="220" w:type="dxa"/>
            <w:vAlign w:val="bottom"/>
          </w:tcPr>
          <w:p>
            <w:pPr>
              <w:spacing w:after="0"/>
              <w:rPr>
                <w:sz w:val="17"/>
                <w:szCs w:val="17"/>
                <w:color w:val="auto"/>
              </w:rPr>
            </w:pPr>
          </w:p>
        </w:tc>
        <w:tc>
          <w:tcPr>
            <w:tcW w:w="200" w:type="dxa"/>
            <w:vAlign w:val="bottom"/>
            <w:shd w:val="clear" w:color="auto" w:fill="E0EBED"/>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E0EBED"/>
          </w:tcPr>
          <w:p>
            <w:pPr>
              <w:jc w:val="right"/>
              <w:ind w:right="34"/>
              <w:spacing w:after="0"/>
              <w:rPr>
                <w:sz w:val="20"/>
                <w:szCs w:val="20"/>
                <w:color w:val="auto"/>
              </w:rPr>
            </w:pPr>
            <w:r>
              <w:rPr>
                <w:rFonts w:ascii="Arial" w:cs="Arial" w:eastAsia="Arial" w:hAnsi="Arial"/>
                <w:sz w:val="17"/>
                <w:szCs w:val="17"/>
                <w:color w:val="auto"/>
              </w:rPr>
              <w:t>7,300,905</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76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63"/>
        </w:trPr>
        <w:tc>
          <w:tcPr>
            <w:tcW w:w="87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Liabilities and Equity </w:t>
            </w:r>
            <w:r>
              <w:rPr>
                <w:rFonts w:ascii="Arial" w:cs="Arial" w:eastAsia="Arial" w:hAnsi="Arial"/>
                <w:sz w:val="18"/>
                <w:szCs w:val="18"/>
                <w:color w:val="auto"/>
              </w:rPr>
              <w:t>(add 000, except parenthetical share data)</w:t>
            </w:r>
          </w:p>
        </w:tc>
        <w:tc>
          <w:tcPr>
            <w:tcW w:w="40" w:type="dxa"/>
            <w:vAlign w:val="bottom"/>
          </w:tcPr>
          <w:p>
            <w:pPr>
              <w:spacing w:after="0"/>
              <w:rPr>
                <w:sz w:val="24"/>
                <w:szCs w:val="24"/>
                <w:color w:val="auto"/>
              </w:rPr>
            </w:pPr>
          </w:p>
        </w:tc>
        <w:tc>
          <w:tcPr>
            <w:tcW w:w="120" w:type="dxa"/>
            <w:vAlign w:val="bottom"/>
            <w:shd w:val="clear" w:color="auto" w:fill="CDDEE7"/>
          </w:tcPr>
          <w:p>
            <w:pPr>
              <w:spacing w:after="0"/>
              <w:rPr>
                <w:sz w:val="24"/>
                <w:szCs w:val="24"/>
                <w:color w:val="auto"/>
              </w:rPr>
            </w:pPr>
          </w:p>
        </w:tc>
        <w:tc>
          <w:tcPr>
            <w:tcW w:w="100" w:type="dxa"/>
            <w:vAlign w:val="bottom"/>
            <w:shd w:val="clear" w:color="auto" w:fill="CDDEE7"/>
          </w:tcPr>
          <w:p>
            <w:pPr>
              <w:spacing w:after="0"/>
              <w:rPr>
                <w:sz w:val="24"/>
                <w:szCs w:val="24"/>
                <w:color w:val="auto"/>
              </w:rPr>
            </w:pPr>
          </w:p>
        </w:tc>
        <w:tc>
          <w:tcPr>
            <w:tcW w:w="980" w:type="dxa"/>
            <w:vAlign w:val="bottom"/>
            <w:shd w:val="clear" w:color="auto" w:fill="CDDEE7"/>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shd w:val="clear" w:color="auto" w:fill="E0EBED"/>
          </w:tcPr>
          <w:p>
            <w:pPr>
              <w:spacing w:after="0"/>
              <w:rPr>
                <w:sz w:val="24"/>
                <w:szCs w:val="24"/>
                <w:color w:val="auto"/>
              </w:rPr>
            </w:pPr>
          </w:p>
        </w:tc>
        <w:tc>
          <w:tcPr>
            <w:tcW w:w="980" w:type="dxa"/>
            <w:vAlign w:val="bottom"/>
            <w:shd w:val="clear" w:color="auto" w:fill="E0EBED"/>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760" w:type="dxa"/>
            <w:vAlign w:val="bottom"/>
            <w:tcBorders>
              <w:top w:val="single" w:sz="8" w:color="auto"/>
            </w:tcBorders>
          </w:tcPr>
          <w:p>
            <w:pPr>
              <w:spacing w:after="0" w:line="200" w:lineRule="exact"/>
              <w:rPr>
                <w:sz w:val="20"/>
                <w:szCs w:val="20"/>
                <w:color w:val="auto"/>
              </w:rPr>
            </w:pPr>
            <w:r>
              <w:rPr>
                <w:rFonts w:ascii="Arial" w:cs="Arial" w:eastAsia="Arial" w:hAnsi="Arial"/>
                <w:sz w:val="18"/>
                <w:szCs w:val="18"/>
                <w:b w:val="1"/>
                <w:bCs w:val="1"/>
                <w:color w:val="auto"/>
              </w:rPr>
              <w:t>Current Liabilities:</w:t>
            </w:r>
          </w:p>
        </w:tc>
        <w:tc>
          <w:tcPr>
            <w:tcW w:w="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shd w:val="clear" w:color="auto" w:fill="CDDEE7"/>
          </w:tcPr>
          <w:p>
            <w:pPr>
              <w:spacing w:after="0"/>
              <w:rPr>
                <w:sz w:val="17"/>
                <w:szCs w:val="17"/>
                <w:color w:val="auto"/>
              </w:rPr>
            </w:pPr>
          </w:p>
        </w:tc>
        <w:tc>
          <w:tcPr>
            <w:tcW w:w="100" w:type="dxa"/>
            <w:vAlign w:val="bottom"/>
            <w:tcBorders>
              <w:top w:val="single" w:sz="8" w:color="auto"/>
            </w:tcBorders>
            <w:vMerge w:val="restart"/>
            <w:shd w:val="clear" w:color="auto" w:fill="CDDEE7"/>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tcBorders>
            <w:shd w:val="clear" w:color="auto" w:fill="CDDEE7"/>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shd w:val="clear" w:color="auto" w:fill="E0EBED"/>
          </w:tcPr>
          <w:p>
            <w:pPr>
              <w:spacing w:after="0"/>
              <w:rPr>
                <w:sz w:val="17"/>
                <w:szCs w:val="17"/>
                <w:color w:val="auto"/>
              </w:rPr>
            </w:pPr>
          </w:p>
        </w:tc>
        <w:tc>
          <w:tcPr>
            <w:tcW w:w="980" w:type="dxa"/>
            <w:vAlign w:val="bottom"/>
            <w:tcBorders>
              <w:top w:val="single" w:sz="8" w:color="auto"/>
            </w:tcBorders>
            <w:shd w:val="clear" w:color="auto" w:fill="E0EBED"/>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8780" w:type="dxa"/>
            <w:vAlign w:val="bottom"/>
            <w:gridSpan w:val="2"/>
          </w:tcPr>
          <w:p>
            <w:pPr>
              <w:spacing w:after="0" w:line="172" w:lineRule="exact"/>
              <w:rPr>
                <w:sz w:val="20"/>
                <w:szCs w:val="20"/>
                <w:color w:val="auto"/>
              </w:rPr>
            </w:pPr>
            <w:r>
              <w:rPr>
                <w:rFonts w:ascii="Arial" w:cs="Arial" w:eastAsia="Arial" w:hAnsi="Arial"/>
                <w:sz w:val="17"/>
                <w:szCs w:val="17"/>
                <w:color w:val="auto"/>
              </w:rPr>
              <w:t>Accounts payable</w:t>
            </w:r>
          </w:p>
        </w:tc>
        <w:tc>
          <w:tcPr>
            <w:tcW w:w="40" w:type="dxa"/>
            <w:vAlign w:val="bottom"/>
          </w:tcPr>
          <w:p>
            <w:pPr>
              <w:spacing w:after="0"/>
              <w:rPr>
                <w:sz w:val="15"/>
                <w:szCs w:val="15"/>
                <w:color w:val="auto"/>
              </w:rPr>
            </w:pPr>
          </w:p>
        </w:tc>
        <w:tc>
          <w:tcPr>
            <w:tcW w:w="120" w:type="dxa"/>
            <w:vAlign w:val="bottom"/>
            <w:shd w:val="clear" w:color="auto" w:fill="CDDEE7"/>
          </w:tcPr>
          <w:p>
            <w:pPr>
              <w:spacing w:after="0"/>
              <w:rPr>
                <w:sz w:val="15"/>
                <w:szCs w:val="15"/>
                <w:color w:val="auto"/>
              </w:rPr>
            </w:pPr>
          </w:p>
        </w:tc>
        <w:tc>
          <w:tcPr>
            <w:tcW w:w="100" w:type="dxa"/>
            <w:vAlign w:val="bottom"/>
            <w:vMerge w:val="continue"/>
            <w:shd w:val="clear" w:color="auto" w:fill="CDDEE7"/>
          </w:tcPr>
          <w:p>
            <w:pPr>
              <w:spacing w:after="0"/>
              <w:rPr>
                <w:sz w:val="15"/>
                <w:szCs w:val="15"/>
                <w:color w:val="auto"/>
              </w:rPr>
            </w:pPr>
          </w:p>
        </w:tc>
        <w:tc>
          <w:tcPr>
            <w:tcW w:w="980" w:type="dxa"/>
            <w:vAlign w:val="bottom"/>
            <w:shd w:val="clear" w:color="auto" w:fill="CDDEE7"/>
          </w:tcPr>
          <w:p>
            <w:pPr>
              <w:jc w:val="right"/>
              <w:ind w:right="34"/>
              <w:spacing w:after="0" w:line="172" w:lineRule="exact"/>
              <w:rPr>
                <w:sz w:val="20"/>
                <w:szCs w:val="20"/>
                <w:color w:val="auto"/>
              </w:rPr>
            </w:pPr>
            <w:r>
              <w:rPr>
                <w:rFonts w:ascii="Arial" w:cs="Arial" w:eastAsia="Arial" w:hAnsi="Arial"/>
                <w:sz w:val="17"/>
                <w:szCs w:val="17"/>
                <w:b w:val="1"/>
                <w:bCs w:val="1"/>
                <w:color w:val="auto"/>
              </w:rPr>
              <w:t>186,638</w:t>
            </w:r>
          </w:p>
        </w:tc>
        <w:tc>
          <w:tcPr>
            <w:tcW w:w="220" w:type="dxa"/>
            <w:vAlign w:val="bottom"/>
          </w:tcPr>
          <w:p>
            <w:pPr>
              <w:spacing w:after="0"/>
              <w:rPr>
                <w:sz w:val="15"/>
                <w:szCs w:val="15"/>
                <w:color w:val="auto"/>
              </w:rPr>
            </w:pPr>
          </w:p>
        </w:tc>
        <w:tc>
          <w:tcPr>
            <w:tcW w:w="200" w:type="dxa"/>
            <w:vAlign w:val="bottom"/>
            <w:shd w:val="clear" w:color="auto" w:fill="E0EBED"/>
          </w:tcPr>
          <w:p>
            <w:pPr>
              <w:jc w:val="right"/>
              <w:spacing w:after="0" w:line="172" w:lineRule="exact"/>
              <w:rPr>
                <w:sz w:val="20"/>
                <w:szCs w:val="20"/>
                <w:color w:val="auto"/>
              </w:rPr>
            </w:pPr>
            <w:r>
              <w:rPr>
                <w:rFonts w:ascii="Arial" w:cs="Arial" w:eastAsia="Arial" w:hAnsi="Arial"/>
                <w:sz w:val="17"/>
                <w:szCs w:val="17"/>
                <w:color w:val="auto"/>
              </w:rPr>
              <w:t>$</w:t>
            </w:r>
          </w:p>
        </w:tc>
        <w:tc>
          <w:tcPr>
            <w:tcW w:w="980" w:type="dxa"/>
            <w:vAlign w:val="bottom"/>
            <w:shd w:val="clear" w:color="auto" w:fill="E0EBED"/>
          </w:tcPr>
          <w:p>
            <w:pPr>
              <w:jc w:val="right"/>
              <w:ind w:right="34"/>
              <w:spacing w:after="0" w:line="172" w:lineRule="exact"/>
              <w:rPr>
                <w:sz w:val="20"/>
                <w:szCs w:val="20"/>
                <w:color w:val="auto"/>
              </w:rPr>
            </w:pPr>
            <w:r>
              <w:rPr>
                <w:rFonts w:ascii="Arial" w:cs="Arial" w:eastAsia="Arial" w:hAnsi="Arial"/>
                <w:sz w:val="17"/>
                <w:szCs w:val="17"/>
                <w:color w:val="auto"/>
              </w:rPr>
              <w:t>178,598</w:t>
            </w:r>
          </w:p>
        </w:tc>
        <w:tc>
          <w:tcPr>
            <w:tcW w:w="0" w:type="dxa"/>
            <w:vAlign w:val="bottom"/>
          </w:tcPr>
          <w:p>
            <w:pPr>
              <w:spacing w:after="0"/>
              <w:rPr>
                <w:sz w:val="1"/>
                <w:szCs w:val="1"/>
                <w:color w:val="auto"/>
              </w:rPr>
            </w:pPr>
          </w:p>
        </w:tc>
      </w:tr>
      <w:tr>
        <w:trPr>
          <w:trHeight w:val="195"/>
        </w:trPr>
        <w:tc>
          <w:tcPr>
            <w:tcW w:w="8780" w:type="dxa"/>
            <w:vAlign w:val="bottom"/>
            <w:gridSpan w:val="2"/>
          </w:tcPr>
          <w:p>
            <w:pPr>
              <w:spacing w:after="0"/>
              <w:rPr>
                <w:sz w:val="20"/>
                <w:szCs w:val="20"/>
                <w:color w:val="auto"/>
              </w:rPr>
            </w:pPr>
            <w:r>
              <w:rPr>
                <w:rFonts w:ascii="Arial" w:cs="Arial" w:eastAsia="Arial" w:hAnsi="Arial"/>
                <w:sz w:val="17"/>
                <w:szCs w:val="17"/>
                <w:color w:val="auto"/>
              </w:rPr>
              <w:t>Accrued salaries, benefits and payroll taxes</w:t>
            </w:r>
          </w:p>
        </w:tc>
        <w:tc>
          <w:tcPr>
            <w:tcW w:w="40" w:type="dxa"/>
            <w:vAlign w:val="bottom"/>
          </w:tcPr>
          <w:p>
            <w:pPr>
              <w:spacing w:after="0"/>
              <w:rPr>
                <w:sz w:val="16"/>
                <w:szCs w:val="16"/>
                <w:color w:val="auto"/>
              </w:rPr>
            </w:pPr>
          </w:p>
        </w:tc>
        <w:tc>
          <w:tcPr>
            <w:tcW w:w="12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980" w:type="dxa"/>
            <w:vAlign w:val="bottom"/>
            <w:shd w:val="clear" w:color="auto" w:fill="CDDEE7"/>
          </w:tcPr>
          <w:p>
            <w:pPr>
              <w:jc w:val="right"/>
              <w:ind w:right="34"/>
              <w:spacing w:after="0"/>
              <w:rPr>
                <w:sz w:val="20"/>
                <w:szCs w:val="20"/>
                <w:color w:val="auto"/>
              </w:rPr>
            </w:pPr>
            <w:r>
              <w:rPr>
                <w:rFonts w:ascii="Arial" w:cs="Arial" w:eastAsia="Arial" w:hAnsi="Arial"/>
                <w:sz w:val="17"/>
                <w:szCs w:val="17"/>
                <w:b w:val="1"/>
                <w:bCs w:val="1"/>
                <w:color w:val="auto"/>
              </w:rPr>
              <w:t>44,255</w:t>
            </w:r>
          </w:p>
        </w:tc>
        <w:tc>
          <w:tcPr>
            <w:tcW w:w="22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980" w:type="dxa"/>
            <w:vAlign w:val="bottom"/>
            <w:shd w:val="clear" w:color="auto" w:fill="E0EBED"/>
          </w:tcPr>
          <w:p>
            <w:pPr>
              <w:jc w:val="right"/>
              <w:ind w:right="34"/>
              <w:spacing w:after="0"/>
              <w:rPr>
                <w:sz w:val="20"/>
                <w:szCs w:val="20"/>
                <w:color w:val="auto"/>
              </w:rPr>
            </w:pPr>
            <w:r>
              <w:rPr>
                <w:rFonts w:ascii="Arial" w:cs="Arial" w:eastAsia="Arial" w:hAnsi="Arial"/>
                <w:sz w:val="17"/>
                <w:szCs w:val="17"/>
                <w:color w:val="auto"/>
              </w:rPr>
              <w:t>47,428</w:t>
            </w:r>
          </w:p>
        </w:tc>
        <w:tc>
          <w:tcPr>
            <w:tcW w:w="0" w:type="dxa"/>
            <w:vAlign w:val="bottom"/>
          </w:tcPr>
          <w:p>
            <w:pPr>
              <w:spacing w:after="0"/>
              <w:rPr>
                <w:sz w:val="1"/>
                <w:szCs w:val="1"/>
                <w:color w:val="auto"/>
              </w:rPr>
            </w:pPr>
          </w:p>
        </w:tc>
      </w:tr>
      <w:tr>
        <w:trPr>
          <w:trHeight w:val="195"/>
        </w:trPr>
        <w:tc>
          <w:tcPr>
            <w:tcW w:w="8780" w:type="dxa"/>
            <w:vAlign w:val="bottom"/>
            <w:gridSpan w:val="2"/>
          </w:tcPr>
          <w:p>
            <w:pPr>
              <w:spacing w:after="0"/>
              <w:rPr>
                <w:sz w:val="20"/>
                <w:szCs w:val="20"/>
                <w:color w:val="auto"/>
              </w:rPr>
            </w:pPr>
            <w:r>
              <w:rPr>
                <w:rFonts w:ascii="Arial" w:cs="Arial" w:eastAsia="Arial" w:hAnsi="Arial"/>
                <w:sz w:val="17"/>
                <w:szCs w:val="17"/>
                <w:color w:val="auto"/>
              </w:rPr>
              <w:t>Pension and postretirement benefits</w:t>
            </w:r>
          </w:p>
        </w:tc>
        <w:tc>
          <w:tcPr>
            <w:tcW w:w="40" w:type="dxa"/>
            <w:vAlign w:val="bottom"/>
          </w:tcPr>
          <w:p>
            <w:pPr>
              <w:spacing w:after="0"/>
              <w:rPr>
                <w:sz w:val="16"/>
                <w:szCs w:val="16"/>
                <w:color w:val="auto"/>
              </w:rPr>
            </w:pPr>
          </w:p>
        </w:tc>
        <w:tc>
          <w:tcPr>
            <w:tcW w:w="12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980" w:type="dxa"/>
            <w:vAlign w:val="bottom"/>
            <w:shd w:val="clear" w:color="auto" w:fill="CDDEE7"/>
          </w:tcPr>
          <w:p>
            <w:pPr>
              <w:jc w:val="right"/>
              <w:ind w:right="34"/>
              <w:spacing w:after="0"/>
              <w:rPr>
                <w:sz w:val="20"/>
                <w:szCs w:val="20"/>
                <w:color w:val="auto"/>
              </w:rPr>
            </w:pPr>
            <w:r>
              <w:rPr>
                <w:rFonts w:ascii="Arial" w:cs="Arial" w:eastAsia="Arial" w:hAnsi="Arial"/>
                <w:sz w:val="17"/>
                <w:szCs w:val="17"/>
                <w:b w:val="1"/>
                <w:bCs w:val="1"/>
                <w:color w:val="auto"/>
              </w:rPr>
              <w:t>13,652</w:t>
            </w:r>
          </w:p>
        </w:tc>
        <w:tc>
          <w:tcPr>
            <w:tcW w:w="22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980" w:type="dxa"/>
            <w:vAlign w:val="bottom"/>
            <w:shd w:val="clear" w:color="auto" w:fill="E0EBED"/>
          </w:tcPr>
          <w:p>
            <w:pPr>
              <w:jc w:val="right"/>
              <w:ind w:right="34"/>
              <w:spacing w:after="0"/>
              <w:rPr>
                <w:sz w:val="20"/>
                <w:szCs w:val="20"/>
                <w:color w:val="auto"/>
              </w:rPr>
            </w:pPr>
            <w:r>
              <w:rPr>
                <w:rFonts w:ascii="Arial" w:cs="Arial" w:eastAsia="Arial" w:hAnsi="Arial"/>
                <w:sz w:val="17"/>
                <w:szCs w:val="17"/>
                <w:color w:val="auto"/>
              </w:rPr>
              <w:t>9,293</w:t>
            </w:r>
          </w:p>
        </w:tc>
        <w:tc>
          <w:tcPr>
            <w:tcW w:w="0" w:type="dxa"/>
            <w:vAlign w:val="bottom"/>
          </w:tcPr>
          <w:p>
            <w:pPr>
              <w:spacing w:after="0"/>
              <w:rPr>
                <w:sz w:val="1"/>
                <w:szCs w:val="1"/>
                <w:color w:val="auto"/>
              </w:rPr>
            </w:pPr>
          </w:p>
        </w:tc>
      </w:tr>
      <w:tr>
        <w:trPr>
          <w:trHeight w:val="195"/>
        </w:trPr>
        <w:tc>
          <w:tcPr>
            <w:tcW w:w="8780" w:type="dxa"/>
            <w:vAlign w:val="bottom"/>
            <w:gridSpan w:val="2"/>
          </w:tcPr>
          <w:p>
            <w:pPr>
              <w:spacing w:after="0"/>
              <w:rPr>
                <w:sz w:val="20"/>
                <w:szCs w:val="20"/>
                <w:color w:val="auto"/>
              </w:rPr>
            </w:pPr>
            <w:r>
              <w:rPr>
                <w:rFonts w:ascii="Arial" w:cs="Arial" w:eastAsia="Arial" w:hAnsi="Arial"/>
                <w:sz w:val="17"/>
                <w:szCs w:val="17"/>
                <w:color w:val="auto"/>
              </w:rPr>
              <w:t>Accrued insurance and other taxes</w:t>
            </w:r>
          </w:p>
        </w:tc>
        <w:tc>
          <w:tcPr>
            <w:tcW w:w="40" w:type="dxa"/>
            <w:vAlign w:val="bottom"/>
          </w:tcPr>
          <w:p>
            <w:pPr>
              <w:spacing w:after="0"/>
              <w:rPr>
                <w:sz w:val="16"/>
                <w:szCs w:val="16"/>
                <w:color w:val="auto"/>
              </w:rPr>
            </w:pPr>
          </w:p>
        </w:tc>
        <w:tc>
          <w:tcPr>
            <w:tcW w:w="12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980" w:type="dxa"/>
            <w:vAlign w:val="bottom"/>
            <w:shd w:val="clear" w:color="auto" w:fill="CDDEE7"/>
          </w:tcPr>
          <w:p>
            <w:pPr>
              <w:jc w:val="right"/>
              <w:ind w:right="34"/>
              <w:spacing w:after="0"/>
              <w:rPr>
                <w:sz w:val="20"/>
                <w:szCs w:val="20"/>
                <w:color w:val="auto"/>
              </w:rPr>
            </w:pPr>
            <w:r>
              <w:rPr>
                <w:rFonts w:ascii="Arial" w:cs="Arial" w:eastAsia="Arial" w:hAnsi="Arial"/>
                <w:sz w:val="17"/>
                <w:szCs w:val="17"/>
                <w:b w:val="1"/>
                <w:bCs w:val="1"/>
                <w:color w:val="auto"/>
              </w:rPr>
              <w:t>64,958</w:t>
            </w:r>
          </w:p>
        </w:tc>
        <w:tc>
          <w:tcPr>
            <w:tcW w:w="22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980" w:type="dxa"/>
            <w:vAlign w:val="bottom"/>
            <w:shd w:val="clear" w:color="auto" w:fill="E0EBED"/>
          </w:tcPr>
          <w:p>
            <w:pPr>
              <w:jc w:val="right"/>
              <w:ind w:right="34"/>
              <w:spacing w:after="0"/>
              <w:rPr>
                <w:sz w:val="20"/>
                <w:szCs w:val="20"/>
                <w:color w:val="auto"/>
              </w:rPr>
            </w:pPr>
            <w:r>
              <w:rPr>
                <w:rFonts w:ascii="Arial" w:cs="Arial" w:eastAsia="Arial" w:hAnsi="Arial"/>
                <w:sz w:val="17"/>
                <w:szCs w:val="17"/>
                <w:color w:val="auto"/>
              </w:rPr>
              <w:t>60,093</w:t>
            </w:r>
          </w:p>
        </w:tc>
        <w:tc>
          <w:tcPr>
            <w:tcW w:w="0" w:type="dxa"/>
            <w:vAlign w:val="bottom"/>
          </w:tcPr>
          <w:p>
            <w:pPr>
              <w:spacing w:after="0"/>
              <w:rPr>
                <w:sz w:val="1"/>
                <w:szCs w:val="1"/>
                <w:color w:val="auto"/>
              </w:rPr>
            </w:pPr>
          </w:p>
        </w:tc>
      </w:tr>
      <w:tr>
        <w:trPr>
          <w:trHeight w:val="195"/>
        </w:trPr>
        <w:tc>
          <w:tcPr>
            <w:tcW w:w="8780" w:type="dxa"/>
            <w:vAlign w:val="bottom"/>
            <w:gridSpan w:val="2"/>
          </w:tcPr>
          <w:p>
            <w:pPr>
              <w:spacing w:after="0"/>
              <w:rPr>
                <w:sz w:val="20"/>
                <w:szCs w:val="20"/>
                <w:color w:val="auto"/>
              </w:rPr>
            </w:pPr>
            <w:r>
              <w:rPr>
                <w:rFonts w:ascii="Arial" w:cs="Arial" w:eastAsia="Arial" w:hAnsi="Arial"/>
                <w:sz w:val="17"/>
                <w:szCs w:val="17"/>
                <w:color w:val="auto"/>
              </w:rPr>
              <w:t>Current maturities of long-term debt</w:t>
            </w:r>
          </w:p>
        </w:tc>
        <w:tc>
          <w:tcPr>
            <w:tcW w:w="40" w:type="dxa"/>
            <w:vAlign w:val="bottom"/>
          </w:tcPr>
          <w:p>
            <w:pPr>
              <w:spacing w:after="0"/>
              <w:rPr>
                <w:sz w:val="16"/>
                <w:szCs w:val="16"/>
                <w:color w:val="auto"/>
              </w:rPr>
            </w:pPr>
          </w:p>
        </w:tc>
        <w:tc>
          <w:tcPr>
            <w:tcW w:w="12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980" w:type="dxa"/>
            <w:vAlign w:val="bottom"/>
            <w:shd w:val="clear" w:color="auto" w:fill="CDDEE7"/>
          </w:tcPr>
          <w:p>
            <w:pPr>
              <w:jc w:val="right"/>
              <w:ind w:right="34"/>
              <w:spacing w:after="0"/>
              <w:rPr>
                <w:sz w:val="20"/>
                <w:szCs w:val="20"/>
                <w:color w:val="auto"/>
              </w:rPr>
            </w:pPr>
            <w:r>
              <w:rPr>
                <w:rFonts w:ascii="Arial" w:cs="Arial" w:eastAsia="Arial" w:hAnsi="Arial"/>
                <w:sz w:val="17"/>
                <w:szCs w:val="17"/>
                <w:b w:val="1"/>
                <w:bCs w:val="1"/>
                <w:color w:val="auto"/>
              </w:rPr>
              <w:t>299,909</w:t>
            </w:r>
          </w:p>
        </w:tc>
        <w:tc>
          <w:tcPr>
            <w:tcW w:w="22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980" w:type="dxa"/>
            <w:vAlign w:val="bottom"/>
            <w:shd w:val="clear" w:color="auto" w:fill="E0EBED"/>
          </w:tcPr>
          <w:p>
            <w:pPr>
              <w:jc w:val="right"/>
              <w:ind w:right="34"/>
              <w:spacing w:after="0"/>
              <w:rPr>
                <w:sz w:val="20"/>
                <w:szCs w:val="20"/>
                <w:color w:val="auto"/>
              </w:rPr>
            </w:pPr>
            <w:r>
              <w:rPr>
                <w:rFonts w:ascii="Arial" w:cs="Arial" w:eastAsia="Arial" w:hAnsi="Arial"/>
                <w:sz w:val="17"/>
                <w:szCs w:val="17"/>
                <w:color w:val="auto"/>
              </w:rPr>
              <w:t>180,036</w:t>
            </w:r>
          </w:p>
        </w:tc>
        <w:tc>
          <w:tcPr>
            <w:tcW w:w="0" w:type="dxa"/>
            <w:vAlign w:val="bottom"/>
          </w:tcPr>
          <w:p>
            <w:pPr>
              <w:spacing w:after="0"/>
              <w:rPr>
                <w:sz w:val="1"/>
                <w:szCs w:val="1"/>
                <w:color w:val="auto"/>
              </w:rPr>
            </w:pPr>
          </w:p>
        </w:tc>
      </w:tr>
      <w:tr>
        <w:trPr>
          <w:trHeight w:val="217"/>
        </w:trPr>
        <w:tc>
          <w:tcPr>
            <w:tcW w:w="87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Other current liabilities</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shd w:val="clear" w:color="auto" w:fill="CDDEE7"/>
          </w:tcPr>
          <w:p>
            <w:pPr>
              <w:spacing w:after="0"/>
              <w:rPr>
                <w:sz w:val="18"/>
                <w:szCs w:val="18"/>
                <w:color w:val="auto"/>
              </w:rPr>
            </w:pPr>
          </w:p>
        </w:tc>
        <w:tc>
          <w:tcPr>
            <w:tcW w:w="100" w:type="dxa"/>
            <w:vAlign w:val="bottom"/>
            <w:tcBorders>
              <w:bottom w:val="single" w:sz="8" w:color="auto"/>
            </w:tcBorders>
            <w:shd w:val="clear" w:color="auto" w:fill="CDDEE7"/>
          </w:tcPr>
          <w:p>
            <w:pPr>
              <w:spacing w:after="0"/>
              <w:rPr>
                <w:sz w:val="18"/>
                <w:szCs w:val="18"/>
                <w:color w:val="auto"/>
              </w:rPr>
            </w:pPr>
          </w:p>
        </w:tc>
        <w:tc>
          <w:tcPr>
            <w:tcW w:w="980" w:type="dxa"/>
            <w:vAlign w:val="bottom"/>
            <w:tcBorders>
              <w:bottom w:val="single" w:sz="8" w:color="auto"/>
            </w:tcBorders>
            <w:shd w:val="clear" w:color="auto" w:fill="CDDEE7"/>
          </w:tcPr>
          <w:p>
            <w:pPr>
              <w:jc w:val="right"/>
              <w:ind w:right="34"/>
              <w:spacing w:after="0"/>
              <w:rPr>
                <w:sz w:val="20"/>
                <w:szCs w:val="20"/>
                <w:color w:val="auto"/>
              </w:rPr>
            </w:pPr>
            <w:r>
              <w:rPr>
                <w:rFonts w:ascii="Arial" w:cs="Arial" w:eastAsia="Arial" w:hAnsi="Arial"/>
                <w:sz w:val="17"/>
                <w:szCs w:val="17"/>
                <w:b w:val="1"/>
                <w:bCs w:val="1"/>
                <w:color w:val="auto"/>
              </w:rPr>
              <w:t>87,804</w:t>
            </w: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shd w:val="clear" w:color="auto" w:fill="E0EBED"/>
          </w:tcPr>
          <w:p>
            <w:pPr>
              <w:spacing w:after="0"/>
              <w:rPr>
                <w:sz w:val="18"/>
                <w:szCs w:val="18"/>
                <w:color w:val="auto"/>
              </w:rPr>
            </w:pPr>
          </w:p>
        </w:tc>
        <w:tc>
          <w:tcPr>
            <w:tcW w:w="980" w:type="dxa"/>
            <w:vAlign w:val="bottom"/>
            <w:tcBorders>
              <w:bottom w:val="single" w:sz="8" w:color="auto"/>
            </w:tcBorders>
            <w:shd w:val="clear" w:color="auto" w:fill="E0EBED"/>
          </w:tcPr>
          <w:p>
            <w:pPr>
              <w:jc w:val="right"/>
              <w:ind w:right="34"/>
              <w:spacing w:after="0"/>
              <w:rPr>
                <w:sz w:val="20"/>
                <w:szCs w:val="20"/>
                <w:color w:val="auto"/>
              </w:rPr>
            </w:pPr>
            <w:r>
              <w:rPr>
                <w:rFonts w:ascii="Arial" w:cs="Arial" w:eastAsia="Arial" w:hAnsi="Arial"/>
                <w:sz w:val="17"/>
                <w:szCs w:val="17"/>
                <w:color w:val="auto"/>
              </w:rPr>
              <w:t>71,140</w:t>
            </w:r>
          </w:p>
        </w:tc>
        <w:tc>
          <w:tcPr>
            <w:tcW w:w="0" w:type="dxa"/>
            <w:vAlign w:val="bottom"/>
          </w:tcPr>
          <w:p>
            <w:pPr>
              <w:spacing w:after="0"/>
              <w:rPr>
                <w:sz w:val="1"/>
                <w:szCs w:val="1"/>
                <w:color w:val="auto"/>
              </w:rPr>
            </w:pPr>
          </w:p>
        </w:tc>
      </w:tr>
      <w:tr>
        <w:trPr>
          <w:trHeight w:val="201"/>
        </w:trPr>
        <w:tc>
          <w:tcPr>
            <w:tcW w:w="878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Total Current Liabilities</w:t>
            </w:r>
          </w:p>
        </w:tc>
        <w:tc>
          <w:tcPr>
            <w:tcW w:w="40" w:type="dxa"/>
            <w:vAlign w:val="bottom"/>
          </w:tcPr>
          <w:p>
            <w:pPr>
              <w:spacing w:after="0"/>
              <w:rPr>
                <w:sz w:val="17"/>
                <w:szCs w:val="17"/>
                <w:color w:val="auto"/>
              </w:rPr>
            </w:pPr>
          </w:p>
        </w:tc>
        <w:tc>
          <w:tcPr>
            <w:tcW w:w="120" w:type="dxa"/>
            <w:vAlign w:val="bottom"/>
            <w:shd w:val="clear" w:color="auto" w:fill="CDDEE7"/>
          </w:tcPr>
          <w:p>
            <w:pPr>
              <w:spacing w:after="0"/>
              <w:rPr>
                <w:sz w:val="17"/>
                <w:szCs w:val="17"/>
                <w:color w:val="auto"/>
              </w:rPr>
            </w:pPr>
          </w:p>
        </w:tc>
        <w:tc>
          <w:tcPr>
            <w:tcW w:w="100" w:type="dxa"/>
            <w:vAlign w:val="bottom"/>
            <w:shd w:val="clear" w:color="auto" w:fill="CDDEE7"/>
          </w:tcPr>
          <w:p>
            <w:pPr>
              <w:spacing w:after="0"/>
              <w:rPr>
                <w:sz w:val="17"/>
                <w:szCs w:val="17"/>
                <w:color w:val="auto"/>
              </w:rPr>
            </w:pPr>
          </w:p>
        </w:tc>
        <w:tc>
          <w:tcPr>
            <w:tcW w:w="980" w:type="dxa"/>
            <w:vAlign w:val="bottom"/>
            <w:shd w:val="clear" w:color="auto" w:fill="CDDEE7"/>
          </w:tcPr>
          <w:p>
            <w:pPr>
              <w:jc w:val="right"/>
              <w:ind w:right="34"/>
              <w:spacing w:after="0"/>
              <w:rPr>
                <w:sz w:val="20"/>
                <w:szCs w:val="20"/>
                <w:color w:val="auto"/>
              </w:rPr>
            </w:pPr>
            <w:r>
              <w:rPr>
                <w:rFonts w:ascii="Arial" w:cs="Arial" w:eastAsia="Arial" w:hAnsi="Arial"/>
                <w:sz w:val="17"/>
                <w:szCs w:val="17"/>
                <w:b w:val="1"/>
                <w:bCs w:val="1"/>
                <w:color w:val="auto"/>
              </w:rPr>
              <w:t>694,216</w:t>
            </w:r>
          </w:p>
        </w:tc>
        <w:tc>
          <w:tcPr>
            <w:tcW w:w="220" w:type="dxa"/>
            <w:vAlign w:val="bottom"/>
          </w:tcPr>
          <w:p>
            <w:pPr>
              <w:spacing w:after="0"/>
              <w:rPr>
                <w:sz w:val="17"/>
                <w:szCs w:val="17"/>
                <w:color w:val="auto"/>
              </w:rPr>
            </w:pPr>
          </w:p>
        </w:tc>
        <w:tc>
          <w:tcPr>
            <w:tcW w:w="200" w:type="dxa"/>
            <w:vAlign w:val="bottom"/>
            <w:shd w:val="clear" w:color="auto" w:fill="E0EBED"/>
          </w:tcPr>
          <w:p>
            <w:pPr>
              <w:spacing w:after="0"/>
              <w:rPr>
                <w:sz w:val="17"/>
                <w:szCs w:val="17"/>
                <w:color w:val="auto"/>
              </w:rPr>
            </w:pPr>
          </w:p>
        </w:tc>
        <w:tc>
          <w:tcPr>
            <w:tcW w:w="980" w:type="dxa"/>
            <w:vAlign w:val="bottom"/>
            <w:shd w:val="clear" w:color="auto" w:fill="E0EBED"/>
          </w:tcPr>
          <w:p>
            <w:pPr>
              <w:jc w:val="right"/>
              <w:ind w:right="34"/>
              <w:spacing w:after="0"/>
              <w:rPr>
                <w:sz w:val="20"/>
                <w:szCs w:val="20"/>
                <w:color w:val="auto"/>
              </w:rPr>
            </w:pPr>
            <w:r>
              <w:rPr>
                <w:rFonts w:ascii="Arial" w:cs="Arial" w:eastAsia="Arial" w:hAnsi="Arial"/>
                <w:sz w:val="17"/>
                <w:szCs w:val="17"/>
                <w:color w:val="auto"/>
              </w:rPr>
              <w:t>546,588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1"/>
        </w:trPr>
        <w:tc>
          <w:tcPr>
            <w:tcW w:w="8780" w:type="dxa"/>
            <w:vAlign w:val="bottom"/>
            <w:gridSpan w:val="2"/>
          </w:tcPr>
          <w:p>
            <w:pPr>
              <w:spacing w:after="0"/>
              <w:rPr>
                <w:sz w:val="20"/>
                <w:szCs w:val="20"/>
                <w:color w:val="auto"/>
              </w:rPr>
            </w:pPr>
            <w:r>
              <w:rPr>
                <w:rFonts w:ascii="Arial" w:cs="Arial" w:eastAsia="Arial" w:hAnsi="Arial"/>
                <w:sz w:val="17"/>
                <w:szCs w:val="17"/>
                <w:color w:val="auto"/>
              </w:rPr>
              <w:t>Long-term debt</w:t>
            </w:r>
          </w:p>
        </w:tc>
        <w:tc>
          <w:tcPr>
            <w:tcW w:w="40" w:type="dxa"/>
            <w:vAlign w:val="bottom"/>
          </w:tcPr>
          <w:p>
            <w:pPr>
              <w:spacing w:after="0"/>
              <w:rPr>
                <w:sz w:val="24"/>
                <w:szCs w:val="24"/>
                <w:color w:val="auto"/>
              </w:rPr>
            </w:pPr>
          </w:p>
        </w:tc>
        <w:tc>
          <w:tcPr>
            <w:tcW w:w="120" w:type="dxa"/>
            <w:vAlign w:val="bottom"/>
            <w:shd w:val="clear" w:color="auto" w:fill="CDDEE7"/>
          </w:tcPr>
          <w:p>
            <w:pPr>
              <w:spacing w:after="0"/>
              <w:rPr>
                <w:sz w:val="24"/>
                <w:szCs w:val="24"/>
                <w:color w:val="auto"/>
              </w:rPr>
            </w:pPr>
          </w:p>
        </w:tc>
        <w:tc>
          <w:tcPr>
            <w:tcW w:w="100" w:type="dxa"/>
            <w:vAlign w:val="bottom"/>
            <w:shd w:val="clear" w:color="auto" w:fill="CDDEE7"/>
          </w:tcPr>
          <w:p>
            <w:pPr>
              <w:spacing w:after="0"/>
              <w:rPr>
                <w:sz w:val="24"/>
                <w:szCs w:val="24"/>
                <w:color w:val="auto"/>
              </w:rPr>
            </w:pPr>
          </w:p>
        </w:tc>
        <w:tc>
          <w:tcPr>
            <w:tcW w:w="980" w:type="dxa"/>
            <w:vAlign w:val="bottom"/>
            <w:shd w:val="clear" w:color="auto" w:fill="CDDEE7"/>
          </w:tcPr>
          <w:p>
            <w:pPr>
              <w:jc w:val="right"/>
              <w:ind w:right="34"/>
              <w:spacing w:after="0"/>
              <w:rPr>
                <w:sz w:val="20"/>
                <w:szCs w:val="20"/>
                <w:color w:val="auto"/>
              </w:rPr>
            </w:pPr>
            <w:r>
              <w:rPr>
                <w:rFonts w:ascii="Arial" w:cs="Arial" w:eastAsia="Arial" w:hAnsi="Arial"/>
                <w:sz w:val="17"/>
                <w:szCs w:val="17"/>
                <w:b w:val="1"/>
                <w:bCs w:val="1"/>
                <w:color w:val="auto"/>
              </w:rPr>
              <w:t>2,727,294</w:t>
            </w:r>
          </w:p>
        </w:tc>
        <w:tc>
          <w:tcPr>
            <w:tcW w:w="220" w:type="dxa"/>
            <w:vAlign w:val="bottom"/>
          </w:tcPr>
          <w:p>
            <w:pPr>
              <w:spacing w:after="0"/>
              <w:rPr>
                <w:sz w:val="24"/>
                <w:szCs w:val="24"/>
                <w:color w:val="auto"/>
              </w:rPr>
            </w:pPr>
          </w:p>
        </w:tc>
        <w:tc>
          <w:tcPr>
            <w:tcW w:w="200" w:type="dxa"/>
            <w:vAlign w:val="bottom"/>
            <w:shd w:val="clear" w:color="auto" w:fill="E0EBED"/>
          </w:tcPr>
          <w:p>
            <w:pPr>
              <w:spacing w:after="0"/>
              <w:rPr>
                <w:sz w:val="24"/>
                <w:szCs w:val="24"/>
                <w:color w:val="auto"/>
              </w:rPr>
            </w:pPr>
          </w:p>
        </w:tc>
        <w:tc>
          <w:tcPr>
            <w:tcW w:w="980" w:type="dxa"/>
            <w:vAlign w:val="bottom"/>
            <w:shd w:val="clear" w:color="auto" w:fill="E0EBED"/>
          </w:tcPr>
          <w:p>
            <w:pPr>
              <w:jc w:val="right"/>
              <w:ind w:right="34"/>
              <w:spacing w:after="0"/>
              <w:rPr>
                <w:sz w:val="20"/>
                <w:szCs w:val="20"/>
                <w:color w:val="auto"/>
              </w:rPr>
            </w:pPr>
            <w:r>
              <w:rPr>
                <w:rFonts w:ascii="Arial" w:cs="Arial" w:eastAsia="Arial" w:hAnsi="Arial"/>
                <w:sz w:val="17"/>
                <w:szCs w:val="17"/>
                <w:color w:val="auto"/>
              </w:rPr>
              <w:t>1,506,153</w:t>
            </w:r>
          </w:p>
        </w:tc>
        <w:tc>
          <w:tcPr>
            <w:tcW w:w="0" w:type="dxa"/>
            <w:vAlign w:val="bottom"/>
          </w:tcPr>
          <w:p>
            <w:pPr>
              <w:spacing w:after="0"/>
              <w:rPr>
                <w:sz w:val="1"/>
                <w:szCs w:val="1"/>
                <w:color w:val="auto"/>
              </w:rPr>
            </w:pPr>
          </w:p>
        </w:tc>
      </w:tr>
      <w:tr>
        <w:trPr>
          <w:trHeight w:val="217"/>
        </w:trPr>
        <w:tc>
          <w:tcPr>
            <w:tcW w:w="8780" w:type="dxa"/>
            <w:vAlign w:val="bottom"/>
            <w:gridSpan w:val="2"/>
          </w:tcPr>
          <w:p>
            <w:pPr>
              <w:spacing w:after="0"/>
              <w:rPr>
                <w:sz w:val="20"/>
                <w:szCs w:val="20"/>
                <w:color w:val="auto"/>
              </w:rPr>
            </w:pPr>
            <w:r>
              <w:rPr>
                <w:rFonts w:ascii="Arial" w:cs="Arial" w:eastAsia="Arial" w:hAnsi="Arial"/>
                <w:sz w:val="17"/>
                <w:szCs w:val="17"/>
                <w:color w:val="auto"/>
              </w:rPr>
              <w:t>Pension, postretirement and postemployment benefits</w:t>
            </w:r>
          </w:p>
        </w:tc>
        <w:tc>
          <w:tcPr>
            <w:tcW w:w="40" w:type="dxa"/>
            <w:vAlign w:val="bottom"/>
          </w:tcPr>
          <w:p>
            <w:pPr>
              <w:spacing w:after="0"/>
              <w:rPr>
                <w:sz w:val="18"/>
                <w:szCs w:val="18"/>
                <w:color w:val="auto"/>
              </w:rPr>
            </w:pPr>
          </w:p>
        </w:tc>
        <w:tc>
          <w:tcPr>
            <w:tcW w:w="120" w:type="dxa"/>
            <w:vAlign w:val="bottom"/>
            <w:shd w:val="clear" w:color="auto" w:fill="CDDEE7"/>
          </w:tcPr>
          <w:p>
            <w:pPr>
              <w:spacing w:after="0"/>
              <w:rPr>
                <w:sz w:val="18"/>
                <w:szCs w:val="18"/>
                <w:color w:val="auto"/>
              </w:rPr>
            </w:pPr>
          </w:p>
        </w:tc>
        <w:tc>
          <w:tcPr>
            <w:tcW w:w="100" w:type="dxa"/>
            <w:vAlign w:val="bottom"/>
            <w:shd w:val="clear" w:color="auto" w:fill="CDDEE7"/>
          </w:tcPr>
          <w:p>
            <w:pPr>
              <w:spacing w:after="0"/>
              <w:rPr>
                <w:sz w:val="18"/>
                <w:szCs w:val="18"/>
                <w:color w:val="auto"/>
              </w:rPr>
            </w:pPr>
          </w:p>
        </w:tc>
        <w:tc>
          <w:tcPr>
            <w:tcW w:w="980" w:type="dxa"/>
            <w:vAlign w:val="bottom"/>
            <w:shd w:val="clear" w:color="auto" w:fill="CDDEE7"/>
          </w:tcPr>
          <w:p>
            <w:pPr>
              <w:jc w:val="right"/>
              <w:ind w:right="34"/>
              <w:spacing w:after="0"/>
              <w:rPr>
                <w:sz w:val="20"/>
                <w:szCs w:val="20"/>
                <w:color w:val="auto"/>
              </w:rPr>
            </w:pPr>
            <w:r>
              <w:rPr>
                <w:rFonts w:ascii="Arial" w:cs="Arial" w:eastAsia="Arial" w:hAnsi="Arial"/>
                <w:sz w:val="17"/>
                <w:szCs w:val="17"/>
                <w:b w:val="1"/>
                <w:bCs w:val="1"/>
                <w:color w:val="auto"/>
              </w:rPr>
              <w:t>244,043</w:t>
            </w:r>
          </w:p>
        </w:tc>
        <w:tc>
          <w:tcPr>
            <w:tcW w:w="220" w:type="dxa"/>
            <w:vAlign w:val="bottom"/>
          </w:tcPr>
          <w:p>
            <w:pPr>
              <w:spacing w:after="0"/>
              <w:rPr>
                <w:sz w:val="18"/>
                <w:szCs w:val="18"/>
                <w:color w:val="auto"/>
              </w:rPr>
            </w:pPr>
          </w:p>
        </w:tc>
        <w:tc>
          <w:tcPr>
            <w:tcW w:w="200" w:type="dxa"/>
            <w:vAlign w:val="bottom"/>
            <w:shd w:val="clear" w:color="auto" w:fill="E0EBED"/>
          </w:tcPr>
          <w:p>
            <w:pPr>
              <w:spacing w:after="0"/>
              <w:rPr>
                <w:sz w:val="18"/>
                <w:szCs w:val="18"/>
                <w:color w:val="auto"/>
              </w:rPr>
            </w:pPr>
          </w:p>
        </w:tc>
        <w:tc>
          <w:tcPr>
            <w:tcW w:w="980" w:type="dxa"/>
            <w:vAlign w:val="bottom"/>
            <w:shd w:val="clear" w:color="auto" w:fill="E0EBED"/>
          </w:tcPr>
          <w:p>
            <w:pPr>
              <w:jc w:val="right"/>
              <w:ind w:right="34"/>
              <w:spacing w:after="0"/>
              <w:rPr>
                <w:sz w:val="20"/>
                <w:szCs w:val="20"/>
                <w:color w:val="auto"/>
              </w:rPr>
            </w:pPr>
            <w:r>
              <w:rPr>
                <w:rFonts w:ascii="Arial" w:cs="Arial" w:eastAsia="Arial" w:hAnsi="Arial"/>
                <w:sz w:val="17"/>
                <w:szCs w:val="17"/>
                <w:color w:val="auto"/>
              </w:rPr>
              <w:t>248,086</w:t>
            </w:r>
          </w:p>
        </w:tc>
        <w:tc>
          <w:tcPr>
            <w:tcW w:w="0" w:type="dxa"/>
            <w:vAlign w:val="bottom"/>
          </w:tcPr>
          <w:p>
            <w:pPr>
              <w:spacing w:after="0"/>
              <w:rPr>
                <w:sz w:val="1"/>
                <w:szCs w:val="1"/>
                <w:color w:val="auto"/>
              </w:rPr>
            </w:pPr>
          </w:p>
        </w:tc>
      </w:tr>
      <w:tr>
        <w:trPr>
          <w:trHeight w:val="173"/>
        </w:trPr>
        <w:tc>
          <w:tcPr>
            <w:tcW w:w="8780" w:type="dxa"/>
            <w:vAlign w:val="bottom"/>
            <w:gridSpan w:val="2"/>
          </w:tcPr>
          <w:p>
            <w:pPr>
              <w:spacing w:after="0" w:line="172" w:lineRule="exact"/>
              <w:rPr>
                <w:sz w:val="20"/>
                <w:szCs w:val="20"/>
                <w:color w:val="auto"/>
              </w:rPr>
            </w:pPr>
            <w:r>
              <w:rPr>
                <w:rFonts w:ascii="Arial" w:cs="Arial" w:eastAsia="Arial" w:hAnsi="Arial"/>
                <w:sz w:val="17"/>
                <w:szCs w:val="17"/>
                <w:color w:val="auto"/>
              </w:rPr>
              <w:t>Deferred income taxes, net</w:t>
            </w:r>
          </w:p>
        </w:tc>
        <w:tc>
          <w:tcPr>
            <w:tcW w:w="40" w:type="dxa"/>
            <w:vAlign w:val="bottom"/>
          </w:tcPr>
          <w:p>
            <w:pPr>
              <w:spacing w:after="0"/>
              <w:rPr>
                <w:sz w:val="15"/>
                <w:szCs w:val="15"/>
                <w:color w:val="auto"/>
              </w:rPr>
            </w:pPr>
          </w:p>
        </w:tc>
        <w:tc>
          <w:tcPr>
            <w:tcW w:w="120" w:type="dxa"/>
            <w:vAlign w:val="bottom"/>
            <w:shd w:val="clear" w:color="auto" w:fill="CDDEE7"/>
          </w:tcPr>
          <w:p>
            <w:pPr>
              <w:spacing w:after="0"/>
              <w:rPr>
                <w:sz w:val="15"/>
                <w:szCs w:val="15"/>
                <w:color w:val="auto"/>
              </w:rPr>
            </w:pPr>
          </w:p>
        </w:tc>
        <w:tc>
          <w:tcPr>
            <w:tcW w:w="100" w:type="dxa"/>
            <w:vAlign w:val="bottom"/>
            <w:shd w:val="clear" w:color="auto" w:fill="CDDEE7"/>
          </w:tcPr>
          <w:p>
            <w:pPr>
              <w:spacing w:after="0"/>
              <w:rPr>
                <w:sz w:val="15"/>
                <w:szCs w:val="15"/>
                <w:color w:val="auto"/>
              </w:rPr>
            </w:pPr>
          </w:p>
        </w:tc>
        <w:tc>
          <w:tcPr>
            <w:tcW w:w="980" w:type="dxa"/>
            <w:vAlign w:val="bottom"/>
            <w:shd w:val="clear" w:color="auto" w:fill="CDDEE7"/>
          </w:tcPr>
          <w:p>
            <w:pPr>
              <w:jc w:val="right"/>
              <w:ind w:right="34"/>
              <w:spacing w:after="0" w:line="172" w:lineRule="exact"/>
              <w:rPr>
                <w:sz w:val="20"/>
                <w:szCs w:val="20"/>
                <w:color w:val="auto"/>
              </w:rPr>
            </w:pPr>
            <w:r>
              <w:rPr>
                <w:rFonts w:ascii="Arial" w:cs="Arial" w:eastAsia="Arial" w:hAnsi="Arial"/>
                <w:sz w:val="17"/>
                <w:szCs w:val="17"/>
                <w:b w:val="1"/>
                <w:bCs w:val="1"/>
                <w:color w:val="auto"/>
              </w:rPr>
              <w:t>410,723</w:t>
            </w:r>
          </w:p>
        </w:tc>
        <w:tc>
          <w:tcPr>
            <w:tcW w:w="220" w:type="dxa"/>
            <w:vAlign w:val="bottom"/>
          </w:tcPr>
          <w:p>
            <w:pPr>
              <w:spacing w:after="0"/>
              <w:rPr>
                <w:sz w:val="15"/>
                <w:szCs w:val="15"/>
                <w:color w:val="auto"/>
              </w:rPr>
            </w:pPr>
          </w:p>
        </w:tc>
        <w:tc>
          <w:tcPr>
            <w:tcW w:w="200" w:type="dxa"/>
            <w:vAlign w:val="bottom"/>
            <w:shd w:val="clear" w:color="auto" w:fill="E0EBED"/>
          </w:tcPr>
          <w:p>
            <w:pPr>
              <w:spacing w:after="0"/>
              <w:rPr>
                <w:sz w:val="15"/>
                <w:szCs w:val="15"/>
                <w:color w:val="auto"/>
              </w:rPr>
            </w:pPr>
          </w:p>
        </w:tc>
        <w:tc>
          <w:tcPr>
            <w:tcW w:w="980" w:type="dxa"/>
            <w:vAlign w:val="bottom"/>
            <w:shd w:val="clear" w:color="auto" w:fill="E0EBED"/>
          </w:tcPr>
          <w:p>
            <w:pPr>
              <w:jc w:val="right"/>
              <w:ind w:right="34"/>
              <w:spacing w:after="0" w:line="172" w:lineRule="exact"/>
              <w:rPr>
                <w:sz w:val="20"/>
                <w:szCs w:val="20"/>
                <w:color w:val="auto"/>
              </w:rPr>
            </w:pPr>
            <w:r>
              <w:rPr>
                <w:rFonts w:ascii="Arial" w:cs="Arial" w:eastAsia="Arial" w:hAnsi="Arial"/>
                <w:sz w:val="17"/>
                <w:szCs w:val="17"/>
                <w:color w:val="auto"/>
              </w:rPr>
              <w:t>663,019</w:t>
            </w:r>
          </w:p>
        </w:tc>
        <w:tc>
          <w:tcPr>
            <w:tcW w:w="0" w:type="dxa"/>
            <w:vAlign w:val="bottom"/>
          </w:tcPr>
          <w:p>
            <w:pPr>
              <w:spacing w:after="0"/>
              <w:rPr>
                <w:sz w:val="1"/>
                <w:szCs w:val="1"/>
                <w:color w:val="auto"/>
              </w:rPr>
            </w:pPr>
          </w:p>
        </w:tc>
      </w:tr>
      <w:tr>
        <w:trPr>
          <w:trHeight w:val="217"/>
        </w:trPr>
        <w:tc>
          <w:tcPr>
            <w:tcW w:w="8780" w:type="dxa"/>
            <w:vAlign w:val="bottom"/>
            <w:gridSpan w:val="2"/>
          </w:tcPr>
          <w:p>
            <w:pPr>
              <w:spacing w:after="0"/>
              <w:rPr>
                <w:sz w:val="20"/>
                <w:szCs w:val="20"/>
                <w:color w:val="auto"/>
              </w:rPr>
            </w:pPr>
            <w:r>
              <w:rPr>
                <w:rFonts w:ascii="Arial" w:cs="Arial" w:eastAsia="Arial" w:hAnsi="Arial"/>
                <w:sz w:val="17"/>
                <w:szCs w:val="17"/>
                <w:color w:val="auto"/>
              </w:rPr>
              <w:t>Other noncurrent liabilities</w:t>
            </w:r>
          </w:p>
        </w:tc>
        <w:tc>
          <w:tcPr>
            <w:tcW w:w="40" w:type="dxa"/>
            <w:vAlign w:val="bottom"/>
          </w:tcPr>
          <w:p>
            <w:pPr>
              <w:spacing w:after="0"/>
              <w:rPr>
                <w:sz w:val="18"/>
                <w:szCs w:val="18"/>
                <w:color w:val="auto"/>
              </w:rPr>
            </w:pPr>
          </w:p>
        </w:tc>
        <w:tc>
          <w:tcPr>
            <w:tcW w:w="120" w:type="dxa"/>
            <w:vAlign w:val="bottom"/>
            <w:shd w:val="clear" w:color="auto" w:fill="CDDEE7"/>
          </w:tcPr>
          <w:p>
            <w:pPr>
              <w:spacing w:after="0"/>
              <w:rPr>
                <w:sz w:val="18"/>
                <w:szCs w:val="18"/>
                <w:color w:val="auto"/>
              </w:rPr>
            </w:pPr>
          </w:p>
        </w:tc>
        <w:tc>
          <w:tcPr>
            <w:tcW w:w="100" w:type="dxa"/>
            <w:vAlign w:val="bottom"/>
            <w:shd w:val="clear" w:color="auto" w:fill="CDDEE7"/>
          </w:tcPr>
          <w:p>
            <w:pPr>
              <w:spacing w:after="0"/>
              <w:rPr>
                <w:sz w:val="18"/>
                <w:szCs w:val="18"/>
                <w:color w:val="auto"/>
              </w:rPr>
            </w:pPr>
          </w:p>
        </w:tc>
        <w:tc>
          <w:tcPr>
            <w:tcW w:w="980" w:type="dxa"/>
            <w:vAlign w:val="bottom"/>
            <w:shd w:val="clear" w:color="auto" w:fill="CDDEE7"/>
          </w:tcPr>
          <w:p>
            <w:pPr>
              <w:jc w:val="right"/>
              <w:ind w:right="34"/>
              <w:spacing w:after="0"/>
              <w:rPr>
                <w:sz w:val="20"/>
                <w:szCs w:val="20"/>
                <w:color w:val="auto"/>
              </w:rPr>
            </w:pPr>
            <w:r>
              <w:rPr>
                <w:rFonts w:ascii="Arial" w:cs="Arial" w:eastAsia="Arial" w:hAnsi="Arial"/>
                <w:sz w:val="17"/>
                <w:szCs w:val="17"/>
                <w:b w:val="1"/>
                <w:bCs w:val="1"/>
                <w:color w:val="auto"/>
              </w:rPr>
              <w:t>233,758</w:t>
            </w:r>
          </w:p>
        </w:tc>
        <w:tc>
          <w:tcPr>
            <w:tcW w:w="220" w:type="dxa"/>
            <w:vAlign w:val="bottom"/>
          </w:tcPr>
          <w:p>
            <w:pPr>
              <w:spacing w:after="0"/>
              <w:rPr>
                <w:sz w:val="18"/>
                <w:szCs w:val="18"/>
                <w:color w:val="auto"/>
              </w:rPr>
            </w:pPr>
          </w:p>
        </w:tc>
        <w:tc>
          <w:tcPr>
            <w:tcW w:w="200" w:type="dxa"/>
            <w:vAlign w:val="bottom"/>
            <w:shd w:val="clear" w:color="auto" w:fill="E0EBED"/>
          </w:tcPr>
          <w:p>
            <w:pPr>
              <w:spacing w:after="0"/>
              <w:rPr>
                <w:sz w:val="18"/>
                <w:szCs w:val="18"/>
                <w:color w:val="auto"/>
              </w:rPr>
            </w:pPr>
          </w:p>
        </w:tc>
        <w:tc>
          <w:tcPr>
            <w:tcW w:w="980" w:type="dxa"/>
            <w:vAlign w:val="bottom"/>
            <w:shd w:val="clear" w:color="auto" w:fill="E0EBED"/>
          </w:tcPr>
          <w:p>
            <w:pPr>
              <w:jc w:val="right"/>
              <w:ind w:right="34"/>
              <w:spacing w:after="0"/>
              <w:rPr>
                <w:sz w:val="20"/>
                <w:szCs w:val="20"/>
                <w:color w:val="auto"/>
              </w:rPr>
            </w:pPr>
            <w:r>
              <w:rPr>
                <w:rFonts w:ascii="Arial" w:cs="Arial" w:eastAsia="Arial" w:hAnsi="Arial"/>
                <w:sz w:val="17"/>
                <w:szCs w:val="17"/>
                <w:color w:val="auto"/>
              </w:rPr>
              <w:t>194,469</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760" w:type="dxa"/>
            <w:vAlign w:val="bottom"/>
            <w:tcBorders>
              <w:top w:val="single" w:sz="8" w:color="auto"/>
              <w:bottom w:val="single" w:sz="8" w:color="auto"/>
            </w:tcBorders>
          </w:tcPr>
          <w:p>
            <w:pPr>
              <w:spacing w:after="0" w:line="201" w:lineRule="exact"/>
              <w:rPr>
                <w:sz w:val="20"/>
                <w:szCs w:val="20"/>
                <w:color w:val="auto"/>
              </w:rPr>
            </w:pPr>
            <w:r>
              <w:rPr>
                <w:rFonts w:ascii="Arial" w:cs="Arial" w:eastAsia="Arial" w:hAnsi="Arial"/>
                <w:sz w:val="18"/>
                <w:szCs w:val="18"/>
                <w:b w:val="1"/>
                <w:bCs w:val="1"/>
                <w:color w:val="auto"/>
              </w:rPr>
              <w:t>Total Liabilities</w:t>
            </w:r>
          </w:p>
        </w:tc>
        <w:tc>
          <w:tcPr>
            <w:tcW w:w="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shd w:val="clear" w:color="auto" w:fill="CDDEE7"/>
          </w:tcPr>
          <w:p>
            <w:pPr>
              <w:spacing w:after="0"/>
              <w:rPr>
                <w:sz w:val="17"/>
                <w:szCs w:val="17"/>
                <w:color w:val="auto"/>
              </w:rPr>
            </w:pPr>
          </w:p>
        </w:tc>
        <w:tc>
          <w:tcPr>
            <w:tcW w:w="100" w:type="dxa"/>
            <w:vAlign w:val="bottom"/>
            <w:tcBorders>
              <w:top w:val="single" w:sz="8" w:color="auto"/>
              <w:bottom w:val="single" w:sz="8" w:color="auto"/>
            </w:tcBorders>
            <w:shd w:val="clear" w:color="auto" w:fill="CDDEE7"/>
          </w:tcPr>
          <w:p>
            <w:pPr>
              <w:spacing w:after="0"/>
              <w:rPr>
                <w:sz w:val="17"/>
                <w:szCs w:val="17"/>
                <w:color w:val="auto"/>
              </w:rPr>
            </w:pPr>
          </w:p>
        </w:tc>
        <w:tc>
          <w:tcPr>
            <w:tcW w:w="980" w:type="dxa"/>
            <w:vAlign w:val="bottom"/>
            <w:tcBorders>
              <w:top w:val="single" w:sz="8" w:color="auto"/>
              <w:bottom w:val="single" w:sz="8" w:color="auto"/>
            </w:tcBorders>
            <w:shd w:val="clear" w:color="auto" w:fill="CDDEE7"/>
          </w:tcPr>
          <w:p>
            <w:pPr>
              <w:jc w:val="right"/>
              <w:ind w:right="34"/>
              <w:spacing w:after="0"/>
              <w:rPr>
                <w:sz w:val="20"/>
                <w:szCs w:val="20"/>
                <w:color w:val="auto"/>
              </w:rPr>
            </w:pPr>
            <w:r>
              <w:rPr>
                <w:rFonts w:ascii="Arial" w:cs="Arial" w:eastAsia="Arial" w:hAnsi="Arial"/>
                <w:sz w:val="17"/>
                <w:szCs w:val="17"/>
                <w:b w:val="1"/>
                <w:bCs w:val="1"/>
                <w:color w:val="auto"/>
              </w:rPr>
              <w:t>4,310,034</w:t>
            </w:r>
          </w:p>
        </w:tc>
        <w:tc>
          <w:tcPr>
            <w:tcW w:w="22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shd w:val="clear" w:color="auto" w:fill="E0EBED"/>
          </w:tcPr>
          <w:p>
            <w:pPr>
              <w:spacing w:after="0"/>
              <w:rPr>
                <w:sz w:val="17"/>
                <w:szCs w:val="17"/>
                <w:color w:val="auto"/>
              </w:rPr>
            </w:pPr>
          </w:p>
        </w:tc>
        <w:tc>
          <w:tcPr>
            <w:tcW w:w="980" w:type="dxa"/>
            <w:vAlign w:val="bottom"/>
            <w:tcBorders>
              <w:top w:val="single" w:sz="8" w:color="auto"/>
              <w:bottom w:val="single" w:sz="8" w:color="auto"/>
            </w:tcBorders>
            <w:shd w:val="clear" w:color="auto" w:fill="E0EBED"/>
          </w:tcPr>
          <w:p>
            <w:pPr>
              <w:jc w:val="right"/>
              <w:ind w:right="34"/>
              <w:spacing w:after="0"/>
              <w:rPr>
                <w:sz w:val="20"/>
                <w:szCs w:val="20"/>
                <w:color w:val="auto"/>
              </w:rPr>
            </w:pPr>
            <w:r>
              <w:rPr>
                <w:rFonts w:ascii="Arial" w:cs="Arial" w:eastAsia="Arial" w:hAnsi="Arial"/>
                <w:sz w:val="17"/>
                <w:szCs w:val="17"/>
                <w:color w:val="auto"/>
              </w:rPr>
              <w:t>3,158,315</w:t>
            </w:r>
          </w:p>
        </w:tc>
        <w:tc>
          <w:tcPr>
            <w:tcW w:w="0" w:type="dxa"/>
            <w:vAlign w:val="bottom"/>
          </w:tcPr>
          <w:p>
            <w:pPr>
              <w:spacing w:after="0"/>
              <w:rPr>
                <w:sz w:val="1"/>
                <w:szCs w:val="1"/>
                <w:color w:val="auto"/>
              </w:rPr>
            </w:pPr>
          </w:p>
        </w:tc>
      </w:tr>
      <w:tr>
        <w:trPr>
          <w:trHeight w:val="356"/>
        </w:trPr>
        <w:tc>
          <w:tcPr>
            <w:tcW w:w="8780" w:type="dxa"/>
            <w:vAlign w:val="bottom"/>
            <w:gridSpan w:val="2"/>
          </w:tcPr>
          <w:p>
            <w:pPr>
              <w:spacing w:after="0"/>
              <w:rPr>
                <w:sz w:val="20"/>
                <w:szCs w:val="20"/>
                <w:color w:val="auto"/>
              </w:rPr>
            </w:pPr>
            <w:r>
              <w:rPr>
                <w:rFonts w:ascii="Arial" w:cs="Arial" w:eastAsia="Arial" w:hAnsi="Arial"/>
                <w:sz w:val="18"/>
                <w:szCs w:val="18"/>
                <w:b w:val="1"/>
                <w:bCs w:val="1"/>
                <w:color w:val="auto"/>
              </w:rPr>
              <w:t>Equity:</w:t>
            </w:r>
          </w:p>
        </w:tc>
        <w:tc>
          <w:tcPr>
            <w:tcW w:w="40" w:type="dxa"/>
            <w:vAlign w:val="bottom"/>
          </w:tcPr>
          <w:p>
            <w:pPr>
              <w:spacing w:after="0"/>
              <w:rPr>
                <w:sz w:val="24"/>
                <w:szCs w:val="24"/>
                <w:color w:val="auto"/>
              </w:rPr>
            </w:pPr>
          </w:p>
        </w:tc>
        <w:tc>
          <w:tcPr>
            <w:tcW w:w="120" w:type="dxa"/>
            <w:vAlign w:val="bottom"/>
            <w:shd w:val="clear" w:color="auto" w:fill="CDDEE7"/>
          </w:tcPr>
          <w:p>
            <w:pPr>
              <w:spacing w:after="0"/>
              <w:rPr>
                <w:sz w:val="24"/>
                <w:szCs w:val="24"/>
                <w:color w:val="auto"/>
              </w:rPr>
            </w:pPr>
          </w:p>
        </w:tc>
        <w:tc>
          <w:tcPr>
            <w:tcW w:w="100" w:type="dxa"/>
            <w:vAlign w:val="bottom"/>
            <w:shd w:val="clear" w:color="auto" w:fill="CDDEE7"/>
          </w:tcPr>
          <w:p>
            <w:pPr>
              <w:spacing w:after="0"/>
              <w:rPr>
                <w:sz w:val="24"/>
                <w:szCs w:val="24"/>
                <w:color w:val="auto"/>
              </w:rPr>
            </w:pPr>
          </w:p>
        </w:tc>
        <w:tc>
          <w:tcPr>
            <w:tcW w:w="980" w:type="dxa"/>
            <w:vAlign w:val="bottom"/>
            <w:shd w:val="clear" w:color="auto" w:fill="CDDEE7"/>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shd w:val="clear" w:color="auto" w:fill="E0EBED"/>
          </w:tcPr>
          <w:p>
            <w:pPr>
              <w:spacing w:after="0"/>
              <w:rPr>
                <w:sz w:val="24"/>
                <w:szCs w:val="24"/>
                <w:color w:val="auto"/>
              </w:rPr>
            </w:pPr>
          </w:p>
        </w:tc>
        <w:tc>
          <w:tcPr>
            <w:tcW w:w="980" w:type="dxa"/>
            <w:vAlign w:val="bottom"/>
            <w:shd w:val="clear" w:color="auto" w:fill="E0EBED"/>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8780" w:type="dxa"/>
            <w:vAlign w:val="bottom"/>
            <w:gridSpan w:val="2"/>
          </w:tcPr>
          <w:p>
            <w:pPr>
              <w:spacing w:after="0"/>
              <w:rPr>
                <w:sz w:val="20"/>
                <w:szCs w:val="20"/>
                <w:color w:val="auto"/>
              </w:rPr>
            </w:pPr>
            <w:r>
              <w:rPr>
                <w:rFonts w:ascii="Arial" w:cs="Arial" w:eastAsia="Arial" w:hAnsi="Arial"/>
                <w:sz w:val="17"/>
                <w:szCs w:val="17"/>
                <w:color w:val="auto"/>
              </w:rPr>
              <w:t>Common stock ($0.01 par value; 100,000,000 shares authorized; 62,873,000 and 63,176,000 shares outstanding</w:t>
            </w:r>
          </w:p>
        </w:tc>
        <w:tc>
          <w:tcPr>
            <w:tcW w:w="40" w:type="dxa"/>
            <w:vAlign w:val="bottom"/>
          </w:tcPr>
          <w:p>
            <w:pPr>
              <w:spacing w:after="0"/>
              <w:rPr>
                <w:sz w:val="16"/>
                <w:szCs w:val="16"/>
                <w:color w:val="auto"/>
              </w:rPr>
            </w:pPr>
          </w:p>
        </w:tc>
        <w:tc>
          <w:tcPr>
            <w:tcW w:w="12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980" w:type="dxa"/>
            <w:vAlign w:val="bottom"/>
            <w:vMerge w:val="restart"/>
            <w:shd w:val="clear" w:color="auto" w:fill="CDDEE7"/>
          </w:tcPr>
          <w:p>
            <w:pPr>
              <w:jc w:val="right"/>
              <w:ind w:right="34"/>
              <w:spacing w:after="0"/>
              <w:rPr>
                <w:sz w:val="20"/>
                <w:szCs w:val="20"/>
                <w:color w:val="auto"/>
              </w:rPr>
            </w:pPr>
            <w:r>
              <w:rPr>
                <w:rFonts w:ascii="Arial" w:cs="Arial" w:eastAsia="Arial" w:hAnsi="Arial"/>
                <w:sz w:val="17"/>
                <w:szCs w:val="17"/>
                <w:b w:val="1"/>
                <w:bCs w:val="1"/>
                <w:color w:val="auto"/>
              </w:rPr>
              <w:t>628</w:t>
            </w:r>
          </w:p>
        </w:tc>
        <w:tc>
          <w:tcPr>
            <w:tcW w:w="22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980" w:type="dxa"/>
            <w:vAlign w:val="bottom"/>
            <w:shd w:val="clear" w:color="auto" w:fill="E0EBED"/>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760" w:type="dxa"/>
            <w:vAlign w:val="bottom"/>
          </w:tcPr>
          <w:p>
            <w:pPr>
              <w:ind w:left="160"/>
              <w:spacing w:after="0"/>
              <w:rPr>
                <w:sz w:val="20"/>
                <w:szCs w:val="20"/>
                <w:color w:val="auto"/>
              </w:rPr>
            </w:pPr>
            <w:r>
              <w:rPr>
                <w:rFonts w:ascii="Arial" w:cs="Arial" w:eastAsia="Arial" w:hAnsi="Arial"/>
                <w:sz w:val="17"/>
                <w:szCs w:val="17"/>
                <w:color w:val="auto"/>
              </w:rPr>
              <w:t>at December 31, 2017 and 2016, respectively)</w:t>
            </w:r>
          </w:p>
        </w:tc>
        <w:tc>
          <w:tcPr>
            <w:tcW w:w="40" w:type="dxa"/>
            <w:vAlign w:val="bottom"/>
          </w:tcPr>
          <w:p>
            <w:pPr>
              <w:spacing w:after="0"/>
              <w:rPr>
                <w:sz w:val="16"/>
                <w:szCs w:val="16"/>
                <w:color w:val="auto"/>
              </w:rPr>
            </w:pPr>
          </w:p>
        </w:tc>
        <w:tc>
          <w:tcPr>
            <w:tcW w:w="12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980" w:type="dxa"/>
            <w:vAlign w:val="bottom"/>
            <w:vMerge w:val="continue"/>
            <w:shd w:val="clear" w:color="auto" w:fill="CDDEE7"/>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980" w:type="dxa"/>
            <w:vAlign w:val="bottom"/>
            <w:shd w:val="clear" w:color="auto" w:fill="E0EBED"/>
          </w:tcPr>
          <w:p>
            <w:pPr>
              <w:jc w:val="right"/>
              <w:ind w:right="34"/>
              <w:spacing w:after="0"/>
              <w:rPr>
                <w:sz w:val="20"/>
                <w:szCs w:val="20"/>
                <w:color w:val="auto"/>
              </w:rPr>
            </w:pPr>
            <w:r>
              <w:rPr>
                <w:rFonts w:ascii="Arial" w:cs="Arial" w:eastAsia="Arial" w:hAnsi="Arial"/>
                <w:sz w:val="17"/>
                <w:szCs w:val="17"/>
                <w:color w:val="auto"/>
              </w:rPr>
              <w:t>630</w:t>
            </w:r>
          </w:p>
        </w:tc>
        <w:tc>
          <w:tcPr>
            <w:tcW w:w="0" w:type="dxa"/>
            <w:vAlign w:val="bottom"/>
          </w:tcPr>
          <w:p>
            <w:pPr>
              <w:spacing w:after="0"/>
              <w:rPr>
                <w:sz w:val="1"/>
                <w:szCs w:val="1"/>
                <w:color w:val="auto"/>
              </w:rPr>
            </w:pPr>
          </w:p>
        </w:tc>
      </w:tr>
      <w:tr>
        <w:trPr>
          <w:trHeight w:val="173"/>
        </w:trPr>
        <w:tc>
          <w:tcPr>
            <w:tcW w:w="8780" w:type="dxa"/>
            <w:vAlign w:val="bottom"/>
            <w:gridSpan w:val="2"/>
          </w:tcPr>
          <w:p>
            <w:pPr>
              <w:spacing w:after="0" w:line="172" w:lineRule="exact"/>
              <w:rPr>
                <w:sz w:val="20"/>
                <w:szCs w:val="20"/>
                <w:color w:val="auto"/>
              </w:rPr>
            </w:pPr>
            <w:r>
              <w:rPr>
                <w:rFonts w:ascii="Arial" w:cs="Arial" w:eastAsia="Arial" w:hAnsi="Arial"/>
                <w:sz w:val="17"/>
                <w:szCs w:val="17"/>
                <w:color w:val="auto"/>
              </w:rPr>
              <w:t>Preferred stock ($0.01 par value; 10,000,000 shares authorized; no shares outstanding)</w:t>
            </w:r>
          </w:p>
        </w:tc>
        <w:tc>
          <w:tcPr>
            <w:tcW w:w="40" w:type="dxa"/>
            <w:vAlign w:val="bottom"/>
          </w:tcPr>
          <w:p>
            <w:pPr>
              <w:spacing w:after="0"/>
              <w:rPr>
                <w:sz w:val="15"/>
                <w:szCs w:val="15"/>
                <w:color w:val="auto"/>
              </w:rPr>
            </w:pPr>
          </w:p>
        </w:tc>
        <w:tc>
          <w:tcPr>
            <w:tcW w:w="120" w:type="dxa"/>
            <w:vAlign w:val="bottom"/>
            <w:shd w:val="clear" w:color="auto" w:fill="CDDEE7"/>
          </w:tcPr>
          <w:p>
            <w:pPr>
              <w:spacing w:after="0"/>
              <w:rPr>
                <w:sz w:val="15"/>
                <w:szCs w:val="15"/>
                <w:color w:val="auto"/>
              </w:rPr>
            </w:pPr>
          </w:p>
        </w:tc>
        <w:tc>
          <w:tcPr>
            <w:tcW w:w="100" w:type="dxa"/>
            <w:vAlign w:val="bottom"/>
            <w:shd w:val="clear" w:color="auto" w:fill="CDDEE7"/>
          </w:tcPr>
          <w:p>
            <w:pPr>
              <w:spacing w:after="0"/>
              <w:rPr>
                <w:sz w:val="15"/>
                <w:szCs w:val="15"/>
                <w:color w:val="auto"/>
              </w:rPr>
            </w:pPr>
          </w:p>
        </w:tc>
        <w:tc>
          <w:tcPr>
            <w:tcW w:w="980" w:type="dxa"/>
            <w:vAlign w:val="bottom"/>
            <w:shd w:val="clear" w:color="auto" w:fill="CDDEE7"/>
          </w:tcPr>
          <w:p>
            <w:pPr>
              <w:jc w:val="right"/>
              <w:ind w:right="34"/>
              <w:spacing w:after="0" w:line="172" w:lineRule="exact"/>
              <w:rPr>
                <w:sz w:val="20"/>
                <w:szCs w:val="20"/>
                <w:color w:val="auto"/>
              </w:rPr>
            </w:pPr>
            <w:r>
              <w:rPr>
                <w:rFonts w:ascii="Arial" w:cs="Arial" w:eastAsia="Arial" w:hAnsi="Arial"/>
                <w:sz w:val="17"/>
                <w:szCs w:val="17"/>
                <w:b w:val="1"/>
                <w:bCs w:val="1"/>
                <w:color w:val="auto"/>
              </w:rPr>
              <w:t>–</w:t>
            </w:r>
          </w:p>
        </w:tc>
        <w:tc>
          <w:tcPr>
            <w:tcW w:w="220" w:type="dxa"/>
            <w:vAlign w:val="bottom"/>
          </w:tcPr>
          <w:p>
            <w:pPr>
              <w:spacing w:after="0"/>
              <w:rPr>
                <w:sz w:val="15"/>
                <w:szCs w:val="15"/>
                <w:color w:val="auto"/>
              </w:rPr>
            </w:pPr>
          </w:p>
        </w:tc>
        <w:tc>
          <w:tcPr>
            <w:tcW w:w="200" w:type="dxa"/>
            <w:vAlign w:val="bottom"/>
            <w:shd w:val="clear" w:color="auto" w:fill="E0EBED"/>
          </w:tcPr>
          <w:p>
            <w:pPr>
              <w:spacing w:after="0"/>
              <w:rPr>
                <w:sz w:val="15"/>
                <w:szCs w:val="15"/>
                <w:color w:val="auto"/>
              </w:rPr>
            </w:pPr>
          </w:p>
        </w:tc>
        <w:tc>
          <w:tcPr>
            <w:tcW w:w="980" w:type="dxa"/>
            <w:vAlign w:val="bottom"/>
            <w:shd w:val="clear" w:color="auto" w:fill="E0EBED"/>
          </w:tcPr>
          <w:p>
            <w:pPr>
              <w:jc w:val="right"/>
              <w:ind w:right="34"/>
              <w:spacing w:after="0" w:line="172"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5"/>
        </w:trPr>
        <w:tc>
          <w:tcPr>
            <w:tcW w:w="8780" w:type="dxa"/>
            <w:vAlign w:val="bottom"/>
            <w:gridSpan w:val="2"/>
          </w:tcPr>
          <w:p>
            <w:pPr>
              <w:spacing w:after="0"/>
              <w:rPr>
                <w:sz w:val="20"/>
                <w:szCs w:val="20"/>
                <w:color w:val="auto"/>
              </w:rPr>
            </w:pPr>
            <w:r>
              <w:rPr>
                <w:rFonts w:ascii="Arial" w:cs="Arial" w:eastAsia="Arial" w:hAnsi="Arial"/>
                <w:sz w:val="17"/>
                <w:szCs w:val="17"/>
                <w:color w:val="auto"/>
              </w:rPr>
              <w:t>Additional paid-in capital</w:t>
            </w:r>
          </w:p>
        </w:tc>
        <w:tc>
          <w:tcPr>
            <w:tcW w:w="40" w:type="dxa"/>
            <w:vAlign w:val="bottom"/>
          </w:tcPr>
          <w:p>
            <w:pPr>
              <w:spacing w:after="0"/>
              <w:rPr>
                <w:sz w:val="16"/>
                <w:szCs w:val="16"/>
                <w:color w:val="auto"/>
              </w:rPr>
            </w:pPr>
          </w:p>
        </w:tc>
        <w:tc>
          <w:tcPr>
            <w:tcW w:w="12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980" w:type="dxa"/>
            <w:vAlign w:val="bottom"/>
            <w:shd w:val="clear" w:color="auto" w:fill="CDDEE7"/>
          </w:tcPr>
          <w:p>
            <w:pPr>
              <w:jc w:val="right"/>
              <w:ind w:right="34"/>
              <w:spacing w:after="0"/>
              <w:rPr>
                <w:sz w:val="20"/>
                <w:szCs w:val="20"/>
                <w:color w:val="auto"/>
              </w:rPr>
            </w:pPr>
            <w:r>
              <w:rPr>
                <w:rFonts w:ascii="Arial" w:cs="Arial" w:eastAsia="Arial" w:hAnsi="Arial"/>
                <w:sz w:val="17"/>
                <w:szCs w:val="17"/>
                <w:b w:val="1"/>
                <w:bCs w:val="1"/>
                <w:color w:val="auto"/>
              </w:rPr>
              <w:t>3,368,007</w:t>
            </w:r>
          </w:p>
        </w:tc>
        <w:tc>
          <w:tcPr>
            <w:tcW w:w="22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980" w:type="dxa"/>
            <w:vAlign w:val="bottom"/>
            <w:shd w:val="clear" w:color="auto" w:fill="E0EBED"/>
          </w:tcPr>
          <w:p>
            <w:pPr>
              <w:jc w:val="right"/>
              <w:ind w:right="34"/>
              <w:spacing w:after="0"/>
              <w:rPr>
                <w:sz w:val="20"/>
                <w:szCs w:val="20"/>
                <w:color w:val="auto"/>
              </w:rPr>
            </w:pPr>
            <w:r>
              <w:rPr>
                <w:rFonts w:ascii="Arial" w:cs="Arial" w:eastAsia="Arial" w:hAnsi="Arial"/>
                <w:sz w:val="17"/>
                <w:szCs w:val="17"/>
                <w:color w:val="auto"/>
              </w:rPr>
              <w:t>3,334,461</w:t>
            </w:r>
          </w:p>
        </w:tc>
        <w:tc>
          <w:tcPr>
            <w:tcW w:w="0" w:type="dxa"/>
            <w:vAlign w:val="bottom"/>
          </w:tcPr>
          <w:p>
            <w:pPr>
              <w:spacing w:after="0"/>
              <w:rPr>
                <w:sz w:val="1"/>
                <w:szCs w:val="1"/>
                <w:color w:val="auto"/>
              </w:rPr>
            </w:pPr>
          </w:p>
        </w:tc>
      </w:tr>
      <w:tr>
        <w:trPr>
          <w:trHeight w:val="195"/>
        </w:trPr>
        <w:tc>
          <w:tcPr>
            <w:tcW w:w="8780" w:type="dxa"/>
            <w:vAlign w:val="bottom"/>
            <w:gridSpan w:val="2"/>
          </w:tcPr>
          <w:p>
            <w:pPr>
              <w:spacing w:after="0"/>
              <w:rPr>
                <w:sz w:val="20"/>
                <w:szCs w:val="20"/>
                <w:color w:val="auto"/>
              </w:rPr>
            </w:pPr>
            <w:r>
              <w:rPr>
                <w:rFonts w:ascii="Arial" w:cs="Arial" w:eastAsia="Arial" w:hAnsi="Arial"/>
                <w:sz w:val="17"/>
                <w:szCs w:val="17"/>
                <w:color w:val="auto"/>
              </w:rPr>
              <w:t>Accumulated other comprehensive loss</w:t>
            </w:r>
          </w:p>
        </w:tc>
        <w:tc>
          <w:tcPr>
            <w:tcW w:w="40" w:type="dxa"/>
            <w:vAlign w:val="bottom"/>
          </w:tcPr>
          <w:p>
            <w:pPr>
              <w:spacing w:after="0"/>
              <w:rPr>
                <w:sz w:val="16"/>
                <w:szCs w:val="16"/>
                <w:color w:val="auto"/>
              </w:rPr>
            </w:pPr>
          </w:p>
        </w:tc>
        <w:tc>
          <w:tcPr>
            <w:tcW w:w="12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980" w:type="dxa"/>
            <w:vAlign w:val="bottom"/>
            <w:shd w:val="clear" w:color="auto" w:fill="CDDEE7"/>
          </w:tcPr>
          <w:p>
            <w:pPr>
              <w:jc w:val="right"/>
              <w:ind w:right="34"/>
              <w:spacing w:after="0"/>
              <w:rPr>
                <w:sz w:val="20"/>
                <w:szCs w:val="20"/>
                <w:color w:val="auto"/>
              </w:rPr>
            </w:pPr>
            <w:r>
              <w:rPr>
                <w:rFonts w:ascii="Arial" w:cs="Arial" w:eastAsia="Arial" w:hAnsi="Arial"/>
                <w:sz w:val="17"/>
                <w:szCs w:val="17"/>
                <w:b w:val="1"/>
                <w:bCs w:val="1"/>
                <w:color w:val="auto"/>
              </w:rPr>
              <w:t>(129,104)</w:t>
            </w:r>
          </w:p>
        </w:tc>
        <w:tc>
          <w:tcPr>
            <w:tcW w:w="22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980" w:type="dxa"/>
            <w:vAlign w:val="bottom"/>
            <w:shd w:val="clear" w:color="auto" w:fill="E0EBED"/>
          </w:tcPr>
          <w:p>
            <w:pPr>
              <w:jc w:val="right"/>
              <w:ind w:right="34"/>
              <w:spacing w:after="0"/>
              <w:rPr>
                <w:sz w:val="20"/>
                <w:szCs w:val="20"/>
                <w:color w:val="auto"/>
              </w:rPr>
            </w:pPr>
            <w:r>
              <w:rPr>
                <w:rFonts w:ascii="Arial" w:cs="Arial" w:eastAsia="Arial" w:hAnsi="Arial"/>
                <w:sz w:val="17"/>
                <w:szCs w:val="17"/>
                <w:color w:val="auto"/>
              </w:rPr>
              <w:t>(130,687)</w:t>
            </w:r>
          </w:p>
        </w:tc>
        <w:tc>
          <w:tcPr>
            <w:tcW w:w="0" w:type="dxa"/>
            <w:vAlign w:val="bottom"/>
          </w:tcPr>
          <w:p>
            <w:pPr>
              <w:spacing w:after="0"/>
              <w:rPr>
                <w:sz w:val="1"/>
                <w:szCs w:val="1"/>
                <w:color w:val="auto"/>
              </w:rPr>
            </w:pPr>
          </w:p>
        </w:tc>
      </w:tr>
      <w:tr>
        <w:trPr>
          <w:trHeight w:val="217"/>
        </w:trPr>
        <w:tc>
          <w:tcPr>
            <w:tcW w:w="87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Retained earnings</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shd w:val="clear" w:color="auto" w:fill="CDDEE7"/>
          </w:tcPr>
          <w:p>
            <w:pPr>
              <w:spacing w:after="0"/>
              <w:rPr>
                <w:sz w:val="18"/>
                <w:szCs w:val="18"/>
                <w:color w:val="auto"/>
              </w:rPr>
            </w:pPr>
          </w:p>
        </w:tc>
        <w:tc>
          <w:tcPr>
            <w:tcW w:w="100" w:type="dxa"/>
            <w:vAlign w:val="bottom"/>
            <w:tcBorders>
              <w:bottom w:val="single" w:sz="8" w:color="auto"/>
            </w:tcBorders>
            <w:shd w:val="clear" w:color="auto" w:fill="CDDEE7"/>
          </w:tcPr>
          <w:p>
            <w:pPr>
              <w:spacing w:after="0"/>
              <w:rPr>
                <w:sz w:val="18"/>
                <w:szCs w:val="18"/>
                <w:color w:val="auto"/>
              </w:rPr>
            </w:pPr>
          </w:p>
        </w:tc>
        <w:tc>
          <w:tcPr>
            <w:tcW w:w="980" w:type="dxa"/>
            <w:vAlign w:val="bottom"/>
            <w:tcBorders>
              <w:bottom w:val="single" w:sz="8" w:color="auto"/>
            </w:tcBorders>
            <w:shd w:val="clear" w:color="auto" w:fill="CDDEE7"/>
          </w:tcPr>
          <w:p>
            <w:pPr>
              <w:jc w:val="right"/>
              <w:ind w:right="34"/>
              <w:spacing w:after="0"/>
              <w:rPr>
                <w:sz w:val="20"/>
                <w:szCs w:val="20"/>
                <w:color w:val="auto"/>
              </w:rPr>
            </w:pPr>
            <w:r>
              <w:rPr>
                <w:rFonts w:ascii="Arial" w:cs="Arial" w:eastAsia="Arial" w:hAnsi="Arial"/>
                <w:sz w:val="17"/>
                <w:szCs w:val="17"/>
                <w:b w:val="1"/>
                <w:bCs w:val="1"/>
                <w:color w:val="auto"/>
              </w:rPr>
              <w:t>1,440,069</w:t>
            </w: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shd w:val="clear" w:color="auto" w:fill="E0EBED"/>
          </w:tcPr>
          <w:p>
            <w:pPr>
              <w:spacing w:after="0"/>
              <w:rPr>
                <w:sz w:val="18"/>
                <w:szCs w:val="18"/>
                <w:color w:val="auto"/>
              </w:rPr>
            </w:pPr>
          </w:p>
        </w:tc>
        <w:tc>
          <w:tcPr>
            <w:tcW w:w="980" w:type="dxa"/>
            <w:vAlign w:val="bottom"/>
            <w:tcBorders>
              <w:bottom w:val="single" w:sz="8" w:color="auto"/>
            </w:tcBorders>
            <w:shd w:val="clear" w:color="auto" w:fill="E0EBED"/>
          </w:tcPr>
          <w:p>
            <w:pPr>
              <w:jc w:val="right"/>
              <w:ind w:right="34"/>
              <w:spacing w:after="0"/>
              <w:rPr>
                <w:sz w:val="20"/>
                <w:szCs w:val="20"/>
                <w:color w:val="auto"/>
              </w:rPr>
            </w:pPr>
            <w:r>
              <w:rPr>
                <w:rFonts w:ascii="Arial" w:cs="Arial" w:eastAsia="Arial" w:hAnsi="Arial"/>
                <w:sz w:val="17"/>
                <w:szCs w:val="17"/>
                <w:color w:val="auto"/>
              </w:rPr>
              <w:t>935,574</w:t>
            </w:r>
          </w:p>
        </w:tc>
        <w:tc>
          <w:tcPr>
            <w:tcW w:w="0" w:type="dxa"/>
            <w:vAlign w:val="bottom"/>
          </w:tcPr>
          <w:p>
            <w:pPr>
              <w:spacing w:after="0"/>
              <w:rPr>
                <w:sz w:val="1"/>
                <w:szCs w:val="1"/>
                <w:color w:val="auto"/>
              </w:rPr>
            </w:pPr>
          </w:p>
        </w:tc>
      </w:tr>
      <w:tr>
        <w:trPr>
          <w:trHeight w:val="178"/>
        </w:trPr>
        <w:tc>
          <w:tcPr>
            <w:tcW w:w="8780" w:type="dxa"/>
            <w:vAlign w:val="bottom"/>
            <w:gridSpan w:val="2"/>
          </w:tcPr>
          <w:p>
            <w:pPr>
              <w:spacing w:after="0" w:line="178" w:lineRule="exact"/>
              <w:rPr>
                <w:sz w:val="20"/>
                <w:szCs w:val="20"/>
                <w:color w:val="auto"/>
              </w:rPr>
            </w:pPr>
            <w:r>
              <w:rPr>
                <w:rFonts w:ascii="Arial" w:cs="Arial" w:eastAsia="Arial" w:hAnsi="Arial"/>
                <w:sz w:val="18"/>
                <w:szCs w:val="18"/>
                <w:b w:val="1"/>
                <w:bCs w:val="1"/>
                <w:color w:val="auto"/>
              </w:rPr>
              <w:t>Total Shareholders’ Equity</w:t>
            </w:r>
          </w:p>
        </w:tc>
        <w:tc>
          <w:tcPr>
            <w:tcW w:w="40" w:type="dxa"/>
            <w:vAlign w:val="bottom"/>
          </w:tcPr>
          <w:p>
            <w:pPr>
              <w:spacing w:after="0"/>
              <w:rPr>
                <w:sz w:val="15"/>
                <w:szCs w:val="15"/>
                <w:color w:val="auto"/>
              </w:rPr>
            </w:pPr>
          </w:p>
        </w:tc>
        <w:tc>
          <w:tcPr>
            <w:tcW w:w="120" w:type="dxa"/>
            <w:vAlign w:val="bottom"/>
            <w:shd w:val="clear" w:color="auto" w:fill="CDDEE7"/>
          </w:tcPr>
          <w:p>
            <w:pPr>
              <w:spacing w:after="0"/>
              <w:rPr>
                <w:sz w:val="15"/>
                <w:szCs w:val="15"/>
                <w:color w:val="auto"/>
              </w:rPr>
            </w:pPr>
          </w:p>
        </w:tc>
        <w:tc>
          <w:tcPr>
            <w:tcW w:w="100" w:type="dxa"/>
            <w:vAlign w:val="bottom"/>
            <w:shd w:val="clear" w:color="auto" w:fill="CDDEE7"/>
          </w:tcPr>
          <w:p>
            <w:pPr>
              <w:spacing w:after="0"/>
              <w:rPr>
                <w:sz w:val="15"/>
                <w:szCs w:val="15"/>
                <w:color w:val="auto"/>
              </w:rPr>
            </w:pPr>
          </w:p>
        </w:tc>
        <w:tc>
          <w:tcPr>
            <w:tcW w:w="980" w:type="dxa"/>
            <w:vAlign w:val="bottom"/>
            <w:shd w:val="clear" w:color="auto" w:fill="CDDEE7"/>
          </w:tcPr>
          <w:p>
            <w:pPr>
              <w:jc w:val="right"/>
              <w:ind w:right="34"/>
              <w:spacing w:after="0" w:line="178" w:lineRule="exact"/>
              <w:rPr>
                <w:sz w:val="20"/>
                <w:szCs w:val="20"/>
                <w:color w:val="auto"/>
              </w:rPr>
            </w:pPr>
            <w:r>
              <w:rPr>
                <w:rFonts w:ascii="Arial" w:cs="Arial" w:eastAsia="Arial" w:hAnsi="Arial"/>
                <w:sz w:val="17"/>
                <w:szCs w:val="17"/>
                <w:b w:val="1"/>
                <w:bCs w:val="1"/>
                <w:color w:val="auto"/>
              </w:rPr>
              <w:t>4,679,600</w:t>
            </w:r>
          </w:p>
        </w:tc>
        <w:tc>
          <w:tcPr>
            <w:tcW w:w="220" w:type="dxa"/>
            <w:vAlign w:val="bottom"/>
          </w:tcPr>
          <w:p>
            <w:pPr>
              <w:spacing w:after="0"/>
              <w:rPr>
                <w:sz w:val="15"/>
                <w:szCs w:val="15"/>
                <w:color w:val="auto"/>
              </w:rPr>
            </w:pPr>
          </w:p>
        </w:tc>
        <w:tc>
          <w:tcPr>
            <w:tcW w:w="200" w:type="dxa"/>
            <w:vAlign w:val="bottom"/>
            <w:shd w:val="clear" w:color="auto" w:fill="E0EBED"/>
          </w:tcPr>
          <w:p>
            <w:pPr>
              <w:spacing w:after="0"/>
              <w:rPr>
                <w:sz w:val="15"/>
                <w:szCs w:val="15"/>
                <w:color w:val="auto"/>
              </w:rPr>
            </w:pPr>
          </w:p>
        </w:tc>
        <w:tc>
          <w:tcPr>
            <w:tcW w:w="980" w:type="dxa"/>
            <w:vAlign w:val="bottom"/>
            <w:shd w:val="clear" w:color="auto" w:fill="E0EBED"/>
          </w:tcPr>
          <w:p>
            <w:pPr>
              <w:jc w:val="right"/>
              <w:ind w:right="34"/>
              <w:spacing w:after="0" w:line="178" w:lineRule="exact"/>
              <w:rPr>
                <w:sz w:val="20"/>
                <w:szCs w:val="20"/>
                <w:color w:val="auto"/>
              </w:rPr>
            </w:pPr>
            <w:r>
              <w:rPr>
                <w:rFonts w:ascii="Arial" w:cs="Arial" w:eastAsia="Arial" w:hAnsi="Arial"/>
                <w:sz w:val="17"/>
                <w:szCs w:val="17"/>
                <w:color w:val="auto"/>
              </w:rPr>
              <w:t>4,139,978</w:t>
            </w:r>
          </w:p>
        </w:tc>
        <w:tc>
          <w:tcPr>
            <w:tcW w:w="0" w:type="dxa"/>
            <w:vAlign w:val="bottom"/>
          </w:tcPr>
          <w:p>
            <w:pPr>
              <w:spacing w:after="0"/>
              <w:rPr>
                <w:sz w:val="1"/>
                <w:szCs w:val="1"/>
                <w:color w:val="auto"/>
              </w:rPr>
            </w:pPr>
          </w:p>
        </w:tc>
      </w:tr>
      <w:tr>
        <w:trPr>
          <w:trHeight w:val="217"/>
        </w:trPr>
        <w:tc>
          <w:tcPr>
            <w:tcW w:w="87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Noncontrolling interests</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shd w:val="clear" w:color="auto" w:fill="CDDEE7"/>
          </w:tcPr>
          <w:p>
            <w:pPr>
              <w:spacing w:after="0"/>
              <w:rPr>
                <w:sz w:val="18"/>
                <w:szCs w:val="18"/>
                <w:color w:val="auto"/>
              </w:rPr>
            </w:pPr>
          </w:p>
        </w:tc>
        <w:tc>
          <w:tcPr>
            <w:tcW w:w="100" w:type="dxa"/>
            <w:vAlign w:val="bottom"/>
            <w:tcBorders>
              <w:bottom w:val="single" w:sz="8" w:color="auto"/>
            </w:tcBorders>
            <w:shd w:val="clear" w:color="auto" w:fill="CDDEE7"/>
          </w:tcPr>
          <w:p>
            <w:pPr>
              <w:spacing w:after="0"/>
              <w:rPr>
                <w:sz w:val="18"/>
                <w:szCs w:val="18"/>
                <w:color w:val="auto"/>
              </w:rPr>
            </w:pPr>
          </w:p>
        </w:tc>
        <w:tc>
          <w:tcPr>
            <w:tcW w:w="980" w:type="dxa"/>
            <w:vAlign w:val="bottom"/>
            <w:tcBorders>
              <w:bottom w:val="single" w:sz="8" w:color="auto"/>
            </w:tcBorders>
            <w:shd w:val="clear" w:color="auto" w:fill="CDDEE7"/>
          </w:tcPr>
          <w:p>
            <w:pPr>
              <w:jc w:val="right"/>
              <w:ind w:right="34"/>
              <w:spacing w:after="0"/>
              <w:rPr>
                <w:sz w:val="20"/>
                <w:szCs w:val="20"/>
                <w:color w:val="auto"/>
              </w:rPr>
            </w:pPr>
            <w:r>
              <w:rPr>
                <w:rFonts w:ascii="Arial" w:cs="Arial" w:eastAsia="Arial" w:hAnsi="Arial"/>
                <w:sz w:val="17"/>
                <w:szCs w:val="17"/>
                <w:b w:val="1"/>
                <w:bCs w:val="1"/>
                <w:color w:val="auto"/>
              </w:rPr>
              <w:t>2,877</w:t>
            </w: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shd w:val="clear" w:color="auto" w:fill="E0EBED"/>
          </w:tcPr>
          <w:p>
            <w:pPr>
              <w:spacing w:after="0"/>
              <w:rPr>
                <w:sz w:val="18"/>
                <w:szCs w:val="18"/>
                <w:color w:val="auto"/>
              </w:rPr>
            </w:pPr>
          </w:p>
        </w:tc>
        <w:tc>
          <w:tcPr>
            <w:tcW w:w="980" w:type="dxa"/>
            <w:vAlign w:val="bottom"/>
            <w:tcBorders>
              <w:bottom w:val="single" w:sz="8" w:color="auto"/>
            </w:tcBorders>
            <w:shd w:val="clear" w:color="auto" w:fill="E0EBED"/>
          </w:tcPr>
          <w:p>
            <w:pPr>
              <w:jc w:val="right"/>
              <w:ind w:right="34"/>
              <w:spacing w:after="0"/>
              <w:rPr>
                <w:sz w:val="20"/>
                <w:szCs w:val="20"/>
                <w:color w:val="auto"/>
              </w:rPr>
            </w:pPr>
            <w:r>
              <w:rPr>
                <w:rFonts w:ascii="Arial" w:cs="Arial" w:eastAsia="Arial" w:hAnsi="Arial"/>
                <w:sz w:val="17"/>
                <w:szCs w:val="17"/>
                <w:color w:val="auto"/>
              </w:rPr>
              <w:t>2,612</w:t>
            </w:r>
          </w:p>
        </w:tc>
        <w:tc>
          <w:tcPr>
            <w:tcW w:w="0" w:type="dxa"/>
            <w:vAlign w:val="bottom"/>
          </w:tcPr>
          <w:p>
            <w:pPr>
              <w:spacing w:after="0"/>
              <w:rPr>
                <w:sz w:val="1"/>
                <w:szCs w:val="1"/>
                <w:color w:val="auto"/>
              </w:rPr>
            </w:pPr>
          </w:p>
        </w:tc>
      </w:tr>
      <w:tr>
        <w:trPr>
          <w:trHeight w:val="201"/>
        </w:trPr>
        <w:tc>
          <w:tcPr>
            <w:tcW w:w="8780" w:type="dxa"/>
            <w:vAlign w:val="bottom"/>
            <w:tcBorders>
              <w:bottom w:val="single" w:sz="8" w:color="auto"/>
            </w:tcBorders>
            <w:gridSpan w:val="2"/>
          </w:tcPr>
          <w:p>
            <w:pPr>
              <w:spacing w:after="0" w:line="201" w:lineRule="exact"/>
              <w:rPr>
                <w:sz w:val="20"/>
                <w:szCs w:val="20"/>
                <w:color w:val="auto"/>
              </w:rPr>
            </w:pPr>
            <w:r>
              <w:rPr>
                <w:rFonts w:ascii="Arial" w:cs="Arial" w:eastAsia="Arial" w:hAnsi="Arial"/>
                <w:sz w:val="18"/>
                <w:szCs w:val="18"/>
                <w:b w:val="1"/>
                <w:bCs w:val="1"/>
                <w:color w:val="auto"/>
              </w:rPr>
              <w:t>Total Equity</w:t>
            </w: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shd w:val="clear" w:color="auto" w:fill="CDDEE7"/>
          </w:tcPr>
          <w:p>
            <w:pPr>
              <w:spacing w:after="0"/>
              <w:rPr>
                <w:sz w:val="17"/>
                <w:szCs w:val="17"/>
                <w:color w:val="auto"/>
              </w:rPr>
            </w:pPr>
          </w:p>
        </w:tc>
        <w:tc>
          <w:tcPr>
            <w:tcW w:w="100" w:type="dxa"/>
            <w:vAlign w:val="bottom"/>
            <w:tcBorders>
              <w:bottom w:val="single" w:sz="8" w:color="auto"/>
            </w:tcBorders>
            <w:shd w:val="clear" w:color="auto" w:fill="CDDEE7"/>
          </w:tcPr>
          <w:p>
            <w:pPr>
              <w:spacing w:after="0"/>
              <w:rPr>
                <w:sz w:val="17"/>
                <w:szCs w:val="17"/>
                <w:color w:val="auto"/>
              </w:rPr>
            </w:pPr>
          </w:p>
        </w:tc>
        <w:tc>
          <w:tcPr>
            <w:tcW w:w="980" w:type="dxa"/>
            <w:vAlign w:val="bottom"/>
            <w:tcBorders>
              <w:bottom w:val="single" w:sz="8" w:color="auto"/>
            </w:tcBorders>
            <w:shd w:val="clear" w:color="auto" w:fill="CDDEE7"/>
          </w:tcPr>
          <w:p>
            <w:pPr>
              <w:jc w:val="right"/>
              <w:ind w:right="34"/>
              <w:spacing w:after="0"/>
              <w:rPr>
                <w:sz w:val="20"/>
                <w:szCs w:val="20"/>
                <w:color w:val="auto"/>
              </w:rPr>
            </w:pPr>
            <w:r>
              <w:rPr>
                <w:rFonts w:ascii="Arial" w:cs="Arial" w:eastAsia="Arial" w:hAnsi="Arial"/>
                <w:sz w:val="17"/>
                <w:szCs w:val="17"/>
                <w:b w:val="1"/>
                <w:bCs w:val="1"/>
                <w:color w:val="auto"/>
              </w:rPr>
              <w:t>4,682,477</w:t>
            </w:r>
          </w:p>
        </w:tc>
        <w:tc>
          <w:tcPr>
            <w:tcW w:w="2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shd w:val="clear" w:color="auto" w:fill="E0EBED"/>
          </w:tcPr>
          <w:p>
            <w:pPr>
              <w:spacing w:after="0"/>
              <w:rPr>
                <w:sz w:val="17"/>
                <w:szCs w:val="17"/>
                <w:color w:val="auto"/>
              </w:rPr>
            </w:pPr>
          </w:p>
        </w:tc>
        <w:tc>
          <w:tcPr>
            <w:tcW w:w="980" w:type="dxa"/>
            <w:vAlign w:val="bottom"/>
            <w:tcBorders>
              <w:bottom w:val="single" w:sz="8" w:color="auto"/>
            </w:tcBorders>
            <w:shd w:val="clear" w:color="auto" w:fill="E0EBED"/>
          </w:tcPr>
          <w:p>
            <w:pPr>
              <w:jc w:val="right"/>
              <w:ind w:right="34"/>
              <w:spacing w:after="0"/>
              <w:rPr>
                <w:sz w:val="20"/>
                <w:szCs w:val="20"/>
                <w:color w:val="auto"/>
              </w:rPr>
            </w:pPr>
            <w:r>
              <w:rPr>
                <w:rFonts w:ascii="Arial" w:cs="Arial" w:eastAsia="Arial" w:hAnsi="Arial"/>
                <w:sz w:val="17"/>
                <w:szCs w:val="17"/>
                <w:color w:val="auto"/>
              </w:rPr>
              <w:t>4,142,590</w:t>
            </w:r>
          </w:p>
        </w:tc>
        <w:tc>
          <w:tcPr>
            <w:tcW w:w="0" w:type="dxa"/>
            <w:vAlign w:val="bottom"/>
          </w:tcPr>
          <w:p>
            <w:pPr>
              <w:spacing w:after="0"/>
              <w:rPr>
                <w:sz w:val="1"/>
                <w:szCs w:val="1"/>
                <w:color w:val="auto"/>
              </w:rPr>
            </w:pPr>
          </w:p>
        </w:tc>
      </w:tr>
      <w:tr>
        <w:trPr>
          <w:trHeight w:val="201"/>
        </w:trPr>
        <w:tc>
          <w:tcPr>
            <w:tcW w:w="878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Total Liabilities and Equity</w:t>
            </w:r>
          </w:p>
        </w:tc>
        <w:tc>
          <w:tcPr>
            <w:tcW w:w="40" w:type="dxa"/>
            <w:vAlign w:val="bottom"/>
          </w:tcPr>
          <w:p>
            <w:pPr>
              <w:spacing w:after="0"/>
              <w:rPr>
                <w:sz w:val="17"/>
                <w:szCs w:val="17"/>
                <w:color w:val="auto"/>
              </w:rPr>
            </w:pPr>
          </w:p>
        </w:tc>
        <w:tc>
          <w:tcPr>
            <w:tcW w:w="120" w:type="dxa"/>
            <w:vAlign w:val="bottom"/>
            <w:shd w:val="clear" w:color="auto" w:fill="CDDEE7"/>
          </w:tcPr>
          <w:p>
            <w:pPr>
              <w:spacing w:after="0"/>
              <w:rPr>
                <w:sz w:val="17"/>
                <w:szCs w:val="17"/>
                <w:color w:val="auto"/>
              </w:rPr>
            </w:pPr>
          </w:p>
        </w:tc>
        <w:tc>
          <w:tcPr>
            <w:tcW w:w="100" w:type="dxa"/>
            <w:vAlign w:val="bottom"/>
            <w:shd w:val="clear" w:color="auto" w:fill="CDDEE7"/>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shd w:val="clear" w:color="auto" w:fill="CDDEE7"/>
          </w:tcPr>
          <w:p>
            <w:pPr>
              <w:jc w:val="right"/>
              <w:ind w:right="34"/>
              <w:spacing w:after="0"/>
              <w:rPr>
                <w:sz w:val="20"/>
                <w:szCs w:val="20"/>
                <w:color w:val="auto"/>
              </w:rPr>
            </w:pPr>
            <w:r>
              <w:rPr>
                <w:rFonts w:ascii="Arial" w:cs="Arial" w:eastAsia="Arial" w:hAnsi="Arial"/>
                <w:sz w:val="17"/>
                <w:szCs w:val="17"/>
                <w:b w:val="1"/>
                <w:bCs w:val="1"/>
                <w:color w:val="auto"/>
              </w:rPr>
              <w:t>8,992,511</w:t>
            </w:r>
          </w:p>
        </w:tc>
        <w:tc>
          <w:tcPr>
            <w:tcW w:w="220" w:type="dxa"/>
            <w:vAlign w:val="bottom"/>
          </w:tcPr>
          <w:p>
            <w:pPr>
              <w:spacing w:after="0"/>
              <w:rPr>
                <w:sz w:val="17"/>
                <w:szCs w:val="17"/>
                <w:color w:val="auto"/>
              </w:rPr>
            </w:pPr>
          </w:p>
        </w:tc>
        <w:tc>
          <w:tcPr>
            <w:tcW w:w="200" w:type="dxa"/>
            <w:vAlign w:val="bottom"/>
            <w:shd w:val="clear" w:color="auto" w:fill="E0EBED"/>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E0EBED"/>
          </w:tcPr>
          <w:p>
            <w:pPr>
              <w:jc w:val="right"/>
              <w:ind w:right="34"/>
              <w:spacing w:after="0"/>
              <w:rPr>
                <w:sz w:val="20"/>
                <w:szCs w:val="20"/>
                <w:color w:val="auto"/>
              </w:rPr>
            </w:pPr>
            <w:r>
              <w:rPr>
                <w:rFonts w:ascii="Arial" w:cs="Arial" w:eastAsia="Arial" w:hAnsi="Arial"/>
                <w:sz w:val="17"/>
                <w:szCs w:val="17"/>
                <w:color w:val="auto"/>
              </w:rPr>
              <w:t>7,300,905</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76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8">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The notes on pages 15 through 41 are an integral part of these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12</w:t>
      </w:r>
    </w:p>
    <w:p>
      <w:pPr>
        <w:sectPr>
          <w:pgSz w:w="11900" w:h="16838" w:orient="portrait"/>
          <w:cols w:equalWidth="0" w:num="1">
            <w:col w:w="11420"/>
          </w:cols>
          <w:pgMar w:left="240" w:top="282" w:right="239" w:bottom="1440" w:gutter="0" w:footer="0" w:header="0"/>
        </w:sectPr>
      </w:pPr>
    </w:p>
    <w:bookmarkStart w:id="65" w:name="page66"/>
    <w:bookmarkEnd w:id="65"/>
    <w:p>
      <w:pPr>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9">
                      <a:extLst>
                        <a:ext uri="{28A0092B-C50C-407E-A947-70E740481C1C}"/>
                      </a:extLst>
                    </a:blip>
                    <a:srcRect/>
                    <a:stretch>
                      <a:fillRect/>
                    </a:stretch>
                  </pic:blipFill>
                  <pic:spPr bwMode="auto">
                    <a:xfrm>
                      <a:off x="0" y="0"/>
                      <a:ext cx="7293610" cy="37465"/>
                    </a:xfrm>
                    <a:prstGeom prst="rect">
                      <a:avLst/>
                    </a:prstGeom>
                    <a:noFill/>
                  </pic:spPr>
                </pic:pic>
              </a:graphicData>
            </a:graphic>
          </wp:anchor>
        </w:drawing>
        <w:drawing>
          <wp:anchor simplePos="0" relativeHeight="251657728" behindDoc="1" locked="0" layoutInCell="0" allowOverlap="1">
            <wp:simplePos x="0" y="0"/>
            <wp:positionH relativeFrom="page">
              <wp:posOffset>154940</wp:posOffset>
            </wp:positionH>
            <wp:positionV relativeFrom="page">
              <wp:posOffset>179705</wp:posOffset>
            </wp:positionV>
            <wp:extent cx="5364480" cy="280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0">
                      <a:extLst>
                        <a:ext uri="{28A0092B-C50C-407E-A947-70E740481C1C}"/>
                      </a:extLst>
                    </a:blip>
                    <a:srcRect/>
                    <a:stretch>
                      <a:fillRect/>
                    </a:stretch>
                  </pic:blipFill>
                  <pic:spPr bwMode="auto">
                    <a:xfrm>
                      <a:off x="0" y="0"/>
                      <a:ext cx="5364480" cy="280035"/>
                    </a:xfrm>
                    <a:prstGeom prst="rect">
                      <a:avLst/>
                    </a:prstGeom>
                    <a:noFill/>
                  </pic:spPr>
                </pic:pic>
              </a:graphicData>
            </a:graphic>
          </wp:anchor>
        </w:drawing>
        <w:t xml:space="preserve">CONSOLIDATED STATEMENTS OF CASH FLOWS </w:t>
      </w:r>
      <w:r>
        <w:rPr>
          <w:rFonts w:ascii="Arial" w:cs="Arial" w:eastAsia="Arial" w:hAnsi="Arial"/>
          <w:sz w:val="17"/>
          <w:szCs w:val="17"/>
          <w:color w:val="FFFFFF"/>
        </w:rPr>
        <w:t>for years ended December 31</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5900" w:type="dxa"/>
            <w:vAlign w:val="bottom"/>
            <w:gridSpan w:val="2"/>
          </w:tcPr>
          <w:p>
            <w:pPr>
              <w:spacing w:after="0"/>
              <w:rPr>
                <w:sz w:val="20"/>
                <w:szCs w:val="20"/>
                <w:color w:val="auto"/>
              </w:rPr>
            </w:pPr>
            <w:r>
              <w:rPr>
                <w:rFonts w:ascii="Arial" w:cs="Arial" w:eastAsia="Arial" w:hAnsi="Arial"/>
                <w:sz w:val="16"/>
                <w:szCs w:val="16"/>
                <w:color w:val="auto"/>
              </w:rPr>
              <w:t>(add 000)</w:t>
            </w:r>
          </w:p>
        </w:tc>
        <w:tc>
          <w:tcPr>
            <w:tcW w:w="1920" w:type="dxa"/>
            <w:vAlign w:val="bottom"/>
          </w:tcPr>
          <w:p>
            <w:pPr>
              <w:spacing w:after="0"/>
              <w:rPr>
                <w:sz w:val="24"/>
                <w:szCs w:val="24"/>
                <w:color w:val="auto"/>
              </w:rPr>
            </w:pPr>
          </w:p>
        </w:tc>
        <w:tc>
          <w:tcPr>
            <w:tcW w:w="120" w:type="dxa"/>
            <w:vAlign w:val="bottom"/>
            <w:shd w:val="clear" w:color="auto" w:fill="0085CD"/>
          </w:tcPr>
          <w:p>
            <w:pPr>
              <w:spacing w:after="0"/>
              <w:rPr>
                <w:sz w:val="24"/>
                <w:szCs w:val="24"/>
                <w:color w:val="auto"/>
              </w:rPr>
            </w:pPr>
          </w:p>
        </w:tc>
        <w:tc>
          <w:tcPr>
            <w:tcW w:w="100" w:type="dxa"/>
            <w:vAlign w:val="bottom"/>
            <w:shd w:val="clear" w:color="auto" w:fill="0085CD"/>
          </w:tcPr>
          <w:p>
            <w:pPr>
              <w:spacing w:after="0"/>
              <w:rPr>
                <w:sz w:val="24"/>
                <w:szCs w:val="24"/>
                <w:color w:val="auto"/>
              </w:rPr>
            </w:pPr>
          </w:p>
        </w:tc>
        <w:tc>
          <w:tcPr>
            <w:tcW w:w="820" w:type="dxa"/>
            <w:vAlign w:val="bottom"/>
            <w:shd w:val="clear" w:color="auto" w:fill="0085CD"/>
          </w:tcPr>
          <w:p>
            <w:pPr>
              <w:jc w:val="right"/>
              <w:ind w:right="174"/>
              <w:spacing w:after="0"/>
              <w:rPr>
                <w:sz w:val="20"/>
                <w:szCs w:val="20"/>
                <w:color w:val="auto"/>
              </w:rPr>
            </w:pPr>
            <w:r>
              <w:rPr>
                <w:rFonts w:ascii="Arial" w:cs="Arial" w:eastAsia="Arial" w:hAnsi="Arial"/>
                <w:sz w:val="17"/>
                <w:szCs w:val="17"/>
                <w:b w:val="1"/>
                <w:bCs w:val="1"/>
                <w:color w:val="FFFFFF"/>
              </w:rPr>
              <w:t>2017</w:t>
            </w:r>
          </w:p>
        </w:tc>
        <w:tc>
          <w:tcPr>
            <w:tcW w:w="120" w:type="dxa"/>
            <w:vAlign w:val="bottom"/>
            <w:shd w:val="clear" w:color="auto" w:fill="0085CD"/>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shd w:val="clear" w:color="auto" w:fill="E0EBED"/>
          </w:tcPr>
          <w:p>
            <w:pPr>
              <w:spacing w:after="0"/>
              <w:rPr>
                <w:sz w:val="24"/>
                <w:szCs w:val="24"/>
                <w:color w:val="auto"/>
              </w:rPr>
            </w:pPr>
          </w:p>
        </w:tc>
        <w:tc>
          <w:tcPr>
            <w:tcW w:w="800" w:type="dxa"/>
            <w:vAlign w:val="bottom"/>
            <w:shd w:val="clear" w:color="auto" w:fill="E0EBED"/>
          </w:tcPr>
          <w:p>
            <w:pPr>
              <w:jc w:val="right"/>
              <w:ind w:right="234"/>
              <w:spacing w:after="0"/>
              <w:rPr>
                <w:sz w:val="20"/>
                <w:szCs w:val="20"/>
                <w:color w:val="auto"/>
              </w:rPr>
            </w:pPr>
            <w:r>
              <w:rPr>
                <w:rFonts w:ascii="Arial" w:cs="Arial" w:eastAsia="Arial" w:hAnsi="Arial"/>
                <w:sz w:val="17"/>
                <w:szCs w:val="17"/>
                <w:color w:val="auto"/>
              </w:rPr>
              <w:t>2016</w:t>
            </w:r>
          </w:p>
        </w:tc>
        <w:tc>
          <w:tcPr>
            <w:tcW w:w="220" w:type="dxa"/>
            <w:vAlign w:val="bottom"/>
          </w:tcPr>
          <w:p>
            <w:pPr>
              <w:spacing w:after="0"/>
              <w:rPr>
                <w:sz w:val="24"/>
                <w:szCs w:val="24"/>
                <w:color w:val="auto"/>
              </w:rPr>
            </w:pPr>
          </w:p>
        </w:tc>
        <w:tc>
          <w:tcPr>
            <w:tcW w:w="1000" w:type="dxa"/>
            <w:vAlign w:val="bottom"/>
            <w:gridSpan w:val="2"/>
            <w:shd w:val="clear" w:color="auto" w:fill="E0EBED"/>
          </w:tcPr>
          <w:p>
            <w:pPr>
              <w:jc w:val="right"/>
              <w:ind w:right="234"/>
              <w:spacing w:after="0"/>
              <w:rPr>
                <w:sz w:val="20"/>
                <w:szCs w:val="20"/>
                <w:color w:val="auto"/>
              </w:rPr>
            </w:pPr>
            <w:r>
              <w:rPr>
                <w:rFonts w:ascii="Arial" w:cs="Arial" w:eastAsia="Arial" w:hAnsi="Arial"/>
                <w:sz w:val="17"/>
                <w:szCs w:val="17"/>
                <w:color w:val="auto"/>
              </w:rPr>
              <w:t>2015</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880" w:type="dxa"/>
            <w:vAlign w:val="bottom"/>
            <w:tcBorders>
              <w:top w:val="single" w:sz="8" w:color="auto"/>
            </w:tcBorders>
          </w:tcPr>
          <w:p>
            <w:pPr>
              <w:spacing w:after="0" w:line="200" w:lineRule="exact"/>
              <w:rPr>
                <w:sz w:val="20"/>
                <w:szCs w:val="20"/>
                <w:color w:val="auto"/>
              </w:rPr>
            </w:pPr>
            <w:r>
              <w:rPr>
                <w:rFonts w:ascii="Arial" w:cs="Arial" w:eastAsia="Arial" w:hAnsi="Arial"/>
                <w:sz w:val="18"/>
                <w:szCs w:val="18"/>
                <w:b w:val="1"/>
                <w:bCs w:val="1"/>
                <w:color w:val="auto"/>
              </w:rPr>
              <w:t>Cash Flows from Operating Activities:</w:t>
            </w:r>
          </w:p>
        </w:tc>
        <w:tc>
          <w:tcPr>
            <w:tcW w:w="19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shd w:val="clear" w:color="auto" w:fill="CDDEE7"/>
          </w:tcPr>
          <w:p>
            <w:pPr>
              <w:spacing w:after="0"/>
              <w:rPr>
                <w:sz w:val="17"/>
                <w:szCs w:val="17"/>
                <w:color w:val="auto"/>
              </w:rPr>
            </w:pPr>
          </w:p>
        </w:tc>
        <w:tc>
          <w:tcPr>
            <w:tcW w:w="100" w:type="dxa"/>
            <w:vAlign w:val="bottom"/>
            <w:tcBorders>
              <w:top w:val="single" w:sz="8" w:color="auto"/>
            </w:tcBorders>
            <w:vMerge w:val="restart"/>
            <w:shd w:val="clear" w:color="auto" w:fill="CDDEE7"/>
          </w:tcPr>
          <w:p>
            <w:pPr>
              <w:jc w:val="right"/>
              <w:spacing w:after="0"/>
              <w:rPr>
                <w:sz w:val="20"/>
                <w:szCs w:val="20"/>
                <w:color w:val="auto"/>
              </w:rPr>
            </w:pPr>
            <w:r>
              <w:rPr>
                <w:rFonts w:ascii="Arial" w:cs="Arial" w:eastAsia="Arial" w:hAnsi="Arial"/>
                <w:sz w:val="15"/>
                <w:szCs w:val="15"/>
                <w:b w:val="1"/>
                <w:bCs w:val="1"/>
                <w:color w:val="auto"/>
                <w:w w:val="71"/>
                <w:shd w:val="clear" w:color="auto" w:fill="CDDEE7"/>
              </w:rPr>
              <w:t>$</w:t>
            </w:r>
          </w:p>
        </w:tc>
        <w:tc>
          <w:tcPr>
            <w:tcW w:w="940" w:type="dxa"/>
            <w:vAlign w:val="bottom"/>
            <w:tcBorders>
              <w:top w:val="single" w:sz="8" w:color="auto"/>
            </w:tcBorders>
            <w:gridSpan w:val="2"/>
            <w:vMerge w:val="restart"/>
            <w:shd w:val="clear" w:color="auto" w:fill="CDDEE7"/>
          </w:tcPr>
          <w:p>
            <w:pPr>
              <w:jc w:val="right"/>
              <w:ind w:right="120"/>
              <w:spacing w:after="0"/>
              <w:rPr>
                <w:sz w:val="20"/>
                <w:szCs w:val="20"/>
                <w:color w:val="auto"/>
              </w:rPr>
            </w:pPr>
            <w:r>
              <w:rPr>
                <w:rFonts w:ascii="Arial" w:cs="Arial" w:eastAsia="Arial" w:hAnsi="Arial"/>
                <w:sz w:val="17"/>
                <w:szCs w:val="17"/>
                <w:b w:val="1"/>
                <w:bCs w:val="1"/>
                <w:color w:val="auto"/>
                <w:shd w:val="clear" w:color="auto" w:fill="CDDEE7"/>
              </w:rPr>
              <w:t>713,385</w:t>
            </w:r>
          </w:p>
        </w:tc>
        <w:tc>
          <w:tcPr>
            <w:tcW w:w="2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shd w:val="clear" w:color="auto" w:fill="E0EBED"/>
          </w:tcPr>
          <w:p>
            <w:pPr>
              <w:spacing w:after="0"/>
              <w:rPr>
                <w:sz w:val="17"/>
                <w:szCs w:val="17"/>
                <w:color w:val="auto"/>
              </w:rPr>
            </w:pPr>
          </w:p>
        </w:tc>
        <w:tc>
          <w:tcPr>
            <w:tcW w:w="800" w:type="dxa"/>
            <w:vAlign w:val="bottom"/>
            <w:tcBorders>
              <w:top w:val="single" w:sz="8" w:color="auto"/>
            </w:tcBorders>
            <w:shd w:val="clear" w:color="auto" w:fill="E0EBED"/>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shd w:val="clear" w:color="auto" w:fill="E0EBED"/>
          </w:tcPr>
          <w:p>
            <w:pPr>
              <w:spacing w:after="0"/>
              <w:rPr>
                <w:sz w:val="17"/>
                <w:szCs w:val="17"/>
                <w:color w:val="auto"/>
              </w:rPr>
            </w:pPr>
          </w:p>
        </w:tc>
        <w:tc>
          <w:tcPr>
            <w:tcW w:w="800" w:type="dxa"/>
            <w:vAlign w:val="bottom"/>
            <w:tcBorders>
              <w:top w:val="single" w:sz="8" w:color="auto"/>
            </w:tcBorders>
            <w:shd w:val="clear" w:color="auto" w:fill="E0EBED"/>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900" w:type="dxa"/>
            <w:vAlign w:val="bottom"/>
            <w:gridSpan w:val="2"/>
          </w:tcPr>
          <w:p>
            <w:pPr>
              <w:spacing w:after="0"/>
              <w:rPr>
                <w:sz w:val="20"/>
                <w:szCs w:val="20"/>
                <w:color w:val="auto"/>
              </w:rPr>
            </w:pPr>
            <w:r>
              <w:rPr>
                <w:rFonts w:ascii="Arial" w:cs="Arial" w:eastAsia="Arial" w:hAnsi="Arial"/>
                <w:sz w:val="17"/>
                <w:szCs w:val="17"/>
                <w:color w:val="auto"/>
              </w:rPr>
              <w:t>Consolidated net earnings</w:t>
            </w:r>
          </w:p>
        </w:tc>
        <w:tc>
          <w:tcPr>
            <w:tcW w:w="1920" w:type="dxa"/>
            <w:vAlign w:val="bottom"/>
          </w:tcPr>
          <w:p>
            <w:pPr>
              <w:spacing w:after="0"/>
              <w:rPr>
                <w:sz w:val="16"/>
                <w:szCs w:val="16"/>
                <w:color w:val="auto"/>
              </w:rPr>
            </w:pPr>
          </w:p>
        </w:tc>
        <w:tc>
          <w:tcPr>
            <w:tcW w:w="120" w:type="dxa"/>
            <w:vAlign w:val="bottom"/>
            <w:shd w:val="clear" w:color="auto" w:fill="CDDEE7"/>
          </w:tcPr>
          <w:p>
            <w:pPr>
              <w:spacing w:after="0"/>
              <w:rPr>
                <w:sz w:val="16"/>
                <w:szCs w:val="16"/>
                <w:color w:val="auto"/>
              </w:rPr>
            </w:pPr>
          </w:p>
        </w:tc>
        <w:tc>
          <w:tcPr>
            <w:tcW w:w="100" w:type="dxa"/>
            <w:vAlign w:val="bottom"/>
            <w:vMerge w:val="continue"/>
            <w:shd w:val="clear" w:color="auto" w:fill="CDDEE7"/>
          </w:tcPr>
          <w:p>
            <w:pPr>
              <w:spacing w:after="0"/>
              <w:rPr>
                <w:sz w:val="16"/>
                <w:szCs w:val="16"/>
                <w:color w:val="auto"/>
              </w:rPr>
            </w:pPr>
          </w:p>
        </w:tc>
        <w:tc>
          <w:tcPr>
            <w:tcW w:w="940" w:type="dxa"/>
            <w:vAlign w:val="bottom"/>
            <w:gridSpan w:val="2"/>
            <w:vMerge w:val="continue"/>
            <w:shd w:val="clear" w:color="auto" w:fill="CDDEE7"/>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shd w:val="clear" w:color="auto" w:fill="E0EBED"/>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E0EBED"/>
          </w:tcPr>
          <w:p>
            <w:pPr>
              <w:jc w:val="right"/>
              <w:ind w:right="34"/>
              <w:spacing w:after="0"/>
              <w:rPr>
                <w:sz w:val="20"/>
                <w:szCs w:val="20"/>
                <w:color w:val="auto"/>
              </w:rPr>
            </w:pPr>
            <w:r>
              <w:rPr>
                <w:rFonts w:ascii="Arial" w:cs="Arial" w:eastAsia="Arial" w:hAnsi="Arial"/>
                <w:sz w:val="17"/>
                <w:szCs w:val="17"/>
                <w:color w:val="auto"/>
                <w:shd w:val="clear" w:color="auto" w:fill="E0EBED"/>
              </w:rPr>
              <w:t>425,444</w:t>
            </w:r>
          </w:p>
        </w:tc>
        <w:tc>
          <w:tcPr>
            <w:tcW w:w="220" w:type="dxa"/>
            <w:vAlign w:val="bottom"/>
          </w:tcPr>
          <w:p>
            <w:pPr>
              <w:spacing w:after="0"/>
              <w:rPr>
                <w:sz w:val="16"/>
                <w:szCs w:val="16"/>
                <w:color w:val="auto"/>
              </w:rPr>
            </w:pPr>
          </w:p>
        </w:tc>
        <w:tc>
          <w:tcPr>
            <w:tcW w:w="200" w:type="dxa"/>
            <w:vAlign w:val="bottom"/>
            <w:shd w:val="clear" w:color="auto" w:fill="E0EBED"/>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E0EBED"/>
          </w:tcPr>
          <w:p>
            <w:pPr>
              <w:jc w:val="right"/>
              <w:ind w:right="34"/>
              <w:spacing w:after="0"/>
              <w:rPr>
                <w:sz w:val="20"/>
                <w:szCs w:val="20"/>
                <w:color w:val="auto"/>
              </w:rPr>
            </w:pPr>
            <w:r>
              <w:rPr>
                <w:rFonts w:ascii="Arial" w:cs="Arial" w:eastAsia="Arial" w:hAnsi="Arial"/>
                <w:sz w:val="17"/>
                <w:szCs w:val="17"/>
                <w:color w:val="auto"/>
              </w:rPr>
              <w:t>288,938</w:t>
            </w:r>
          </w:p>
        </w:tc>
        <w:tc>
          <w:tcPr>
            <w:tcW w:w="0" w:type="dxa"/>
            <w:vAlign w:val="bottom"/>
          </w:tcPr>
          <w:p>
            <w:pPr>
              <w:spacing w:after="0"/>
              <w:rPr>
                <w:sz w:val="1"/>
                <w:szCs w:val="1"/>
                <w:color w:val="auto"/>
              </w:rPr>
            </w:pPr>
          </w:p>
        </w:tc>
      </w:tr>
      <w:tr>
        <w:trPr>
          <w:trHeight w:val="195"/>
        </w:trPr>
        <w:tc>
          <w:tcPr>
            <w:tcW w:w="7820" w:type="dxa"/>
            <w:vAlign w:val="bottom"/>
            <w:gridSpan w:val="3"/>
          </w:tcPr>
          <w:p>
            <w:pPr>
              <w:spacing w:after="0"/>
              <w:rPr>
                <w:sz w:val="20"/>
                <w:szCs w:val="20"/>
                <w:color w:val="auto"/>
              </w:rPr>
            </w:pPr>
            <w:r>
              <w:rPr>
                <w:rFonts w:ascii="Arial" w:cs="Arial" w:eastAsia="Arial" w:hAnsi="Arial"/>
                <w:sz w:val="17"/>
                <w:szCs w:val="17"/>
                <w:color w:val="auto"/>
              </w:rPr>
              <w:t>Adjustments to reconcile consolidated net earnings to net cash provided by operating activities:</w:t>
            </w:r>
          </w:p>
        </w:tc>
        <w:tc>
          <w:tcPr>
            <w:tcW w:w="12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820" w:type="dxa"/>
            <w:vAlign w:val="bottom"/>
            <w:vMerge w:val="restart"/>
            <w:shd w:val="clear" w:color="auto" w:fill="CDDEE7"/>
          </w:tcPr>
          <w:p>
            <w:pPr>
              <w:jc w:val="right"/>
              <w:spacing w:after="0"/>
              <w:rPr>
                <w:sz w:val="20"/>
                <w:szCs w:val="20"/>
                <w:color w:val="auto"/>
              </w:rPr>
            </w:pPr>
            <w:r>
              <w:rPr>
                <w:rFonts w:ascii="Arial" w:cs="Arial" w:eastAsia="Arial" w:hAnsi="Arial"/>
                <w:sz w:val="17"/>
                <w:szCs w:val="17"/>
                <w:b w:val="1"/>
                <w:bCs w:val="1"/>
                <w:color w:val="auto"/>
              </w:rPr>
              <w:t>297,162</w:t>
            </w:r>
          </w:p>
        </w:tc>
        <w:tc>
          <w:tcPr>
            <w:tcW w:w="120" w:type="dxa"/>
            <w:vAlign w:val="bottom"/>
            <w:shd w:val="clear" w:color="auto" w:fill="CDDEE7"/>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800" w:type="dxa"/>
            <w:vAlign w:val="bottom"/>
            <w:shd w:val="clear" w:color="auto" w:fill="E0EBED"/>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800" w:type="dxa"/>
            <w:vAlign w:val="bottom"/>
            <w:shd w:val="clear" w:color="auto" w:fill="E0EBED"/>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5900" w:type="dxa"/>
            <w:vAlign w:val="bottom"/>
            <w:gridSpan w:val="2"/>
          </w:tcPr>
          <w:p>
            <w:pPr>
              <w:spacing w:after="0" w:line="172" w:lineRule="exact"/>
              <w:rPr>
                <w:sz w:val="20"/>
                <w:szCs w:val="20"/>
                <w:color w:val="auto"/>
              </w:rPr>
            </w:pPr>
            <w:r>
              <w:rPr>
                <w:rFonts w:ascii="Arial" w:cs="Arial" w:eastAsia="Arial" w:hAnsi="Arial"/>
                <w:sz w:val="17"/>
                <w:szCs w:val="17"/>
                <w:color w:val="auto"/>
              </w:rPr>
              <w:t>Depreciation, depletion and amortization</w:t>
            </w:r>
          </w:p>
        </w:tc>
        <w:tc>
          <w:tcPr>
            <w:tcW w:w="1920" w:type="dxa"/>
            <w:vAlign w:val="bottom"/>
          </w:tcPr>
          <w:p>
            <w:pPr>
              <w:spacing w:after="0"/>
              <w:rPr>
                <w:sz w:val="15"/>
                <w:szCs w:val="15"/>
                <w:color w:val="auto"/>
              </w:rPr>
            </w:pPr>
          </w:p>
        </w:tc>
        <w:tc>
          <w:tcPr>
            <w:tcW w:w="120" w:type="dxa"/>
            <w:vAlign w:val="bottom"/>
            <w:shd w:val="clear" w:color="auto" w:fill="CDDEE7"/>
          </w:tcPr>
          <w:p>
            <w:pPr>
              <w:spacing w:after="0"/>
              <w:rPr>
                <w:sz w:val="15"/>
                <w:szCs w:val="15"/>
                <w:color w:val="auto"/>
              </w:rPr>
            </w:pPr>
          </w:p>
        </w:tc>
        <w:tc>
          <w:tcPr>
            <w:tcW w:w="100" w:type="dxa"/>
            <w:vAlign w:val="bottom"/>
            <w:shd w:val="clear" w:color="auto" w:fill="CDDEE7"/>
          </w:tcPr>
          <w:p>
            <w:pPr>
              <w:spacing w:after="0"/>
              <w:rPr>
                <w:sz w:val="15"/>
                <w:szCs w:val="15"/>
                <w:color w:val="auto"/>
              </w:rPr>
            </w:pPr>
          </w:p>
        </w:tc>
        <w:tc>
          <w:tcPr>
            <w:tcW w:w="820" w:type="dxa"/>
            <w:vAlign w:val="bottom"/>
            <w:vMerge w:val="continue"/>
            <w:shd w:val="clear" w:color="auto" w:fill="CDDEE7"/>
          </w:tcPr>
          <w:p>
            <w:pPr>
              <w:spacing w:after="0"/>
              <w:rPr>
                <w:sz w:val="15"/>
                <w:szCs w:val="15"/>
                <w:color w:val="auto"/>
              </w:rPr>
            </w:pPr>
          </w:p>
        </w:tc>
        <w:tc>
          <w:tcPr>
            <w:tcW w:w="120" w:type="dxa"/>
            <w:vAlign w:val="bottom"/>
            <w:shd w:val="clear" w:color="auto" w:fill="CDDEE7"/>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shd w:val="clear" w:color="auto" w:fill="E0EBED"/>
          </w:tcPr>
          <w:p>
            <w:pPr>
              <w:spacing w:after="0"/>
              <w:rPr>
                <w:sz w:val="15"/>
                <w:szCs w:val="15"/>
                <w:color w:val="auto"/>
              </w:rPr>
            </w:pPr>
          </w:p>
        </w:tc>
        <w:tc>
          <w:tcPr>
            <w:tcW w:w="800" w:type="dxa"/>
            <w:vAlign w:val="bottom"/>
            <w:shd w:val="clear" w:color="auto" w:fill="E0EBED"/>
          </w:tcPr>
          <w:p>
            <w:pPr>
              <w:jc w:val="right"/>
              <w:ind w:right="34"/>
              <w:spacing w:after="0" w:line="172" w:lineRule="exact"/>
              <w:rPr>
                <w:sz w:val="20"/>
                <w:szCs w:val="20"/>
                <w:color w:val="auto"/>
              </w:rPr>
            </w:pPr>
            <w:r>
              <w:rPr>
                <w:rFonts w:ascii="Arial" w:cs="Arial" w:eastAsia="Arial" w:hAnsi="Arial"/>
                <w:sz w:val="17"/>
                <w:szCs w:val="17"/>
                <w:color w:val="auto"/>
              </w:rPr>
              <w:t>285,253</w:t>
            </w:r>
          </w:p>
        </w:tc>
        <w:tc>
          <w:tcPr>
            <w:tcW w:w="220" w:type="dxa"/>
            <w:vAlign w:val="bottom"/>
          </w:tcPr>
          <w:p>
            <w:pPr>
              <w:spacing w:after="0"/>
              <w:rPr>
                <w:sz w:val="15"/>
                <w:szCs w:val="15"/>
                <w:color w:val="auto"/>
              </w:rPr>
            </w:pPr>
          </w:p>
        </w:tc>
        <w:tc>
          <w:tcPr>
            <w:tcW w:w="200" w:type="dxa"/>
            <w:vAlign w:val="bottom"/>
            <w:shd w:val="clear" w:color="auto" w:fill="E0EBED"/>
          </w:tcPr>
          <w:p>
            <w:pPr>
              <w:spacing w:after="0"/>
              <w:rPr>
                <w:sz w:val="15"/>
                <w:szCs w:val="15"/>
                <w:color w:val="auto"/>
              </w:rPr>
            </w:pPr>
          </w:p>
        </w:tc>
        <w:tc>
          <w:tcPr>
            <w:tcW w:w="800" w:type="dxa"/>
            <w:vAlign w:val="bottom"/>
            <w:shd w:val="clear" w:color="auto" w:fill="E0EBED"/>
          </w:tcPr>
          <w:p>
            <w:pPr>
              <w:jc w:val="right"/>
              <w:ind w:right="34"/>
              <w:spacing w:after="0" w:line="172" w:lineRule="exact"/>
              <w:rPr>
                <w:sz w:val="20"/>
                <w:szCs w:val="20"/>
                <w:color w:val="auto"/>
              </w:rPr>
            </w:pPr>
            <w:r>
              <w:rPr>
                <w:rFonts w:ascii="Arial" w:cs="Arial" w:eastAsia="Arial" w:hAnsi="Arial"/>
                <w:sz w:val="17"/>
                <w:szCs w:val="17"/>
                <w:color w:val="auto"/>
              </w:rPr>
              <w:t>263,587</w:t>
            </w:r>
          </w:p>
        </w:tc>
        <w:tc>
          <w:tcPr>
            <w:tcW w:w="0" w:type="dxa"/>
            <w:vAlign w:val="bottom"/>
          </w:tcPr>
          <w:p>
            <w:pPr>
              <w:spacing w:after="0"/>
              <w:rPr>
                <w:sz w:val="1"/>
                <w:szCs w:val="1"/>
                <w:color w:val="auto"/>
              </w:rPr>
            </w:pPr>
          </w:p>
        </w:tc>
      </w:tr>
      <w:tr>
        <w:trPr>
          <w:trHeight w:val="195"/>
        </w:trPr>
        <w:tc>
          <w:tcPr>
            <w:tcW w:w="5900" w:type="dxa"/>
            <w:vAlign w:val="bottom"/>
            <w:gridSpan w:val="2"/>
          </w:tcPr>
          <w:p>
            <w:pPr>
              <w:spacing w:after="0"/>
              <w:rPr>
                <w:sz w:val="20"/>
                <w:szCs w:val="20"/>
                <w:color w:val="auto"/>
              </w:rPr>
            </w:pPr>
            <w:r>
              <w:rPr>
                <w:rFonts w:ascii="Arial" w:cs="Arial" w:eastAsia="Arial" w:hAnsi="Arial"/>
                <w:sz w:val="17"/>
                <w:szCs w:val="17"/>
                <w:color w:val="auto"/>
              </w:rPr>
              <w:t>Stock-based compensation expense</w:t>
            </w:r>
          </w:p>
        </w:tc>
        <w:tc>
          <w:tcPr>
            <w:tcW w:w="1920" w:type="dxa"/>
            <w:vAlign w:val="bottom"/>
          </w:tcPr>
          <w:p>
            <w:pPr>
              <w:spacing w:after="0"/>
              <w:rPr>
                <w:sz w:val="16"/>
                <w:szCs w:val="16"/>
                <w:color w:val="auto"/>
              </w:rPr>
            </w:pPr>
          </w:p>
        </w:tc>
        <w:tc>
          <w:tcPr>
            <w:tcW w:w="12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820" w:type="dxa"/>
            <w:vAlign w:val="bottom"/>
            <w:shd w:val="clear" w:color="auto" w:fill="CDDEE7"/>
          </w:tcPr>
          <w:p>
            <w:pPr>
              <w:jc w:val="right"/>
              <w:spacing w:after="0"/>
              <w:rPr>
                <w:sz w:val="20"/>
                <w:szCs w:val="20"/>
                <w:color w:val="auto"/>
              </w:rPr>
            </w:pPr>
            <w:r>
              <w:rPr>
                <w:rFonts w:ascii="Arial" w:cs="Arial" w:eastAsia="Arial" w:hAnsi="Arial"/>
                <w:sz w:val="17"/>
                <w:szCs w:val="17"/>
                <w:b w:val="1"/>
                <w:bCs w:val="1"/>
                <w:color w:val="auto"/>
              </w:rPr>
              <w:t>30,460</w:t>
            </w:r>
          </w:p>
        </w:tc>
        <w:tc>
          <w:tcPr>
            <w:tcW w:w="120" w:type="dxa"/>
            <w:vAlign w:val="bottom"/>
            <w:shd w:val="clear" w:color="auto" w:fill="CDDEE7"/>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800" w:type="dxa"/>
            <w:vAlign w:val="bottom"/>
            <w:shd w:val="clear" w:color="auto" w:fill="E0EBED"/>
          </w:tcPr>
          <w:p>
            <w:pPr>
              <w:jc w:val="right"/>
              <w:ind w:right="34"/>
              <w:spacing w:after="0"/>
              <w:rPr>
                <w:sz w:val="20"/>
                <w:szCs w:val="20"/>
                <w:color w:val="auto"/>
              </w:rPr>
            </w:pPr>
            <w:r>
              <w:rPr>
                <w:rFonts w:ascii="Arial" w:cs="Arial" w:eastAsia="Arial" w:hAnsi="Arial"/>
                <w:sz w:val="17"/>
                <w:szCs w:val="17"/>
                <w:color w:val="auto"/>
              </w:rPr>
              <w:t>20,481</w:t>
            </w:r>
          </w:p>
        </w:tc>
        <w:tc>
          <w:tcPr>
            <w:tcW w:w="22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800" w:type="dxa"/>
            <w:vAlign w:val="bottom"/>
            <w:shd w:val="clear" w:color="auto" w:fill="E0EBED"/>
          </w:tcPr>
          <w:p>
            <w:pPr>
              <w:jc w:val="right"/>
              <w:ind w:right="34"/>
              <w:spacing w:after="0"/>
              <w:rPr>
                <w:sz w:val="20"/>
                <w:szCs w:val="20"/>
                <w:color w:val="auto"/>
              </w:rPr>
            </w:pPr>
            <w:r>
              <w:rPr>
                <w:rFonts w:ascii="Arial" w:cs="Arial" w:eastAsia="Arial" w:hAnsi="Arial"/>
                <w:sz w:val="17"/>
                <w:szCs w:val="17"/>
                <w:color w:val="auto"/>
              </w:rPr>
              <w:t>13,589</w:t>
            </w:r>
          </w:p>
        </w:tc>
        <w:tc>
          <w:tcPr>
            <w:tcW w:w="0" w:type="dxa"/>
            <w:vAlign w:val="bottom"/>
          </w:tcPr>
          <w:p>
            <w:pPr>
              <w:spacing w:after="0"/>
              <w:rPr>
                <w:sz w:val="1"/>
                <w:szCs w:val="1"/>
                <w:color w:val="auto"/>
              </w:rPr>
            </w:pPr>
          </w:p>
        </w:tc>
      </w:tr>
      <w:tr>
        <w:trPr>
          <w:trHeight w:val="195"/>
        </w:trPr>
        <w:tc>
          <w:tcPr>
            <w:tcW w:w="5900" w:type="dxa"/>
            <w:vAlign w:val="bottom"/>
            <w:gridSpan w:val="2"/>
          </w:tcPr>
          <w:p>
            <w:pPr>
              <w:spacing w:after="0"/>
              <w:rPr>
                <w:sz w:val="20"/>
                <w:szCs w:val="20"/>
                <w:color w:val="auto"/>
              </w:rPr>
            </w:pPr>
            <w:r>
              <w:rPr>
                <w:rFonts w:ascii="Arial" w:cs="Arial" w:eastAsia="Arial" w:hAnsi="Arial"/>
                <w:sz w:val="17"/>
                <w:szCs w:val="17"/>
                <w:color w:val="auto"/>
              </w:rPr>
              <w:t>(Gain) Loss on divestitures and sales of assets</w:t>
            </w:r>
          </w:p>
        </w:tc>
        <w:tc>
          <w:tcPr>
            <w:tcW w:w="1920" w:type="dxa"/>
            <w:vAlign w:val="bottom"/>
          </w:tcPr>
          <w:p>
            <w:pPr>
              <w:spacing w:after="0"/>
              <w:rPr>
                <w:sz w:val="16"/>
                <w:szCs w:val="16"/>
                <w:color w:val="auto"/>
              </w:rPr>
            </w:pPr>
          </w:p>
        </w:tc>
        <w:tc>
          <w:tcPr>
            <w:tcW w:w="12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820" w:type="dxa"/>
            <w:vAlign w:val="bottom"/>
            <w:shd w:val="clear" w:color="auto" w:fill="CDDEE7"/>
          </w:tcPr>
          <w:p>
            <w:pPr>
              <w:jc w:val="right"/>
              <w:spacing w:after="0"/>
              <w:rPr>
                <w:sz w:val="20"/>
                <w:szCs w:val="20"/>
                <w:color w:val="auto"/>
              </w:rPr>
            </w:pPr>
            <w:r>
              <w:rPr>
                <w:rFonts w:ascii="Arial" w:cs="Arial" w:eastAsia="Arial" w:hAnsi="Arial"/>
                <w:sz w:val="17"/>
                <w:szCs w:val="17"/>
                <w:b w:val="1"/>
                <w:bCs w:val="1"/>
                <w:color w:val="auto"/>
              </w:rPr>
              <w:t>(19,366)</w:t>
            </w:r>
          </w:p>
        </w:tc>
        <w:tc>
          <w:tcPr>
            <w:tcW w:w="120" w:type="dxa"/>
            <w:vAlign w:val="bottom"/>
            <w:shd w:val="clear" w:color="auto" w:fill="CDDEE7"/>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800" w:type="dxa"/>
            <w:vAlign w:val="bottom"/>
            <w:shd w:val="clear" w:color="auto" w:fill="E0EBED"/>
          </w:tcPr>
          <w:p>
            <w:pPr>
              <w:jc w:val="right"/>
              <w:ind w:right="34"/>
              <w:spacing w:after="0"/>
              <w:rPr>
                <w:sz w:val="20"/>
                <w:szCs w:val="20"/>
                <w:color w:val="auto"/>
              </w:rPr>
            </w:pPr>
            <w:r>
              <w:rPr>
                <w:rFonts w:ascii="Arial" w:cs="Arial" w:eastAsia="Arial" w:hAnsi="Arial"/>
                <w:sz w:val="17"/>
                <w:szCs w:val="17"/>
                <w:color w:val="auto"/>
              </w:rPr>
              <w:t>410</w:t>
            </w:r>
          </w:p>
        </w:tc>
        <w:tc>
          <w:tcPr>
            <w:tcW w:w="22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800" w:type="dxa"/>
            <w:vAlign w:val="bottom"/>
            <w:shd w:val="clear" w:color="auto" w:fill="E0EBED"/>
          </w:tcPr>
          <w:p>
            <w:pPr>
              <w:jc w:val="right"/>
              <w:ind w:right="34"/>
              <w:spacing w:after="0"/>
              <w:rPr>
                <w:sz w:val="20"/>
                <w:szCs w:val="20"/>
                <w:color w:val="auto"/>
              </w:rPr>
            </w:pPr>
            <w:r>
              <w:rPr>
                <w:rFonts w:ascii="Arial" w:cs="Arial" w:eastAsia="Arial" w:hAnsi="Arial"/>
                <w:sz w:val="17"/>
                <w:szCs w:val="17"/>
                <w:color w:val="auto"/>
              </w:rPr>
              <w:t>14,093</w:t>
            </w:r>
          </w:p>
        </w:tc>
        <w:tc>
          <w:tcPr>
            <w:tcW w:w="0" w:type="dxa"/>
            <w:vAlign w:val="bottom"/>
          </w:tcPr>
          <w:p>
            <w:pPr>
              <w:spacing w:after="0"/>
              <w:rPr>
                <w:sz w:val="1"/>
                <w:szCs w:val="1"/>
                <w:color w:val="auto"/>
              </w:rPr>
            </w:pPr>
          </w:p>
        </w:tc>
      </w:tr>
      <w:tr>
        <w:trPr>
          <w:trHeight w:val="195"/>
        </w:trPr>
        <w:tc>
          <w:tcPr>
            <w:tcW w:w="5900" w:type="dxa"/>
            <w:vAlign w:val="bottom"/>
            <w:gridSpan w:val="2"/>
          </w:tcPr>
          <w:p>
            <w:pPr>
              <w:spacing w:after="0"/>
              <w:rPr>
                <w:sz w:val="20"/>
                <w:szCs w:val="20"/>
                <w:color w:val="auto"/>
              </w:rPr>
            </w:pPr>
            <w:r>
              <w:rPr>
                <w:rFonts w:ascii="Arial" w:cs="Arial" w:eastAsia="Arial" w:hAnsi="Arial"/>
                <w:sz w:val="17"/>
                <w:szCs w:val="17"/>
                <w:color w:val="auto"/>
              </w:rPr>
              <w:t>Deferred income taxes, net</w:t>
            </w:r>
          </w:p>
        </w:tc>
        <w:tc>
          <w:tcPr>
            <w:tcW w:w="1920" w:type="dxa"/>
            <w:vAlign w:val="bottom"/>
          </w:tcPr>
          <w:p>
            <w:pPr>
              <w:spacing w:after="0"/>
              <w:rPr>
                <w:sz w:val="16"/>
                <w:szCs w:val="16"/>
                <w:color w:val="auto"/>
              </w:rPr>
            </w:pPr>
          </w:p>
        </w:tc>
        <w:tc>
          <w:tcPr>
            <w:tcW w:w="12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820" w:type="dxa"/>
            <w:vAlign w:val="bottom"/>
            <w:shd w:val="clear" w:color="auto" w:fill="CDDEE7"/>
          </w:tcPr>
          <w:p>
            <w:pPr>
              <w:jc w:val="right"/>
              <w:spacing w:after="0"/>
              <w:rPr>
                <w:sz w:val="20"/>
                <w:szCs w:val="20"/>
                <w:color w:val="auto"/>
              </w:rPr>
            </w:pPr>
            <w:r>
              <w:rPr>
                <w:rFonts w:ascii="Arial" w:cs="Arial" w:eastAsia="Arial" w:hAnsi="Arial"/>
                <w:sz w:val="17"/>
                <w:szCs w:val="17"/>
                <w:b w:val="1"/>
                <w:bCs w:val="1"/>
                <w:color w:val="auto"/>
              </w:rPr>
              <w:t>(239,056)</w:t>
            </w:r>
          </w:p>
        </w:tc>
        <w:tc>
          <w:tcPr>
            <w:tcW w:w="120" w:type="dxa"/>
            <w:vAlign w:val="bottom"/>
            <w:shd w:val="clear" w:color="auto" w:fill="CDDEE7"/>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800" w:type="dxa"/>
            <w:vAlign w:val="bottom"/>
            <w:shd w:val="clear" w:color="auto" w:fill="E0EBED"/>
          </w:tcPr>
          <w:p>
            <w:pPr>
              <w:jc w:val="right"/>
              <w:ind w:right="34"/>
              <w:spacing w:after="0"/>
              <w:rPr>
                <w:sz w:val="20"/>
                <w:szCs w:val="20"/>
                <w:color w:val="auto"/>
              </w:rPr>
            </w:pPr>
            <w:r>
              <w:rPr>
                <w:rFonts w:ascii="Arial" w:cs="Arial" w:eastAsia="Arial" w:hAnsi="Arial"/>
                <w:sz w:val="17"/>
                <w:szCs w:val="17"/>
                <w:color w:val="auto"/>
              </w:rPr>
              <w:t>67,050</w:t>
            </w:r>
          </w:p>
        </w:tc>
        <w:tc>
          <w:tcPr>
            <w:tcW w:w="22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800" w:type="dxa"/>
            <w:vAlign w:val="bottom"/>
            <w:shd w:val="clear" w:color="auto" w:fill="E0EBED"/>
          </w:tcPr>
          <w:p>
            <w:pPr>
              <w:jc w:val="right"/>
              <w:ind w:right="34"/>
              <w:spacing w:after="0"/>
              <w:rPr>
                <w:sz w:val="20"/>
                <w:szCs w:val="20"/>
                <w:color w:val="auto"/>
              </w:rPr>
            </w:pPr>
            <w:r>
              <w:rPr>
                <w:rFonts w:ascii="Arial" w:cs="Arial" w:eastAsia="Arial" w:hAnsi="Arial"/>
                <w:sz w:val="17"/>
                <w:szCs w:val="17"/>
                <w:color w:val="auto"/>
              </w:rPr>
              <w:t>85,225</w:t>
            </w:r>
          </w:p>
        </w:tc>
        <w:tc>
          <w:tcPr>
            <w:tcW w:w="0" w:type="dxa"/>
            <w:vAlign w:val="bottom"/>
          </w:tcPr>
          <w:p>
            <w:pPr>
              <w:spacing w:after="0"/>
              <w:rPr>
                <w:sz w:val="1"/>
                <w:szCs w:val="1"/>
                <w:color w:val="auto"/>
              </w:rPr>
            </w:pPr>
          </w:p>
        </w:tc>
      </w:tr>
      <w:tr>
        <w:trPr>
          <w:trHeight w:val="217"/>
        </w:trPr>
        <w:tc>
          <w:tcPr>
            <w:tcW w:w="5900" w:type="dxa"/>
            <w:vAlign w:val="bottom"/>
            <w:gridSpan w:val="2"/>
          </w:tcPr>
          <w:p>
            <w:pPr>
              <w:spacing w:after="0"/>
              <w:rPr>
                <w:sz w:val="20"/>
                <w:szCs w:val="20"/>
                <w:color w:val="auto"/>
              </w:rPr>
            </w:pPr>
            <w:r>
              <w:rPr>
                <w:rFonts w:ascii="Arial" w:cs="Arial" w:eastAsia="Arial" w:hAnsi="Arial"/>
                <w:sz w:val="17"/>
                <w:szCs w:val="17"/>
                <w:color w:val="auto"/>
              </w:rPr>
              <w:t>Other items, net</w:t>
            </w:r>
          </w:p>
        </w:tc>
        <w:tc>
          <w:tcPr>
            <w:tcW w:w="1920" w:type="dxa"/>
            <w:vAlign w:val="bottom"/>
          </w:tcPr>
          <w:p>
            <w:pPr>
              <w:spacing w:after="0"/>
              <w:rPr>
                <w:sz w:val="18"/>
                <w:szCs w:val="18"/>
                <w:color w:val="auto"/>
              </w:rPr>
            </w:pPr>
          </w:p>
        </w:tc>
        <w:tc>
          <w:tcPr>
            <w:tcW w:w="120" w:type="dxa"/>
            <w:vAlign w:val="bottom"/>
            <w:shd w:val="clear" w:color="auto" w:fill="CDDEE7"/>
          </w:tcPr>
          <w:p>
            <w:pPr>
              <w:spacing w:after="0"/>
              <w:rPr>
                <w:sz w:val="18"/>
                <w:szCs w:val="18"/>
                <w:color w:val="auto"/>
              </w:rPr>
            </w:pPr>
          </w:p>
        </w:tc>
        <w:tc>
          <w:tcPr>
            <w:tcW w:w="100" w:type="dxa"/>
            <w:vAlign w:val="bottom"/>
            <w:shd w:val="clear" w:color="auto" w:fill="CDDEE7"/>
          </w:tcPr>
          <w:p>
            <w:pPr>
              <w:spacing w:after="0"/>
              <w:rPr>
                <w:sz w:val="18"/>
                <w:szCs w:val="18"/>
                <w:color w:val="auto"/>
              </w:rPr>
            </w:pPr>
          </w:p>
        </w:tc>
        <w:tc>
          <w:tcPr>
            <w:tcW w:w="820" w:type="dxa"/>
            <w:vAlign w:val="bottom"/>
            <w:shd w:val="clear" w:color="auto" w:fill="CDDEE7"/>
          </w:tcPr>
          <w:p>
            <w:pPr>
              <w:jc w:val="right"/>
              <w:spacing w:after="0"/>
              <w:rPr>
                <w:sz w:val="20"/>
                <w:szCs w:val="20"/>
                <w:color w:val="auto"/>
              </w:rPr>
            </w:pPr>
            <w:r>
              <w:rPr>
                <w:rFonts w:ascii="Arial" w:cs="Arial" w:eastAsia="Arial" w:hAnsi="Arial"/>
                <w:sz w:val="17"/>
                <w:szCs w:val="17"/>
                <w:b w:val="1"/>
                <w:bCs w:val="1"/>
                <w:color w:val="auto"/>
              </w:rPr>
              <w:t>(13,157)</w:t>
            </w:r>
          </w:p>
        </w:tc>
        <w:tc>
          <w:tcPr>
            <w:tcW w:w="120" w:type="dxa"/>
            <w:vAlign w:val="bottom"/>
            <w:shd w:val="clear" w:color="auto" w:fill="CDDEE7"/>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shd w:val="clear" w:color="auto" w:fill="E0EBED"/>
          </w:tcPr>
          <w:p>
            <w:pPr>
              <w:spacing w:after="0"/>
              <w:rPr>
                <w:sz w:val="18"/>
                <w:szCs w:val="18"/>
                <w:color w:val="auto"/>
              </w:rPr>
            </w:pPr>
          </w:p>
        </w:tc>
        <w:tc>
          <w:tcPr>
            <w:tcW w:w="800" w:type="dxa"/>
            <w:vAlign w:val="bottom"/>
            <w:shd w:val="clear" w:color="auto" w:fill="E0EBED"/>
          </w:tcPr>
          <w:p>
            <w:pPr>
              <w:jc w:val="right"/>
              <w:ind w:right="34"/>
              <w:spacing w:after="0"/>
              <w:rPr>
                <w:sz w:val="20"/>
                <w:szCs w:val="20"/>
                <w:color w:val="auto"/>
              </w:rPr>
            </w:pPr>
            <w:r>
              <w:rPr>
                <w:rFonts w:ascii="Arial" w:cs="Arial" w:eastAsia="Arial" w:hAnsi="Arial"/>
                <w:sz w:val="17"/>
                <w:szCs w:val="17"/>
                <w:color w:val="auto"/>
              </w:rPr>
              <w:t>(17,730)</w:t>
            </w:r>
          </w:p>
        </w:tc>
        <w:tc>
          <w:tcPr>
            <w:tcW w:w="220" w:type="dxa"/>
            <w:vAlign w:val="bottom"/>
          </w:tcPr>
          <w:p>
            <w:pPr>
              <w:spacing w:after="0"/>
              <w:rPr>
                <w:sz w:val="18"/>
                <w:szCs w:val="18"/>
                <w:color w:val="auto"/>
              </w:rPr>
            </w:pPr>
          </w:p>
        </w:tc>
        <w:tc>
          <w:tcPr>
            <w:tcW w:w="200" w:type="dxa"/>
            <w:vAlign w:val="bottom"/>
            <w:shd w:val="clear" w:color="auto" w:fill="E0EBED"/>
          </w:tcPr>
          <w:p>
            <w:pPr>
              <w:spacing w:after="0"/>
              <w:rPr>
                <w:sz w:val="18"/>
                <w:szCs w:val="18"/>
                <w:color w:val="auto"/>
              </w:rPr>
            </w:pPr>
          </w:p>
        </w:tc>
        <w:tc>
          <w:tcPr>
            <w:tcW w:w="800" w:type="dxa"/>
            <w:vAlign w:val="bottom"/>
            <w:shd w:val="clear" w:color="auto" w:fill="E0EBED"/>
          </w:tcPr>
          <w:p>
            <w:pPr>
              <w:jc w:val="right"/>
              <w:ind w:right="34"/>
              <w:spacing w:after="0"/>
              <w:rPr>
                <w:sz w:val="20"/>
                <w:szCs w:val="20"/>
                <w:color w:val="auto"/>
              </w:rPr>
            </w:pPr>
            <w:r>
              <w:rPr>
                <w:rFonts w:ascii="Arial" w:cs="Arial" w:eastAsia="Arial" w:hAnsi="Arial"/>
                <w:sz w:val="17"/>
                <w:szCs w:val="17"/>
                <w:color w:val="auto"/>
              </w:rPr>
              <w:t>(5,972)</w:t>
            </w:r>
          </w:p>
        </w:tc>
        <w:tc>
          <w:tcPr>
            <w:tcW w:w="0" w:type="dxa"/>
            <w:vAlign w:val="bottom"/>
          </w:tcPr>
          <w:p>
            <w:pPr>
              <w:spacing w:after="0"/>
              <w:rPr>
                <w:sz w:val="1"/>
                <w:szCs w:val="1"/>
                <w:color w:val="auto"/>
              </w:rPr>
            </w:pPr>
          </w:p>
        </w:tc>
      </w:tr>
      <w:tr>
        <w:trPr>
          <w:trHeight w:val="195"/>
        </w:trPr>
        <w:tc>
          <w:tcPr>
            <w:tcW w:w="7820" w:type="dxa"/>
            <w:vAlign w:val="bottom"/>
            <w:gridSpan w:val="3"/>
          </w:tcPr>
          <w:p>
            <w:pPr>
              <w:spacing w:after="0"/>
              <w:rPr>
                <w:sz w:val="20"/>
                <w:szCs w:val="20"/>
                <w:color w:val="auto"/>
              </w:rPr>
            </w:pPr>
            <w:r>
              <w:rPr>
                <w:rFonts w:ascii="Arial" w:cs="Arial" w:eastAsia="Arial" w:hAnsi="Arial"/>
                <w:sz w:val="17"/>
                <w:szCs w:val="17"/>
                <w:color w:val="auto"/>
              </w:rPr>
              <w:t>Changes in operating assets and liabilities, net of effects of acquisitions and divestitures:</w:t>
            </w:r>
          </w:p>
        </w:tc>
        <w:tc>
          <w:tcPr>
            <w:tcW w:w="12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820" w:type="dxa"/>
            <w:vAlign w:val="bottom"/>
            <w:vMerge w:val="restart"/>
            <w:shd w:val="clear" w:color="auto" w:fill="CDDEE7"/>
          </w:tcPr>
          <w:p>
            <w:pPr>
              <w:jc w:val="right"/>
              <w:spacing w:after="0"/>
              <w:rPr>
                <w:sz w:val="20"/>
                <w:szCs w:val="20"/>
                <w:color w:val="auto"/>
              </w:rPr>
            </w:pPr>
            <w:r>
              <w:rPr>
                <w:rFonts w:ascii="Arial" w:cs="Arial" w:eastAsia="Arial" w:hAnsi="Arial"/>
                <w:sz w:val="17"/>
                <w:szCs w:val="17"/>
                <w:b w:val="1"/>
                <w:bCs w:val="1"/>
                <w:color w:val="auto"/>
              </w:rPr>
              <w:t>(29,329)</w:t>
            </w:r>
          </w:p>
        </w:tc>
        <w:tc>
          <w:tcPr>
            <w:tcW w:w="120" w:type="dxa"/>
            <w:vAlign w:val="bottom"/>
            <w:shd w:val="clear" w:color="auto" w:fill="CDDEE7"/>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800" w:type="dxa"/>
            <w:vAlign w:val="bottom"/>
            <w:shd w:val="clear" w:color="auto" w:fill="E0EBED"/>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800" w:type="dxa"/>
            <w:vAlign w:val="bottom"/>
            <w:shd w:val="clear" w:color="auto" w:fill="E0EBED"/>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880" w:type="dxa"/>
            <w:vAlign w:val="bottom"/>
          </w:tcPr>
          <w:p>
            <w:pPr>
              <w:ind w:left="340"/>
              <w:spacing w:after="0" w:line="172" w:lineRule="exact"/>
              <w:rPr>
                <w:sz w:val="20"/>
                <w:szCs w:val="20"/>
                <w:color w:val="auto"/>
              </w:rPr>
            </w:pPr>
            <w:r>
              <w:rPr>
                <w:rFonts w:ascii="Arial" w:cs="Arial" w:eastAsia="Arial" w:hAnsi="Arial"/>
                <w:sz w:val="17"/>
                <w:szCs w:val="17"/>
                <w:color w:val="auto"/>
              </w:rPr>
              <w:t>Accounts receivable, net</w:t>
            </w:r>
          </w:p>
        </w:tc>
        <w:tc>
          <w:tcPr>
            <w:tcW w:w="1920" w:type="dxa"/>
            <w:vAlign w:val="bottom"/>
          </w:tcPr>
          <w:p>
            <w:pPr>
              <w:spacing w:after="0"/>
              <w:rPr>
                <w:sz w:val="15"/>
                <w:szCs w:val="15"/>
                <w:color w:val="auto"/>
              </w:rPr>
            </w:pPr>
          </w:p>
        </w:tc>
        <w:tc>
          <w:tcPr>
            <w:tcW w:w="120" w:type="dxa"/>
            <w:vAlign w:val="bottom"/>
            <w:shd w:val="clear" w:color="auto" w:fill="CDDEE7"/>
          </w:tcPr>
          <w:p>
            <w:pPr>
              <w:spacing w:after="0"/>
              <w:rPr>
                <w:sz w:val="15"/>
                <w:szCs w:val="15"/>
                <w:color w:val="auto"/>
              </w:rPr>
            </w:pPr>
          </w:p>
        </w:tc>
        <w:tc>
          <w:tcPr>
            <w:tcW w:w="100" w:type="dxa"/>
            <w:vAlign w:val="bottom"/>
            <w:shd w:val="clear" w:color="auto" w:fill="CDDEE7"/>
          </w:tcPr>
          <w:p>
            <w:pPr>
              <w:spacing w:after="0"/>
              <w:rPr>
                <w:sz w:val="15"/>
                <w:szCs w:val="15"/>
                <w:color w:val="auto"/>
              </w:rPr>
            </w:pPr>
          </w:p>
        </w:tc>
        <w:tc>
          <w:tcPr>
            <w:tcW w:w="820" w:type="dxa"/>
            <w:vAlign w:val="bottom"/>
            <w:vMerge w:val="continue"/>
            <w:shd w:val="clear" w:color="auto" w:fill="CDDEE7"/>
          </w:tcPr>
          <w:p>
            <w:pPr>
              <w:spacing w:after="0"/>
              <w:rPr>
                <w:sz w:val="15"/>
                <w:szCs w:val="15"/>
                <w:color w:val="auto"/>
              </w:rPr>
            </w:pPr>
          </w:p>
        </w:tc>
        <w:tc>
          <w:tcPr>
            <w:tcW w:w="120" w:type="dxa"/>
            <w:vAlign w:val="bottom"/>
            <w:shd w:val="clear" w:color="auto" w:fill="CDDEE7"/>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shd w:val="clear" w:color="auto" w:fill="E0EBED"/>
          </w:tcPr>
          <w:p>
            <w:pPr>
              <w:spacing w:after="0"/>
              <w:rPr>
                <w:sz w:val="15"/>
                <w:szCs w:val="15"/>
                <w:color w:val="auto"/>
              </w:rPr>
            </w:pPr>
          </w:p>
        </w:tc>
        <w:tc>
          <w:tcPr>
            <w:tcW w:w="800" w:type="dxa"/>
            <w:vAlign w:val="bottom"/>
            <w:shd w:val="clear" w:color="auto" w:fill="E0EBED"/>
          </w:tcPr>
          <w:p>
            <w:pPr>
              <w:jc w:val="right"/>
              <w:ind w:right="34"/>
              <w:spacing w:after="0" w:line="172" w:lineRule="exact"/>
              <w:rPr>
                <w:sz w:val="20"/>
                <w:szCs w:val="20"/>
                <w:color w:val="auto"/>
              </w:rPr>
            </w:pPr>
            <w:r>
              <w:rPr>
                <w:rFonts w:ascii="Arial" w:cs="Arial" w:eastAsia="Arial" w:hAnsi="Arial"/>
                <w:sz w:val="17"/>
                <w:szCs w:val="17"/>
                <w:color w:val="auto"/>
              </w:rPr>
              <w:t>(25,072)</w:t>
            </w:r>
          </w:p>
        </w:tc>
        <w:tc>
          <w:tcPr>
            <w:tcW w:w="220" w:type="dxa"/>
            <w:vAlign w:val="bottom"/>
          </w:tcPr>
          <w:p>
            <w:pPr>
              <w:spacing w:after="0"/>
              <w:rPr>
                <w:sz w:val="15"/>
                <w:szCs w:val="15"/>
                <w:color w:val="auto"/>
              </w:rPr>
            </w:pPr>
          </w:p>
        </w:tc>
        <w:tc>
          <w:tcPr>
            <w:tcW w:w="200" w:type="dxa"/>
            <w:vAlign w:val="bottom"/>
            <w:shd w:val="clear" w:color="auto" w:fill="E0EBED"/>
          </w:tcPr>
          <w:p>
            <w:pPr>
              <w:spacing w:after="0"/>
              <w:rPr>
                <w:sz w:val="15"/>
                <w:szCs w:val="15"/>
                <w:color w:val="auto"/>
              </w:rPr>
            </w:pPr>
          </w:p>
        </w:tc>
        <w:tc>
          <w:tcPr>
            <w:tcW w:w="800" w:type="dxa"/>
            <w:vAlign w:val="bottom"/>
            <w:shd w:val="clear" w:color="auto" w:fill="E0EBED"/>
          </w:tcPr>
          <w:p>
            <w:pPr>
              <w:jc w:val="right"/>
              <w:ind w:right="34"/>
              <w:spacing w:after="0" w:line="172" w:lineRule="exact"/>
              <w:rPr>
                <w:sz w:val="20"/>
                <w:szCs w:val="20"/>
                <w:color w:val="auto"/>
              </w:rPr>
            </w:pPr>
            <w:r>
              <w:rPr>
                <w:rFonts w:ascii="Arial" w:cs="Arial" w:eastAsia="Arial" w:hAnsi="Arial"/>
                <w:sz w:val="17"/>
                <w:szCs w:val="17"/>
                <w:color w:val="auto"/>
              </w:rPr>
              <w:t>12,309</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880" w:type="dxa"/>
            <w:vAlign w:val="bottom"/>
          </w:tcPr>
          <w:p>
            <w:pPr>
              <w:ind w:left="340"/>
              <w:spacing w:after="0"/>
              <w:rPr>
                <w:sz w:val="20"/>
                <w:szCs w:val="20"/>
                <w:color w:val="auto"/>
              </w:rPr>
            </w:pPr>
            <w:r>
              <w:rPr>
                <w:rFonts w:ascii="Arial" w:cs="Arial" w:eastAsia="Arial" w:hAnsi="Arial"/>
                <w:sz w:val="17"/>
                <w:szCs w:val="17"/>
                <w:color w:val="auto"/>
              </w:rPr>
              <w:t>Inventories, net</w:t>
            </w:r>
          </w:p>
        </w:tc>
        <w:tc>
          <w:tcPr>
            <w:tcW w:w="1920" w:type="dxa"/>
            <w:vAlign w:val="bottom"/>
          </w:tcPr>
          <w:p>
            <w:pPr>
              <w:spacing w:after="0"/>
              <w:rPr>
                <w:sz w:val="16"/>
                <w:szCs w:val="16"/>
                <w:color w:val="auto"/>
              </w:rPr>
            </w:pPr>
          </w:p>
        </w:tc>
        <w:tc>
          <w:tcPr>
            <w:tcW w:w="12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820" w:type="dxa"/>
            <w:vAlign w:val="bottom"/>
            <w:shd w:val="clear" w:color="auto" w:fill="CDDEE7"/>
          </w:tcPr>
          <w:p>
            <w:pPr>
              <w:jc w:val="right"/>
              <w:spacing w:after="0"/>
              <w:rPr>
                <w:sz w:val="20"/>
                <w:szCs w:val="20"/>
                <w:color w:val="auto"/>
              </w:rPr>
            </w:pPr>
            <w:r>
              <w:rPr>
                <w:rFonts w:ascii="Arial" w:cs="Arial" w:eastAsia="Arial" w:hAnsi="Arial"/>
                <w:sz w:val="17"/>
                <w:szCs w:val="17"/>
                <w:b w:val="1"/>
                <w:bCs w:val="1"/>
                <w:color w:val="auto"/>
              </w:rPr>
              <w:t>(78,966)</w:t>
            </w:r>
          </w:p>
        </w:tc>
        <w:tc>
          <w:tcPr>
            <w:tcW w:w="120" w:type="dxa"/>
            <w:vAlign w:val="bottom"/>
            <w:shd w:val="clear" w:color="auto" w:fill="CDDEE7"/>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800" w:type="dxa"/>
            <w:vAlign w:val="bottom"/>
            <w:shd w:val="clear" w:color="auto" w:fill="E0EBED"/>
          </w:tcPr>
          <w:p>
            <w:pPr>
              <w:jc w:val="right"/>
              <w:ind w:right="34"/>
              <w:spacing w:after="0"/>
              <w:rPr>
                <w:sz w:val="20"/>
                <w:szCs w:val="20"/>
                <w:color w:val="auto"/>
              </w:rPr>
            </w:pPr>
            <w:r>
              <w:rPr>
                <w:rFonts w:ascii="Arial" w:cs="Arial" w:eastAsia="Arial" w:hAnsi="Arial"/>
                <w:sz w:val="17"/>
                <w:szCs w:val="17"/>
                <w:color w:val="auto"/>
              </w:rPr>
              <w:t>(47,381)</w:t>
            </w:r>
          </w:p>
        </w:tc>
        <w:tc>
          <w:tcPr>
            <w:tcW w:w="22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800" w:type="dxa"/>
            <w:vAlign w:val="bottom"/>
            <w:shd w:val="clear" w:color="auto" w:fill="E0EBED"/>
          </w:tcPr>
          <w:p>
            <w:pPr>
              <w:jc w:val="right"/>
              <w:ind w:right="34"/>
              <w:spacing w:after="0"/>
              <w:rPr>
                <w:sz w:val="20"/>
                <w:szCs w:val="20"/>
                <w:color w:val="auto"/>
              </w:rPr>
            </w:pPr>
            <w:r>
              <w:rPr>
                <w:rFonts w:ascii="Arial" w:cs="Arial" w:eastAsia="Arial" w:hAnsi="Arial"/>
                <w:sz w:val="17"/>
                <w:szCs w:val="17"/>
                <w:color w:val="auto"/>
              </w:rPr>
              <w:t>(21,525)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880" w:type="dxa"/>
            <w:vAlign w:val="bottom"/>
          </w:tcPr>
          <w:p>
            <w:pPr>
              <w:ind w:left="340"/>
              <w:spacing w:after="0"/>
              <w:rPr>
                <w:sz w:val="20"/>
                <w:szCs w:val="20"/>
                <w:color w:val="auto"/>
              </w:rPr>
            </w:pPr>
            <w:r>
              <w:rPr>
                <w:rFonts w:ascii="Arial" w:cs="Arial" w:eastAsia="Arial" w:hAnsi="Arial"/>
                <w:sz w:val="17"/>
                <w:szCs w:val="17"/>
                <w:color w:val="auto"/>
              </w:rPr>
              <w:t>Accounts payable</w:t>
            </w:r>
          </w:p>
        </w:tc>
        <w:tc>
          <w:tcPr>
            <w:tcW w:w="1920" w:type="dxa"/>
            <w:vAlign w:val="bottom"/>
          </w:tcPr>
          <w:p>
            <w:pPr>
              <w:spacing w:after="0"/>
              <w:rPr>
                <w:sz w:val="16"/>
                <w:szCs w:val="16"/>
                <w:color w:val="auto"/>
              </w:rPr>
            </w:pPr>
          </w:p>
        </w:tc>
        <w:tc>
          <w:tcPr>
            <w:tcW w:w="12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820" w:type="dxa"/>
            <w:vAlign w:val="bottom"/>
            <w:shd w:val="clear" w:color="auto" w:fill="CDDEE7"/>
          </w:tcPr>
          <w:p>
            <w:pPr>
              <w:jc w:val="right"/>
              <w:spacing w:after="0"/>
              <w:rPr>
                <w:sz w:val="20"/>
                <w:szCs w:val="20"/>
                <w:color w:val="auto"/>
              </w:rPr>
            </w:pPr>
            <w:r>
              <w:rPr>
                <w:rFonts w:ascii="Arial" w:cs="Arial" w:eastAsia="Arial" w:hAnsi="Arial"/>
                <w:sz w:val="17"/>
                <w:szCs w:val="17"/>
                <w:b w:val="1"/>
                <w:bCs w:val="1"/>
                <w:color w:val="auto"/>
              </w:rPr>
              <w:t>(17,874)</w:t>
            </w:r>
          </w:p>
        </w:tc>
        <w:tc>
          <w:tcPr>
            <w:tcW w:w="120" w:type="dxa"/>
            <w:vAlign w:val="bottom"/>
            <w:shd w:val="clear" w:color="auto" w:fill="CDDEE7"/>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800" w:type="dxa"/>
            <w:vAlign w:val="bottom"/>
            <w:shd w:val="clear" w:color="auto" w:fill="E0EBED"/>
          </w:tcPr>
          <w:p>
            <w:pPr>
              <w:jc w:val="right"/>
              <w:ind w:right="34"/>
              <w:spacing w:after="0"/>
              <w:rPr>
                <w:sz w:val="20"/>
                <w:szCs w:val="20"/>
                <w:color w:val="auto"/>
              </w:rPr>
            </w:pPr>
            <w:r>
              <w:rPr>
                <w:rFonts w:ascii="Arial" w:cs="Arial" w:eastAsia="Arial" w:hAnsi="Arial"/>
                <w:sz w:val="17"/>
                <w:szCs w:val="17"/>
                <w:color w:val="auto"/>
              </w:rPr>
              <w:t>(8,116)</w:t>
            </w:r>
          </w:p>
        </w:tc>
        <w:tc>
          <w:tcPr>
            <w:tcW w:w="22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800" w:type="dxa"/>
            <w:vAlign w:val="bottom"/>
            <w:shd w:val="clear" w:color="auto" w:fill="E0EBED"/>
          </w:tcPr>
          <w:p>
            <w:pPr>
              <w:jc w:val="right"/>
              <w:ind w:right="34"/>
              <w:spacing w:after="0"/>
              <w:rPr>
                <w:sz w:val="20"/>
                <w:szCs w:val="20"/>
                <w:color w:val="auto"/>
              </w:rPr>
            </w:pPr>
            <w:r>
              <w:rPr>
                <w:rFonts w:ascii="Arial" w:cs="Arial" w:eastAsia="Arial" w:hAnsi="Arial"/>
                <w:sz w:val="17"/>
                <w:szCs w:val="17"/>
                <w:color w:val="auto"/>
              </w:rPr>
              <w:t>(40,053)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8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Other assets and liabilities, net</w:t>
            </w:r>
          </w:p>
        </w:tc>
        <w:tc>
          <w:tcPr>
            <w:tcW w:w="1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shd w:val="clear" w:color="auto" w:fill="CDDEE7"/>
          </w:tcPr>
          <w:p>
            <w:pPr>
              <w:spacing w:after="0"/>
              <w:rPr>
                <w:sz w:val="18"/>
                <w:szCs w:val="18"/>
                <w:color w:val="auto"/>
              </w:rPr>
            </w:pPr>
          </w:p>
        </w:tc>
        <w:tc>
          <w:tcPr>
            <w:tcW w:w="100" w:type="dxa"/>
            <w:vAlign w:val="bottom"/>
            <w:tcBorders>
              <w:bottom w:val="single" w:sz="8" w:color="auto"/>
            </w:tcBorders>
            <w:shd w:val="clear" w:color="auto" w:fill="CDDEE7"/>
          </w:tcPr>
          <w:p>
            <w:pPr>
              <w:spacing w:after="0"/>
              <w:rPr>
                <w:sz w:val="18"/>
                <w:szCs w:val="18"/>
                <w:color w:val="auto"/>
              </w:rPr>
            </w:pPr>
          </w:p>
        </w:tc>
        <w:tc>
          <w:tcPr>
            <w:tcW w:w="820" w:type="dxa"/>
            <w:vAlign w:val="bottom"/>
            <w:tcBorders>
              <w:bottom w:val="single" w:sz="8" w:color="auto"/>
            </w:tcBorders>
            <w:shd w:val="clear" w:color="auto" w:fill="CDDEE7"/>
          </w:tcPr>
          <w:p>
            <w:pPr>
              <w:jc w:val="right"/>
              <w:spacing w:after="0"/>
              <w:rPr>
                <w:sz w:val="20"/>
                <w:szCs w:val="20"/>
                <w:color w:val="auto"/>
              </w:rPr>
            </w:pPr>
            <w:r>
              <w:rPr>
                <w:rFonts w:ascii="Arial" w:cs="Arial" w:eastAsia="Arial" w:hAnsi="Arial"/>
                <w:sz w:val="17"/>
                <w:szCs w:val="17"/>
                <w:b w:val="1"/>
                <w:bCs w:val="1"/>
                <w:color w:val="auto"/>
              </w:rPr>
              <w:t>14,619</w:t>
            </w:r>
          </w:p>
        </w:tc>
        <w:tc>
          <w:tcPr>
            <w:tcW w:w="120" w:type="dxa"/>
            <w:vAlign w:val="bottom"/>
            <w:tcBorders>
              <w:bottom w:val="single" w:sz="8" w:color="auto"/>
            </w:tcBorders>
            <w:shd w:val="clear" w:color="auto" w:fill="CDDEE7"/>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shd w:val="clear" w:color="auto" w:fill="E0EBED"/>
          </w:tcPr>
          <w:p>
            <w:pPr>
              <w:spacing w:after="0"/>
              <w:rPr>
                <w:sz w:val="18"/>
                <w:szCs w:val="18"/>
                <w:color w:val="auto"/>
              </w:rPr>
            </w:pPr>
          </w:p>
        </w:tc>
        <w:tc>
          <w:tcPr>
            <w:tcW w:w="800" w:type="dxa"/>
            <w:vAlign w:val="bottom"/>
            <w:tcBorders>
              <w:bottom w:val="single" w:sz="8" w:color="auto"/>
            </w:tcBorders>
            <w:shd w:val="clear" w:color="auto" w:fill="E0EBED"/>
          </w:tcPr>
          <w:p>
            <w:pPr>
              <w:jc w:val="right"/>
              <w:ind w:right="34"/>
              <w:spacing w:after="0"/>
              <w:rPr>
                <w:sz w:val="20"/>
                <w:szCs w:val="20"/>
                <w:color w:val="auto"/>
              </w:rPr>
            </w:pPr>
            <w:r>
              <w:rPr>
                <w:rFonts w:ascii="Arial" w:cs="Arial" w:eastAsia="Arial" w:hAnsi="Arial"/>
                <w:sz w:val="17"/>
                <w:szCs w:val="17"/>
                <w:color w:val="auto"/>
              </w:rPr>
              <w:t>(11,106)</w:t>
            </w: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shd w:val="clear" w:color="auto" w:fill="E0EBED"/>
          </w:tcPr>
          <w:p>
            <w:pPr>
              <w:spacing w:after="0"/>
              <w:rPr>
                <w:sz w:val="18"/>
                <w:szCs w:val="18"/>
                <w:color w:val="auto"/>
              </w:rPr>
            </w:pPr>
          </w:p>
        </w:tc>
        <w:tc>
          <w:tcPr>
            <w:tcW w:w="800" w:type="dxa"/>
            <w:vAlign w:val="bottom"/>
            <w:tcBorders>
              <w:bottom w:val="single" w:sz="8" w:color="auto"/>
            </w:tcBorders>
            <w:shd w:val="clear" w:color="auto" w:fill="E0EBED"/>
          </w:tcPr>
          <w:p>
            <w:pPr>
              <w:jc w:val="right"/>
              <w:ind w:right="34"/>
              <w:spacing w:after="0"/>
              <w:rPr>
                <w:sz w:val="20"/>
                <w:szCs w:val="20"/>
                <w:color w:val="auto"/>
              </w:rPr>
            </w:pPr>
            <w:r>
              <w:rPr>
                <w:rFonts w:ascii="Arial" w:cs="Arial" w:eastAsia="Arial" w:hAnsi="Arial"/>
                <w:sz w:val="17"/>
                <w:szCs w:val="17"/>
                <w:color w:val="auto"/>
              </w:rPr>
              <w:t>(29,591)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880" w:type="dxa"/>
            <w:vAlign w:val="bottom"/>
            <w:tcBorders>
              <w:bottom w:val="single" w:sz="8" w:color="auto"/>
            </w:tcBorders>
          </w:tcPr>
          <w:p>
            <w:pPr>
              <w:spacing w:after="0" w:line="201" w:lineRule="exact"/>
              <w:rPr>
                <w:sz w:val="20"/>
                <w:szCs w:val="20"/>
                <w:color w:val="auto"/>
              </w:rPr>
            </w:pPr>
            <w:r>
              <w:rPr>
                <w:rFonts w:ascii="Arial" w:cs="Arial" w:eastAsia="Arial" w:hAnsi="Arial"/>
                <w:sz w:val="18"/>
                <w:szCs w:val="18"/>
                <w:b w:val="1"/>
                <w:bCs w:val="1"/>
                <w:color w:val="auto"/>
              </w:rPr>
              <w:t>Net Cash Provided by Operating Activities</w:t>
            </w:r>
          </w:p>
        </w:tc>
        <w:tc>
          <w:tcPr>
            <w:tcW w:w="19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shd w:val="clear" w:color="auto" w:fill="CDDEE7"/>
          </w:tcPr>
          <w:p>
            <w:pPr>
              <w:spacing w:after="0"/>
              <w:rPr>
                <w:sz w:val="17"/>
                <w:szCs w:val="17"/>
                <w:color w:val="auto"/>
              </w:rPr>
            </w:pPr>
          </w:p>
        </w:tc>
        <w:tc>
          <w:tcPr>
            <w:tcW w:w="100" w:type="dxa"/>
            <w:vAlign w:val="bottom"/>
            <w:tcBorders>
              <w:bottom w:val="single" w:sz="8" w:color="auto"/>
            </w:tcBorders>
            <w:shd w:val="clear" w:color="auto" w:fill="CDDEE7"/>
          </w:tcPr>
          <w:p>
            <w:pPr>
              <w:spacing w:after="0"/>
              <w:rPr>
                <w:sz w:val="17"/>
                <w:szCs w:val="17"/>
                <w:color w:val="auto"/>
              </w:rPr>
            </w:pPr>
          </w:p>
        </w:tc>
        <w:tc>
          <w:tcPr>
            <w:tcW w:w="820" w:type="dxa"/>
            <w:vAlign w:val="bottom"/>
            <w:tcBorders>
              <w:bottom w:val="single" w:sz="8" w:color="auto"/>
            </w:tcBorders>
            <w:shd w:val="clear" w:color="auto" w:fill="CDDEE7"/>
          </w:tcPr>
          <w:p>
            <w:pPr>
              <w:jc w:val="right"/>
              <w:spacing w:after="0"/>
              <w:rPr>
                <w:sz w:val="20"/>
                <w:szCs w:val="20"/>
                <w:color w:val="auto"/>
              </w:rPr>
            </w:pPr>
            <w:r>
              <w:rPr>
                <w:rFonts w:ascii="Arial" w:cs="Arial" w:eastAsia="Arial" w:hAnsi="Arial"/>
                <w:sz w:val="17"/>
                <w:szCs w:val="17"/>
                <w:b w:val="1"/>
                <w:bCs w:val="1"/>
                <w:color w:val="auto"/>
              </w:rPr>
              <w:t>657,878</w:t>
            </w:r>
          </w:p>
        </w:tc>
        <w:tc>
          <w:tcPr>
            <w:tcW w:w="120" w:type="dxa"/>
            <w:vAlign w:val="bottom"/>
            <w:tcBorders>
              <w:bottom w:val="single" w:sz="8" w:color="auto"/>
            </w:tcBorders>
            <w:shd w:val="clear" w:color="auto" w:fill="CDDEE7"/>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shd w:val="clear" w:color="auto" w:fill="E0EBED"/>
          </w:tcPr>
          <w:p>
            <w:pPr>
              <w:spacing w:after="0"/>
              <w:rPr>
                <w:sz w:val="17"/>
                <w:szCs w:val="17"/>
                <w:color w:val="auto"/>
              </w:rPr>
            </w:pPr>
          </w:p>
        </w:tc>
        <w:tc>
          <w:tcPr>
            <w:tcW w:w="800" w:type="dxa"/>
            <w:vAlign w:val="bottom"/>
            <w:tcBorders>
              <w:bottom w:val="single" w:sz="8" w:color="auto"/>
            </w:tcBorders>
            <w:shd w:val="clear" w:color="auto" w:fill="E0EBED"/>
          </w:tcPr>
          <w:p>
            <w:pPr>
              <w:jc w:val="right"/>
              <w:ind w:right="34"/>
              <w:spacing w:after="0"/>
              <w:rPr>
                <w:sz w:val="20"/>
                <w:szCs w:val="20"/>
                <w:color w:val="auto"/>
              </w:rPr>
            </w:pPr>
            <w:r>
              <w:rPr>
                <w:rFonts w:ascii="Arial" w:cs="Arial" w:eastAsia="Arial" w:hAnsi="Arial"/>
                <w:sz w:val="17"/>
                <w:szCs w:val="17"/>
                <w:color w:val="auto"/>
              </w:rPr>
              <w:t>689,233</w:t>
            </w:r>
          </w:p>
        </w:tc>
        <w:tc>
          <w:tcPr>
            <w:tcW w:w="2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shd w:val="clear" w:color="auto" w:fill="E0EBED"/>
          </w:tcPr>
          <w:p>
            <w:pPr>
              <w:spacing w:after="0"/>
              <w:rPr>
                <w:sz w:val="17"/>
                <w:szCs w:val="17"/>
                <w:color w:val="auto"/>
              </w:rPr>
            </w:pPr>
          </w:p>
        </w:tc>
        <w:tc>
          <w:tcPr>
            <w:tcW w:w="800" w:type="dxa"/>
            <w:vAlign w:val="bottom"/>
            <w:tcBorders>
              <w:bottom w:val="single" w:sz="8" w:color="auto"/>
            </w:tcBorders>
            <w:shd w:val="clear" w:color="auto" w:fill="E0EBED"/>
          </w:tcPr>
          <w:p>
            <w:pPr>
              <w:jc w:val="right"/>
              <w:ind w:right="34"/>
              <w:spacing w:after="0"/>
              <w:rPr>
                <w:sz w:val="20"/>
                <w:szCs w:val="20"/>
                <w:color w:val="auto"/>
              </w:rPr>
            </w:pPr>
            <w:r>
              <w:rPr>
                <w:rFonts w:ascii="Arial" w:cs="Arial" w:eastAsia="Arial" w:hAnsi="Arial"/>
                <w:sz w:val="17"/>
                <w:szCs w:val="17"/>
                <w:color w:val="auto"/>
              </w:rPr>
              <w:t>580,600</w:t>
            </w:r>
          </w:p>
        </w:tc>
        <w:tc>
          <w:tcPr>
            <w:tcW w:w="0" w:type="dxa"/>
            <w:vAlign w:val="bottom"/>
          </w:tcPr>
          <w:p>
            <w:pPr>
              <w:spacing w:after="0"/>
              <w:rPr>
                <w:sz w:val="1"/>
                <w:szCs w:val="1"/>
                <w:color w:val="auto"/>
              </w:rPr>
            </w:pPr>
          </w:p>
        </w:tc>
      </w:tr>
      <w:tr>
        <w:trPr>
          <w:trHeight w:val="291"/>
        </w:trPr>
        <w:tc>
          <w:tcPr>
            <w:tcW w:w="590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920" w:type="dxa"/>
            <w:vAlign w:val="bottom"/>
          </w:tcPr>
          <w:p>
            <w:pPr>
              <w:spacing w:after="0"/>
              <w:rPr>
                <w:sz w:val="24"/>
                <w:szCs w:val="24"/>
                <w:color w:val="auto"/>
              </w:rPr>
            </w:pPr>
          </w:p>
        </w:tc>
        <w:tc>
          <w:tcPr>
            <w:tcW w:w="120" w:type="dxa"/>
            <w:vAlign w:val="bottom"/>
            <w:shd w:val="clear" w:color="auto" w:fill="CDDEE7"/>
          </w:tcPr>
          <w:p>
            <w:pPr>
              <w:spacing w:after="0"/>
              <w:rPr>
                <w:sz w:val="24"/>
                <w:szCs w:val="24"/>
                <w:color w:val="auto"/>
              </w:rPr>
            </w:pPr>
          </w:p>
        </w:tc>
        <w:tc>
          <w:tcPr>
            <w:tcW w:w="100" w:type="dxa"/>
            <w:vAlign w:val="bottom"/>
            <w:shd w:val="clear" w:color="auto" w:fill="CDDEE7"/>
          </w:tcPr>
          <w:p>
            <w:pPr>
              <w:spacing w:after="0"/>
              <w:rPr>
                <w:sz w:val="24"/>
                <w:szCs w:val="24"/>
                <w:color w:val="auto"/>
              </w:rPr>
            </w:pPr>
          </w:p>
        </w:tc>
        <w:tc>
          <w:tcPr>
            <w:tcW w:w="940" w:type="dxa"/>
            <w:vAlign w:val="bottom"/>
            <w:gridSpan w:val="2"/>
            <w:vMerge w:val="restart"/>
            <w:shd w:val="clear" w:color="auto" w:fill="CDDEE7"/>
          </w:tcPr>
          <w:p>
            <w:pPr>
              <w:jc w:val="right"/>
              <w:ind w:right="60"/>
              <w:spacing w:after="0"/>
              <w:rPr>
                <w:sz w:val="20"/>
                <w:szCs w:val="20"/>
                <w:color w:val="auto"/>
              </w:rPr>
            </w:pPr>
            <w:r>
              <w:rPr>
                <w:rFonts w:ascii="Arial" w:cs="Arial" w:eastAsia="Arial" w:hAnsi="Arial"/>
                <w:sz w:val="17"/>
                <w:szCs w:val="17"/>
                <w:b w:val="1"/>
                <w:bCs w:val="1"/>
                <w:color w:val="auto"/>
              </w:rPr>
              <w:t>(410,325)</w:t>
            </w:r>
          </w:p>
        </w:tc>
        <w:tc>
          <w:tcPr>
            <w:tcW w:w="220" w:type="dxa"/>
            <w:vAlign w:val="bottom"/>
          </w:tcPr>
          <w:p>
            <w:pPr>
              <w:spacing w:after="0"/>
              <w:rPr>
                <w:sz w:val="24"/>
                <w:szCs w:val="24"/>
                <w:color w:val="auto"/>
              </w:rPr>
            </w:pPr>
          </w:p>
        </w:tc>
        <w:tc>
          <w:tcPr>
            <w:tcW w:w="200" w:type="dxa"/>
            <w:vAlign w:val="bottom"/>
            <w:shd w:val="clear" w:color="auto" w:fill="E0EBED"/>
          </w:tcPr>
          <w:p>
            <w:pPr>
              <w:spacing w:after="0"/>
              <w:rPr>
                <w:sz w:val="24"/>
                <w:szCs w:val="24"/>
                <w:color w:val="auto"/>
              </w:rPr>
            </w:pPr>
          </w:p>
        </w:tc>
        <w:tc>
          <w:tcPr>
            <w:tcW w:w="800" w:type="dxa"/>
            <w:vAlign w:val="bottom"/>
            <w:shd w:val="clear" w:color="auto" w:fill="E0EBED"/>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shd w:val="clear" w:color="auto" w:fill="E0EBED"/>
          </w:tcPr>
          <w:p>
            <w:pPr>
              <w:spacing w:after="0"/>
              <w:rPr>
                <w:sz w:val="24"/>
                <w:szCs w:val="24"/>
                <w:color w:val="auto"/>
              </w:rPr>
            </w:pPr>
          </w:p>
        </w:tc>
        <w:tc>
          <w:tcPr>
            <w:tcW w:w="800" w:type="dxa"/>
            <w:vAlign w:val="bottom"/>
            <w:shd w:val="clear" w:color="auto" w:fill="E0EBED"/>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900" w:type="dxa"/>
            <w:vAlign w:val="bottom"/>
            <w:gridSpan w:val="2"/>
          </w:tcPr>
          <w:p>
            <w:pPr>
              <w:spacing w:after="0"/>
              <w:rPr>
                <w:sz w:val="20"/>
                <w:szCs w:val="20"/>
                <w:color w:val="auto"/>
              </w:rPr>
            </w:pPr>
            <w:r>
              <w:rPr>
                <w:rFonts w:ascii="Arial" w:cs="Arial" w:eastAsia="Arial" w:hAnsi="Arial"/>
                <w:sz w:val="17"/>
                <w:szCs w:val="17"/>
                <w:color w:val="auto"/>
              </w:rPr>
              <w:t>Additions to property, plant and equipment</w:t>
            </w:r>
          </w:p>
        </w:tc>
        <w:tc>
          <w:tcPr>
            <w:tcW w:w="1920" w:type="dxa"/>
            <w:vAlign w:val="bottom"/>
          </w:tcPr>
          <w:p>
            <w:pPr>
              <w:spacing w:after="0"/>
              <w:rPr>
                <w:sz w:val="16"/>
                <w:szCs w:val="16"/>
                <w:color w:val="auto"/>
              </w:rPr>
            </w:pPr>
          </w:p>
        </w:tc>
        <w:tc>
          <w:tcPr>
            <w:tcW w:w="12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940" w:type="dxa"/>
            <w:vAlign w:val="bottom"/>
            <w:gridSpan w:val="2"/>
            <w:vMerge w:val="continue"/>
            <w:shd w:val="clear" w:color="auto" w:fill="CDDEE7"/>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800" w:type="dxa"/>
            <w:vAlign w:val="bottom"/>
            <w:shd w:val="clear" w:color="auto" w:fill="E0EBED"/>
          </w:tcPr>
          <w:p>
            <w:pPr>
              <w:jc w:val="right"/>
              <w:spacing w:after="0"/>
              <w:rPr>
                <w:sz w:val="20"/>
                <w:szCs w:val="20"/>
                <w:color w:val="auto"/>
              </w:rPr>
            </w:pPr>
            <w:r>
              <w:rPr>
                <w:rFonts w:ascii="Arial" w:cs="Arial" w:eastAsia="Arial" w:hAnsi="Arial"/>
                <w:sz w:val="17"/>
                <w:szCs w:val="17"/>
                <w:color w:val="auto"/>
                <w:w w:val="98"/>
                <w:shd w:val="clear" w:color="auto" w:fill="E0EBED"/>
              </w:rPr>
              <w:t>(387,267)</w:t>
            </w:r>
          </w:p>
        </w:tc>
        <w:tc>
          <w:tcPr>
            <w:tcW w:w="22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800" w:type="dxa"/>
            <w:vAlign w:val="bottom"/>
            <w:shd w:val="clear" w:color="auto" w:fill="E0EBED"/>
          </w:tcPr>
          <w:p>
            <w:pPr>
              <w:jc w:val="right"/>
              <w:spacing w:after="0"/>
              <w:rPr>
                <w:sz w:val="20"/>
                <w:szCs w:val="20"/>
                <w:color w:val="auto"/>
              </w:rPr>
            </w:pPr>
            <w:r>
              <w:rPr>
                <w:rFonts w:ascii="Arial" w:cs="Arial" w:eastAsia="Arial" w:hAnsi="Arial"/>
                <w:sz w:val="17"/>
                <w:szCs w:val="17"/>
                <w:color w:val="auto"/>
                <w:w w:val="98"/>
                <w:shd w:val="clear" w:color="auto" w:fill="E0EBED"/>
              </w:rPr>
              <w:t>(318,232)</w:t>
            </w:r>
          </w:p>
        </w:tc>
        <w:tc>
          <w:tcPr>
            <w:tcW w:w="0" w:type="dxa"/>
            <w:vAlign w:val="bottom"/>
          </w:tcPr>
          <w:p>
            <w:pPr>
              <w:spacing w:after="0"/>
              <w:rPr>
                <w:sz w:val="1"/>
                <w:szCs w:val="1"/>
                <w:color w:val="auto"/>
              </w:rPr>
            </w:pPr>
          </w:p>
        </w:tc>
      </w:tr>
      <w:tr>
        <w:trPr>
          <w:trHeight w:val="173"/>
        </w:trPr>
        <w:tc>
          <w:tcPr>
            <w:tcW w:w="5900" w:type="dxa"/>
            <w:vAlign w:val="bottom"/>
            <w:gridSpan w:val="2"/>
          </w:tcPr>
          <w:p>
            <w:pPr>
              <w:spacing w:after="0" w:line="172" w:lineRule="exact"/>
              <w:rPr>
                <w:sz w:val="20"/>
                <w:szCs w:val="20"/>
                <w:color w:val="auto"/>
              </w:rPr>
            </w:pPr>
            <w:r>
              <w:rPr>
                <w:rFonts w:ascii="Arial" w:cs="Arial" w:eastAsia="Arial" w:hAnsi="Arial"/>
                <w:sz w:val="17"/>
                <w:szCs w:val="17"/>
                <w:color w:val="auto"/>
              </w:rPr>
              <w:t>Acquisitions</w:t>
            </w:r>
          </w:p>
        </w:tc>
        <w:tc>
          <w:tcPr>
            <w:tcW w:w="1920" w:type="dxa"/>
            <w:vAlign w:val="bottom"/>
          </w:tcPr>
          <w:p>
            <w:pPr>
              <w:spacing w:after="0"/>
              <w:rPr>
                <w:sz w:val="15"/>
                <w:szCs w:val="15"/>
                <w:color w:val="auto"/>
              </w:rPr>
            </w:pPr>
          </w:p>
        </w:tc>
        <w:tc>
          <w:tcPr>
            <w:tcW w:w="120" w:type="dxa"/>
            <w:vAlign w:val="bottom"/>
            <w:shd w:val="clear" w:color="auto" w:fill="CDDEE7"/>
          </w:tcPr>
          <w:p>
            <w:pPr>
              <w:spacing w:after="0"/>
              <w:rPr>
                <w:sz w:val="15"/>
                <w:szCs w:val="15"/>
                <w:color w:val="auto"/>
              </w:rPr>
            </w:pPr>
          </w:p>
        </w:tc>
        <w:tc>
          <w:tcPr>
            <w:tcW w:w="100" w:type="dxa"/>
            <w:vAlign w:val="bottom"/>
            <w:shd w:val="clear" w:color="auto" w:fill="CDDEE7"/>
          </w:tcPr>
          <w:p>
            <w:pPr>
              <w:spacing w:after="0"/>
              <w:rPr>
                <w:sz w:val="15"/>
                <w:szCs w:val="15"/>
                <w:color w:val="auto"/>
              </w:rPr>
            </w:pPr>
          </w:p>
        </w:tc>
        <w:tc>
          <w:tcPr>
            <w:tcW w:w="820" w:type="dxa"/>
            <w:vAlign w:val="bottom"/>
            <w:shd w:val="clear" w:color="auto" w:fill="CDDEE7"/>
          </w:tcPr>
          <w:p>
            <w:pPr>
              <w:jc w:val="right"/>
              <w:spacing w:after="0" w:line="172" w:lineRule="exact"/>
              <w:rPr>
                <w:sz w:val="20"/>
                <w:szCs w:val="20"/>
                <w:color w:val="auto"/>
              </w:rPr>
            </w:pPr>
            <w:r>
              <w:rPr>
                <w:rFonts w:ascii="Arial" w:cs="Arial" w:eastAsia="Arial" w:hAnsi="Arial"/>
                <w:sz w:val="17"/>
                <w:szCs w:val="17"/>
                <w:b w:val="1"/>
                <w:bCs w:val="1"/>
                <w:color w:val="auto"/>
              </w:rPr>
              <w:t>(12,095)</w:t>
            </w:r>
          </w:p>
        </w:tc>
        <w:tc>
          <w:tcPr>
            <w:tcW w:w="120" w:type="dxa"/>
            <w:vAlign w:val="bottom"/>
            <w:shd w:val="clear" w:color="auto" w:fill="CDDEE7"/>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shd w:val="clear" w:color="auto" w:fill="E0EBED"/>
          </w:tcPr>
          <w:p>
            <w:pPr>
              <w:spacing w:after="0"/>
              <w:rPr>
                <w:sz w:val="15"/>
                <w:szCs w:val="15"/>
                <w:color w:val="auto"/>
              </w:rPr>
            </w:pPr>
          </w:p>
        </w:tc>
        <w:tc>
          <w:tcPr>
            <w:tcW w:w="800" w:type="dxa"/>
            <w:vAlign w:val="bottom"/>
            <w:shd w:val="clear" w:color="auto" w:fill="E0EBED"/>
          </w:tcPr>
          <w:p>
            <w:pPr>
              <w:jc w:val="right"/>
              <w:ind w:right="34"/>
              <w:spacing w:after="0" w:line="172" w:lineRule="exact"/>
              <w:rPr>
                <w:sz w:val="20"/>
                <w:szCs w:val="20"/>
                <w:color w:val="auto"/>
              </w:rPr>
            </w:pPr>
            <w:r>
              <w:rPr>
                <w:rFonts w:ascii="Arial" w:cs="Arial" w:eastAsia="Arial" w:hAnsi="Arial"/>
                <w:sz w:val="17"/>
                <w:szCs w:val="17"/>
                <w:color w:val="auto"/>
                <w:w w:val="90"/>
                <w:shd w:val="clear" w:color="auto" w:fill="E0EBED"/>
              </w:rPr>
              <w:t>(178,768)</w:t>
            </w:r>
          </w:p>
        </w:tc>
        <w:tc>
          <w:tcPr>
            <w:tcW w:w="220" w:type="dxa"/>
            <w:vAlign w:val="bottom"/>
          </w:tcPr>
          <w:p>
            <w:pPr>
              <w:spacing w:after="0"/>
              <w:rPr>
                <w:sz w:val="15"/>
                <w:szCs w:val="15"/>
                <w:color w:val="auto"/>
              </w:rPr>
            </w:pPr>
          </w:p>
        </w:tc>
        <w:tc>
          <w:tcPr>
            <w:tcW w:w="200" w:type="dxa"/>
            <w:vAlign w:val="bottom"/>
            <w:shd w:val="clear" w:color="auto" w:fill="E0EBED"/>
          </w:tcPr>
          <w:p>
            <w:pPr>
              <w:spacing w:after="0"/>
              <w:rPr>
                <w:sz w:val="15"/>
                <w:szCs w:val="15"/>
                <w:color w:val="auto"/>
              </w:rPr>
            </w:pPr>
          </w:p>
        </w:tc>
        <w:tc>
          <w:tcPr>
            <w:tcW w:w="800" w:type="dxa"/>
            <w:vAlign w:val="bottom"/>
            <w:shd w:val="clear" w:color="auto" w:fill="E0EBED"/>
          </w:tcPr>
          <w:p>
            <w:pPr>
              <w:jc w:val="right"/>
              <w:ind w:right="34"/>
              <w:spacing w:after="0" w:line="172" w:lineRule="exact"/>
              <w:rPr>
                <w:sz w:val="20"/>
                <w:szCs w:val="20"/>
                <w:color w:val="auto"/>
              </w:rPr>
            </w:pPr>
            <w:r>
              <w:rPr>
                <w:rFonts w:ascii="Arial" w:cs="Arial" w:eastAsia="Arial" w:hAnsi="Arial"/>
                <w:sz w:val="17"/>
                <w:szCs w:val="17"/>
                <w:color w:val="auto"/>
              </w:rPr>
              <w:t>(43,215)</w:t>
            </w:r>
          </w:p>
        </w:tc>
        <w:tc>
          <w:tcPr>
            <w:tcW w:w="0" w:type="dxa"/>
            <w:vAlign w:val="bottom"/>
          </w:tcPr>
          <w:p>
            <w:pPr>
              <w:spacing w:after="0"/>
              <w:rPr>
                <w:sz w:val="1"/>
                <w:szCs w:val="1"/>
                <w:color w:val="auto"/>
              </w:rPr>
            </w:pPr>
          </w:p>
        </w:tc>
      </w:tr>
      <w:tr>
        <w:trPr>
          <w:trHeight w:val="195"/>
        </w:trPr>
        <w:tc>
          <w:tcPr>
            <w:tcW w:w="5900" w:type="dxa"/>
            <w:vAlign w:val="bottom"/>
            <w:gridSpan w:val="2"/>
          </w:tcPr>
          <w:p>
            <w:pPr>
              <w:spacing w:after="0"/>
              <w:rPr>
                <w:sz w:val="20"/>
                <w:szCs w:val="20"/>
                <w:color w:val="auto"/>
              </w:rPr>
            </w:pPr>
            <w:r>
              <w:rPr>
                <w:rFonts w:ascii="Arial" w:cs="Arial" w:eastAsia="Arial" w:hAnsi="Arial"/>
                <w:sz w:val="17"/>
                <w:szCs w:val="17"/>
                <w:color w:val="auto"/>
              </w:rPr>
              <w:t>Cash received in acquisition</w:t>
            </w:r>
          </w:p>
        </w:tc>
        <w:tc>
          <w:tcPr>
            <w:tcW w:w="1920" w:type="dxa"/>
            <w:vAlign w:val="bottom"/>
          </w:tcPr>
          <w:p>
            <w:pPr>
              <w:spacing w:after="0"/>
              <w:rPr>
                <w:sz w:val="16"/>
                <w:szCs w:val="16"/>
                <w:color w:val="auto"/>
              </w:rPr>
            </w:pPr>
          </w:p>
        </w:tc>
        <w:tc>
          <w:tcPr>
            <w:tcW w:w="12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820" w:type="dxa"/>
            <w:vAlign w:val="bottom"/>
            <w:shd w:val="clear" w:color="auto" w:fill="CDDEE7"/>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shd w:val="clear" w:color="auto" w:fill="CDDEE7"/>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800" w:type="dxa"/>
            <w:vAlign w:val="bottom"/>
            <w:shd w:val="clear" w:color="auto" w:fill="E0EBED"/>
          </w:tcPr>
          <w:p>
            <w:pPr>
              <w:jc w:val="right"/>
              <w:ind w:right="34"/>
              <w:spacing w:after="0"/>
              <w:rPr>
                <w:sz w:val="20"/>
                <w:szCs w:val="20"/>
                <w:color w:val="auto"/>
              </w:rPr>
            </w:pPr>
            <w:r>
              <w:rPr>
                <w:rFonts w:ascii="Arial" w:cs="Arial" w:eastAsia="Arial" w:hAnsi="Arial"/>
                <w:sz w:val="17"/>
                <w:szCs w:val="17"/>
                <w:color w:val="auto"/>
              </w:rPr>
              <w:t>4,246</w:t>
            </w:r>
          </w:p>
        </w:tc>
        <w:tc>
          <w:tcPr>
            <w:tcW w:w="22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800" w:type="dxa"/>
            <w:vAlign w:val="bottom"/>
            <w:shd w:val="clear" w:color="auto" w:fill="E0EBED"/>
          </w:tcPr>
          <w:p>
            <w:pPr>
              <w:jc w:val="right"/>
              <w:ind w:right="34"/>
              <w:spacing w:after="0"/>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195"/>
        </w:trPr>
        <w:tc>
          <w:tcPr>
            <w:tcW w:w="5900" w:type="dxa"/>
            <w:vAlign w:val="bottom"/>
            <w:gridSpan w:val="2"/>
          </w:tcPr>
          <w:p>
            <w:pPr>
              <w:spacing w:after="0"/>
              <w:rPr>
                <w:sz w:val="20"/>
                <w:szCs w:val="20"/>
                <w:color w:val="auto"/>
              </w:rPr>
            </w:pPr>
            <w:r>
              <w:rPr>
                <w:rFonts w:ascii="Arial" w:cs="Arial" w:eastAsia="Arial" w:hAnsi="Arial"/>
                <w:sz w:val="17"/>
                <w:szCs w:val="17"/>
                <w:color w:val="auto"/>
              </w:rPr>
              <w:t>Proceeds from divestitures and sales of assets</w:t>
            </w:r>
          </w:p>
        </w:tc>
        <w:tc>
          <w:tcPr>
            <w:tcW w:w="1920" w:type="dxa"/>
            <w:vAlign w:val="bottom"/>
          </w:tcPr>
          <w:p>
            <w:pPr>
              <w:spacing w:after="0"/>
              <w:rPr>
                <w:sz w:val="16"/>
                <w:szCs w:val="16"/>
                <w:color w:val="auto"/>
              </w:rPr>
            </w:pPr>
          </w:p>
        </w:tc>
        <w:tc>
          <w:tcPr>
            <w:tcW w:w="12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820" w:type="dxa"/>
            <w:vAlign w:val="bottom"/>
            <w:shd w:val="clear" w:color="auto" w:fill="CDDEE7"/>
          </w:tcPr>
          <w:p>
            <w:pPr>
              <w:jc w:val="right"/>
              <w:spacing w:after="0"/>
              <w:rPr>
                <w:sz w:val="20"/>
                <w:szCs w:val="20"/>
                <w:color w:val="auto"/>
              </w:rPr>
            </w:pPr>
            <w:r>
              <w:rPr>
                <w:rFonts w:ascii="Arial" w:cs="Arial" w:eastAsia="Arial" w:hAnsi="Arial"/>
                <w:sz w:val="17"/>
                <w:szCs w:val="17"/>
                <w:b w:val="1"/>
                <w:bCs w:val="1"/>
                <w:color w:val="auto"/>
              </w:rPr>
              <w:t>35,941</w:t>
            </w:r>
          </w:p>
        </w:tc>
        <w:tc>
          <w:tcPr>
            <w:tcW w:w="120" w:type="dxa"/>
            <w:vAlign w:val="bottom"/>
            <w:shd w:val="clear" w:color="auto" w:fill="CDDEE7"/>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800" w:type="dxa"/>
            <w:vAlign w:val="bottom"/>
            <w:shd w:val="clear" w:color="auto" w:fill="E0EBED"/>
          </w:tcPr>
          <w:p>
            <w:pPr>
              <w:jc w:val="right"/>
              <w:ind w:right="34"/>
              <w:spacing w:after="0"/>
              <w:rPr>
                <w:sz w:val="20"/>
                <w:szCs w:val="20"/>
                <w:color w:val="auto"/>
              </w:rPr>
            </w:pPr>
            <w:r>
              <w:rPr>
                <w:rFonts w:ascii="Arial" w:cs="Arial" w:eastAsia="Arial" w:hAnsi="Arial"/>
                <w:sz w:val="17"/>
                <w:szCs w:val="17"/>
                <w:color w:val="auto"/>
              </w:rPr>
              <w:t>6,476</w:t>
            </w:r>
          </w:p>
        </w:tc>
        <w:tc>
          <w:tcPr>
            <w:tcW w:w="22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800" w:type="dxa"/>
            <w:vAlign w:val="bottom"/>
            <w:shd w:val="clear" w:color="auto" w:fill="E0EBED"/>
          </w:tcPr>
          <w:p>
            <w:pPr>
              <w:jc w:val="right"/>
              <w:ind w:right="34"/>
              <w:spacing w:after="0"/>
              <w:rPr>
                <w:sz w:val="20"/>
                <w:szCs w:val="20"/>
                <w:color w:val="auto"/>
              </w:rPr>
            </w:pPr>
            <w:r>
              <w:rPr>
                <w:rFonts w:ascii="Arial" w:cs="Arial" w:eastAsia="Arial" w:hAnsi="Arial"/>
                <w:sz w:val="17"/>
                <w:szCs w:val="17"/>
                <w:color w:val="auto"/>
              </w:rPr>
              <w:t>448,122</w:t>
            </w:r>
          </w:p>
        </w:tc>
        <w:tc>
          <w:tcPr>
            <w:tcW w:w="0" w:type="dxa"/>
            <w:vAlign w:val="bottom"/>
          </w:tcPr>
          <w:p>
            <w:pPr>
              <w:spacing w:after="0"/>
              <w:rPr>
                <w:sz w:val="1"/>
                <w:szCs w:val="1"/>
                <w:color w:val="auto"/>
              </w:rPr>
            </w:pPr>
          </w:p>
        </w:tc>
      </w:tr>
      <w:tr>
        <w:trPr>
          <w:trHeight w:val="195"/>
        </w:trPr>
        <w:tc>
          <w:tcPr>
            <w:tcW w:w="5900" w:type="dxa"/>
            <w:vAlign w:val="bottom"/>
            <w:gridSpan w:val="2"/>
          </w:tcPr>
          <w:p>
            <w:pPr>
              <w:spacing w:after="0"/>
              <w:rPr>
                <w:sz w:val="20"/>
                <w:szCs w:val="20"/>
                <w:color w:val="auto"/>
              </w:rPr>
            </w:pPr>
            <w:r>
              <w:rPr>
                <w:rFonts w:ascii="Arial" w:cs="Arial" w:eastAsia="Arial" w:hAnsi="Arial"/>
                <w:sz w:val="17"/>
                <w:szCs w:val="17"/>
                <w:color w:val="auto"/>
              </w:rPr>
              <w:t>Payment of railcar construction advances</w:t>
            </w:r>
          </w:p>
        </w:tc>
        <w:tc>
          <w:tcPr>
            <w:tcW w:w="1920" w:type="dxa"/>
            <w:vAlign w:val="bottom"/>
          </w:tcPr>
          <w:p>
            <w:pPr>
              <w:spacing w:after="0"/>
              <w:rPr>
                <w:sz w:val="16"/>
                <w:szCs w:val="16"/>
                <w:color w:val="auto"/>
              </w:rPr>
            </w:pPr>
          </w:p>
        </w:tc>
        <w:tc>
          <w:tcPr>
            <w:tcW w:w="12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820" w:type="dxa"/>
            <w:vAlign w:val="bottom"/>
            <w:shd w:val="clear" w:color="auto" w:fill="CDDEE7"/>
          </w:tcPr>
          <w:p>
            <w:pPr>
              <w:jc w:val="right"/>
              <w:spacing w:after="0"/>
              <w:rPr>
                <w:sz w:val="20"/>
                <w:szCs w:val="20"/>
                <w:color w:val="auto"/>
              </w:rPr>
            </w:pPr>
            <w:r>
              <w:rPr>
                <w:rFonts w:ascii="Arial" w:cs="Arial" w:eastAsia="Arial" w:hAnsi="Arial"/>
                <w:sz w:val="17"/>
                <w:szCs w:val="17"/>
                <w:b w:val="1"/>
                <w:bCs w:val="1"/>
                <w:color w:val="auto"/>
              </w:rPr>
              <w:t>(43,594)</w:t>
            </w:r>
          </w:p>
        </w:tc>
        <w:tc>
          <w:tcPr>
            <w:tcW w:w="120" w:type="dxa"/>
            <w:vAlign w:val="bottom"/>
            <w:shd w:val="clear" w:color="auto" w:fill="CDDEE7"/>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800" w:type="dxa"/>
            <w:vAlign w:val="bottom"/>
            <w:shd w:val="clear" w:color="auto" w:fill="E0EBED"/>
          </w:tcPr>
          <w:p>
            <w:pPr>
              <w:jc w:val="right"/>
              <w:ind w:right="34"/>
              <w:spacing w:after="0"/>
              <w:rPr>
                <w:sz w:val="20"/>
                <w:szCs w:val="20"/>
                <w:color w:val="auto"/>
              </w:rPr>
            </w:pPr>
            <w:r>
              <w:rPr>
                <w:rFonts w:ascii="Arial" w:cs="Arial" w:eastAsia="Arial" w:hAnsi="Arial"/>
                <w:sz w:val="17"/>
                <w:szCs w:val="17"/>
                <w:color w:val="auto"/>
              </w:rPr>
              <w:t>(82,910)</w:t>
            </w:r>
          </w:p>
        </w:tc>
        <w:tc>
          <w:tcPr>
            <w:tcW w:w="22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800" w:type="dxa"/>
            <w:vAlign w:val="bottom"/>
            <w:shd w:val="clear" w:color="auto" w:fill="E0EBED"/>
          </w:tcPr>
          <w:p>
            <w:pPr>
              <w:jc w:val="right"/>
              <w:ind w:right="34"/>
              <w:spacing w:after="0"/>
              <w:rPr>
                <w:sz w:val="20"/>
                <w:szCs w:val="20"/>
                <w:color w:val="auto"/>
              </w:rPr>
            </w:pPr>
            <w:r>
              <w:rPr>
                <w:rFonts w:ascii="Arial" w:cs="Arial" w:eastAsia="Arial" w:hAnsi="Arial"/>
                <w:sz w:val="17"/>
                <w:szCs w:val="17"/>
                <w:color w:val="auto"/>
              </w:rPr>
              <w:t>(25,234)</w:t>
            </w:r>
          </w:p>
        </w:tc>
        <w:tc>
          <w:tcPr>
            <w:tcW w:w="0" w:type="dxa"/>
            <w:vAlign w:val="bottom"/>
          </w:tcPr>
          <w:p>
            <w:pPr>
              <w:spacing w:after="0"/>
              <w:rPr>
                <w:sz w:val="1"/>
                <w:szCs w:val="1"/>
                <w:color w:val="auto"/>
              </w:rPr>
            </w:pPr>
          </w:p>
        </w:tc>
      </w:tr>
      <w:tr>
        <w:trPr>
          <w:trHeight w:val="195"/>
        </w:trPr>
        <w:tc>
          <w:tcPr>
            <w:tcW w:w="5900" w:type="dxa"/>
            <w:vAlign w:val="bottom"/>
            <w:gridSpan w:val="2"/>
          </w:tcPr>
          <w:p>
            <w:pPr>
              <w:spacing w:after="0"/>
              <w:rPr>
                <w:sz w:val="20"/>
                <w:szCs w:val="20"/>
                <w:color w:val="auto"/>
              </w:rPr>
            </w:pPr>
            <w:r>
              <w:rPr>
                <w:rFonts w:ascii="Arial" w:cs="Arial" w:eastAsia="Arial" w:hAnsi="Arial"/>
                <w:sz w:val="17"/>
                <w:szCs w:val="17"/>
                <w:color w:val="auto"/>
              </w:rPr>
              <w:t>Reimbursement of railcar construction advances</w:t>
            </w:r>
          </w:p>
        </w:tc>
        <w:tc>
          <w:tcPr>
            <w:tcW w:w="1920" w:type="dxa"/>
            <w:vAlign w:val="bottom"/>
          </w:tcPr>
          <w:p>
            <w:pPr>
              <w:spacing w:after="0"/>
              <w:rPr>
                <w:sz w:val="16"/>
                <w:szCs w:val="16"/>
                <w:color w:val="auto"/>
              </w:rPr>
            </w:pPr>
          </w:p>
        </w:tc>
        <w:tc>
          <w:tcPr>
            <w:tcW w:w="12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820" w:type="dxa"/>
            <w:vAlign w:val="bottom"/>
            <w:shd w:val="clear" w:color="auto" w:fill="CDDEE7"/>
          </w:tcPr>
          <w:p>
            <w:pPr>
              <w:jc w:val="right"/>
              <w:spacing w:after="0"/>
              <w:rPr>
                <w:sz w:val="20"/>
                <w:szCs w:val="20"/>
                <w:color w:val="auto"/>
              </w:rPr>
            </w:pPr>
            <w:r>
              <w:rPr>
                <w:rFonts w:ascii="Arial" w:cs="Arial" w:eastAsia="Arial" w:hAnsi="Arial"/>
                <w:sz w:val="17"/>
                <w:szCs w:val="17"/>
                <w:b w:val="1"/>
                <w:bCs w:val="1"/>
                <w:color w:val="auto"/>
              </w:rPr>
              <w:t>43,594</w:t>
            </w:r>
          </w:p>
        </w:tc>
        <w:tc>
          <w:tcPr>
            <w:tcW w:w="120" w:type="dxa"/>
            <w:vAlign w:val="bottom"/>
            <w:shd w:val="clear" w:color="auto" w:fill="CDDEE7"/>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800" w:type="dxa"/>
            <w:vAlign w:val="bottom"/>
            <w:shd w:val="clear" w:color="auto" w:fill="E0EBED"/>
          </w:tcPr>
          <w:p>
            <w:pPr>
              <w:jc w:val="right"/>
              <w:ind w:right="34"/>
              <w:spacing w:after="0"/>
              <w:rPr>
                <w:sz w:val="20"/>
                <w:szCs w:val="20"/>
                <w:color w:val="auto"/>
              </w:rPr>
            </w:pPr>
            <w:r>
              <w:rPr>
                <w:rFonts w:ascii="Arial" w:cs="Arial" w:eastAsia="Arial" w:hAnsi="Arial"/>
                <w:sz w:val="17"/>
                <w:szCs w:val="17"/>
                <w:color w:val="auto"/>
              </w:rPr>
              <w:t>82,910</w:t>
            </w:r>
          </w:p>
        </w:tc>
        <w:tc>
          <w:tcPr>
            <w:tcW w:w="22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800" w:type="dxa"/>
            <w:vAlign w:val="bottom"/>
            <w:shd w:val="clear" w:color="auto" w:fill="E0EBED"/>
          </w:tcPr>
          <w:p>
            <w:pPr>
              <w:jc w:val="right"/>
              <w:ind w:right="34"/>
              <w:spacing w:after="0"/>
              <w:rPr>
                <w:sz w:val="20"/>
                <w:szCs w:val="20"/>
                <w:color w:val="auto"/>
              </w:rPr>
            </w:pPr>
            <w:r>
              <w:rPr>
                <w:rFonts w:ascii="Arial" w:cs="Arial" w:eastAsia="Arial" w:hAnsi="Arial"/>
                <w:sz w:val="17"/>
                <w:szCs w:val="17"/>
                <w:color w:val="auto"/>
              </w:rPr>
              <w:t>25,234</w:t>
            </w:r>
          </w:p>
        </w:tc>
        <w:tc>
          <w:tcPr>
            <w:tcW w:w="0" w:type="dxa"/>
            <w:vAlign w:val="bottom"/>
          </w:tcPr>
          <w:p>
            <w:pPr>
              <w:spacing w:after="0"/>
              <w:rPr>
                <w:sz w:val="1"/>
                <w:szCs w:val="1"/>
                <w:color w:val="auto"/>
              </w:rPr>
            </w:pPr>
          </w:p>
        </w:tc>
      </w:tr>
      <w:tr>
        <w:trPr>
          <w:trHeight w:val="217"/>
        </w:trPr>
        <w:tc>
          <w:tcPr>
            <w:tcW w:w="59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Repayments from affiliate</w:t>
            </w:r>
          </w:p>
        </w:tc>
        <w:tc>
          <w:tcPr>
            <w:tcW w:w="1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shd w:val="clear" w:color="auto" w:fill="CDDEE7"/>
          </w:tcPr>
          <w:p>
            <w:pPr>
              <w:spacing w:after="0"/>
              <w:rPr>
                <w:sz w:val="18"/>
                <w:szCs w:val="18"/>
                <w:color w:val="auto"/>
              </w:rPr>
            </w:pPr>
          </w:p>
        </w:tc>
        <w:tc>
          <w:tcPr>
            <w:tcW w:w="100" w:type="dxa"/>
            <w:vAlign w:val="bottom"/>
            <w:tcBorders>
              <w:bottom w:val="single" w:sz="8" w:color="auto"/>
            </w:tcBorders>
            <w:shd w:val="clear" w:color="auto" w:fill="CDDEE7"/>
          </w:tcPr>
          <w:p>
            <w:pPr>
              <w:spacing w:after="0"/>
              <w:rPr>
                <w:sz w:val="18"/>
                <w:szCs w:val="18"/>
                <w:color w:val="auto"/>
              </w:rPr>
            </w:pPr>
          </w:p>
        </w:tc>
        <w:tc>
          <w:tcPr>
            <w:tcW w:w="820" w:type="dxa"/>
            <w:vAlign w:val="bottom"/>
            <w:tcBorders>
              <w:bottom w:val="single" w:sz="8" w:color="auto"/>
            </w:tcBorders>
            <w:shd w:val="clear" w:color="auto" w:fill="CDDEE7"/>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tcBorders>
              <w:bottom w:val="single" w:sz="8" w:color="auto"/>
            </w:tcBorders>
            <w:shd w:val="clear" w:color="auto" w:fill="CDDEE7"/>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shd w:val="clear" w:color="auto" w:fill="E0EBED"/>
          </w:tcPr>
          <w:p>
            <w:pPr>
              <w:spacing w:after="0"/>
              <w:rPr>
                <w:sz w:val="18"/>
                <w:szCs w:val="18"/>
                <w:color w:val="auto"/>
              </w:rPr>
            </w:pPr>
          </w:p>
        </w:tc>
        <w:tc>
          <w:tcPr>
            <w:tcW w:w="800" w:type="dxa"/>
            <w:vAlign w:val="bottom"/>
            <w:tcBorders>
              <w:bottom w:val="single" w:sz="8" w:color="auto"/>
            </w:tcBorders>
            <w:shd w:val="clear" w:color="auto" w:fill="E0EBED"/>
          </w:tcPr>
          <w:p>
            <w:pPr>
              <w:jc w:val="right"/>
              <w:ind w:right="34"/>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shd w:val="clear" w:color="auto" w:fill="E0EBED"/>
          </w:tcPr>
          <w:p>
            <w:pPr>
              <w:spacing w:after="0"/>
              <w:rPr>
                <w:sz w:val="18"/>
                <w:szCs w:val="18"/>
                <w:color w:val="auto"/>
              </w:rPr>
            </w:pPr>
          </w:p>
        </w:tc>
        <w:tc>
          <w:tcPr>
            <w:tcW w:w="800" w:type="dxa"/>
            <w:vAlign w:val="bottom"/>
            <w:tcBorders>
              <w:bottom w:val="single" w:sz="8" w:color="auto"/>
            </w:tcBorders>
            <w:shd w:val="clear" w:color="auto" w:fill="E0EBED"/>
          </w:tcPr>
          <w:p>
            <w:pPr>
              <w:jc w:val="right"/>
              <w:ind w:right="34"/>
              <w:spacing w:after="0"/>
              <w:rPr>
                <w:sz w:val="20"/>
                <w:szCs w:val="20"/>
                <w:color w:val="auto"/>
              </w:rPr>
            </w:pPr>
            <w:r>
              <w:rPr>
                <w:rFonts w:ascii="Arial" w:cs="Arial" w:eastAsia="Arial" w:hAnsi="Arial"/>
                <w:sz w:val="17"/>
                <w:szCs w:val="17"/>
                <w:color w:val="auto"/>
              </w:rPr>
              <w:t>1,808</w:t>
            </w:r>
          </w:p>
        </w:tc>
        <w:tc>
          <w:tcPr>
            <w:tcW w:w="0" w:type="dxa"/>
            <w:vAlign w:val="bottom"/>
          </w:tcPr>
          <w:p>
            <w:pPr>
              <w:spacing w:after="0"/>
              <w:rPr>
                <w:sz w:val="1"/>
                <w:szCs w:val="1"/>
                <w:color w:val="auto"/>
              </w:rPr>
            </w:pPr>
          </w:p>
        </w:tc>
      </w:tr>
      <w:tr>
        <w:trPr>
          <w:trHeight w:val="201"/>
        </w:trPr>
        <w:tc>
          <w:tcPr>
            <w:tcW w:w="590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Net Cash (Used for) Provided By Investing Activities</w:t>
            </w:r>
          </w:p>
        </w:tc>
        <w:tc>
          <w:tcPr>
            <w:tcW w:w="1920" w:type="dxa"/>
            <w:vAlign w:val="bottom"/>
          </w:tcPr>
          <w:p>
            <w:pPr>
              <w:spacing w:after="0"/>
              <w:rPr>
                <w:sz w:val="17"/>
                <w:szCs w:val="17"/>
                <w:color w:val="auto"/>
              </w:rPr>
            </w:pPr>
          </w:p>
        </w:tc>
        <w:tc>
          <w:tcPr>
            <w:tcW w:w="120" w:type="dxa"/>
            <w:vAlign w:val="bottom"/>
            <w:shd w:val="clear" w:color="auto" w:fill="CDDEE7"/>
          </w:tcPr>
          <w:p>
            <w:pPr>
              <w:spacing w:after="0"/>
              <w:rPr>
                <w:sz w:val="17"/>
                <w:szCs w:val="17"/>
                <w:color w:val="auto"/>
              </w:rPr>
            </w:pPr>
          </w:p>
        </w:tc>
        <w:tc>
          <w:tcPr>
            <w:tcW w:w="100" w:type="dxa"/>
            <w:vAlign w:val="bottom"/>
            <w:shd w:val="clear" w:color="auto" w:fill="CDDEE7"/>
          </w:tcPr>
          <w:p>
            <w:pPr>
              <w:spacing w:after="0"/>
              <w:rPr>
                <w:sz w:val="17"/>
                <w:szCs w:val="17"/>
                <w:color w:val="auto"/>
              </w:rPr>
            </w:pPr>
          </w:p>
        </w:tc>
        <w:tc>
          <w:tcPr>
            <w:tcW w:w="820" w:type="dxa"/>
            <w:vAlign w:val="bottom"/>
            <w:shd w:val="clear" w:color="auto" w:fill="CDDEE7"/>
          </w:tcPr>
          <w:p>
            <w:pPr>
              <w:jc w:val="right"/>
              <w:spacing w:after="0"/>
              <w:rPr>
                <w:sz w:val="20"/>
                <w:szCs w:val="20"/>
                <w:color w:val="auto"/>
              </w:rPr>
            </w:pPr>
            <w:r>
              <w:rPr>
                <w:rFonts w:ascii="Arial" w:cs="Arial" w:eastAsia="Arial" w:hAnsi="Arial"/>
                <w:sz w:val="17"/>
                <w:szCs w:val="17"/>
                <w:b w:val="1"/>
                <w:bCs w:val="1"/>
                <w:color w:val="auto"/>
              </w:rPr>
              <w:t>(386,479)</w:t>
            </w:r>
          </w:p>
        </w:tc>
        <w:tc>
          <w:tcPr>
            <w:tcW w:w="120" w:type="dxa"/>
            <w:vAlign w:val="bottom"/>
            <w:shd w:val="clear" w:color="auto" w:fill="CDDEE7"/>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shd w:val="clear" w:color="auto" w:fill="E0EBED"/>
          </w:tcPr>
          <w:p>
            <w:pPr>
              <w:spacing w:after="0"/>
              <w:rPr>
                <w:sz w:val="17"/>
                <w:szCs w:val="17"/>
                <w:color w:val="auto"/>
              </w:rPr>
            </w:pPr>
          </w:p>
        </w:tc>
        <w:tc>
          <w:tcPr>
            <w:tcW w:w="800" w:type="dxa"/>
            <w:vAlign w:val="bottom"/>
            <w:shd w:val="clear" w:color="auto" w:fill="E0EBED"/>
          </w:tcPr>
          <w:p>
            <w:pPr>
              <w:jc w:val="right"/>
              <w:ind w:right="34"/>
              <w:spacing w:after="0"/>
              <w:rPr>
                <w:sz w:val="20"/>
                <w:szCs w:val="20"/>
                <w:color w:val="auto"/>
              </w:rPr>
            </w:pPr>
            <w:r>
              <w:rPr>
                <w:rFonts w:ascii="Arial" w:cs="Arial" w:eastAsia="Arial" w:hAnsi="Arial"/>
                <w:sz w:val="17"/>
                <w:szCs w:val="17"/>
                <w:color w:val="auto"/>
                <w:w w:val="90"/>
              </w:rPr>
              <w:t>(555,313)</w:t>
            </w:r>
          </w:p>
        </w:tc>
        <w:tc>
          <w:tcPr>
            <w:tcW w:w="220" w:type="dxa"/>
            <w:vAlign w:val="bottom"/>
          </w:tcPr>
          <w:p>
            <w:pPr>
              <w:spacing w:after="0"/>
              <w:rPr>
                <w:sz w:val="17"/>
                <w:szCs w:val="17"/>
                <w:color w:val="auto"/>
              </w:rPr>
            </w:pPr>
          </w:p>
        </w:tc>
        <w:tc>
          <w:tcPr>
            <w:tcW w:w="200" w:type="dxa"/>
            <w:vAlign w:val="bottom"/>
            <w:shd w:val="clear" w:color="auto" w:fill="E0EBED"/>
          </w:tcPr>
          <w:p>
            <w:pPr>
              <w:spacing w:after="0"/>
              <w:rPr>
                <w:sz w:val="17"/>
                <w:szCs w:val="17"/>
                <w:color w:val="auto"/>
              </w:rPr>
            </w:pPr>
          </w:p>
        </w:tc>
        <w:tc>
          <w:tcPr>
            <w:tcW w:w="800" w:type="dxa"/>
            <w:vAlign w:val="bottom"/>
            <w:shd w:val="clear" w:color="auto" w:fill="E0EBED"/>
          </w:tcPr>
          <w:p>
            <w:pPr>
              <w:jc w:val="right"/>
              <w:ind w:right="34"/>
              <w:spacing w:after="0"/>
              <w:rPr>
                <w:sz w:val="20"/>
                <w:szCs w:val="20"/>
                <w:color w:val="auto"/>
              </w:rPr>
            </w:pPr>
            <w:r>
              <w:rPr>
                <w:rFonts w:ascii="Arial" w:cs="Arial" w:eastAsia="Arial" w:hAnsi="Arial"/>
                <w:sz w:val="17"/>
                <w:szCs w:val="17"/>
                <w:color w:val="auto"/>
              </w:rPr>
              <w:t>88,546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90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920" w:type="dxa"/>
            <w:vAlign w:val="bottom"/>
          </w:tcPr>
          <w:p>
            <w:pPr>
              <w:spacing w:after="0"/>
              <w:rPr>
                <w:sz w:val="24"/>
                <w:szCs w:val="24"/>
                <w:color w:val="auto"/>
              </w:rPr>
            </w:pPr>
          </w:p>
        </w:tc>
        <w:tc>
          <w:tcPr>
            <w:tcW w:w="120" w:type="dxa"/>
            <w:vAlign w:val="bottom"/>
            <w:shd w:val="clear" w:color="auto" w:fill="CDDEE7"/>
          </w:tcPr>
          <w:p>
            <w:pPr>
              <w:spacing w:after="0"/>
              <w:rPr>
                <w:sz w:val="24"/>
                <w:szCs w:val="24"/>
                <w:color w:val="auto"/>
              </w:rPr>
            </w:pPr>
          </w:p>
        </w:tc>
        <w:tc>
          <w:tcPr>
            <w:tcW w:w="100" w:type="dxa"/>
            <w:vAlign w:val="bottom"/>
            <w:shd w:val="clear" w:color="auto" w:fill="CDDEE7"/>
          </w:tcPr>
          <w:p>
            <w:pPr>
              <w:spacing w:after="0"/>
              <w:rPr>
                <w:sz w:val="24"/>
                <w:szCs w:val="24"/>
                <w:color w:val="auto"/>
              </w:rPr>
            </w:pPr>
          </w:p>
        </w:tc>
        <w:tc>
          <w:tcPr>
            <w:tcW w:w="940" w:type="dxa"/>
            <w:vAlign w:val="bottom"/>
            <w:gridSpan w:val="2"/>
            <w:vMerge w:val="restart"/>
            <w:shd w:val="clear" w:color="auto" w:fill="CDDEE7"/>
          </w:tcPr>
          <w:p>
            <w:pPr>
              <w:jc w:val="right"/>
              <w:ind w:right="120"/>
              <w:spacing w:after="0"/>
              <w:rPr>
                <w:sz w:val="20"/>
                <w:szCs w:val="20"/>
                <w:color w:val="auto"/>
              </w:rPr>
            </w:pPr>
            <w:r>
              <w:rPr>
                <w:rFonts w:ascii="Arial" w:cs="Arial" w:eastAsia="Arial" w:hAnsi="Arial"/>
                <w:sz w:val="17"/>
                <w:szCs w:val="17"/>
                <w:b w:val="1"/>
                <w:bCs w:val="1"/>
                <w:color w:val="auto"/>
              </w:rPr>
              <w:t>2,408,830</w:t>
            </w:r>
          </w:p>
        </w:tc>
        <w:tc>
          <w:tcPr>
            <w:tcW w:w="220" w:type="dxa"/>
            <w:vAlign w:val="bottom"/>
          </w:tcPr>
          <w:p>
            <w:pPr>
              <w:spacing w:after="0"/>
              <w:rPr>
                <w:sz w:val="24"/>
                <w:szCs w:val="24"/>
                <w:color w:val="auto"/>
              </w:rPr>
            </w:pPr>
          </w:p>
        </w:tc>
        <w:tc>
          <w:tcPr>
            <w:tcW w:w="200" w:type="dxa"/>
            <w:vAlign w:val="bottom"/>
            <w:shd w:val="clear" w:color="auto" w:fill="E0EBED"/>
          </w:tcPr>
          <w:p>
            <w:pPr>
              <w:spacing w:after="0"/>
              <w:rPr>
                <w:sz w:val="24"/>
                <w:szCs w:val="24"/>
                <w:color w:val="auto"/>
              </w:rPr>
            </w:pPr>
          </w:p>
        </w:tc>
        <w:tc>
          <w:tcPr>
            <w:tcW w:w="800" w:type="dxa"/>
            <w:vAlign w:val="bottom"/>
            <w:shd w:val="clear" w:color="auto" w:fill="E0EBED"/>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shd w:val="clear" w:color="auto" w:fill="E0EBED"/>
          </w:tcPr>
          <w:p>
            <w:pPr>
              <w:spacing w:after="0"/>
              <w:rPr>
                <w:sz w:val="24"/>
                <w:szCs w:val="24"/>
                <w:color w:val="auto"/>
              </w:rPr>
            </w:pPr>
          </w:p>
        </w:tc>
        <w:tc>
          <w:tcPr>
            <w:tcW w:w="800" w:type="dxa"/>
            <w:vAlign w:val="bottom"/>
            <w:shd w:val="clear" w:color="auto" w:fill="E0EBED"/>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900" w:type="dxa"/>
            <w:vAlign w:val="bottom"/>
            <w:gridSpan w:val="2"/>
          </w:tcPr>
          <w:p>
            <w:pPr>
              <w:spacing w:after="0"/>
              <w:rPr>
                <w:sz w:val="20"/>
                <w:szCs w:val="20"/>
                <w:color w:val="auto"/>
              </w:rPr>
            </w:pPr>
            <w:r>
              <w:rPr>
                <w:rFonts w:ascii="Arial" w:cs="Arial" w:eastAsia="Arial" w:hAnsi="Arial"/>
                <w:sz w:val="17"/>
                <w:szCs w:val="17"/>
                <w:color w:val="auto"/>
              </w:rPr>
              <w:t>Borrowings of long-term debt</w:t>
            </w:r>
          </w:p>
        </w:tc>
        <w:tc>
          <w:tcPr>
            <w:tcW w:w="1920" w:type="dxa"/>
            <w:vAlign w:val="bottom"/>
          </w:tcPr>
          <w:p>
            <w:pPr>
              <w:spacing w:after="0"/>
              <w:rPr>
                <w:sz w:val="16"/>
                <w:szCs w:val="16"/>
                <w:color w:val="auto"/>
              </w:rPr>
            </w:pPr>
          </w:p>
        </w:tc>
        <w:tc>
          <w:tcPr>
            <w:tcW w:w="12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940" w:type="dxa"/>
            <w:vAlign w:val="bottom"/>
            <w:gridSpan w:val="2"/>
            <w:vMerge w:val="continue"/>
            <w:shd w:val="clear" w:color="auto" w:fill="CDDEE7"/>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800" w:type="dxa"/>
            <w:vAlign w:val="bottom"/>
            <w:shd w:val="clear" w:color="auto" w:fill="E0EBED"/>
          </w:tcPr>
          <w:p>
            <w:pPr>
              <w:jc w:val="right"/>
              <w:ind w:right="34"/>
              <w:spacing w:after="0"/>
              <w:rPr>
                <w:sz w:val="20"/>
                <w:szCs w:val="20"/>
                <w:color w:val="auto"/>
              </w:rPr>
            </w:pPr>
            <w:r>
              <w:rPr>
                <w:rFonts w:ascii="Arial" w:cs="Arial" w:eastAsia="Arial" w:hAnsi="Arial"/>
                <w:sz w:val="17"/>
                <w:szCs w:val="17"/>
                <w:color w:val="auto"/>
              </w:rPr>
              <w:t>560,000</w:t>
            </w:r>
          </w:p>
        </w:tc>
        <w:tc>
          <w:tcPr>
            <w:tcW w:w="22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800" w:type="dxa"/>
            <w:vAlign w:val="bottom"/>
            <w:shd w:val="clear" w:color="auto" w:fill="E0EBED"/>
          </w:tcPr>
          <w:p>
            <w:pPr>
              <w:jc w:val="right"/>
              <w:ind w:right="34"/>
              <w:spacing w:after="0"/>
              <w:rPr>
                <w:sz w:val="20"/>
                <w:szCs w:val="20"/>
                <w:color w:val="auto"/>
              </w:rPr>
            </w:pPr>
            <w:r>
              <w:rPr>
                <w:rFonts w:ascii="Arial" w:cs="Arial" w:eastAsia="Arial" w:hAnsi="Arial"/>
                <w:sz w:val="17"/>
                <w:szCs w:val="17"/>
                <w:color w:val="auto"/>
              </w:rPr>
              <w:t>230,000</w:t>
            </w:r>
          </w:p>
        </w:tc>
        <w:tc>
          <w:tcPr>
            <w:tcW w:w="0" w:type="dxa"/>
            <w:vAlign w:val="bottom"/>
          </w:tcPr>
          <w:p>
            <w:pPr>
              <w:spacing w:after="0"/>
              <w:rPr>
                <w:sz w:val="1"/>
                <w:szCs w:val="1"/>
                <w:color w:val="auto"/>
              </w:rPr>
            </w:pPr>
          </w:p>
        </w:tc>
      </w:tr>
      <w:tr>
        <w:trPr>
          <w:trHeight w:val="173"/>
        </w:trPr>
        <w:tc>
          <w:tcPr>
            <w:tcW w:w="5900" w:type="dxa"/>
            <w:vAlign w:val="bottom"/>
            <w:gridSpan w:val="2"/>
          </w:tcPr>
          <w:p>
            <w:pPr>
              <w:spacing w:after="0" w:line="172" w:lineRule="exact"/>
              <w:rPr>
                <w:sz w:val="20"/>
                <w:szCs w:val="20"/>
                <w:color w:val="auto"/>
              </w:rPr>
            </w:pPr>
            <w:r>
              <w:rPr>
                <w:rFonts w:ascii="Arial" w:cs="Arial" w:eastAsia="Arial" w:hAnsi="Arial"/>
                <w:sz w:val="17"/>
                <w:szCs w:val="17"/>
                <w:color w:val="auto"/>
              </w:rPr>
              <w:t>Repayments of long-term debt</w:t>
            </w:r>
          </w:p>
        </w:tc>
        <w:tc>
          <w:tcPr>
            <w:tcW w:w="1920" w:type="dxa"/>
            <w:vAlign w:val="bottom"/>
          </w:tcPr>
          <w:p>
            <w:pPr>
              <w:spacing w:after="0"/>
              <w:rPr>
                <w:sz w:val="15"/>
                <w:szCs w:val="15"/>
                <w:color w:val="auto"/>
              </w:rPr>
            </w:pPr>
          </w:p>
        </w:tc>
        <w:tc>
          <w:tcPr>
            <w:tcW w:w="120" w:type="dxa"/>
            <w:vAlign w:val="bottom"/>
            <w:shd w:val="clear" w:color="auto" w:fill="CDDEE7"/>
          </w:tcPr>
          <w:p>
            <w:pPr>
              <w:spacing w:after="0"/>
              <w:rPr>
                <w:sz w:val="15"/>
                <w:szCs w:val="15"/>
                <w:color w:val="auto"/>
              </w:rPr>
            </w:pPr>
          </w:p>
        </w:tc>
        <w:tc>
          <w:tcPr>
            <w:tcW w:w="100" w:type="dxa"/>
            <w:vAlign w:val="bottom"/>
            <w:shd w:val="clear" w:color="auto" w:fill="CDDEE7"/>
          </w:tcPr>
          <w:p>
            <w:pPr>
              <w:spacing w:after="0"/>
              <w:rPr>
                <w:sz w:val="15"/>
                <w:szCs w:val="15"/>
                <w:color w:val="auto"/>
              </w:rPr>
            </w:pPr>
          </w:p>
        </w:tc>
        <w:tc>
          <w:tcPr>
            <w:tcW w:w="820" w:type="dxa"/>
            <w:vAlign w:val="bottom"/>
            <w:shd w:val="clear" w:color="auto" w:fill="CDDEE7"/>
          </w:tcPr>
          <w:p>
            <w:pPr>
              <w:jc w:val="right"/>
              <w:spacing w:after="0" w:line="172" w:lineRule="exact"/>
              <w:rPr>
                <w:sz w:val="20"/>
                <w:szCs w:val="20"/>
                <w:color w:val="auto"/>
              </w:rPr>
            </w:pPr>
            <w:r>
              <w:rPr>
                <w:rFonts w:ascii="Arial" w:cs="Arial" w:eastAsia="Arial" w:hAnsi="Arial"/>
                <w:sz w:val="17"/>
                <w:szCs w:val="17"/>
                <w:b w:val="1"/>
                <w:bCs w:val="1"/>
                <w:color w:val="auto"/>
                <w:w w:val="91"/>
                <w:shd w:val="clear" w:color="auto" w:fill="CDDEE7"/>
              </w:rPr>
              <w:t>(1,065,048)</w:t>
            </w:r>
          </w:p>
        </w:tc>
        <w:tc>
          <w:tcPr>
            <w:tcW w:w="120" w:type="dxa"/>
            <w:vAlign w:val="bottom"/>
            <w:shd w:val="clear" w:color="auto" w:fill="CDDEE7"/>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shd w:val="clear" w:color="auto" w:fill="E0EBED"/>
          </w:tcPr>
          <w:p>
            <w:pPr>
              <w:spacing w:after="0"/>
              <w:rPr>
                <w:sz w:val="15"/>
                <w:szCs w:val="15"/>
                <w:color w:val="auto"/>
              </w:rPr>
            </w:pPr>
          </w:p>
        </w:tc>
        <w:tc>
          <w:tcPr>
            <w:tcW w:w="800" w:type="dxa"/>
            <w:vAlign w:val="bottom"/>
            <w:shd w:val="clear" w:color="auto" w:fill="E0EBED"/>
          </w:tcPr>
          <w:p>
            <w:pPr>
              <w:jc w:val="right"/>
              <w:ind w:right="34"/>
              <w:spacing w:after="0" w:line="172" w:lineRule="exact"/>
              <w:rPr>
                <w:sz w:val="20"/>
                <w:szCs w:val="20"/>
                <w:color w:val="auto"/>
              </w:rPr>
            </w:pPr>
            <w:r>
              <w:rPr>
                <w:rFonts w:ascii="Arial" w:cs="Arial" w:eastAsia="Arial" w:hAnsi="Arial"/>
                <w:sz w:val="17"/>
                <w:szCs w:val="17"/>
                <w:color w:val="auto"/>
                <w:w w:val="90"/>
                <w:shd w:val="clear" w:color="auto" w:fill="E0EBED"/>
              </w:rPr>
              <w:t>(449,306)</w:t>
            </w:r>
          </w:p>
        </w:tc>
        <w:tc>
          <w:tcPr>
            <w:tcW w:w="220" w:type="dxa"/>
            <w:vAlign w:val="bottom"/>
          </w:tcPr>
          <w:p>
            <w:pPr>
              <w:spacing w:after="0"/>
              <w:rPr>
                <w:sz w:val="15"/>
                <w:szCs w:val="15"/>
                <w:color w:val="auto"/>
              </w:rPr>
            </w:pPr>
          </w:p>
        </w:tc>
        <w:tc>
          <w:tcPr>
            <w:tcW w:w="200" w:type="dxa"/>
            <w:vAlign w:val="bottom"/>
            <w:shd w:val="clear" w:color="auto" w:fill="E0EBED"/>
          </w:tcPr>
          <w:p>
            <w:pPr>
              <w:spacing w:after="0"/>
              <w:rPr>
                <w:sz w:val="15"/>
                <w:szCs w:val="15"/>
                <w:color w:val="auto"/>
              </w:rPr>
            </w:pPr>
          </w:p>
        </w:tc>
        <w:tc>
          <w:tcPr>
            <w:tcW w:w="800" w:type="dxa"/>
            <w:vAlign w:val="bottom"/>
            <w:shd w:val="clear" w:color="auto" w:fill="E0EBED"/>
          </w:tcPr>
          <w:p>
            <w:pPr>
              <w:jc w:val="right"/>
              <w:ind w:right="34"/>
              <w:spacing w:after="0" w:line="172" w:lineRule="exact"/>
              <w:rPr>
                <w:sz w:val="20"/>
                <w:szCs w:val="20"/>
                <w:color w:val="auto"/>
              </w:rPr>
            </w:pPr>
            <w:r>
              <w:rPr>
                <w:rFonts w:ascii="Arial" w:cs="Arial" w:eastAsia="Arial" w:hAnsi="Arial"/>
                <w:sz w:val="17"/>
                <w:szCs w:val="17"/>
                <w:color w:val="auto"/>
                <w:w w:val="90"/>
                <w:shd w:val="clear" w:color="auto" w:fill="E0EBED"/>
              </w:rPr>
              <w:t>(244,704)</w:t>
            </w:r>
          </w:p>
        </w:tc>
        <w:tc>
          <w:tcPr>
            <w:tcW w:w="0" w:type="dxa"/>
            <w:vAlign w:val="bottom"/>
          </w:tcPr>
          <w:p>
            <w:pPr>
              <w:spacing w:after="0"/>
              <w:rPr>
                <w:sz w:val="1"/>
                <w:szCs w:val="1"/>
                <w:color w:val="auto"/>
              </w:rPr>
            </w:pPr>
          </w:p>
        </w:tc>
      </w:tr>
      <w:tr>
        <w:trPr>
          <w:trHeight w:val="195"/>
        </w:trPr>
        <w:tc>
          <w:tcPr>
            <w:tcW w:w="5900" w:type="dxa"/>
            <w:vAlign w:val="bottom"/>
            <w:gridSpan w:val="2"/>
          </w:tcPr>
          <w:p>
            <w:pPr>
              <w:spacing w:after="0"/>
              <w:rPr>
                <w:sz w:val="20"/>
                <w:szCs w:val="20"/>
                <w:color w:val="auto"/>
              </w:rPr>
            </w:pPr>
            <w:r>
              <w:rPr>
                <w:rFonts w:ascii="Arial" w:cs="Arial" w:eastAsia="Arial" w:hAnsi="Arial"/>
                <w:sz w:val="17"/>
                <w:szCs w:val="17"/>
                <w:color w:val="auto"/>
              </w:rPr>
              <w:t>Payments of deferred acquisition consideration</w:t>
            </w:r>
          </w:p>
        </w:tc>
        <w:tc>
          <w:tcPr>
            <w:tcW w:w="1920" w:type="dxa"/>
            <w:vAlign w:val="bottom"/>
          </w:tcPr>
          <w:p>
            <w:pPr>
              <w:spacing w:after="0"/>
              <w:rPr>
                <w:sz w:val="16"/>
                <w:szCs w:val="16"/>
                <w:color w:val="auto"/>
              </w:rPr>
            </w:pPr>
          </w:p>
        </w:tc>
        <w:tc>
          <w:tcPr>
            <w:tcW w:w="12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820" w:type="dxa"/>
            <w:vAlign w:val="bottom"/>
            <w:shd w:val="clear" w:color="auto" w:fill="CDDEE7"/>
          </w:tcPr>
          <w:p>
            <w:pPr>
              <w:jc w:val="right"/>
              <w:spacing w:after="0"/>
              <w:rPr>
                <w:sz w:val="20"/>
                <w:szCs w:val="20"/>
                <w:color w:val="auto"/>
              </w:rPr>
            </w:pPr>
            <w:r>
              <w:rPr>
                <w:rFonts w:ascii="Arial" w:cs="Arial" w:eastAsia="Arial" w:hAnsi="Arial"/>
                <w:sz w:val="17"/>
                <w:szCs w:val="17"/>
                <w:b w:val="1"/>
                <w:bCs w:val="1"/>
                <w:color w:val="auto"/>
              </w:rPr>
              <w:t>(2,774)</w:t>
            </w:r>
          </w:p>
        </w:tc>
        <w:tc>
          <w:tcPr>
            <w:tcW w:w="120" w:type="dxa"/>
            <w:vAlign w:val="bottom"/>
            <w:shd w:val="clear" w:color="auto" w:fill="CDDEE7"/>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800" w:type="dxa"/>
            <w:vAlign w:val="bottom"/>
            <w:shd w:val="clear" w:color="auto" w:fill="E0EBED"/>
          </w:tcPr>
          <w:p>
            <w:pPr>
              <w:jc w:val="right"/>
              <w:ind w:right="34"/>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800" w:type="dxa"/>
            <w:vAlign w:val="bottom"/>
            <w:shd w:val="clear" w:color="auto" w:fill="E0EBED"/>
          </w:tcPr>
          <w:p>
            <w:pPr>
              <w:jc w:val="right"/>
              <w:ind w:right="3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5"/>
        </w:trPr>
        <w:tc>
          <w:tcPr>
            <w:tcW w:w="5900" w:type="dxa"/>
            <w:vAlign w:val="bottom"/>
            <w:gridSpan w:val="2"/>
          </w:tcPr>
          <w:p>
            <w:pPr>
              <w:spacing w:after="0"/>
              <w:rPr>
                <w:sz w:val="20"/>
                <w:szCs w:val="20"/>
                <w:color w:val="auto"/>
              </w:rPr>
            </w:pPr>
            <w:r>
              <w:rPr>
                <w:rFonts w:ascii="Arial" w:cs="Arial" w:eastAsia="Arial" w:hAnsi="Arial"/>
                <w:sz w:val="17"/>
                <w:szCs w:val="17"/>
                <w:color w:val="auto"/>
              </w:rPr>
              <w:t>Debt issuance costs</w:t>
            </w:r>
          </w:p>
        </w:tc>
        <w:tc>
          <w:tcPr>
            <w:tcW w:w="1920" w:type="dxa"/>
            <w:vAlign w:val="bottom"/>
          </w:tcPr>
          <w:p>
            <w:pPr>
              <w:spacing w:after="0"/>
              <w:rPr>
                <w:sz w:val="16"/>
                <w:szCs w:val="16"/>
                <w:color w:val="auto"/>
              </w:rPr>
            </w:pPr>
          </w:p>
        </w:tc>
        <w:tc>
          <w:tcPr>
            <w:tcW w:w="12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820" w:type="dxa"/>
            <w:vAlign w:val="bottom"/>
            <w:shd w:val="clear" w:color="auto" w:fill="CDDEE7"/>
          </w:tcPr>
          <w:p>
            <w:pPr>
              <w:jc w:val="right"/>
              <w:spacing w:after="0"/>
              <w:rPr>
                <w:sz w:val="20"/>
                <w:szCs w:val="20"/>
                <w:color w:val="auto"/>
              </w:rPr>
            </w:pPr>
            <w:r>
              <w:rPr>
                <w:rFonts w:ascii="Arial" w:cs="Arial" w:eastAsia="Arial" w:hAnsi="Arial"/>
                <w:sz w:val="17"/>
                <w:szCs w:val="17"/>
                <w:b w:val="1"/>
                <w:bCs w:val="1"/>
                <w:color w:val="auto"/>
              </w:rPr>
              <w:t>(2,204)</w:t>
            </w:r>
          </w:p>
        </w:tc>
        <w:tc>
          <w:tcPr>
            <w:tcW w:w="120" w:type="dxa"/>
            <w:vAlign w:val="bottom"/>
            <w:shd w:val="clear" w:color="auto" w:fill="CDDEE7"/>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800" w:type="dxa"/>
            <w:vAlign w:val="bottom"/>
            <w:shd w:val="clear" w:color="auto" w:fill="E0EBED"/>
          </w:tcPr>
          <w:p>
            <w:pPr>
              <w:jc w:val="right"/>
              <w:ind w:right="34"/>
              <w:spacing w:after="0"/>
              <w:rPr>
                <w:sz w:val="20"/>
                <w:szCs w:val="20"/>
                <w:color w:val="auto"/>
              </w:rPr>
            </w:pPr>
            <w:r>
              <w:rPr>
                <w:rFonts w:ascii="Arial" w:cs="Arial" w:eastAsia="Arial" w:hAnsi="Arial"/>
                <w:sz w:val="17"/>
                <w:szCs w:val="17"/>
                <w:color w:val="auto"/>
              </w:rPr>
              <w:t>(2,300)</w:t>
            </w:r>
          </w:p>
        </w:tc>
        <w:tc>
          <w:tcPr>
            <w:tcW w:w="22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800" w:type="dxa"/>
            <w:vAlign w:val="bottom"/>
            <w:shd w:val="clear" w:color="auto" w:fill="E0EBED"/>
          </w:tcPr>
          <w:p>
            <w:pPr>
              <w:jc w:val="right"/>
              <w:ind w:right="3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5"/>
        </w:trPr>
        <w:tc>
          <w:tcPr>
            <w:tcW w:w="5900" w:type="dxa"/>
            <w:vAlign w:val="bottom"/>
            <w:gridSpan w:val="2"/>
          </w:tcPr>
          <w:p>
            <w:pPr>
              <w:spacing w:after="0"/>
              <w:rPr>
                <w:sz w:val="20"/>
                <w:szCs w:val="20"/>
                <w:color w:val="auto"/>
              </w:rPr>
            </w:pPr>
            <w:r>
              <w:rPr>
                <w:rFonts w:ascii="Arial" w:cs="Arial" w:eastAsia="Arial" w:hAnsi="Arial"/>
                <w:sz w:val="17"/>
                <w:szCs w:val="17"/>
                <w:color w:val="auto"/>
              </w:rPr>
              <w:t>Change in bank overdraft</w:t>
            </w:r>
          </w:p>
        </w:tc>
        <w:tc>
          <w:tcPr>
            <w:tcW w:w="1920" w:type="dxa"/>
            <w:vAlign w:val="bottom"/>
          </w:tcPr>
          <w:p>
            <w:pPr>
              <w:spacing w:after="0"/>
              <w:rPr>
                <w:sz w:val="16"/>
                <w:szCs w:val="16"/>
                <w:color w:val="auto"/>
              </w:rPr>
            </w:pPr>
          </w:p>
        </w:tc>
        <w:tc>
          <w:tcPr>
            <w:tcW w:w="12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820" w:type="dxa"/>
            <w:vAlign w:val="bottom"/>
            <w:shd w:val="clear" w:color="auto" w:fill="CDDEE7"/>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shd w:val="clear" w:color="auto" w:fill="CDDEE7"/>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800" w:type="dxa"/>
            <w:vAlign w:val="bottom"/>
            <w:shd w:val="clear" w:color="auto" w:fill="E0EBED"/>
          </w:tcPr>
          <w:p>
            <w:pPr>
              <w:jc w:val="right"/>
              <w:ind w:right="34"/>
              <w:spacing w:after="0"/>
              <w:rPr>
                <w:sz w:val="20"/>
                <w:szCs w:val="20"/>
                <w:color w:val="auto"/>
              </w:rPr>
            </w:pPr>
            <w:r>
              <w:rPr>
                <w:rFonts w:ascii="Arial" w:cs="Arial" w:eastAsia="Arial" w:hAnsi="Arial"/>
                <w:sz w:val="17"/>
                <w:szCs w:val="17"/>
                <w:color w:val="auto"/>
              </w:rPr>
              <w:t>(10,235)</w:t>
            </w:r>
          </w:p>
        </w:tc>
        <w:tc>
          <w:tcPr>
            <w:tcW w:w="22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800" w:type="dxa"/>
            <w:vAlign w:val="bottom"/>
            <w:shd w:val="clear" w:color="auto" w:fill="E0EBED"/>
          </w:tcPr>
          <w:p>
            <w:pPr>
              <w:jc w:val="right"/>
              <w:ind w:right="34"/>
              <w:spacing w:after="0"/>
              <w:rPr>
                <w:sz w:val="20"/>
                <w:szCs w:val="20"/>
                <w:color w:val="auto"/>
              </w:rPr>
            </w:pPr>
            <w:r>
              <w:rPr>
                <w:rFonts w:ascii="Arial" w:cs="Arial" w:eastAsia="Arial" w:hAnsi="Arial"/>
                <w:sz w:val="17"/>
                <w:szCs w:val="17"/>
                <w:color w:val="auto"/>
              </w:rPr>
              <w:t>10,052</w:t>
            </w:r>
          </w:p>
        </w:tc>
        <w:tc>
          <w:tcPr>
            <w:tcW w:w="0" w:type="dxa"/>
            <w:vAlign w:val="bottom"/>
          </w:tcPr>
          <w:p>
            <w:pPr>
              <w:spacing w:after="0"/>
              <w:rPr>
                <w:sz w:val="1"/>
                <w:szCs w:val="1"/>
                <w:color w:val="auto"/>
              </w:rPr>
            </w:pPr>
          </w:p>
        </w:tc>
      </w:tr>
      <w:tr>
        <w:trPr>
          <w:trHeight w:val="195"/>
        </w:trPr>
        <w:tc>
          <w:tcPr>
            <w:tcW w:w="5900" w:type="dxa"/>
            <w:vAlign w:val="bottom"/>
            <w:gridSpan w:val="2"/>
          </w:tcPr>
          <w:p>
            <w:pPr>
              <w:spacing w:after="0"/>
              <w:rPr>
                <w:sz w:val="20"/>
                <w:szCs w:val="20"/>
                <w:color w:val="auto"/>
              </w:rPr>
            </w:pPr>
            <w:r>
              <w:rPr>
                <w:rFonts w:ascii="Arial" w:cs="Arial" w:eastAsia="Arial" w:hAnsi="Arial"/>
                <w:sz w:val="17"/>
                <w:szCs w:val="17"/>
                <w:color w:val="auto"/>
              </w:rPr>
              <w:t>Payments on capital lease obligations</w:t>
            </w:r>
          </w:p>
        </w:tc>
        <w:tc>
          <w:tcPr>
            <w:tcW w:w="1920" w:type="dxa"/>
            <w:vAlign w:val="bottom"/>
          </w:tcPr>
          <w:p>
            <w:pPr>
              <w:spacing w:after="0"/>
              <w:rPr>
                <w:sz w:val="16"/>
                <w:szCs w:val="16"/>
                <w:color w:val="auto"/>
              </w:rPr>
            </w:pPr>
          </w:p>
        </w:tc>
        <w:tc>
          <w:tcPr>
            <w:tcW w:w="12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820" w:type="dxa"/>
            <w:vAlign w:val="bottom"/>
            <w:shd w:val="clear" w:color="auto" w:fill="CDDEE7"/>
          </w:tcPr>
          <w:p>
            <w:pPr>
              <w:jc w:val="right"/>
              <w:spacing w:after="0"/>
              <w:rPr>
                <w:sz w:val="20"/>
                <w:szCs w:val="20"/>
                <w:color w:val="auto"/>
              </w:rPr>
            </w:pPr>
            <w:r>
              <w:rPr>
                <w:rFonts w:ascii="Arial" w:cs="Arial" w:eastAsia="Arial" w:hAnsi="Arial"/>
                <w:sz w:val="17"/>
                <w:szCs w:val="17"/>
                <w:b w:val="1"/>
                <w:bCs w:val="1"/>
                <w:color w:val="auto"/>
              </w:rPr>
              <w:t>(3,543)</w:t>
            </w:r>
          </w:p>
        </w:tc>
        <w:tc>
          <w:tcPr>
            <w:tcW w:w="120" w:type="dxa"/>
            <w:vAlign w:val="bottom"/>
            <w:shd w:val="clear" w:color="auto" w:fill="CDDEE7"/>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800" w:type="dxa"/>
            <w:vAlign w:val="bottom"/>
            <w:shd w:val="clear" w:color="auto" w:fill="E0EBED"/>
          </w:tcPr>
          <w:p>
            <w:pPr>
              <w:jc w:val="right"/>
              <w:ind w:right="34"/>
              <w:spacing w:after="0"/>
              <w:rPr>
                <w:sz w:val="20"/>
                <w:szCs w:val="20"/>
                <w:color w:val="auto"/>
              </w:rPr>
            </w:pPr>
            <w:r>
              <w:rPr>
                <w:rFonts w:ascii="Arial" w:cs="Arial" w:eastAsia="Arial" w:hAnsi="Arial"/>
                <w:sz w:val="17"/>
                <w:szCs w:val="17"/>
                <w:color w:val="auto"/>
              </w:rPr>
              <w:t>(3,364)</w:t>
            </w:r>
          </w:p>
        </w:tc>
        <w:tc>
          <w:tcPr>
            <w:tcW w:w="22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800" w:type="dxa"/>
            <w:vAlign w:val="bottom"/>
            <w:shd w:val="clear" w:color="auto" w:fill="E0EBED"/>
          </w:tcPr>
          <w:p>
            <w:pPr>
              <w:jc w:val="right"/>
              <w:ind w:right="34"/>
              <w:spacing w:after="0"/>
              <w:rPr>
                <w:sz w:val="20"/>
                <w:szCs w:val="20"/>
                <w:color w:val="auto"/>
              </w:rPr>
            </w:pPr>
            <w:r>
              <w:rPr>
                <w:rFonts w:ascii="Arial" w:cs="Arial" w:eastAsia="Arial" w:hAnsi="Arial"/>
                <w:sz w:val="17"/>
                <w:szCs w:val="17"/>
                <w:color w:val="auto"/>
              </w:rPr>
              <w:t>(6,616)</w:t>
            </w:r>
          </w:p>
        </w:tc>
        <w:tc>
          <w:tcPr>
            <w:tcW w:w="0" w:type="dxa"/>
            <w:vAlign w:val="bottom"/>
          </w:tcPr>
          <w:p>
            <w:pPr>
              <w:spacing w:after="0"/>
              <w:rPr>
                <w:sz w:val="1"/>
                <w:szCs w:val="1"/>
                <w:color w:val="auto"/>
              </w:rPr>
            </w:pPr>
          </w:p>
        </w:tc>
      </w:tr>
      <w:tr>
        <w:trPr>
          <w:trHeight w:val="195"/>
        </w:trPr>
        <w:tc>
          <w:tcPr>
            <w:tcW w:w="5900" w:type="dxa"/>
            <w:vAlign w:val="bottom"/>
            <w:gridSpan w:val="2"/>
          </w:tcPr>
          <w:p>
            <w:pPr>
              <w:spacing w:after="0"/>
              <w:rPr>
                <w:sz w:val="20"/>
                <w:szCs w:val="20"/>
                <w:color w:val="auto"/>
              </w:rPr>
            </w:pPr>
            <w:r>
              <w:rPr>
                <w:rFonts w:ascii="Arial" w:cs="Arial" w:eastAsia="Arial" w:hAnsi="Arial"/>
                <w:sz w:val="17"/>
                <w:szCs w:val="17"/>
                <w:color w:val="auto"/>
              </w:rPr>
              <w:t>Dividends paid</w:t>
            </w:r>
          </w:p>
        </w:tc>
        <w:tc>
          <w:tcPr>
            <w:tcW w:w="1920" w:type="dxa"/>
            <w:vAlign w:val="bottom"/>
          </w:tcPr>
          <w:p>
            <w:pPr>
              <w:spacing w:after="0"/>
              <w:rPr>
                <w:sz w:val="16"/>
                <w:szCs w:val="16"/>
                <w:color w:val="auto"/>
              </w:rPr>
            </w:pPr>
          </w:p>
        </w:tc>
        <w:tc>
          <w:tcPr>
            <w:tcW w:w="12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820" w:type="dxa"/>
            <w:vAlign w:val="bottom"/>
            <w:shd w:val="clear" w:color="auto" w:fill="CDDEE7"/>
          </w:tcPr>
          <w:p>
            <w:pPr>
              <w:jc w:val="right"/>
              <w:spacing w:after="0"/>
              <w:rPr>
                <w:sz w:val="20"/>
                <w:szCs w:val="20"/>
                <w:color w:val="auto"/>
              </w:rPr>
            </w:pPr>
            <w:r>
              <w:rPr>
                <w:rFonts w:ascii="Arial" w:cs="Arial" w:eastAsia="Arial" w:hAnsi="Arial"/>
                <w:sz w:val="17"/>
                <w:szCs w:val="17"/>
                <w:b w:val="1"/>
                <w:bCs w:val="1"/>
                <w:color w:val="auto"/>
              </w:rPr>
              <w:t>(108,852)</w:t>
            </w:r>
          </w:p>
        </w:tc>
        <w:tc>
          <w:tcPr>
            <w:tcW w:w="120" w:type="dxa"/>
            <w:vAlign w:val="bottom"/>
            <w:shd w:val="clear" w:color="auto" w:fill="CDDEE7"/>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800" w:type="dxa"/>
            <w:vAlign w:val="bottom"/>
            <w:shd w:val="clear" w:color="auto" w:fill="E0EBED"/>
          </w:tcPr>
          <w:p>
            <w:pPr>
              <w:jc w:val="right"/>
              <w:ind w:right="34"/>
              <w:spacing w:after="0"/>
              <w:rPr>
                <w:sz w:val="20"/>
                <w:szCs w:val="20"/>
                <w:color w:val="auto"/>
              </w:rPr>
            </w:pPr>
            <w:r>
              <w:rPr>
                <w:rFonts w:ascii="Arial" w:cs="Arial" w:eastAsia="Arial" w:hAnsi="Arial"/>
                <w:sz w:val="17"/>
                <w:szCs w:val="17"/>
                <w:color w:val="auto"/>
                <w:w w:val="90"/>
              </w:rPr>
              <w:t>(105,036)</w:t>
            </w:r>
          </w:p>
        </w:tc>
        <w:tc>
          <w:tcPr>
            <w:tcW w:w="22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800" w:type="dxa"/>
            <w:vAlign w:val="bottom"/>
            <w:shd w:val="clear" w:color="auto" w:fill="E0EBED"/>
          </w:tcPr>
          <w:p>
            <w:pPr>
              <w:jc w:val="right"/>
              <w:ind w:right="34"/>
              <w:spacing w:after="0"/>
              <w:rPr>
                <w:sz w:val="20"/>
                <w:szCs w:val="20"/>
                <w:color w:val="auto"/>
              </w:rPr>
            </w:pPr>
            <w:r>
              <w:rPr>
                <w:rFonts w:ascii="Arial" w:cs="Arial" w:eastAsia="Arial" w:hAnsi="Arial"/>
                <w:sz w:val="17"/>
                <w:szCs w:val="17"/>
                <w:color w:val="auto"/>
                <w:w w:val="90"/>
              </w:rPr>
              <w:t>(107,462)</w:t>
            </w:r>
          </w:p>
        </w:tc>
        <w:tc>
          <w:tcPr>
            <w:tcW w:w="0" w:type="dxa"/>
            <w:vAlign w:val="bottom"/>
          </w:tcPr>
          <w:p>
            <w:pPr>
              <w:spacing w:after="0"/>
              <w:rPr>
                <w:sz w:val="1"/>
                <w:szCs w:val="1"/>
                <w:color w:val="auto"/>
              </w:rPr>
            </w:pPr>
          </w:p>
        </w:tc>
      </w:tr>
      <w:tr>
        <w:trPr>
          <w:trHeight w:val="195"/>
        </w:trPr>
        <w:tc>
          <w:tcPr>
            <w:tcW w:w="5900" w:type="dxa"/>
            <w:vAlign w:val="bottom"/>
            <w:gridSpan w:val="2"/>
          </w:tcPr>
          <w:p>
            <w:pPr>
              <w:spacing w:after="0"/>
              <w:rPr>
                <w:sz w:val="20"/>
                <w:szCs w:val="20"/>
                <w:color w:val="auto"/>
              </w:rPr>
            </w:pPr>
            <w:r>
              <w:rPr>
                <w:rFonts w:ascii="Arial" w:cs="Arial" w:eastAsia="Arial" w:hAnsi="Arial"/>
                <w:sz w:val="17"/>
                <w:szCs w:val="17"/>
                <w:color w:val="auto"/>
              </w:rPr>
              <w:t>Distributions to owners of noncontrolling interest</w:t>
            </w:r>
          </w:p>
        </w:tc>
        <w:tc>
          <w:tcPr>
            <w:tcW w:w="1920" w:type="dxa"/>
            <w:vAlign w:val="bottom"/>
          </w:tcPr>
          <w:p>
            <w:pPr>
              <w:spacing w:after="0"/>
              <w:rPr>
                <w:sz w:val="16"/>
                <w:szCs w:val="16"/>
                <w:color w:val="auto"/>
              </w:rPr>
            </w:pPr>
          </w:p>
        </w:tc>
        <w:tc>
          <w:tcPr>
            <w:tcW w:w="12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820" w:type="dxa"/>
            <w:vAlign w:val="bottom"/>
            <w:shd w:val="clear" w:color="auto" w:fill="CDDEE7"/>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shd w:val="clear" w:color="auto" w:fill="CDDEE7"/>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800" w:type="dxa"/>
            <w:vAlign w:val="bottom"/>
            <w:shd w:val="clear" w:color="auto" w:fill="E0EBED"/>
          </w:tcPr>
          <w:p>
            <w:pPr>
              <w:jc w:val="right"/>
              <w:ind w:right="34"/>
              <w:spacing w:after="0"/>
              <w:rPr>
                <w:sz w:val="20"/>
                <w:szCs w:val="20"/>
                <w:color w:val="auto"/>
              </w:rPr>
            </w:pPr>
            <w:r>
              <w:rPr>
                <w:rFonts w:ascii="Arial" w:cs="Arial" w:eastAsia="Arial" w:hAnsi="Arial"/>
                <w:sz w:val="17"/>
                <w:szCs w:val="17"/>
                <w:color w:val="auto"/>
              </w:rPr>
              <w:t>(400)</w:t>
            </w:r>
          </w:p>
        </w:tc>
        <w:tc>
          <w:tcPr>
            <w:tcW w:w="22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800" w:type="dxa"/>
            <w:vAlign w:val="bottom"/>
            <w:shd w:val="clear" w:color="auto" w:fill="E0EBED"/>
          </w:tcPr>
          <w:p>
            <w:pPr>
              <w:jc w:val="right"/>
              <w:ind w:right="34"/>
              <w:spacing w:after="0"/>
              <w:rPr>
                <w:sz w:val="20"/>
                <w:szCs w:val="20"/>
                <w:color w:val="auto"/>
              </w:rPr>
            </w:pPr>
            <w:r>
              <w:rPr>
                <w:rFonts w:ascii="Arial" w:cs="Arial" w:eastAsia="Arial" w:hAnsi="Arial"/>
                <w:sz w:val="17"/>
                <w:szCs w:val="17"/>
                <w:color w:val="auto"/>
              </w:rPr>
              <w:t>(325)</w:t>
            </w:r>
          </w:p>
        </w:tc>
        <w:tc>
          <w:tcPr>
            <w:tcW w:w="0" w:type="dxa"/>
            <w:vAlign w:val="bottom"/>
          </w:tcPr>
          <w:p>
            <w:pPr>
              <w:spacing w:after="0"/>
              <w:rPr>
                <w:sz w:val="1"/>
                <w:szCs w:val="1"/>
                <w:color w:val="auto"/>
              </w:rPr>
            </w:pPr>
          </w:p>
        </w:tc>
      </w:tr>
      <w:tr>
        <w:trPr>
          <w:trHeight w:val="195"/>
        </w:trPr>
        <w:tc>
          <w:tcPr>
            <w:tcW w:w="5900" w:type="dxa"/>
            <w:vAlign w:val="bottom"/>
            <w:gridSpan w:val="2"/>
          </w:tcPr>
          <w:p>
            <w:pPr>
              <w:spacing w:after="0"/>
              <w:rPr>
                <w:sz w:val="20"/>
                <w:szCs w:val="20"/>
                <w:color w:val="auto"/>
              </w:rPr>
            </w:pPr>
            <w:r>
              <w:rPr>
                <w:rFonts w:ascii="Arial" w:cs="Arial" w:eastAsia="Arial" w:hAnsi="Arial"/>
                <w:sz w:val="17"/>
                <w:szCs w:val="17"/>
                <w:color w:val="auto"/>
              </w:rPr>
              <w:t>Contributions by noncontrolling interest to joint venture</w:t>
            </w:r>
          </w:p>
        </w:tc>
        <w:tc>
          <w:tcPr>
            <w:tcW w:w="1920" w:type="dxa"/>
            <w:vAlign w:val="bottom"/>
          </w:tcPr>
          <w:p>
            <w:pPr>
              <w:spacing w:after="0"/>
              <w:rPr>
                <w:sz w:val="16"/>
                <w:szCs w:val="16"/>
                <w:color w:val="auto"/>
              </w:rPr>
            </w:pPr>
          </w:p>
        </w:tc>
        <w:tc>
          <w:tcPr>
            <w:tcW w:w="12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820" w:type="dxa"/>
            <w:vAlign w:val="bottom"/>
            <w:shd w:val="clear" w:color="auto" w:fill="CDDEE7"/>
          </w:tcPr>
          <w:p>
            <w:pPr>
              <w:jc w:val="right"/>
              <w:spacing w:after="0"/>
              <w:rPr>
                <w:sz w:val="20"/>
                <w:szCs w:val="20"/>
                <w:color w:val="auto"/>
              </w:rPr>
            </w:pPr>
            <w:r>
              <w:rPr>
                <w:rFonts w:ascii="Arial" w:cs="Arial" w:eastAsia="Arial" w:hAnsi="Arial"/>
                <w:sz w:val="17"/>
                <w:szCs w:val="17"/>
                <w:b w:val="1"/>
                <w:bCs w:val="1"/>
                <w:color w:val="auto"/>
              </w:rPr>
              <w:t>212</w:t>
            </w:r>
          </w:p>
        </w:tc>
        <w:tc>
          <w:tcPr>
            <w:tcW w:w="120" w:type="dxa"/>
            <w:vAlign w:val="bottom"/>
            <w:shd w:val="clear" w:color="auto" w:fill="CDDEE7"/>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800" w:type="dxa"/>
            <w:vAlign w:val="bottom"/>
            <w:shd w:val="clear" w:color="auto" w:fill="E0EBED"/>
          </w:tcPr>
          <w:p>
            <w:pPr>
              <w:jc w:val="right"/>
              <w:ind w:right="34"/>
              <w:spacing w:after="0"/>
              <w:rPr>
                <w:sz w:val="20"/>
                <w:szCs w:val="20"/>
                <w:color w:val="auto"/>
              </w:rPr>
            </w:pPr>
            <w:r>
              <w:rPr>
                <w:rFonts w:ascii="Arial" w:cs="Arial" w:eastAsia="Arial" w:hAnsi="Arial"/>
                <w:sz w:val="17"/>
                <w:szCs w:val="17"/>
                <w:color w:val="auto"/>
              </w:rPr>
              <w:t>44</w:t>
            </w:r>
          </w:p>
        </w:tc>
        <w:tc>
          <w:tcPr>
            <w:tcW w:w="22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800" w:type="dxa"/>
            <w:vAlign w:val="bottom"/>
            <w:shd w:val="clear" w:color="auto" w:fill="E0EBED"/>
          </w:tcPr>
          <w:p>
            <w:pPr>
              <w:jc w:val="right"/>
              <w:ind w:right="3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5"/>
        </w:trPr>
        <w:tc>
          <w:tcPr>
            <w:tcW w:w="5900" w:type="dxa"/>
            <w:vAlign w:val="bottom"/>
            <w:gridSpan w:val="2"/>
          </w:tcPr>
          <w:p>
            <w:pPr>
              <w:spacing w:after="0"/>
              <w:rPr>
                <w:sz w:val="20"/>
                <w:szCs w:val="20"/>
                <w:color w:val="auto"/>
              </w:rPr>
            </w:pPr>
            <w:r>
              <w:rPr>
                <w:rFonts w:ascii="Arial" w:cs="Arial" w:eastAsia="Arial" w:hAnsi="Arial"/>
                <w:sz w:val="17"/>
                <w:szCs w:val="17"/>
                <w:color w:val="auto"/>
              </w:rPr>
              <w:t>Repurchase of common stock</w:t>
            </w:r>
          </w:p>
        </w:tc>
        <w:tc>
          <w:tcPr>
            <w:tcW w:w="1920" w:type="dxa"/>
            <w:vAlign w:val="bottom"/>
          </w:tcPr>
          <w:p>
            <w:pPr>
              <w:spacing w:after="0"/>
              <w:rPr>
                <w:sz w:val="16"/>
                <w:szCs w:val="16"/>
                <w:color w:val="auto"/>
              </w:rPr>
            </w:pPr>
          </w:p>
        </w:tc>
        <w:tc>
          <w:tcPr>
            <w:tcW w:w="12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820" w:type="dxa"/>
            <w:vAlign w:val="bottom"/>
            <w:shd w:val="clear" w:color="auto" w:fill="CDDEE7"/>
          </w:tcPr>
          <w:p>
            <w:pPr>
              <w:jc w:val="right"/>
              <w:spacing w:after="0"/>
              <w:rPr>
                <w:sz w:val="20"/>
                <w:szCs w:val="20"/>
                <w:color w:val="auto"/>
              </w:rPr>
            </w:pPr>
            <w:r>
              <w:rPr>
                <w:rFonts w:ascii="Arial" w:cs="Arial" w:eastAsia="Arial" w:hAnsi="Arial"/>
                <w:sz w:val="17"/>
                <w:szCs w:val="17"/>
                <w:b w:val="1"/>
                <w:bCs w:val="1"/>
                <w:color w:val="auto"/>
              </w:rPr>
              <w:t>(99,999)</w:t>
            </w:r>
          </w:p>
        </w:tc>
        <w:tc>
          <w:tcPr>
            <w:tcW w:w="120" w:type="dxa"/>
            <w:vAlign w:val="bottom"/>
            <w:shd w:val="clear" w:color="auto" w:fill="CDDEE7"/>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800" w:type="dxa"/>
            <w:vAlign w:val="bottom"/>
            <w:shd w:val="clear" w:color="auto" w:fill="E0EBED"/>
          </w:tcPr>
          <w:p>
            <w:pPr>
              <w:jc w:val="right"/>
              <w:ind w:right="34"/>
              <w:spacing w:after="0"/>
              <w:rPr>
                <w:sz w:val="20"/>
                <w:szCs w:val="20"/>
                <w:color w:val="auto"/>
              </w:rPr>
            </w:pPr>
            <w:r>
              <w:rPr>
                <w:rFonts w:ascii="Arial" w:cs="Arial" w:eastAsia="Arial" w:hAnsi="Arial"/>
                <w:sz w:val="17"/>
                <w:szCs w:val="17"/>
                <w:color w:val="auto"/>
                <w:w w:val="90"/>
              </w:rPr>
              <w:t>(259,228)</w:t>
            </w:r>
          </w:p>
        </w:tc>
        <w:tc>
          <w:tcPr>
            <w:tcW w:w="22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800" w:type="dxa"/>
            <w:vAlign w:val="bottom"/>
            <w:shd w:val="clear" w:color="auto" w:fill="E0EBED"/>
          </w:tcPr>
          <w:p>
            <w:pPr>
              <w:jc w:val="right"/>
              <w:ind w:right="34"/>
              <w:spacing w:after="0"/>
              <w:rPr>
                <w:sz w:val="20"/>
                <w:szCs w:val="20"/>
                <w:color w:val="auto"/>
              </w:rPr>
            </w:pPr>
            <w:r>
              <w:rPr>
                <w:rFonts w:ascii="Arial" w:cs="Arial" w:eastAsia="Arial" w:hAnsi="Arial"/>
                <w:sz w:val="17"/>
                <w:szCs w:val="17"/>
                <w:color w:val="auto"/>
                <w:w w:val="90"/>
              </w:rPr>
              <w:t>(519,962)</w:t>
            </w:r>
          </w:p>
        </w:tc>
        <w:tc>
          <w:tcPr>
            <w:tcW w:w="0" w:type="dxa"/>
            <w:vAlign w:val="bottom"/>
          </w:tcPr>
          <w:p>
            <w:pPr>
              <w:spacing w:after="0"/>
              <w:rPr>
                <w:sz w:val="1"/>
                <w:szCs w:val="1"/>
                <w:color w:val="auto"/>
              </w:rPr>
            </w:pPr>
          </w:p>
        </w:tc>
      </w:tr>
      <w:tr>
        <w:trPr>
          <w:trHeight w:val="195"/>
        </w:trPr>
        <w:tc>
          <w:tcPr>
            <w:tcW w:w="5900" w:type="dxa"/>
            <w:vAlign w:val="bottom"/>
            <w:gridSpan w:val="2"/>
          </w:tcPr>
          <w:p>
            <w:pPr>
              <w:spacing w:after="0"/>
              <w:rPr>
                <w:sz w:val="20"/>
                <w:szCs w:val="20"/>
                <w:color w:val="auto"/>
              </w:rPr>
            </w:pPr>
            <w:r>
              <w:rPr>
                <w:rFonts w:ascii="Arial" w:cs="Arial" w:eastAsia="Arial" w:hAnsi="Arial"/>
                <w:sz w:val="17"/>
                <w:szCs w:val="17"/>
                <w:color w:val="auto"/>
              </w:rPr>
              <w:t>Proceeds from exercise of stock options</w:t>
            </w:r>
          </w:p>
        </w:tc>
        <w:tc>
          <w:tcPr>
            <w:tcW w:w="1920" w:type="dxa"/>
            <w:vAlign w:val="bottom"/>
          </w:tcPr>
          <w:p>
            <w:pPr>
              <w:spacing w:after="0"/>
              <w:rPr>
                <w:sz w:val="16"/>
                <w:szCs w:val="16"/>
                <w:color w:val="auto"/>
              </w:rPr>
            </w:pPr>
          </w:p>
        </w:tc>
        <w:tc>
          <w:tcPr>
            <w:tcW w:w="12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820" w:type="dxa"/>
            <w:vAlign w:val="bottom"/>
            <w:shd w:val="clear" w:color="auto" w:fill="CDDEE7"/>
          </w:tcPr>
          <w:p>
            <w:pPr>
              <w:jc w:val="right"/>
              <w:spacing w:after="0"/>
              <w:rPr>
                <w:sz w:val="20"/>
                <w:szCs w:val="20"/>
                <w:color w:val="auto"/>
              </w:rPr>
            </w:pPr>
            <w:r>
              <w:rPr>
                <w:rFonts w:ascii="Arial" w:cs="Arial" w:eastAsia="Arial" w:hAnsi="Arial"/>
                <w:sz w:val="17"/>
                <w:szCs w:val="17"/>
                <w:b w:val="1"/>
                <w:bCs w:val="1"/>
                <w:color w:val="auto"/>
              </w:rPr>
              <w:t>10,110</w:t>
            </w:r>
          </w:p>
        </w:tc>
        <w:tc>
          <w:tcPr>
            <w:tcW w:w="120" w:type="dxa"/>
            <w:vAlign w:val="bottom"/>
            <w:shd w:val="clear" w:color="auto" w:fill="CDDEE7"/>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800" w:type="dxa"/>
            <w:vAlign w:val="bottom"/>
            <w:shd w:val="clear" w:color="auto" w:fill="E0EBED"/>
          </w:tcPr>
          <w:p>
            <w:pPr>
              <w:jc w:val="right"/>
              <w:ind w:right="34"/>
              <w:spacing w:after="0"/>
              <w:rPr>
                <w:sz w:val="20"/>
                <w:szCs w:val="20"/>
                <w:color w:val="auto"/>
              </w:rPr>
            </w:pPr>
            <w:r>
              <w:rPr>
                <w:rFonts w:ascii="Arial" w:cs="Arial" w:eastAsia="Arial" w:hAnsi="Arial"/>
                <w:sz w:val="17"/>
                <w:szCs w:val="17"/>
                <w:color w:val="auto"/>
              </w:rPr>
              <w:t>27,257</w:t>
            </w:r>
          </w:p>
        </w:tc>
        <w:tc>
          <w:tcPr>
            <w:tcW w:w="22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800" w:type="dxa"/>
            <w:vAlign w:val="bottom"/>
            <w:shd w:val="clear" w:color="auto" w:fill="E0EBED"/>
          </w:tcPr>
          <w:p>
            <w:pPr>
              <w:jc w:val="right"/>
              <w:ind w:right="34"/>
              <w:spacing w:after="0"/>
              <w:rPr>
                <w:sz w:val="20"/>
                <w:szCs w:val="20"/>
                <w:color w:val="auto"/>
              </w:rPr>
            </w:pPr>
            <w:r>
              <w:rPr>
                <w:rFonts w:ascii="Arial" w:cs="Arial" w:eastAsia="Arial" w:hAnsi="Arial"/>
                <w:sz w:val="17"/>
                <w:szCs w:val="17"/>
                <w:color w:val="auto"/>
              </w:rPr>
              <w:t>37,230</w:t>
            </w:r>
          </w:p>
        </w:tc>
        <w:tc>
          <w:tcPr>
            <w:tcW w:w="0" w:type="dxa"/>
            <w:vAlign w:val="bottom"/>
          </w:tcPr>
          <w:p>
            <w:pPr>
              <w:spacing w:after="0"/>
              <w:rPr>
                <w:sz w:val="1"/>
                <w:szCs w:val="1"/>
                <w:color w:val="auto"/>
              </w:rPr>
            </w:pPr>
          </w:p>
        </w:tc>
      </w:tr>
      <w:tr>
        <w:trPr>
          <w:trHeight w:val="217"/>
        </w:trPr>
        <w:tc>
          <w:tcPr>
            <w:tcW w:w="59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Shares withheld for employees’ income tax obligations</w:t>
            </w:r>
          </w:p>
        </w:tc>
        <w:tc>
          <w:tcPr>
            <w:tcW w:w="1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shd w:val="clear" w:color="auto" w:fill="CDDEE7"/>
          </w:tcPr>
          <w:p>
            <w:pPr>
              <w:spacing w:after="0"/>
              <w:rPr>
                <w:sz w:val="18"/>
                <w:szCs w:val="18"/>
                <w:color w:val="auto"/>
              </w:rPr>
            </w:pPr>
          </w:p>
        </w:tc>
        <w:tc>
          <w:tcPr>
            <w:tcW w:w="100" w:type="dxa"/>
            <w:vAlign w:val="bottom"/>
            <w:tcBorders>
              <w:bottom w:val="single" w:sz="8" w:color="auto"/>
            </w:tcBorders>
            <w:shd w:val="clear" w:color="auto" w:fill="CDDEE7"/>
          </w:tcPr>
          <w:p>
            <w:pPr>
              <w:spacing w:after="0"/>
              <w:rPr>
                <w:sz w:val="18"/>
                <w:szCs w:val="18"/>
                <w:color w:val="auto"/>
              </w:rPr>
            </w:pPr>
          </w:p>
        </w:tc>
        <w:tc>
          <w:tcPr>
            <w:tcW w:w="820" w:type="dxa"/>
            <w:vAlign w:val="bottom"/>
            <w:tcBorders>
              <w:bottom w:val="single" w:sz="8" w:color="auto"/>
            </w:tcBorders>
            <w:shd w:val="clear" w:color="auto" w:fill="CDDEE7"/>
          </w:tcPr>
          <w:p>
            <w:pPr>
              <w:jc w:val="right"/>
              <w:spacing w:after="0"/>
              <w:rPr>
                <w:sz w:val="20"/>
                <w:szCs w:val="20"/>
                <w:color w:val="auto"/>
              </w:rPr>
            </w:pPr>
            <w:r>
              <w:rPr>
                <w:rFonts w:ascii="Arial" w:cs="Arial" w:eastAsia="Arial" w:hAnsi="Arial"/>
                <w:sz w:val="17"/>
                <w:szCs w:val="17"/>
                <w:b w:val="1"/>
                <w:bCs w:val="1"/>
                <w:color w:val="auto"/>
              </w:rPr>
              <w:t>(11,805)</w:t>
            </w:r>
          </w:p>
        </w:tc>
        <w:tc>
          <w:tcPr>
            <w:tcW w:w="120" w:type="dxa"/>
            <w:vAlign w:val="bottom"/>
            <w:tcBorders>
              <w:bottom w:val="single" w:sz="8" w:color="auto"/>
            </w:tcBorders>
            <w:shd w:val="clear" w:color="auto" w:fill="CDDEE7"/>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shd w:val="clear" w:color="auto" w:fill="E0EBED"/>
          </w:tcPr>
          <w:p>
            <w:pPr>
              <w:spacing w:after="0"/>
              <w:rPr>
                <w:sz w:val="18"/>
                <w:szCs w:val="18"/>
                <w:color w:val="auto"/>
              </w:rPr>
            </w:pPr>
          </w:p>
        </w:tc>
        <w:tc>
          <w:tcPr>
            <w:tcW w:w="800" w:type="dxa"/>
            <w:vAlign w:val="bottom"/>
            <w:tcBorders>
              <w:bottom w:val="single" w:sz="8" w:color="auto"/>
            </w:tcBorders>
            <w:shd w:val="clear" w:color="auto" w:fill="E0EBED"/>
          </w:tcPr>
          <w:p>
            <w:pPr>
              <w:jc w:val="right"/>
              <w:ind w:right="34"/>
              <w:spacing w:after="0"/>
              <w:rPr>
                <w:sz w:val="20"/>
                <w:szCs w:val="20"/>
                <w:color w:val="auto"/>
              </w:rPr>
            </w:pPr>
            <w:r>
              <w:rPr>
                <w:rFonts w:ascii="Arial" w:cs="Arial" w:eastAsia="Arial" w:hAnsi="Arial"/>
                <w:sz w:val="17"/>
                <w:szCs w:val="17"/>
                <w:color w:val="auto"/>
              </w:rPr>
              <w:t>(9,723)</w:t>
            </w: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shd w:val="clear" w:color="auto" w:fill="E0EBED"/>
          </w:tcPr>
          <w:p>
            <w:pPr>
              <w:spacing w:after="0"/>
              <w:rPr>
                <w:sz w:val="18"/>
                <w:szCs w:val="18"/>
                <w:color w:val="auto"/>
              </w:rPr>
            </w:pPr>
          </w:p>
        </w:tc>
        <w:tc>
          <w:tcPr>
            <w:tcW w:w="800" w:type="dxa"/>
            <w:vAlign w:val="bottom"/>
            <w:tcBorders>
              <w:bottom w:val="single" w:sz="8" w:color="auto"/>
            </w:tcBorders>
            <w:shd w:val="clear" w:color="auto" w:fill="E0EBED"/>
          </w:tcPr>
          <w:p>
            <w:pPr>
              <w:jc w:val="right"/>
              <w:ind w:right="34"/>
              <w:spacing w:after="0"/>
              <w:rPr>
                <w:sz w:val="20"/>
                <w:szCs w:val="20"/>
                <w:color w:val="auto"/>
              </w:rPr>
            </w:pPr>
            <w:r>
              <w:rPr>
                <w:rFonts w:ascii="Arial" w:cs="Arial" w:eastAsia="Arial" w:hAnsi="Arial"/>
                <w:sz w:val="17"/>
                <w:szCs w:val="17"/>
                <w:color w:val="auto"/>
              </w:rPr>
              <w:t>(7,601)</w:t>
            </w:r>
          </w:p>
        </w:tc>
        <w:tc>
          <w:tcPr>
            <w:tcW w:w="0" w:type="dxa"/>
            <w:vAlign w:val="bottom"/>
          </w:tcPr>
          <w:p>
            <w:pPr>
              <w:spacing w:after="0"/>
              <w:rPr>
                <w:sz w:val="1"/>
                <w:szCs w:val="1"/>
                <w:color w:val="auto"/>
              </w:rPr>
            </w:pPr>
          </w:p>
        </w:tc>
      </w:tr>
      <w:tr>
        <w:trPr>
          <w:trHeight w:val="201"/>
        </w:trPr>
        <w:tc>
          <w:tcPr>
            <w:tcW w:w="5900" w:type="dxa"/>
            <w:vAlign w:val="bottom"/>
            <w:tcBorders>
              <w:bottom w:val="single" w:sz="8" w:color="auto"/>
            </w:tcBorders>
            <w:gridSpan w:val="2"/>
          </w:tcPr>
          <w:p>
            <w:pPr>
              <w:spacing w:after="0" w:line="201" w:lineRule="exact"/>
              <w:rPr>
                <w:sz w:val="20"/>
                <w:szCs w:val="20"/>
                <w:color w:val="auto"/>
              </w:rPr>
            </w:pPr>
            <w:r>
              <w:rPr>
                <w:rFonts w:ascii="Arial" w:cs="Arial" w:eastAsia="Arial" w:hAnsi="Arial"/>
                <w:sz w:val="18"/>
                <w:szCs w:val="18"/>
                <w:b w:val="1"/>
                <w:bCs w:val="1"/>
                <w:color w:val="auto"/>
              </w:rPr>
              <w:t>Net Cash Provided by (Used for) Financing Activities</w:t>
            </w:r>
          </w:p>
        </w:tc>
        <w:tc>
          <w:tcPr>
            <w:tcW w:w="19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shd w:val="clear" w:color="auto" w:fill="CDDEE7"/>
          </w:tcPr>
          <w:p>
            <w:pPr>
              <w:spacing w:after="0"/>
              <w:rPr>
                <w:sz w:val="17"/>
                <w:szCs w:val="17"/>
                <w:color w:val="auto"/>
              </w:rPr>
            </w:pPr>
          </w:p>
        </w:tc>
        <w:tc>
          <w:tcPr>
            <w:tcW w:w="100" w:type="dxa"/>
            <w:vAlign w:val="bottom"/>
            <w:tcBorders>
              <w:bottom w:val="single" w:sz="8" w:color="auto"/>
            </w:tcBorders>
            <w:shd w:val="clear" w:color="auto" w:fill="CDDEE7"/>
          </w:tcPr>
          <w:p>
            <w:pPr>
              <w:spacing w:after="0"/>
              <w:rPr>
                <w:sz w:val="17"/>
                <w:szCs w:val="17"/>
                <w:color w:val="auto"/>
              </w:rPr>
            </w:pPr>
          </w:p>
        </w:tc>
        <w:tc>
          <w:tcPr>
            <w:tcW w:w="820" w:type="dxa"/>
            <w:vAlign w:val="bottom"/>
            <w:tcBorders>
              <w:bottom w:val="single" w:sz="8" w:color="auto"/>
            </w:tcBorders>
            <w:shd w:val="clear" w:color="auto" w:fill="CDDEE7"/>
          </w:tcPr>
          <w:p>
            <w:pPr>
              <w:jc w:val="right"/>
              <w:spacing w:after="0"/>
              <w:rPr>
                <w:sz w:val="20"/>
                <w:szCs w:val="20"/>
                <w:color w:val="auto"/>
              </w:rPr>
            </w:pPr>
            <w:r>
              <w:rPr>
                <w:rFonts w:ascii="Arial" w:cs="Arial" w:eastAsia="Arial" w:hAnsi="Arial"/>
                <w:sz w:val="17"/>
                <w:szCs w:val="17"/>
                <w:b w:val="1"/>
                <w:bCs w:val="1"/>
                <w:color w:val="auto"/>
              </w:rPr>
              <w:t>1,124,927</w:t>
            </w:r>
          </w:p>
        </w:tc>
        <w:tc>
          <w:tcPr>
            <w:tcW w:w="120" w:type="dxa"/>
            <w:vAlign w:val="bottom"/>
            <w:tcBorders>
              <w:bottom w:val="single" w:sz="8" w:color="auto"/>
            </w:tcBorders>
            <w:shd w:val="clear" w:color="auto" w:fill="CDDEE7"/>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shd w:val="clear" w:color="auto" w:fill="E0EBED"/>
          </w:tcPr>
          <w:p>
            <w:pPr>
              <w:spacing w:after="0"/>
              <w:rPr>
                <w:sz w:val="17"/>
                <w:szCs w:val="17"/>
                <w:color w:val="auto"/>
              </w:rPr>
            </w:pPr>
          </w:p>
        </w:tc>
        <w:tc>
          <w:tcPr>
            <w:tcW w:w="800" w:type="dxa"/>
            <w:vAlign w:val="bottom"/>
            <w:tcBorders>
              <w:bottom w:val="single" w:sz="8" w:color="auto"/>
            </w:tcBorders>
            <w:shd w:val="clear" w:color="auto" w:fill="E0EBED"/>
          </w:tcPr>
          <w:p>
            <w:pPr>
              <w:jc w:val="right"/>
              <w:ind w:right="34"/>
              <w:spacing w:after="0"/>
              <w:rPr>
                <w:sz w:val="20"/>
                <w:szCs w:val="20"/>
                <w:color w:val="auto"/>
              </w:rPr>
            </w:pPr>
            <w:r>
              <w:rPr>
                <w:rFonts w:ascii="Arial" w:cs="Arial" w:eastAsia="Arial" w:hAnsi="Arial"/>
                <w:sz w:val="17"/>
                <w:szCs w:val="17"/>
                <w:color w:val="auto"/>
                <w:w w:val="90"/>
              </w:rPr>
              <w:t>(252,291)</w:t>
            </w:r>
          </w:p>
        </w:tc>
        <w:tc>
          <w:tcPr>
            <w:tcW w:w="2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shd w:val="clear" w:color="auto" w:fill="E0EBED"/>
          </w:tcPr>
          <w:p>
            <w:pPr>
              <w:spacing w:after="0"/>
              <w:rPr>
                <w:sz w:val="17"/>
                <w:szCs w:val="17"/>
                <w:color w:val="auto"/>
              </w:rPr>
            </w:pPr>
          </w:p>
        </w:tc>
        <w:tc>
          <w:tcPr>
            <w:tcW w:w="800" w:type="dxa"/>
            <w:vAlign w:val="bottom"/>
            <w:tcBorders>
              <w:bottom w:val="single" w:sz="8" w:color="auto"/>
            </w:tcBorders>
            <w:shd w:val="clear" w:color="auto" w:fill="E0EBED"/>
          </w:tcPr>
          <w:p>
            <w:pPr>
              <w:jc w:val="right"/>
              <w:ind w:right="34"/>
              <w:spacing w:after="0"/>
              <w:rPr>
                <w:sz w:val="20"/>
                <w:szCs w:val="20"/>
                <w:color w:val="auto"/>
              </w:rPr>
            </w:pPr>
            <w:r>
              <w:rPr>
                <w:rFonts w:ascii="Arial" w:cs="Arial" w:eastAsia="Arial" w:hAnsi="Arial"/>
                <w:sz w:val="17"/>
                <w:szCs w:val="17"/>
                <w:color w:val="auto"/>
                <w:w w:val="90"/>
              </w:rPr>
              <w:t>(609,388)</w:t>
            </w:r>
          </w:p>
        </w:tc>
        <w:tc>
          <w:tcPr>
            <w:tcW w:w="0" w:type="dxa"/>
            <w:vAlign w:val="bottom"/>
          </w:tcPr>
          <w:p>
            <w:pPr>
              <w:spacing w:after="0"/>
              <w:rPr>
                <w:sz w:val="1"/>
                <w:szCs w:val="1"/>
                <w:color w:val="auto"/>
              </w:rPr>
            </w:pPr>
          </w:p>
        </w:tc>
      </w:tr>
      <w:tr>
        <w:trPr>
          <w:trHeight w:val="170"/>
        </w:trPr>
        <w:tc>
          <w:tcPr>
            <w:tcW w:w="5900" w:type="dxa"/>
            <w:vAlign w:val="bottom"/>
            <w:gridSpan w:val="2"/>
          </w:tcPr>
          <w:p>
            <w:pPr>
              <w:spacing w:after="0" w:line="170" w:lineRule="exact"/>
              <w:rPr>
                <w:sz w:val="20"/>
                <w:szCs w:val="20"/>
                <w:color w:val="auto"/>
              </w:rPr>
            </w:pPr>
            <w:r>
              <w:rPr>
                <w:rFonts w:ascii="Arial" w:cs="Arial" w:eastAsia="Arial" w:hAnsi="Arial"/>
                <w:sz w:val="17"/>
                <w:szCs w:val="17"/>
                <w:color w:val="auto"/>
              </w:rPr>
              <w:t>Net Increase (Decrease) in Cash and Cash Equivalents</w:t>
            </w:r>
          </w:p>
        </w:tc>
        <w:tc>
          <w:tcPr>
            <w:tcW w:w="1920" w:type="dxa"/>
            <w:vAlign w:val="bottom"/>
          </w:tcPr>
          <w:p>
            <w:pPr>
              <w:spacing w:after="0"/>
              <w:rPr>
                <w:sz w:val="14"/>
                <w:szCs w:val="14"/>
                <w:color w:val="auto"/>
              </w:rPr>
            </w:pPr>
          </w:p>
        </w:tc>
        <w:tc>
          <w:tcPr>
            <w:tcW w:w="120" w:type="dxa"/>
            <w:vAlign w:val="bottom"/>
            <w:shd w:val="clear" w:color="auto" w:fill="CDDEE7"/>
          </w:tcPr>
          <w:p>
            <w:pPr>
              <w:spacing w:after="0"/>
              <w:rPr>
                <w:sz w:val="14"/>
                <w:szCs w:val="14"/>
                <w:color w:val="auto"/>
              </w:rPr>
            </w:pPr>
          </w:p>
        </w:tc>
        <w:tc>
          <w:tcPr>
            <w:tcW w:w="100" w:type="dxa"/>
            <w:vAlign w:val="bottom"/>
            <w:shd w:val="clear" w:color="auto" w:fill="CDDEE7"/>
          </w:tcPr>
          <w:p>
            <w:pPr>
              <w:spacing w:after="0"/>
              <w:rPr>
                <w:sz w:val="14"/>
                <w:szCs w:val="14"/>
                <w:color w:val="auto"/>
              </w:rPr>
            </w:pPr>
          </w:p>
        </w:tc>
        <w:tc>
          <w:tcPr>
            <w:tcW w:w="820" w:type="dxa"/>
            <w:vAlign w:val="bottom"/>
            <w:shd w:val="clear" w:color="auto" w:fill="CDDEE7"/>
          </w:tcPr>
          <w:p>
            <w:pPr>
              <w:jc w:val="right"/>
              <w:spacing w:after="0" w:line="170" w:lineRule="exact"/>
              <w:rPr>
                <w:sz w:val="20"/>
                <w:szCs w:val="20"/>
                <w:color w:val="auto"/>
              </w:rPr>
            </w:pPr>
            <w:r>
              <w:rPr>
                <w:rFonts w:ascii="Arial" w:cs="Arial" w:eastAsia="Arial" w:hAnsi="Arial"/>
                <w:sz w:val="17"/>
                <w:szCs w:val="17"/>
                <w:b w:val="1"/>
                <w:bCs w:val="1"/>
                <w:color w:val="auto"/>
              </w:rPr>
              <w:t>1,396,326</w:t>
            </w:r>
          </w:p>
        </w:tc>
        <w:tc>
          <w:tcPr>
            <w:tcW w:w="120" w:type="dxa"/>
            <w:vAlign w:val="bottom"/>
            <w:shd w:val="clear" w:color="auto" w:fill="CDDEE7"/>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shd w:val="clear" w:color="auto" w:fill="E0EBED"/>
          </w:tcPr>
          <w:p>
            <w:pPr>
              <w:spacing w:after="0"/>
              <w:rPr>
                <w:sz w:val="14"/>
                <w:szCs w:val="14"/>
                <w:color w:val="auto"/>
              </w:rPr>
            </w:pPr>
          </w:p>
        </w:tc>
        <w:tc>
          <w:tcPr>
            <w:tcW w:w="800" w:type="dxa"/>
            <w:vAlign w:val="bottom"/>
            <w:shd w:val="clear" w:color="auto" w:fill="E0EBED"/>
          </w:tcPr>
          <w:p>
            <w:pPr>
              <w:jc w:val="right"/>
              <w:ind w:right="34"/>
              <w:spacing w:after="0" w:line="170" w:lineRule="exact"/>
              <w:rPr>
                <w:sz w:val="20"/>
                <w:szCs w:val="20"/>
                <w:color w:val="auto"/>
              </w:rPr>
            </w:pPr>
            <w:r>
              <w:rPr>
                <w:rFonts w:ascii="Arial" w:cs="Arial" w:eastAsia="Arial" w:hAnsi="Arial"/>
                <w:sz w:val="17"/>
                <w:szCs w:val="17"/>
                <w:color w:val="auto"/>
                <w:w w:val="90"/>
              </w:rPr>
              <w:t>(118,371)</w:t>
            </w:r>
          </w:p>
        </w:tc>
        <w:tc>
          <w:tcPr>
            <w:tcW w:w="220" w:type="dxa"/>
            <w:vAlign w:val="bottom"/>
          </w:tcPr>
          <w:p>
            <w:pPr>
              <w:spacing w:after="0"/>
              <w:rPr>
                <w:sz w:val="14"/>
                <w:szCs w:val="14"/>
                <w:color w:val="auto"/>
              </w:rPr>
            </w:pPr>
          </w:p>
        </w:tc>
        <w:tc>
          <w:tcPr>
            <w:tcW w:w="200" w:type="dxa"/>
            <w:vAlign w:val="bottom"/>
            <w:shd w:val="clear" w:color="auto" w:fill="E0EBED"/>
          </w:tcPr>
          <w:p>
            <w:pPr>
              <w:spacing w:after="0"/>
              <w:rPr>
                <w:sz w:val="14"/>
                <w:szCs w:val="14"/>
                <w:color w:val="auto"/>
              </w:rPr>
            </w:pPr>
          </w:p>
        </w:tc>
        <w:tc>
          <w:tcPr>
            <w:tcW w:w="800" w:type="dxa"/>
            <w:vAlign w:val="bottom"/>
            <w:shd w:val="clear" w:color="auto" w:fill="E0EBED"/>
          </w:tcPr>
          <w:p>
            <w:pPr>
              <w:jc w:val="right"/>
              <w:ind w:right="34"/>
              <w:spacing w:after="0" w:line="170" w:lineRule="exact"/>
              <w:rPr>
                <w:sz w:val="20"/>
                <w:szCs w:val="20"/>
                <w:color w:val="auto"/>
              </w:rPr>
            </w:pPr>
            <w:r>
              <w:rPr>
                <w:rFonts w:ascii="Arial" w:cs="Arial" w:eastAsia="Arial" w:hAnsi="Arial"/>
                <w:sz w:val="17"/>
                <w:szCs w:val="17"/>
                <w:color w:val="auto"/>
              </w:rPr>
              <w:t>59,758</w:t>
            </w:r>
          </w:p>
        </w:tc>
        <w:tc>
          <w:tcPr>
            <w:tcW w:w="0" w:type="dxa"/>
            <w:vAlign w:val="bottom"/>
          </w:tcPr>
          <w:p>
            <w:pPr>
              <w:spacing w:after="0"/>
              <w:rPr>
                <w:sz w:val="1"/>
                <w:szCs w:val="1"/>
                <w:color w:val="auto"/>
              </w:rPr>
            </w:pPr>
          </w:p>
        </w:tc>
      </w:tr>
      <w:tr>
        <w:trPr>
          <w:trHeight w:val="225"/>
        </w:trPr>
        <w:tc>
          <w:tcPr>
            <w:tcW w:w="590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beginning of year</w:t>
            </w:r>
          </w:p>
        </w:tc>
        <w:tc>
          <w:tcPr>
            <w:tcW w:w="1920" w:type="dxa"/>
            <w:vAlign w:val="bottom"/>
          </w:tcPr>
          <w:p>
            <w:pPr>
              <w:spacing w:after="0"/>
              <w:rPr>
                <w:sz w:val="19"/>
                <w:szCs w:val="19"/>
                <w:color w:val="auto"/>
              </w:rPr>
            </w:pPr>
          </w:p>
        </w:tc>
        <w:tc>
          <w:tcPr>
            <w:tcW w:w="120" w:type="dxa"/>
            <w:vAlign w:val="bottom"/>
            <w:shd w:val="clear" w:color="auto" w:fill="CDDEE7"/>
          </w:tcPr>
          <w:p>
            <w:pPr>
              <w:spacing w:after="0"/>
              <w:rPr>
                <w:sz w:val="19"/>
                <w:szCs w:val="19"/>
                <w:color w:val="auto"/>
              </w:rPr>
            </w:pPr>
          </w:p>
        </w:tc>
        <w:tc>
          <w:tcPr>
            <w:tcW w:w="100" w:type="dxa"/>
            <w:vAlign w:val="bottom"/>
            <w:shd w:val="clear" w:color="auto" w:fill="CDDEE7"/>
          </w:tcPr>
          <w:p>
            <w:pPr>
              <w:spacing w:after="0"/>
              <w:rPr>
                <w:sz w:val="19"/>
                <w:szCs w:val="19"/>
                <w:color w:val="auto"/>
              </w:rPr>
            </w:pPr>
          </w:p>
        </w:tc>
        <w:tc>
          <w:tcPr>
            <w:tcW w:w="820" w:type="dxa"/>
            <w:vAlign w:val="bottom"/>
            <w:shd w:val="clear" w:color="auto" w:fill="CDDEE7"/>
          </w:tcPr>
          <w:p>
            <w:pPr>
              <w:jc w:val="right"/>
              <w:spacing w:after="0"/>
              <w:rPr>
                <w:sz w:val="20"/>
                <w:szCs w:val="20"/>
                <w:color w:val="auto"/>
              </w:rPr>
            </w:pPr>
            <w:r>
              <w:rPr>
                <w:rFonts w:ascii="Arial" w:cs="Arial" w:eastAsia="Arial" w:hAnsi="Arial"/>
                <w:sz w:val="17"/>
                <w:szCs w:val="17"/>
                <w:b w:val="1"/>
                <w:bCs w:val="1"/>
                <w:color w:val="auto"/>
              </w:rPr>
              <w:t>50,038</w:t>
            </w:r>
          </w:p>
        </w:tc>
        <w:tc>
          <w:tcPr>
            <w:tcW w:w="120" w:type="dxa"/>
            <w:vAlign w:val="bottom"/>
            <w:shd w:val="clear" w:color="auto" w:fill="CDDEE7"/>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shd w:val="clear" w:color="auto" w:fill="E0EBED"/>
          </w:tcPr>
          <w:p>
            <w:pPr>
              <w:spacing w:after="0"/>
              <w:rPr>
                <w:sz w:val="19"/>
                <w:szCs w:val="19"/>
                <w:color w:val="auto"/>
              </w:rPr>
            </w:pPr>
          </w:p>
        </w:tc>
        <w:tc>
          <w:tcPr>
            <w:tcW w:w="800" w:type="dxa"/>
            <w:vAlign w:val="bottom"/>
            <w:shd w:val="clear" w:color="auto" w:fill="E0EBED"/>
          </w:tcPr>
          <w:p>
            <w:pPr>
              <w:jc w:val="right"/>
              <w:ind w:right="34"/>
              <w:spacing w:after="0"/>
              <w:rPr>
                <w:sz w:val="20"/>
                <w:szCs w:val="20"/>
                <w:color w:val="auto"/>
              </w:rPr>
            </w:pPr>
            <w:r>
              <w:rPr>
                <w:rFonts w:ascii="Arial" w:cs="Arial" w:eastAsia="Arial" w:hAnsi="Arial"/>
                <w:sz w:val="17"/>
                <w:szCs w:val="17"/>
                <w:color w:val="auto"/>
              </w:rPr>
              <w:t>168,409</w:t>
            </w:r>
          </w:p>
        </w:tc>
        <w:tc>
          <w:tcPr>
            <w:tcW w:w="220" w:type="dxa"/>
            <w:vAlign w:val="bottom"/>
          </w:tcPr>
          <w:p>
            <w:pPr>
              <w:spacing w:after="0"/>
              <w:rPr>
                <w:sz w:val="19"/>
                <w:szCs w:val="19"/>
                <w:color w:val="auto"/>
              </w:rPr>
            </w:pPr>
          </w:p>
        </w:tc>
        <w:tc>
          <w:tcPr>
            <w:tcW w:w="200" w:type="dxa"/>
            <w:vAlign w:val="bottom"/>
            <w:shd w:val="clear" w:color="auto" w:fill="E0EBED"/>
          </w:tcPr>
          <w:p>
            <w:pPr>
              <w:spacing w:after="0"/>
              <w:rPr>
                <w:sz w:val="19"/>
                <w:szCs w:val="19"/>
                <w:color w:val="auto"/>
              </w:rPr>
            </w:pPr>
          </w:p>
        </w:tc>
        <w:tc>
          <w:tcPr>
            <w:tcW w:w="800" w:type="dxa"/>
            <w:vAlign w:val="bottom"/>
            <w:shd w:val="clear" w:color="auto" w:fill="E0EBED"/>
          </w:tcPr>
          <w:p>
            <w:pPr>
              <w:jc w:val="right"/>
              <w:ind w:right="34"/>
              <w:spacing w:after="0"/>
              <w:rPr>
                <w:sz w:val="20"/>
                <w:szCs w:val="20"/>
                <w:color w:val="auto"/>
              </w:rPr>
            </w:pPr>
            <w:r>
              <w:rPr>
                <w:rFonts w:ascii="Arial" w:cs="Arial" w:eastAsia="Arial" w:hAnsi="Arial"/>
                <w:sz w:val="17"/>
                <w:szCs w:val="17"/>
                <w:color w:val="auto"/>
              </w:rPr>
              <w:t>108,651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590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end of year</w:t>
            </w:r>
          </w:p>
        </w:tc>
        <w:tc>
          <w:tcPr>
            <w:tcW w:w="1920" w:type="dxa"/>
            <w:vAlign w:val="bottom"/>
          </w:tcPr>
          <w:p>
            <w:pPr>
              <w:spacing w:after="0"/>
              <w:rPr>
                <w:sz w:val="24"/>
                <w:szCs w:val="24"/>
                <w:color w:val="auto"/>
              </w:rPr>
            </w:pPr>
          </w:p>
        </w:tc>
        <w:tc>
          <w:tcPr>
            <w:tcW w:w="220" w:type="dxa"/>
            <w:vAlign w:val="bottom"/>
            <w:gridSpan w:val="2"/>
            <w:shd w:val="clear" w:color="auto" w:fill="CDDEE7"/>
          </w:tcPr>
          <w:p>
            <w:pPr>
              <w:jc w:val="right"/>
              <w:spacing w:after="0"/>
              <w:rPr>
                <w:sz w:val="20"/>
                <w:szCs w:val="20"/>
                <w:color w:val="auto"/>
              </w:rPr>
            </w:pPr>
            <w:r>
              <w:rPr>
                <w:rFonts w:ascii="Arial" w:cs="Arial" w:eastAsia="Arial" w:hAnsi="Arial"/>
                <w:sz w:val="17"/>
                <w:szCs w:val="17"/>
                <w:b w:val="1"/>
                <w:bCs w:val="1"/>
                <w:color w:val="auto"/>
              </w:rPr>
              <w:t>$</w:t>
            </w:r>
          </w:p>
        </w:tc>
        <w:tc>
          <w:tcPr>
            <w:tcW w:w="940" w:type="dxa"/>
            <w:vAlign w:val="bottom"/>
            <w:gridSpan w:val="2"/>
            <w:shd w:val="clear" w:color="auto" w:fill="CDDEE7"/>
          </w:tcPr>
          <w:p>
            <w:pPr>
              <w:jc w:val="right"/>
              <w:ind w:right="120"/>
              <w:spacing w:after="0"/>
              <w:rPr>
                <w:sz w:val="20"/>
                <w:szCs w:val="20"/>
                <w:color w:val="auto"/>
              </w:rPr>
            </w:pPr>
            <w:r>
              <w:rPr>
                <w:rFonts w:ascii="Arial" w:cs="Arial" w:eastAsia="Arial" w:hAnsi="Arial"/>
                <w:sz w:val="17"/>
                <w:szCs w:val="17"/>
                <w:b w:val="1"/>
                <w:bCs w:val="1"/>
                <w:color w:val="auto"/>
              </w:rPr>
              <w:t>1,446,364</w:t>
            </w:r>
          </w:p>
        </w:tc>
        <w:tc>
          <w:tcPr>
            <w:tcW w:w="220" w:type="dxa"/>
            <w:vAlign w:val="bottom"/>
          </w:tcPr>
          <w:p>
            <w:pPr>
              <w:spacing w:after="0"/>
              <w:rPr>
                <w:sz w:val="24"/>
                <w:szCs w:val="24"/>
                <w:color w:val="auto"/>
              </w:rPr>
            </w:pPr>
          </w:p>
        </w:tc>
        <w:tc>
          <w:tcPr>
            <w:tcW w:w="200" w:type="dxa"/>
            <w:vAlign w:val="bottom"/>
            <w:shd w:val="clear" w:color="auto" w:fill="E0EBED"/>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E0EBED"/>
          </w:tcPr>
          <w:p>
            <w:pPr>
              <w:jc w:val="right"/>
              <w:ind w:right="34"/>
              <w:spacing w:after="0"/>
              <w:rPr>
                <w:sz w:val="20"/>
                <w:szCs w:val="20"/>
                <w:color w:val="auto"/>
              </w:rPr>
            </w:pPr>
            <w:r>
              <w:rPr>
                <w:rFonts w:ascii="Arial" w:cs="Arial" w:eastAsia="Arial" w:hAnsi="Arial"/>
                <w:sz w:val="17"/>
                <w:szCs w:val="17"/>
                <w:color w:val="auto"/>
              </w:rPr>
              <w:t>50,038</w:t>
            </w:r>
          </w:p>
        </w:tc>
        <w:tc>
          <w:tcPr>
            <w:tcW w:w="220" w:type="dxa"/>
            <w:vAlign w:val="bottom"/>
          </w:tcPr>
          <w:p>
            <w:pPr>
              <w:spacing w:after="0"/>
              <w:rPr>
                <w:sz w:val="24"/>
                <w:szCs w:val="24"/>
                <w:color w:val="auto"/>
              </w:rPr>
            </w:pPr>
          </w:p>
        </w:tc>
        <w:tc>
          <w:tcPr>
            <w:tcW w:w="1000" w:type="dxa"/>
            <w:vAlign w:val="bottom"/>
            <w:gridSpan w:val="2"/>
            <w:shd w:val="clear" w:color="auto" w:fill="E0EBED"/>
          </w:tcPr>
          <w:p>
            <w:pPr>
              <w:jc w:val="right"/>
              <w:ind w:right="34"/>
              <w:spacing w:after="0"/>
              <w:rPr>
                <w:sz w:val="20"/>
                <w:szCs w:val="20"/>
                <w:color w:val="auto"/>
              </w:rPr>
            </w:pPr>
            <w:r>
              <w:rPr>
                <w:rFonts w:ascii="Arial" w:cs="Arial" w:eastAsia="Arial" w:hAnsi="Arial"/>
                <w:sz w:val="17"/>
                <w:szCs w:val="17"/>
                <w:color w:val="auto"/>
              </w:rPr>
              <w:t>$ 168,409</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880" w:type="dxa"/>
            <w:vAlign w:val="bottom"/>
            <w:shd w:val="clear" w:color="auto" w:fill="000000"/>
          </w:tcPr>
          <w:p>
            <w:pPr>
              <w:spacing w:after="0"/>
              <w:rPr>
                <w:sz w:val="2"/>
                <w:szCs w:val="2"/>
                <w:color w:val="auto"/>
              </w:rPr>
            </w:pPr>
          </w:p>
        </w:tc>
        <w:tc>
          <w:tcPr>
            <w:tcW w:w="19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08"/>
        </w:trPr>
        <w:tc>
          <w:tcPr>
            <w:tcW w:w="5900" w:type="dxa"/>
            <w:vAlign w:val="bottom"/>
            <w:gridSpan w:val="2"/>
          </w:tcPr>
          <w:p>
            <w:pPr>
              <w:spacing w:after="0"/>
              <w:rPr>
                <w:sz w:val="20"/>
                <w:szCs w:val="20"/>
                <w:color w:val="auto"/>
              </w:rPr>
            </w:pPr>
            <w:r>
              <w:rPr>
                <w:rFonts w:ascii="Arial" w:cs="Arial" w:eastAsia="Arial" w:hAnsi="Arial"/>
                <w:sz w:val="16"/>
                <w:szCs w:val="16"/>
                <w:color w:val="auto"/>
                <w:w w:val="98"/>
              </w:rPr>
              <w:t>The notes on pages 15 through 41 are an integral part of these financial statements.</w:t>
            </w: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5880" w:type="dxa"/>
            <w:vAlign w:val="bottom"/>
          </w:tcPr>
          <w:p>
            <w:pPr>
              <w:ind w:left="4800"/>
              <w:spacing w:after="0"/>
              <w:rPr>
                <w:sz w:val="20"/>
                <w:szCs w:val="20"/>
                <w:color w:val="auto"/>
              </w:rPr>
            </w:pPr>
            <w:r>
              <w:rPr>
                <w:rFonts w:ascii="Arial" w:cs="Arial" w:eastAsia="Arial" w:hAnsi="Arial"/>
                <w:sz w:val="15"/>
                <w:szCs w:val="15"/>
                <w:b w:val="1"/>
                <w:bCs w:val="1"/>
                <w:color w:val="4D5358"/>
                <w:w w:val="99"/>
              </w:rPr>
              <w:t>Martin Marietta</w:t>
            </w:r>
          </w:p>
        </w:tc>
        <w:tc>
          <w:tcPr>
            <w:tcW w:w="2140" w:type="dxa"/>
            <w:vAlign w:val="bottom"/>
            <w:gridSpan w:val="3"/>
          </w:tcPr>
          <w:p>
            <w:pPr>
              <w:jc w:val="right"/>
              <w:ind w:right="1344"/>
              <w:spacing w:after="0"/>
              <w:rPr>
                <w:sz w:val="20"/>
                <w:szCs w:val="20"/>
                <w:color w:val="auto"/>
              </w:rPr>
            </w:pPr>
            <w:r>
              <w:rPr>
                <w:rFonts w:ascii="Arial" w:cs="Arial" w:eastAsia="Arial" w:hAnsi="Arial"/>
                <w:sz w:val="15"/>
                <w:szCs w:val="15"/>
                <w:b w:val="1"/>
                <w:bCs w:val="1"/>
                <w:color w:val="4D5358"/>
              </w:rPr>
              <w:t xml:space="preserve">| </w:t>
            </w:r>
            <w:r>
              <w:rPr>
                <w:rFonts w:ascii="Arial" w:cs="Arial" w:eastAsia="Arial" w:hAnsi="Arial"/>
                <w:sz w:val="15"/>
                <w:szCs w:val="15"/>
                <w:color w:val="0085CD"/>
              </w:rPr>
              <w:t>Page 13</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76" w:right="239" w:bottom="1440" w:gutter="0" w:footer="0" w:header="0"/>
        </w:sectPr>
      </w:pPr>
    </w:p>
    <w:bookmarkStart w:id="66" w:name="page67"/>
    <w:bookmarkEnd w:id="66"/>
    <w:p>
      <w:pPr>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1">
                      <a:extLst>
                        <a:ext uri="{28A0092B-C50C-407E-A947-70E740481C1C}"/>
                      </a:extLst>
                    </a:blip>
                    <a:srcRect/>
                    <a:stretch>
                      <a:fillRect/>
                    </a:stretch>
                  </pic:blipFill>
                  <pic:spPr bwMode="auto">
                    <a:xfrm>
                      <a:off x="0" y="0"/>
                      <a:ext cx="7293610" cy="37465"/>
                    </a:xfrm>
                    <a:prstGeom prst="rect">
                      <a:avLst/>
                    </a:prstGeom>
                    <a:noFill/>
                  </pic:spPr>
                </pic:pic>
              </a:graphicData>
            </a:graphic>
          </wp:anchor>
        </w:drawing>
        <w:drawing>
          <wp:anchor simplePos="0" relativeHeight="251657728" behindDoc="1" locked="0" layoutInCell="0" allowOverlap="1">
            <wp:simplePos x="0" y="0"/>
            <wp:positionH relativeFrom="page">
              <wp:posOffset>154940</wp:posOffset>
            </wp:positionH>
            <wp:positionV relativeFrom="page">
              <wp:posOffset>179705</wp:posOffset>
            </wp:positionV>
            <wp:extent cx="4491355" cy="280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2">
                      <a:extLst>
                        <a:ext uri="{28A0092B-C50C-407E-A947-70E740481C1C}"/>
                      </a:extLst>
                    </a:blip>
                    <a:srcRect/>
                    <a:stretch>
                      <a:fillRect/>
                    </a:stretch>
                  </pic:blipFill>
                  <pic:spPr bwMode="auto">
                    <a:xfrm>
                      <a:off x="0" y="0"/>
                      <a:ext cx="4491355" cy="280035"/>
                    </a:xfrm>
                    <a:prstGeom prst="rect">
                      <a:avLst/>
                    </a:prstGeom>
                    <a:noFill/>
                  </pic:spPr>
                </pic:pic>
              </a:graphicData>
            </a:graphic>
          </wp:anchor>
        </w:drawing>
        <w:t>CONSOLIDATED STATEMENTS OF TOTAL EQUITY</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Arial" w:cs="Arial" w:eastAsia="Arial" w:hAnsi="Arial"/>
                <w:sz w:val="14"/>
                <w:szCs w:val="14"/>
                <w:b w:val="1"/>
                <w:bCs w:val="1"/>
                <w:color w:val="auto"/>
                <w:w w:val="97"/>
              </w:rPr>
              <w:t>Accumulated</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80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w w:val="97"/>
              </w:rPr>
              <w:t>Shares of</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jc w:val="right"/>
              <w:ind w:right="47"/>
              <w:spacing w:after="0" w:line="156" w:lineRule="exact"/>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3"/>
                <w:szCs w:val="13"/>
                <w:color w:val="auto"/>
              </w:rPr>
            </w:pPr>
          </w:p>
        </w:tc>
        <w:tc>
          <w:tcPr>
            <w:tcW w:w="1040" w:type="dxa"/>
            <w:vAlign w:val="bottom"/>
          </w:tcPr>
          <w:p>
            <w:pPr>
              <w:jc w:val="right"/>
              <w:ind w:right="347"/>
              <w:spacing w:after="0" w:line="156" w:lineRule="exact"/>
              <w:rPr>
                <w:sz w:val="20"/>
                <w:szCs w:val="20"/>
                <w:color w:val="auto"/>
              </w:rPr>
            </w:pPr>
            <w:r>
              <w:rPr>
                <w:rFonts w:ascii="Arial" w:cs="Arial" w:eastAsia="Arial" w:hAnsi="Arial"/>
                <w:sz w:val="14"/>
                <w:szCs w:val="14"/>
                <w:b w:val="1"/>
                <w:bCs w:val="1"/>
                <w:color w:val="auto"/>
              </w:rPr>
              <w:t>Other</w:t>
            </w: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ind w:right="307"/>
              <w:spacing w:after="0" w:line="156" w:lineRule="exact"/>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3"/>
                <w:szCs w:val="13"/>
                <w:color w:val="auto"/>
              </w:rPr>
            </w:pPr>
          </w:p>
        </w:tc>
        <w:tc>
          <w:tcPr>
            <w:tcW w:w="660" w:type="dxa"/>
            <w:vAlign w:val="bottom"/>
          </w:tcPr>
          <w:p>
            <w:pPr>
              <w:jc w:val="right"/>
              <w:ind w:right="207"/>
              <w:spacing w:after="0" w:line="156" w:lineRule="exact"/>
              <w:rPr>
                <w:sz w:val="20"/>
                <w:szCs w:val="20"/>
                <w:color w:val="auto"/>
              </w:rPr>
            </w:pPr>
            <w:r>
              <w:rPr>
                <w:rFonts w:ascii="Arial" w:cs="Arial" w:eastAsia="Arial" w:hAnsi="Arial"/>
                <w:sz w:val="14"/>
                <w:szCs w:val="14"/>
                <w:b w:val="1"/>
                <w:bCs w:val="1"/>
                <w:color w:val="auto"/>
              </w:rPr>
              <w:t>Non-</w:t>
            </w:r>
          </w:p>
        </w:tc>
        <w:tc>
          <w:tcPr>
            <w:tcW w:w="900" w:type="dxa"/>
            <w:vAlign w:val="bottom"/>
            <w:vMerge w:val="restart"/>
          </w:tcPr>
          <w:p>
            <w:pPr>
              <w:jc w:val="right"/>
              <w:ind w:right="227"/>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8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8"/>
              </w:rPr>
              <w:t>Common</w:t>
            </w:r>
          </w:p>
        </w:tc>
        <w:tc>
          <w:tcPr>
            <w:tcW w:w="780" w:type="dxa"/>
            <w:vAlign w:val="bottom"/>
            <w:gridSpan w:val="2"/>
          </w:tcPr>
          <w:p>
            <w:pPr>
              <w:ind w:left="80"/>
              <w:spacing w:after="0" w:line="143" w:lineRule="exact"/>
              <w:rPr>
                <w:sz w:val="20"/>
                <w:szCs w:val="20"/>
                <w:color w:val="auto"/>
              </w:rPr>
            </w:pPr>
            <w:r>
              <w:rPr>
                <w:rFonts w:ascii="Arial" w:cs="Arial" w:eastAsia="Arial" w:hAnsi="Arial"/>
                <w:sz w:val="14"/>
                <w:szCs w:val="14"/>
                <w:b w:val="1"/>
                <w:bCs w:val="1"/>
                <w:color w:val="auto"/>
              </w:rPr>
              <w:t>Common</w:t>
            </w:r>
          </w:p>
        </w:tc>
        <w:tc>
          <w:tcPr>
            <w:tcW w:w="920" w:type="dxa"/>
            <w:vAlign w:val="bottom"/>
          </w:tcPr>
          <w:p>
            <w:pPr>
              <w:jc w:val="right"/>
              <w:ind w:right="167"/>
              <w:spacing w:after="0" w:line="143" w:lineRule="exact"/>
              <w:rPr>
                <w:sz w:val="20"/>
                <w:szCs w:val="20"/>
                <w:color w:val="auto"/>
              </w:rPr>
            </w:pPr>
            <w:r>
              <w:rPr>
                <w:rFonts w:ascii="Arial" w:cs="Arial" w:eastAsia="Arial" w:hAnsi="Arial"/>
                <w:sz w:val="14"/>
                <w:szCs w:val="14"/>
                <w:b w:val="1"/>
                <w:bCs w:val="1"/>
                <w:color w:val="auto"/>
              </w:rPr>
              <w:t>Paid-In</w:t>
            </w:r>
          </w:p>
        </w:tc>
        <w:tc>
          <w:tcPr>
            <w:tcW w:w="1200" w:type="dxa"/>
            <w:vAlign w:val="bottom"/>
            <w:gridSpan w:val="2"/>
          </w:tcPr>
          <w:p>
            <w:pPr>
              <w:ind w:left="80"/>
              <w:spacing w:after="0" w:line="143" w:lineRule="exact"/>
              <w:rPr>
                <w:sz w:val="20"/>
                <w:szCs w:val="20"/>
                <w:color w:val="auto"/>
              </w:rPr>
            </w:pPr>
            <w:r>
              <w:rPr>
                <w:rFonts w:ascii="Arial" w:cs="Arial" w:eastAsia="Arial" w:hAnsi="Arial"/>
                <w:sz w:val="14"/>
                <w:szCs w:val="14"/>
                <w:b w:val="1"/>
                <w:bCs w:val="1"/>
                <w:color w:val="auto"/>
              </w:rPr>
              <w:t>Comprehensive</w:t>
            </w:r>
          </w:p>
        </w:tc>
        <w:tc>
          <w:tcPr>
            <w:tcW w:w="920" w:type="dxa"/>
            <w:vAlign w:val="bottom"/>
          </w:tcPr>
          <w:p>
            <w:pPr>
              <w:jc w:val="right"/>
              <w:ind w:right="127"/>
              <w:spacing w:after="0" w:line="143" w:lineRule="exact"/>
              <w:rPr>
                <w:sz w:val="20"/>
                <w:szCs w:val="20"/>
                <w:color w:val="auto"/>
              </w:rPr>
            </w:pPr>
            <w:r>
              <w:rPr>
                <w:rFonts w:ascii="Arial" w:cs="Arial" w:eastAsia="Arial" w:hAnsi="Arial"/>
                <w:sz w:val="14"/>
                <w:szCs w:val="14"/>
                <w:b w:val="1"/>
                <w:bCs w:val="1"/>
                <w:color w:val="auto"/>
              </w:rPr>
              <w:t>Retained</w:t>
            </w:r>
          </w:p>
        </w:tc>
        <w:tc>
          <w:tcPr>
            <w:tcW w:w="1060" w:type="dxa"/>
            <w:vAlign w:val="bottom"/>
            <w:gridSpan w:val="2"/>
          </w:tcPr>
          <w:p>
            <w:pPr>
              <w:ind w:left="60"/>
              <w:spacing w:after="0" w:line="143" w:lineRule="exact"/>
              <w:rPr>
                <w:sz w:val="20"/>
                <w:szCs w:val="20"/>
                <w:color w:val="auto"/>
              </w:rPr>
            </w:pPr>
            <w:r>
              <w:rPr>
                <w:rFonts w:ascii="Arial" w:cs="Arial" w:eastAsia="Arial" w:hAnsi="Arial"/>
                <w:sz w:val="14"/>
                <w:szCs w:val="14"/>
                <w:b w:val="1"/>
                <w:bCs w:val="1"/>
                <w:color w:val="auto"/>
              </w:rPr>
              <w:t>Shareholders’</w:t>
            </w:r>
          </w:p>
        </w:tc>
        <w:tc>
          <w:tcPr>
            <w:tcW w:w="860" w:type="dxa"/>
            <w:vAlign w:val="bottom"/>
            <w:gridSpan w:val="2"/>
          </w:tcPr>
          <w:p>
            <w:pPr>
              <w:ind w:left="80"/>
              <w:spacing w:after="0" w:line="143" w:lineRule="exact"/>
              <w:rPr>
                <w:sz w:val="20"/>
                <w:szCs w:val="20"/>
                <w:color w:val="auto"/>
              </w:rPr>
            </w:pPr>
            <w:r>
              <w:rPr>
                <w:rFonts w:ascii="Arial" w:cs="Arial" w:eastAsia="Arial" w:hAnsi="Arial"/>
                <w:sz w:val="14"/>
                <w:szCs w:val="14"/>
                <w:b w:val="1"/>
                <w:bCs w:val="1"/>
                <w:color w:val="auto"/>
              </w:rPr>
              <w:t>controlling</w:t>
            </w: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980" w:type="dxa"/>
            <w:vAlign w:val="bottom"/>
            <w:gridSpan w:val="2"/>
          </w:tcPr>
          <w:p>
            <w:pPr>
              <w:spacing w:after="0"/>
              <w:rPr>
                <w:sz w:val="20"/>
                <w:szCs w:val="20"/>
                <w:color w:val="auto"/>
              </w:rPr>
            </w:pPr>
            <w:r>
              <w:rPr>
                <w:rFonts w:ascii="Arial" w:cs="Arial" w:eastAsia="Arial" w:hAnsi="Arial"/>
                <w:sz w:val="14"/>
                <w:szCs w:val="14"/>
                <w:color w:val="auto"/>
              </w:rPr>
              <w:t>(add 000, except per share data)</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9"/>
              </w:rPr>
              <w:t>Stock</w:t>
            </w:r>
          </w:p>
        </w:tc>
        <w:tc>
          <w:tcPr>
            <w:tcW w:w="18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4"/>
                <w:szCs w:val="14"/>
                <w:b w:val="1"/>
                <w:bCs w:val="1"/>
                <w:color w:val="auto"/>
              </w:rPr>
              <w:t>Stock</w:t>
            </w:r>
          </w:p>
        </w:tc>
        <w:tc>
          <w:tcPr>
            <w:tcW w:w="920" w:type="dxa"/>
            <w:vAlign w:val="bottom"/>
          </w:tcPr>
          <w:p>
            <w:pPr>
              <w:jc w:val="right"/>
              <w:ind w:right="167"/>
              <w:spacing w:after="0"/>
              <w:rPr>
                <w:sz w:val="20"/>
                <w:szCs w:val="20"/>
                <w:color w:val="auto"/>
              </w:rPr>
            </w:pPr>
            <w:r>
              <w:rPr>
                <w:rFonts w:ascii="Arial" w:cs="Arial" w:eastAsia="Arial" w:hAnsi="Arial"/>
                <w:sz w:val="14"/>
                <w:szCs w:val="14"/>
                <w:b w:val="1"/>
                <w:bCs w:val="1"/>
                <w:color w:val="auto"/>
              </w:rPr>
              <w:t>Capital</w:t>
            </w: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(Loss) Earnings</w:t>
            </w:r>
          </w:p>
        </w:tc>
        <w:tc>
          <w:tcPr>
            <w:tcW w:w="920" w:type="dxa"/>
            <w:vAlign w:val="bottom"/>
          </w:tcPr>
          <w:p>
            <w:pPr>
              <w:jc w:val="right"/>
              <w:ind w:right="107"/>
              <w:spacing w:after="0"/>
              <w:rPr>
                <w:sz w:val="20"/>
                <w:szCs w:val="20"/>
                <w:color w:val="auto"/>
              </w:rPr>
            </w:pPr>
            <w:r>
              <w:rPr>
                <w:rFonts w:ascii="Arial" w:cs="Arial" w:eastAsia="Arial" w:hAnsi="Arial"/>
                <w:sz w:val="14"/>
                <w:szCs w:val="14"/>
                <w:b w:val="1"/>
                <w:bCs w:val="1"/>
                <w:color w:val="auto"/>
              </w:rPr>
              <w:t>Earnings</w:t>
            </w:r>
          </w:p>
        </w:tc>
        <w:tc>
          <w:tcPr>
            <w:tcW w:w="220" w:type="dxa"/>
            <w:vAlign w:val="bottom"/>
          </w:tcPr>
          <w:p>
            <w:pPr>
              <w:spacing w:after="0"/>
              <w:rPr>
                <w:sz w:val="15"/>
                <w:szCs w:val="15"/>
                <w:color w:val="auto"/>
              </w:rPr>
            </w:pPr>
          </w:p>
        </w:tc>
        <w:tc>
          <w:tcPr>
            <w:tcW w:w="840" w:type="dxa"/>
            <w:vAlign w:val="bottom"/>
          </w:tcPr>
          <w:p>
            <w:pPr>
              <w:jc w:val="right"/>
              <w:ind w:right="247"/>
              <w:spacing w:after="0"/>
              <w:rPr>
                <w:sz w:val="20"/>
                <w:szCs w:val="20"/>
                <w:color w:val="auto"/>
              </w:rPr>
            </w:pPr>
            <w:r>
              <w:rPr>
                <w:rFonts w:ascii="Arial" w:cs="Arial" w:eastAsia="Arial" w:hAnsi="Arial"/>
                <w:sz w:val="14"/>
                <w:szCs w:val="14"/>
                <w:b w:val="1"/>
                <w:bCs w:val="1"/>
                <w:color w:val="auto"/>
              </w:rPr>
              <w:t>Equity</w:t>
            </w:r>
          </w:p>
        </w:tc>
        <w:tc>
          <w:tcPr>
            <w:tcW w:w="860" w:type="dxa"/>
            <w:vAlign w:val="bottom"/>
            <w:gridSpan w:val="2"/>
          </w:tcPr>
          <w:p>
            <w:pPr>
              <w:jc w:val="right"/>
              <w:ind w:right="67"/>
              <w:spacing w:after="0"/>
              <w:rPr>
                <w:sz w:val="20"/>
                <w:szCs w:val="20"/>
                <w:color w:val="auto"/>
              </w:rPr>
            </w:pPr>
            <w:r>
              <w:rPr>
                <w:rFonts w:ascii="Arial" w:cs="Arial" w:eastAsia="Arial" w:hAnsi="Arial"/>
                <w:sz w:val="14"/>
                <w:szCs w:val="14"/>
                <w:b w:val="1"/>
                <w:bCs w:val="1"/>
                <w:color w:val="auto"/>
              </w:rPr>
              <w:t>Interests</w:t>
            </w:r>
          </w:p>
        </w:tc>
        <w:tc>
          <w:tcPr>
            <w:tcW w:w="900" w:type="dxa"/>
            <w:vAlign w:val="bottom"/>
          </w:tcPr>
          <w:p>
            <w:pPr>
              <w:jc w:val="right"/>
              <w:ind w:right="187"/>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Borders>
              <w:top w:val="single" w:sz="8" w:color="auto"/>
            </w:tcBorders>
          </w:tcPr>
          <w:p>
            <w:pPr>
              <w:spacing w:after="0" w:line="149" w:lineRule="exact"/>
              <w:rPr>
                <w:sz w:val="20"/>
                <w:szCs w:val="20"/>
                <w:color w:val="auto"/>
              </w:rPr>
            </w:pPr>
            <w:r>
              <w:rPr>
                <w:rFonts w:ascii="Arial" w:cs="Arial" w:eastAsia="Arial" w:hAnsi="Arial"/>
                <w:sz w:val="15"/>
                <w:szCs w:val="15"/>
                <w:color w:val="auto"/>
              </w:rPr>
              <w:t>Balance at December 31, 2014</w:t>
            </w:r>
          </w:p>
        </w:tc>
        <w:tc>
          <w:tcPr>
            <w:tcW w:w="800" w:type="dxa"/>
            <w:vAlign w:val="bottom"/>
            <w:tcBorders>
              <w:top w:val="single" w:sz="8" w:color="auto"/>
            </w:tcBorders>
            <w:shd w:val="clear" w:color="auto" w:fill="E0EBED"/>
          </w:tcPr>
          <w:p>
            <w:pPr>
              <w:jc w:val="right"/>
              <w:ind w:right="27"/>
              <w:spacing w:after="0" w:line="149" w:lineRule="exact"/>
              <w:rPr>
                <w:sz w:val="20"/>
                <w:szCs w:val="20"/>
                <w:color w:val="auto"/>
              </w:rPr>
            </w:pPr>
            <w:r>
              <w:rPr>
                <w:rFonts w:ascii="Arial" w:cs="Arial" w:eastAsia="Arial" w:hAnsi="Arial"/>
                <w:sz w:val="15"/>
                <w:szCs w:val="15"/>
                <w:color w:val="auto"/>
              </w:rPr>
              <w:t>67,293</w:t>
            </w:r>
          </w:p>
        </w:tc>
        <w:tc>
          <w:tcPr>
            <w:tcW w:w="180" w:type="dxa"/>
            <w:vAlign w:val="bottom"/>
            <w:tcBorders>
              <w:top w:val="single" w:sz="8" w:color="auto"/>
            </w:tcBorders>
            <w:shd w:val="clear" w:color="auto" w:fill="E0EBED"/>
          </w:tcPr>
          <w:p>
            <w:pPr>
              <w:ind w:left="80"/>
              <w:spacing w:after="0" w:line="149" w:lineRule="exact"/>
              <w:rPr>
                <w:sz w:val="20"/>
                <w:szCs w:val="20"/>
                <w:color w:val="auto"/>
              </w:rPr>
            </w:pPr>
            <w:r>
              <w:rPr>
                <w:rFonts w:ascii="Arial" w:cs="Arial" w:eastAsia="Arial" w:hAnsi="Arial"/>
                <w:sz w:val="15"/>
                <w:szCs w:val="15"/>
                <w:color w:val="auto"/>
                <w:w w:val="95"/>
              </w:rPr>
              <w:t>$</w:t>
            </w:r>
          </w:p>
        </w:tc>
        <w:tc>
          <w:tcPr>
            <w:tcW w:w="600" w:type="dxa"/>
            <w:vAlign w:val="bottom"/>
            <w:tcBorders>
              <w:top w:val="single" w:sz="8" w:color="auto"/>
            </w:tcBorders>
            <w:shd w:val="clear" w:color="auto" w:fill="E0EBED"/>
          </w:tcPr>
          <w:p>
            <w:pPr>
              <w:ind w:left="260"/>
              <w:spacing w:after="0" w:line="149" w:lineRule="exact"/>
              <w:rPr>
                <w:sz w:val="20"/>
                <w:szCs w:val="20"/>
                <w:color w:val="auto"/>
              </w:rPr>
            </w:pPr>
            <w:r>
              <w:rPr>
                <w:rFonts w:ascii="Arial" w:cs="Arial" w:eastAsia="Arial" w:hAnsi="Arial"/>
                <w:sz w:val="15"/>
                <w:szCs w:val="15"/>
                <w:color w:val="auto"/>
              </w:rPr>
              <w:t>671</w:t>
            </w:r>
          </w:p>
        </w:tc>
        <w:tc>
          <w:tcPr>
            <w:tcW w:w="920" w:type="dxa"/>
            <w:vAlign w:val="bottom"/>
            <w:tcBorders>
              <w:top w:val="single" w:sz="8" w:color="auto"/>
            </w:tcBorders>
            <w:shd w:val="clear" w:color="auto" w:fill="E0EBED"/>
          </w:tcPr>
          <w:p>
            <w:pPr>
              <w:jc w:val="right"/>
              <w:ind w:right="27"/>
              <w:spacing w:after="0" w:line="149" w:lineRule="exact"/>
              <w:rPr>
                <w:sz w:val="20"/>
                <w:szCs w:val="20"/>
                <w:color w:val="auto"/>
              </w:rPr>
            </w:pPr>
            <w:r>
              <w:rPr>
                <w:rFonts w:ascii="Arial" w:cs="Arial" w:eastAsia="Arial" w:hAnsi="Arial"/>
                <w:sz w:val="15"/>
                <w:szCs w:val="15"/>
                <w:color w:val="auto"/>
              </w:rPr>
              <w:t>$ 3,243,619</w:t>
            </w:r>
          </w:p>
        </w:tc>
        <w:tc>
          <w:tcPr>
            <w:tcW w:w="160" w:type="dxa"/>
            <w:vAlign w:val="bottom"/>
            <w:tcBorders>
              <w:top w:val="single" w:sz="8" w:color="auto"/>
            </w:tcBorders>
            <w:shd w:val="clear" w:color="auto" w:fill="E0EBED"/>
          </w:tcPr>
          <w:p>
            <w:pPr>
              <w:ind w:left="80"/>
              <w:spacing w:after="0" w:line="149" w:lineRule="exact"/>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E0EBED"/>
          </w:tcPr>
          <w:p>
            <w:pPr>
              <w:jc w:val="right"/>
              <w:ind w:right="7"/>
              <w:spacing w:after="0" w:line="149" w:lineRule="exact"/>
              <w:rPr>
                <w:sz w:val="20"/>
                <w:szCs w:val="20"/>
                <w:color w:val="auto"/>
              </w:rPr>
            </w:pPr>
            <w:r>
              <w:rPr>
                <w:rFonts w:ascii="Arial" w:cs="Arial" w:eastAsia="Arial" w:hAnsi="Arial"/>
                <w:sz w:val="15"/>
                <w:szCs w:val="15"/>
                <w:color w:val="auto"/>
              </w:rPr>
              <w:t>(106,159)</w:t>
            </w:r>
          </w:p>
        </w:tc>
        <w:tc>
          <w:tcPr>
            <w:tcW w:w="920" w:type="dxa"/>
            <w:vAlign w:val="bottom"/>
            <w:tcBorders>
              <w:top w:val="single" w:sz="8" w:color="auto"/>
            </w:tcBorders>
            <w:shd w:val="clear" w:color="auto" w:fill="E0EBED"/>
          </w:tcPr>
          <w:p>
            <w:pPr>
              <w:jc w:val="right"/>
              <w:ind w:right="27"/>
              <w:spacing w:after="0" w:line="149" w:lineRule="exact"/>
              <w:rPr>
                <w:sz w:val="20"/>
                <w:szCs w:val="20"/>
                <w:color w:val="auto"/>
              </w:rPr>
            </w:pPr>
            <w:r>
              <w:rPr>
                <w:rFonts w:ascii="Arial" w:cs="Arial" w:eastAsia="Arial" w:hAnsi="Arial"/>
                <w:sz w:val="15"/>
                <w:szCs w:val="15"/>
                <w:color w:val="auto"/>
              </w:rPr>
              <w:t>$ 1,213,035</w:t>
            </w:r>
          </w:p>
        </w:tc>
        <w:tc>
          <w:tcPr>
            <w:tcW w:w="220" w:type="dxa"/>
            <w:vAlign w:val="bottom"/>
            <w:tcBorders>
              <w:top w:val="single" w:sz="8" w:color="auto"/>
            </w:tcBorders>
            <w:shd w:val="clear" w:color="auto" w:fill="E0EBED"/>
          </w:tcPr>
          <w:p>
            <w:pPr>
              <w:ind w:left="60"/>
              <w:spacing w:after="0" w:line="149" w:lineRule="exact"/>
              <w:rPr>
                <w:sz w:val="20"/>
                <w:szCs w:val="20"/>
                <w:color w:val="auto"/>
              </w:rPr>
            </w:pPr>
            <w:r>
              <w:rPr>
                <w:rFonts w:ascii="Arial" w:cs="Arial" w:eastAsia="Arial" w:hAnsi="Arial"/>
                <w:sz w:val="15"/>
                <w:szCs w:val="15"/>
                <w:color w:val="auto"/>
              </w:rPr>
              <w:t>$</w:t>
            </w:r>
          </w:p>
        </w:tc>
        <w:tc>
          <w:tcPr>
            <w:tcW w:w="840" w:type="dxa"/>
            <w:vAlign w:val="bottom"/>
            <w:tcBorders>
              <w:top w:val="single" w:sz="8" w:color="auto"/>
            </w:tcBorders>
            <w:shd w:val="clear" w:color="auto" w:fill="E0EBED"/>
          </w:tcPr>
          <w:p>
            <w:pPr>
              <w:jc w:val="right"/>
              <w:spacing w:after="0" w:line="149" w:lineRule="exact"/>
              <w:rPr>
                <w:sz w:val="20"/>
                <w:szCs w:val="20"/>
                <w:color w:val="auto"/>
              </w:rPr>
            </w:pPr>
            <w:r>
              <w:rPr>
                <w:rFonts w:ascii="Arial" w:cs="Arial" w:eastAsia="Arial" w:hAnsi="Arial"/>
                <w:sz w:val="15"/>
                <w:szCs w:val="15"/>
                <w:color w:val="auto"/>
              </w:rPr>
              <w:t>4,351,166</w:t>
            </w:r>
          </w:p>
        </w:tc>
        <w:tc>
          <w:tcPr>
            <w:tcW w:w="200" w:type="dxa"/>
            <w:vAlign w:val="bottom"/>
            <w:tcBorders>
              <w:top w:val="single" w:sz="8" w:color="auto"/>
            </w:tcBorders>
            <w:shd w:val="clear" w:color="auto" w:fill="E0EBED"/>
          </w:tcPr>
          <w:p>
            <w:pPr>
              <w:ind w:left="60"/>
              <w:spacing w:after="0" w:line="149" w:lineRule="exact"/>
              <w:rPr>
                <w:sz w:val="20"/>
                <w:szCs w:val="20"/>
                <w:color w:val="auto"/>
              </w:rPr>
            </w:pPr>
            <w:r>
              <w:rPr>
                <w:rFonts w:ascii="Arial" w:cs="Arial" w:eastAsia="Arial" w:hAnsi="Arial"/>
                <w:sz w:val="15"/>
                <w:szCs w:val="15"/>
                <w:color w:val="auto"/>
              </w:rPr>
              <w:t>$</w:t>
            </w:r>
          </w:p>
        </w:tc>
        <w:tc>
          <w:tcPr>
            <w:tcW w:w="660" w:type="dxa"/>
            <w:vAlign w:val="bottom"/>
            <w:tcBorders>
              <w:top w:val="single" w:sz="8" w:color="auto"/>
            </w:tcBorders>
            <w:shd w:val="clear" w:color="auto" w:fill="E0EBED"/>
          </w:tcPr>
          <w:p>
            <w:pPr>
              <w:jc w:val="right"/>
              <w:spacing w:after="0" w:line="149" w:lineRule="exact"/>
              <w:rPr>
                <w:sz w:val="20"/>
                <w:szCs w:val="20"/>
                <w:color w:val="auto"/>
              </w:rPr>
            </w:pPr>
            <w:r>
              <w:rPr>
                <w:rFonts w:ascii="Arial" w:cs="Arial" w:eastAsia="Arial" w:hAnsi="Arial"/>
                <w:sz w:val="15"/>
                <w:szCs w:val="15"/>
                <w:color w:val="auto"/>
              </w:rPr>
              <w:t>1,582</w:t>
            </w:r>
          </w:p>
        </w:tc>
        <w:tc>
          <w:tcPr>
            <w:tcW w:w="900" w:type="dxa"/>
            <w:vAlign w:val="bottom"/>
            <w:tcBorders>
              <w:top w:val="single" w:sz="8" w:color="auto"/>
            </w:tcBorders>
            <w:shd w:val="clear" w:color="auto" w:fill="E0EBED"/>
          </w:tcPr>
          <w:p>
            <w:pPr>
              <w:jc w:val="right"/>
              <w:ind w:right="7"/>
              <w:spacing w:after="0" w:line="149" w:lineRule="exact"/>
              <w:rPr>
                <w:sz w:val="20"/>
                <w:szCs w:val="20"/>
                <w:color w:val="auto"/>
              </w:rPr>
            </w:pPr>
            <w:r>
              <w:rPr>
                <w:rFonts w:ascii="Arial" w:cs="Arial" w:eastAsia="Arial" w:hAnsi="Arial"/>
                <w:sz w:val="15"/>
                <w:szCs w:val="15"/>
                <w:color w:val="auto"/>
              </w:rPr>
              <w:t>$ 4,352,748</w:t>
            </w:r>
          </w:p>
        </w:tc>
        <w:tc>
          <w:tcPr>
            <w:tcW w:w="0" w:type="dxa"/>
            <w:vAlign w:val="bottom"/>
          </w:tcPr>
          <w:p>
            <w:pPr>
              <w:spacing w:after="0"/>
              <w:rPr>
                <w:sz w:val="1"/>
                <w:szCs w:val="1"/>
                <w:color w:val="auto"/>
              </w:rPr>
            </w:pPr>
          </w:p>
        </w:tc>
      </w:tr>
      <w:tr>
        <w:trPr>
          <w:trHeight w:val="360"/>
        </w:trPr>
        <w:tc>
          <w:tcPr>
            <w:tcW w:w="3980" w:type="dxa"/>
            <w:vAlign w:val="bottom"/>
            <w:gridSpan w:val="2"/>
          </w:tcPr>
          <w:p>
            <w:pPr>
              <w:spacing w:after="0"/>
              <w:rPr>
                <w:sz w:val="20"/>
                <w:szCs w:val="20"/>
                <w:color w:val="auto"/>
              </w:rPr>
            </w:pPr>
            <w:r>
              <w:rPr>
                <w:rFonts w:ascii="Arial" w:cs="Arial" w:eastAsia="Arial" w:hAnsi="Arial"/>
                <w:sz w:val="15"/>
                <w:szCs w:val="15"/>
                <w:color w:val="auto"/>
              </w:rPr>
              <w:t>Consolidated net earnings</w:t>
            </w:r>
          </w:p>
        </w:tc>
        <w:tc>
          <w:tcPr>
            <w:tcW w:w="800" w:type="dxa"/>
            <w:vAlign w:val="bottom"/>
            <w:shd w:val="clear" w:color="auto" w:fill="E0EBED"/>
          </w:tcPr>
          <w:p>
            <w:pPr>
              <w:jc w:val="right"/>
              <w:ind w:right="27"/>
              <w:spacing w:after="0"/>
              <w:rPr>
                <w:sz w:val="20"/>
                <w:szCs w:val="20"/>
                <w:color w:val="auto"/>
              </w:rPr>
            </w:pPr>
            <w:r>
              <w:rPr>
                <w:rFonts w:ascii="Arial" w:cs="Arial" w:eastAsia="Arial" w:hAnsi="Arial"/>
                <w:sz w:val="15"/>
                <w:szCs w:val="15"/>
                <w:color w:val="auto"/>
              </w:rPr>
              <w:t>–</w:t>
            </w:r>
          </w:p>
        </w:tc>
        <w:tc>
          <w:tcPr>
            <w:tcW w:w="180" w:type="dxa"/>
            <w:vAlign w:val="bottom"/>
            <w:shd w:val="clear" w:color="auto" w:fill="E0EBED"/>
          </w:tcPr>
          <w:p>
            <w:pPr>
              <w:spacing w:after="0"/>
              <w:rPr>
                <w:sz w:val="24"/>
                <w:szCs w:val="24"/>
                <w:color w:val="auto"/>
              </w:rPr>
            </w:pPr>
          </w:p>
        </w:tc>
        <w:tc>
          <w:tcPr>
            <w:tcW w:w="600" w:type="dxa"/>
            <w:vAlign w:val="bottom"/>
            <w:shd w:val="clear" w:color="auto" w:fill="E0EBED"/>
          </w:tcPr>
          <w:p>
            <w:pPr>
              <w:ind w:left="420"/>
              <w:spacing w:after="0"/>
              <w:rPr>
                <w:sz w:val="20"/>
                <w:szCs w:val="20"/>
                <w:color w:val="auto"/>
              </w:rPr>
            </w:pPr>
            <w:r>
              <w:rPr>
                <w:rFonts w:ascii="Arial" w:cs="Arial" w:eastAsia="Arial" w:hAnsi="Arial"/>
                <w:sz w:val="15"/>
                <w:szCs w:val="15"/>
                <w:color w:val="auto"/>
              </w:rPr>
              <w:t>–</w:t>
            </w:r>
          </w:p>
        </w:tc>
        <w:tc>
          <w:tcPr>
            <w:tcW w:w="920" w:type="dxa"/>
            <w:vAlign w:val="bottom"/>
            <w:shd w:val="clear" w:color="auto" w:fill="E0EBED"/>
          </w:tcPr>
          <w:p>
            <w:pPr>
              <w:jc w:val="right"/>
              <w:ind w:right="27"/>
              <w:spacing w:after="0"/>
              <w:rPr>
                <w:sz w:val="20"/>
                <w:szCs w:val="20"/>
                <w:color w:val="auto"/>
              </w:rPr>
            </w:pPr>
            <w:r>
              <w:rPr>
                <w:rFonts w:ascii="Arial" w:cs="Arial" w:eastAsia="Arial" w:hAnsi="Arial"/>
                <w:sz w:val="15"/>
                <w:szCs w:val="15"/>
                <w:color w:val="auto"/>
              </w:rPr>
              <w:t>–</w:t>
            </w:r>
          </w:p>
        </w:tc>
        <w:tc>
          <w:tcPr>
            <w:tcW w:w="160" w:type="dxa"/>
            <w:vAlign w:val="bottom"/>
            <w:shd w:val="clear" w:color="auto" w:fill="E0EBED"/>
          </w:tcPr>
          <w:p>
            <w:pPr>
              <w:spacing w:after="0"/>
              <w:rPr>
                <w:sz w:val="24"/>
                <w:szCs w:val="24"/>
                <w:color w:val="auto"/>
              </w:rPr>
            </w:pPr>
          </w:p>
        </w:tc>
        <w:tc>
          <w:tcPr>
            <w:tcW w:w="1040" w:type="dxa"/>
            <w:vAlign w:val="bottom"/>
            <w:shd w:val="clear" w:color="auto" w:fill="E0EBED"/>
          </w:tcPr>
          <w:p>
            <w:pPr>
              <w:jc w:val="right"/>
              <w:ind w:right="7"/>
              <w:spacing w:after="0"/>
              <w:rPr>
                <w:sz w:val="20"/>
                <w:szCs w:val="20"/>
                <w:color w:val="auto"/>
              </w:rPr>
            </w:pPr>
            <w:r>
              <w:rPr>
                <w:rFonts w:ascii="Arial" w:cs="Arial" w:eastAsia="Arial" w:hAnsi="Arial"/>
                <w:sz w:val="15"/>
                <w:szCs w:val="15"/>
                <w:color w:val="auto"/>
              </w:rPr>
              <w:t>–</w:t>
            </w:r>
          </w:p>
        </w:tc>
        <w:tc>
          <w:tcPr>
            <w:tcW w:w="920" w:type="dxa"/>
            <w:vAlign w:val="bottom"/>
            <w:shd w:val="clear" w:color="auto" w:fill="E0EBED"/>
          </w:tcPr>
          <w:p>
            <w:pPr>
              <w:jc w:val="right"/>
              <w:ind w:right="27"/>
              <w:spacing w:after="0"/>
              <w:rPr>
                <w:sz w:val="20"/>
                <w:szCs w:val="20"/>
                <w:color w:val="auto"/>
              </w:rPr>
            </w:pPr>
            <w:r>
              <w:rPr>
                <w:rFonts w:ascii="Arial" w:cs="Arial" w:eastAsia="Arial" w:hAnsi="Arial"/>
                <w:sz w:val="15"/>
                <w:szCs w:val="15"/>
                <w:color w:val="auto"/>
              </w:rPr>
              <w:t>288,792</w:t>
            </w:r>
          </w:p>
        </w:tc>
        <w:tc>
          <w:tcPr>
            <w:tcW w:w="220" w:type="dxa"/>
            <w:vAlign w:val="bottom"/>
            <w:shd w:val="clear" w:color="auto" w:fill="E0EBED"/>
          </w:tcPr>
          <w:p>
            <w:pPr>
              <w:spacing w:after="0"/>
              <w:rPr>
                <w:sz w:val="24"/>
                <w:szCs w:val="24"/>
                <w:color w:val="auto"/>
              </w:rPr>
            </w:pPr>
          </w:p>
        </w:tc>
        <w:tc>
          <w:tcPr>
            <w:tcW w:w="840" w:type="dxa"/>
            <w:vAlign w:val="bottom"/>
            <w:shd w:val="clear" w:color="auto" w:fill="E0EBED"/>
          </w:tcPr>
          <w:p>
            <w:pPr>
              <w:jc w:val="right"/>
              <w:spacing w:after="0"/>
              <w:rPr>
                <w:sz w:val="20"/>
                <w:szCs w:val="20"/>
                <w:color w:val="auto"/>
              </w:rPr>
            </w:pPr>
            <w:r>
              <w:rPr>
                <w:rFonts w:ascii="Arial" w:cs="Arial" w:eastAsia="Arial" w:hAnsi="Arial"/>
                <w:sz w:val="15"/>
                <w:szCs w:val="15"/>
                <w:color w:val="auto"/>
              </w:rPr>
              <w:t>288,792</w:t>
            </w:r>
          </w:p>
        </w:tc>
        <w:tc>
          <w:tcPr>
            <w:tcW w:w="200" w:type="dxa"/>
            <w:vAlign w:val="bottom"/>
            <w:shd w:val="clear" w:color="auto" w:fill="E0EBED"/>
          </w:tcPr>
          <w:p>
            <w:pPr>
              <w:spacing w:after="0"/>
              <w:rPr>
                <w:sz w:val="24"/>
                <w:szCs w:val="24"/>
                <w:color w:val="auto"/>
              </w:rPr>
            </w:pPr>
          </w:p>
        </w:tc>
        <w:tc>
          <w:tcPr>
            <w:tcW w:w="660" w:type="dxa"/>
            <w:vAlign w:val="bottom"/>
            <w:shd w:val="clear" w:color="auto" w:fill="E0EBED"/>
          </w:tcPr>
          <w:p>
            <w:pPr>
              <w:jc w:val="right"/>
              <w:spacing w:after="0"/>
              <w:rPr>
                <w:sz w:val="20"/>
                <w:szCs w:val="20"/>
                <w:color w:val="auto"/>
              </w:rPr>
            </w:pPr>
            <w:r>
              <w:rPr>
                <w:rFonts w:ascii="Arial" w:cs="Arial" w:eastAsia="Arial" w:hAnsi="Arial"/>
                <w:sz w:val="15"/>
                <w:szCs w:val="15"/>
                <w:color w:val="auto"/>
              </w:rPr>
              <w:t>146</w:t>
            </w:r>
          </w:p>
        </w:tc>
        <w:tc>
          <w:tcPr>
            <w:tcW w:w="900" w:type="dxa"/>
            <w:vAlign w:val="bottom"/>
            <w:shd w:val="clear" w:color="auto" w:fill="E0EBED"/>
          </w:tcPr>
          <w:p>
            <w:pPr>
              <w:jc w:val="right"/>
              <w:ind w:right="7"/>
              <w:spacing w:after="0"/>
              <w:rPr>
                <w:sz w:val="20"/>
                <w:szCs w:val="20"/>
                <w:color w:val="auto"/>
              </w:rPr>
            </w:pPr>
            <w:r>
              <w:rPr>
                <w:rFonts w:ascii="Arial" w:cs="Arial" w:eastAsia="Arial" w:hAnsi="Arial"/>
                <w:sz w:val="15"/>
                <w:szCs w:val="15"/>
                <w:color w:val="auto"/>
              </w:rPr>
              <w:t>288,938</w:t>
            </w:r>
          </w:p>
        </w:tc>
        <w:tc>
          <w:tcPr>
            <w:tcW w:w="0" w:type="dxa"/>
            <w:vAlign w:val="bottom"/>
          </w:tcPr>
          <w:p>
            <w:pPr>
              <w:spacing w:after="0"/>
              <w:rPr>
                <w:sz w:val="1"/>
                <w:szCs w:val="1"/>
                <w:color w:val="auto"/>
              </w:rPr>
            </w:pPr>
          </w:p>
        </w:tc>
      </w:tr>
      <w:tr>
        <w:trPr>
          <w:trHeight w:val="156"/>
        </w:trPr>
        <w:tc>
          <w:tcPr>
            <w:tcW w:w="3980" w:type="dxa"/>
            <w:vAlign w:val="bottom"/>
            <w:gridSpan w:val="2"/>
          </w:tcPr>
          <w:p>
            <w:pPr>
              <w:spacing w:after="0" w:line="156" w:lineRule="exact"/>
              <w:rPr>
                <w:sz w:val="20"/>
                <w:szCs w:val="20"/>
                <w:color w:val="auto"/>
              </w:rPr>
            </w:pPr>
            <w:r>
              <w:rPr>
                <w:rFonts w:ascii="Arial" w:cs="Arial" w:eastAsia="Arial" w:hAnsi="Arial"/>
                <w:sz w:val="15"/>
                <w:szCs w:val="15"/>
                <w:color w:val="auto"/>
              </w:rPr>
              <w:t>Other comprehensive earnings</w:t>
            </w:r>
          </w:p>
        </w:tc>
        <w:tc>
          <w:tcPr>
            <w:tcW w:w="800" w:type="dxa"/>
            <w:vAlign w:val="bottom"/>
            <w:shd w:val="clear" w:color="auto" w:fill="E0EBED"/>
          </w:tcPr>
          <w:p>
            <w:pPr>
              <w:jc w:val="right"/>
              <w:ind w:right="27"/>
              <w:spacing w:after="0" w:line="156" w:lineRule="exact"/>
              <w:rPr>
                <w:sz w:val="20"/>
                <w:szCs w:val="20"/>
                <w:color w:val="auto"/>
              </w:rPr>
            </w:pPr>
            <w:r>
              <w:rPr>
                <w:rFonts w:ascii="Arial" w:cs="Arial" w:eastAsia="Arial" w:hAnsi="Arial"/>
                <w:sz w:val="15"/>
                <w:szCs w:val="15"/>
                <w:color w:val="auto"/>
              </w:rPr>
              <w:t>–</w:t>
            </w:r>
          </w:p>
        </w:tc>
        <w:tc>
          <w:tcPr>
            <w:tcW w:w="180" w:type="dxa"/>
            <w:vAlign w:val="bottom"/>
            <w:shd w:val="clear" w:color="auto" w:fill="E0EBED"/>
          </w:tcPr>
          <w:p>
            <w:pPr>
              <w:spacing w:after="0"/>
              <w:rPr>
                <w:sz w:val="13"/>
                <w:szCs w:val="13"/>
                <w:color w:val="auto"/>
              </w:rPr>
            </w:pPr>
          </w:p>
        </w:tc>
        <w:tc>
          <w:tcPr>
            <w:tcW w:w="600" w:type="dxa"/>
            <w:vAlign w:val="bottom"/>
            <w:shd w:val="clear" w:color="auto" w:fill="E0EBED"/>
          </w:tcPr>
          <w:p>
            <w:pPr>
              <w:ind w:left="420"/>
              <w:spacing w:after="0" w:line="156" w:lineRule="exact"/>
              <w:rPr>
                <w:sz w:val="20"/>
                <w:szCs w:val="20"/>
                <w:color w:val="auto"/>
              </w:rPr>
            </w:pPr>
            <w:r>
              <w:rPr>
                <w:rFonts w:ascii="Arial" w:cs="Arial" w:eastAsia="Arial" w:hAnsi="Arial"/>
                <w:sz w:val="15"/>
                <w:szCs w:val="15"/>
                <w:color w:val="auto"/>
              </w:rPr>
              <w:t>–</w:t>
            </w:r>
          </w:p>
        </w:tc>
        <w:tc>
          <w:tcPr>
            <w:tcW w:w="920" w:type="dxa"/>
            <w:vAlign w:val="bottom"/>
            <w:shd w:val="clear" w:color="auto" w:fill="E0EBED"/>
          </w:tcPr>
          <w:p>
            <w:pPr>
              <w:jc w:val="right"/>
              <w:ind w:right="27"/>
              <w:spacing w:after="0" w:line="156" w:lineRule="exact"/>
              <w:rPr>
                <w:sz w:val="20"/>
                <w:szCs w:val="20"/>
                <w:color w:val="auto"/>
              </w:rPr>
            </w:pPr>
            <w:r>
              <w:rPr>
                <w:rFonts w:ascii="Arial" w:cs="Arial" w:eastAsia="Arial" w:hAnsi="Arial"/>
                <w:sz w:val="15"/>
                <w:szCs w:val="15"/>
                <w:color w:val="auto"/>
              </w:rPr>
              <w:t>–</w:t>
            </w:r>
          </w:p>
        </w:tc>
        <w:tc>
          <w:tcPr>
            <w:tcW w:w="160" w:type="dxa"/>
            <w:vAlign w:val="bottom"/>
            <w:shd w:val="clear" w:color="auto" w:fill="E0EBED"/>
          </w:tcPr>
          <w:p>
            <w:pPr>
              <w:spacing w:after="0"/>
              <w:rPr>
                <w:sz w:val="13"/>
                <w:szCs w:val="13"/>
                <w:color w:val="auto"/>
              </w:rPr>
            </w:pPr>
          </w:p>
        </w:tc>
        <w:tc>
          <w:tcPr>
            <w:tcW w:w="1040" w:type="dxa"/>
            <w:vAlign w:val="bottom"/>
            <w:shd w:val="clear" w:color="auto" w:fill="E0EBED"/>
          </w:tcPr>
          <w:p>
            <w:pPr>
              <w:jc w:val="right"/>
              <w:ind w:right="7"/>
              <w:spacing w:after="0" w:line="156" w:lineRule="exact"/>
              <w:rPr>
                <w:sz w:val="20"/>
                <w:szCs w:val="20"/>
                <w:color w:val="auto"/>
              </w:rPr>
            </w:pPr>
            <w:r>
              <w:rPr>
                <w:rFonts w:ascii="Arial" w:cs="Arial" w:eastAsia="Arial" w:hAnsi="Arial"/>
                <w:sz w:val="15"/>
                <w:szCs w:val="15"/>
                <w:color w:val="auto"/>
              </w:rPr>
              <w:t>537</w:t>
            </w:r>
          </w:p>
        </w:tc>
        <w:tc>
          <w:tcPr>
            <w:tcW w:w="920" w:type="dxa"/>
            <w:vAlign w:val="bottom"/>
            <w:shd w:val="clear" w:color="auto" w:fill="E0EBED"/>
          </w:tcPr>
          <w:p>
            <w:pPr>
              <w:jc w:val="right"/>
              <w:ind w:right="27"/>
              <w:spacing w:after="0" w:line="156" w:lineRule="exact"/>
              <w:rPr>
                <w:sz w:val="20"/>
                <w:szCs w:val="20"/>
                <w:color w:val="auto"/>
              </w:rPr>
            </w:pPr>
            <w:r>
              <w:rPr>
                <w:rFonts w:ascii="Arial" w:cs="Arial" w:eastAsia="Arial" w:hAnsi="Arial"/>
                <w:sz w:val="15"/>
                <w:szCs w:val="15"/>
                <w:color w:val="auto"/>
              </w:rPr>
              <w:t>–</w:t>
            </w:r>
          </w:p>
        </w:tc>
        <w:tc>
          <w:tcPr>
            <w:tcW w:w="220" w:type="dxa"/>
            <w:vAlign w:val="bottom"/>
            <w:shd w:val="clear" w:color="auto" w:fill="E0EBED"/>
          </w:tcPr>
          <w:p>
            <w:pPr>
              <w:spacing w:after="0"/>
              <w:rPr>
                <w:sz w:val="13"/>
                <w:szCs w:val="13"/>
                <w:color w:val="auto"/>
              </w:rPr>
            </w:pPr>
          </w:p>
        </w:tc>
        <w:tc>
          <w:tcPr>
            <w:tcW w:w="840" w:type="dxa"/>
            <w:vAlign w:val="bottom"/>
            <w:shd w:val="clear" w:color="auto" w:fill="E0EBED"/>
          </w:tcPr>
          <w:p>
            <w:pPr>
              <w:jc w:val="right"/>
              <w:spacing w:after="0" w:line="156" w:lineRule="exact"/>
              <w:rPr>
                <w:sz w:val="20"/>
                <w:szCs w:val="20"/>
                <w:color w:val="auto"/>
              </w:rPr>
            </w:pPr>
            <w:r>
              <w:rPr>
                <w:rFonts w:ascii="Arial" w:cs="Arial" w:eastAsia="Arial" w:hAnsi="Arial"/>
                <w:sz w:val="15"/>
                <w:szCs w:val="15"/>
                <w:color w:val="auto"/>
              </w:rPr>
              <w:t>537</w:t>
            </w:r>
          </w:p>
        </w:tc>
        <w:tc>
          <w:tcPr>
            <w:tcW w:w="200" w:type="dxa"/>
            <w:vAlign w:val="bottom"/>
            <w:shd w:val="clear" w:color="auto" w:fill="E0EBED"/>
          </w:tcPr>
          <w:p>
            <w:pPr>
              <w:spacing w:after="0"/>
              <w:rPr>
                <w:sz w:val="13"/>
                <w:szCs w:val="13"/>
                <w:color w:val="auto"/>
              </w:rPr>
            </w:pPr>
          </w:p>
        </w:tc>
        <w:tc>
          <w:tcPr>
            <w:tcW w:w="660" w:type="dxa"/>
            <w:vAlign w:val="bottom"/>
            <w:shd w:val="clear" w:color="auto" w:fill="E0EBED"/>
          </w:tcPr>
          <w:p>
            <w:pPr>
              <w:jc w:val="right"/>
              <w:spacing w:after="0" w:line="156" w:lineRule="exact"/>
              <w:rPr>
                <w:sz w:val="20"/>
                <w:szCs w:val="20"/>
                <w:color w:val="auto"/>
              </w:rPr>
            </w:pPr>
            <w:r>
              <w:rPr>
                <w:rFonts w:ascii="Arial" w:cs="Arial" w:eastAsia="Arial" w:hAnsi="Arial"/>
                <w:sz w:val="15"/>
                <w:szCs w:val="15"/>
                <w:color w:val="auto"/>
              </w:rPr>
              <w:t>15</w:t>
            </w:r>
          </w:p>
        </w:tc>
        <w:tc>
          <w:tcPr>
            <w:tcW w:w="900" w:type="dxa"/>
            <w:vAlign w:val="bottom"/>
            <w:shd w:val="clear" w:color="auto" w:fill="E0EBED"/>
          </w:tcPr>
          <w:p>
            <w:pPr>
              <w:jc w:val="right"/>
              <w:ind w:right="7"/>
              <w:spacing w:after="0" w:line="156" w:lineRule="exact"/>
              <w:rPr>
                <w:sz w:val="20"/>
                <w:szCs w:val="20"/>
                <w:color w:val="auto"/>
              </w:rPr>
            </w:pPr>
            <w:r>
              <w:rPr>
                <w:rFonts w:ascii="Arial" w:cs="Arial" w:eastAsia="Arial" w:hAnsi="Arial"/>
                <w:sz w:val="15"/>
                <w:szCs w:val="15"/>
                <w:color w:val="auto"/>
              </w:rPr>
              <w:t>552</w:t>
            </w:r>
          </w:p>
        </w:tc>
        <w:tc>
          <w:tcPr>
            <w:tcW w:w="0" w:type="dxa"/>
            <w:vAlign w:val="bottom"/>
          </w:tcPr>
          <w:p>
            <w:pPr>
              <w:spacing w:after="0"/>
              <w:rPr>
                <w:sz w:val="1"/>
                <w:szCs w:val="1"/>
                <w:color w:val="auto"/>
              </w:rPr>
            </w:pPr>
          </w:p>
        </w:tc>
      </w:tr>
      <w:tr>
        <w:trPr>
          <w:trHeight w:val="156"/>
        </w:trPr>
        <w:tc>
          <w:tcPr>
            <w:tcW w:w="3980" w:type="dxa"/>
            <w:vAlign w:val="bottom"/>
            <w:gridSpan w:val="2"/>
          </w:tcPr>
          <w:p>
            <w:pPr>
              <w:spacing w:after="0" w:line="156" w:lineRule="exact"/>
              <w:rPr>
                <w:sz w:val="20"/>
                <w:szCs w:val="20"/>
                <w:color w:val="auto"/>
              </w:rPr>
            </w:pPr>
            <w:r>
              <w:rPr>
                <w:rFonts w:ascii="Arial" w:cs="Arial" w:eastAsia="Arial" w:hAnsi="Arial"/>
                <w:sz w:val="15"/>
                <w:szCs w:val="15"/>
                <w:color w:val="auto"/>
              </w:rPr>
              <w:t>Dividends declared ($1.60 per common share)</w:t>
            </w:r>
          </w:p>
        </w:tc>
        <w:tc>
          <w:tcPr>
            <w:tcW w:w="800" w:type="dxa"/>
            <w:vAlign w:val="bottom"/>
            <w:shd w:val="clear" w:color="auto" w:fill="E0EBED"/>
          </w:tcPr>
          <w:p>
            <w:pPr>
              <w:jc w:val="right"/>
              <w:ind w:right="27"/>
              <w:spacing w:after="0" w:line="156" w:lineRule="exact"/>
              <w:rPr>
                <w:sz w:val="20"/>
                <w:szCs w:val="20"/>
                <w:color w:val="auto"/>
              </w:rPr>
            </w:pPr>
            <w:r>
              <w:rPr>
                <w:rFonts w:ascii="Arial" w:cs="Arial" w:eastAsia="Arial" w:hAnsi="Arial"/>
                <w:sz w:val="15"/>
                <w:szCs w:val="15"/>
                <w:color w:val="auto"/>
              </w:rPr>
              <w:t>–</w:t>
            </w:r>
          </w:p>
        </w:tc>
        <w:tc>
          <w:tcPr>
            <w:tcW w:w="180" w:type="dxa"/>
            <w:vAlign w:val="bottom"/>
            <w:shd w:val="clear" w:color="auto" w:fill="E0EBED"/>
          </w:tcPr>
          <w:p>
            <w:pPr>
              <w:spacing w:after="0"/>
              <w:rPr>
                <w:sz w:val="13"/>
                <w:szCs w:val="13"/>
                <w:color w:val="auto"/>
              </w:rPr>
            </w:pPr>
          </w:p>
        </w:tc>
        <w:tc>
          <w:tcPr>
            <w:tcW w:w="600" w:type="dxa"/>
            <w:vAlign w:val="bottom"/>
            <w:shd w:val="clear" w:color="auto" w:fill="E0EBED"/>
          </w:tcPr>
          <w:p>
            <w:pPr>
              <w:ind w:left="420"/>
              <w:spacing w:after="0" w:line="156" w:lineRule="exact"/>
              <w:rPr>
                <w:sz w:val="20"/>
                <w:szCs w:val="20"/>
                <w:color w:val="auto"/>
              </w:rPr>
            </w:pPr>
            <w:r>
              <w:rPr>
                <w:rFonts w:ascii="Arial" w:cs="Arial" w:eastAsia="Arial" w:hAnsi="Arial"/>
                <w:sz w:val="15"/>
                <w:szCs w:val="15"/>
                <w:color w:val="auto"/>
              </w:rPr>
              <w:t>–</w:t>
            </w:r>
          </w:p>
        </w:tc>
        <w:tc>
          <w:tcPr>
            <w:tcW w:w="920" w:type="dxa"/>
            <w:vAlign w:val="bottom"/>
            <w:shd w:val="clear" w:color="auto" w:fill="E0EBED"/>
          </w:tcPr>
          <w:p>
            <w:pPr>
              <w:jc w:val="right"/>
              <w:ind w:right="27"/>
              <w:spacing w:after="0" w:line="156" w:lineRule="exact"/>
              <w:rPr>
                <w:sz w:val="20"/>
                <w:szCs w:val="20"/>
                <w:color w:val="auto"/>
              </w:rPr>
            </w:pPr>
            <w:r>
              <w:rPr>
                <w:rFonts w:ascii="Arial" w:cs="Arial" w:eastAsia="Arial" w:hAnsi="Arial"/>
                <w:sz w:val="15"/>
                <w:szCs w:val="15"/>
                <w:color w:val="auto"/>
              </w:rPr>
              <w:t>–</w:t>
            </w:r>
          </w:p>
        </w:tc>
        <w:tc>
          <w:tcPr>
            <w:tcW w:w="160" w:type="dxa"/>
            <w:vAlign w:val="bottom"/>
            <w:shd w:val="clear" w:color="auto" w:fill="E0EBED"/>
          </w:tcPr>
          <w:p>
            <w:pPr>
              <w:spacing w:after="0"/>
              <w:rPr>
                <w:sz w:val="13"/>
                <w:szCs w:val="13"/>
                <w:color w:val="auto"/>
              </w:rPr>
            </w:pPr>
          </w:p>
        </w:tc>
        <w:tc>
          <w:tcPr>
            <w:tcW w:w="1040" w:type="dxa"/>
            <w:vAlign w:val="bottom"/>
            <w:shd w:val="clear" w:color="auto" w:fill="E0EBED"/>
          </w:tcPr>
          <w:p>
            <w:pPr>
              <w:jc w:val="right"/>
              <w:ind w:right="7"/>
              <w:spacing w:after="0" w:line="156" w:lineRule="exact"/>
              <w:rPr>
                <w:sz w:val="20"/>
                <w:szCs w:val="20"/>
                <w:color w:val="auto"/>
              </w:rPr>
            </w:pPr>
            <w:r>
              <w:rPr>
                <w:rFonts w:ascii="Arial" w:cs="Arial" w:eastAsia="Arial" w:hAnsi="Arial"/>
                <w:sz w:val="15"/>
                <w:szCs w:val="15"/>
                <w:color w:val="auto"/>
              </w:rPr>
              <w:t>–</w:t>
            </w:r>
          </w:p>
        </w:tc>
        <w:tc>
          <w:tcPr>
            <w:tcW w:w="920" w:type="dxa"/>
            <w:vAlign w:val="bottom"/>
            <w:shd w:val="clear" w:color="auto" w:fill="E0EBED"/>
          </w:tcPr>
          <w:p>
            <w:pPr>
              <w:jc w:val="right"/>
              <w:spacing w:after="0" w:line="156" w:lineRule="exact"/>
              <w:rPr>
                <w:sz w:val="20"/>
                <w:szCs w:val="20"/>
                <w:color w:val="auto"/>
              </w:rPr>
            </w:pPr>
            <w:r>
              <w:rPr>
                <w:rFonts w:ascii="Arial" w:cs="Arial" w:eastAsia="Arial" w:hAnsi="Arial"/>
                <w:sz w:val="15"/>
                <w:szCs w:val="15"/>
                <w:color w:val="auto"/>
              </w:rPr>
              <w:t>(107,462)</w:t>
            </w:r>
          </w:p>
        </w:tc>
        <w:tc>
          <w:tcPr>
            <w:tcW w:w="220" w:type="dxa"/>
            <w:vAlign w:val="bottom"/>
            <w:shd w:val="clear" w:color="auto" w:fill="E0EBED"/>
          </w:tcPr>
          <w:p>
            <w:pPr>
              <w:spacing w:after="0"/>
              <w:rPr>
                <w:sz w:val="13"/>
                <w:szCs w:val="13"/>
                <w:color w:val="auto"/>
              </w:rPr>
            </w:pPr>
          </w:p>
        </w:tc>
        <w:tc>
          <w:tcPr>
            <w:tcW w:w="840" w:type="dxa"/>
            <w:vAlign w:val="bottom"/>
            <w:shd w:val="clear" w:color="auto" w:fill="E0EBED"/>
          </w:tcPr>
          <w:p>
            <w:pPr>
              <w:jc w:val="right"/>
              <w:spacing w:after="0" w:line="156" w:lineRule="exact"/>
              <w:rPr>
                <w:sz w:val="20"/>
                <w:szCs w:val="20"/>
                <w:color w:val="auto"/>
              </w:rPr>
            </w:pPr>
            <w:r>
              <w:rPr>
                <w:rFonts w:ascii="Arial" w:cs="Arial" w:eastAsia="Arial" w:hAnsi="Arial"/>
                <w:sz w:val="15"/>
                <w:szCs w:val="15"/>
                <w:color w:val="auto"/>
              </w:rPr>
              <w:t>(107,462)</w:t>
            </w:r>
          </w:p>
        </w:tc>
        <w:tc>
          <w:tcPr>
            <w:tcW w:w="200" w:type="dxa"/>
            <w:vAlign w:val="bottom"/>
            <w:shd w:val="clear" w:color="auto" w:fill="E0EBED"/>
          </w:tcPr>
          <w:p>
            <w:pPr>
              <w:spacing w:after="0"/>
              <w:rPr>
                <w:sz w:val="13"/>
                <w:szCs w:val="13"/>
                <w:color w:val="auto"/>
              </w:rPr>
            </w:pPr>
          </w:p>
        </w:tc>
        <w:tc>
          <w:tcPr>
            <w:tcW w:w="660" w:type="dxa"/>
            <w:vAlign w:val="bottom"/>
            <w:shd w:val="clear" w:color="auto" w:fill="E0EBED"/>
          </w:tcPr>
          <w:p>
            <w:pPr>
              <w:jc w:val="right"/>
              <w:spacing w:after="0" w:line="156" w:lineRule="exact"/>
              <w:rPr>
                <w:sz w:val="20"/>
                <w:szCs w:val="20"/>
                <w:color w:val="auto"/>
              </w:rPr>
            </w:pPr>
            <w:r>
              <w:rPr>
                <w:rFonts w:ascii="Arial" w:cs="Arial" w:eastAsia="Arial" w:hAnsi="Arial"/>
                <w:sz w:val="15"/>
                <w:szCs w:val="15"/>
                <w:color w:val="auto"/>
              </w:rPr>
              <w:t>–</w:t>
            </w:r>
          </w:p>
        </w:tc>
        <w:tc>
          <w:tcPr>
            <w:tcW w:w="900" w:type="dxa"/>
            <w:vAlign w:val="bottom"/>
            <w:shd w:val="clear" w:color="auto" w:fill="E0EBED"/>
          </w:tcPr>
          <w:p>
            <w:pPr>
              <w:jc w:val="right"/>
              <w:ind w:right="7"/>
              <w:spacing w:after="0" w:line="156" w:lineRule="exact"/>
              <w:rPr>
                <w:sz w:val="20"/>
                <w:szCs w:val="20"/>
                <w:color w:val="auto"/>
              </w:rPr>
            </w:pPr>
            <w:r>
              <w:rPr>
                <w:rFonts w:ascii="Arial" w:cs="Arial" w:eastAsia="Arial" w:hAnsi="Arial"/>
                <w:sz w:val="15"/>
                <w:szCs w:val="15"/>
                <w:color w:val="auto"/>
              </w:rPr>
              <w:t>(107,462)</w:t>
            </w:r>
          </w:p>
        </w:tc>
        <w:tc>
          <w:tcPr>
            <w:tcW w:w="0" w:type="dxa"/>
            <w:vAlign w:val="bottom"/>
          </w:tcPr>
          <w:p>
            <w:pPr>
              <w:spacing w:after="0"/>
              <w:rPr>
                <w:sz w:val="1"/>
                <w:szCs w:val="1"/>
                <w:color w:val="auto"/>
              </w:rPr>
            </w:pPr>
          </w:p>
        </w:tc>
      </w:tr>
      <w:tr>
        <w:trPr>
          <w:trHeight w:val="156"/>
        </w:trPr>
        <w:tc>
          <w:tcPr>
            <w:tcW w:w="3980" w:type="dxa"/>
            <w:vAlign w:val="bottom"/>
            <w:gridSpan w:val="2"/>
          </w:tcPr>
          <w:p>
            <w:pPr>
              <w:spacing w:after="0" w:line="156" w:lineRule="exact"/>
              <w:rPr>
                <w:sz w:val="20"/>
                <w:szCs w:val="20"/>
                <w:color w:val="auto"/>
              </w:rPr>
            </w:pPr>
            <w:r>
              <w:rPr>
                <w:rFonts w:ascii="Arial" w:cs="Arial" w:eastAsia="Arial" w:hAnsi="Arial"/>
                <w:sz w:val="15"/>
                <w:szCs w:val="15"/>
                <w:color w:val="auto"/>
              </w:rPr>
              <w:t>Issuances of common stock for stock award plans</w:t>
            </w:r>
          </w:p>
        </w:tc>
        <w:tc>
          <w:tcPr>
            <w:tcW w:w="800" w:type="dxa"/>
            <w:vAlign w:val="bottom"/>
            <w:shd w:val="clear" w:color="auto" w:fill="E0EBED"/>
          </w:tcPr>
          <w:p>
            <w:pPr>
              <w:jc w:val="right"/>
              <w:ind w:right="27"/>
              <w:spacing w:after="0" w:line="156" w:lineRule="exact"/>
              <w:rPr>
                <w:sz w:val="20"/>
                <w:szCs w:val="20"/>
                <w:color w:val="auto"/>
              </w:rPr>
            </w:pPr>
            <w:r>
              <w:rPr>
                <w:rFonts w:ascii="Arial" w:cs="Arial" w:eastAsia="Arial" w:hAnsi="Arial"/>
                <w:sz w:val="15"/>
                <w:szCs w:val="15"/>
                <w:color w:val="auto"/>
              </w:rPr>
              <w:t>471</w:t>
            </w:r>
          </w:p>
        </w:tc>
        <w:tc>
          <w:tcPr>
            <w:tcW w:w="180" w:type="dxa"/>
            <w:vAlign w:val="bottom"/>
            <w:shd w:val="clear" w:color="auto" w:fill="E0EBED"/>
          </w:tcPr>
          <w:p>
            <w:pPr>
              <w:spacing w:after="0"/>
              <w:rPr>
                <w:sz w:val="13"/>
                <w:szCs w:val="13"/>
                <w:color w:val="auto"/>
              </w:rPr>
            </w:pPr>
          </w:p>
        </w:tc>
        <w:tc>
          <w:tcPr>
            <w:tcW w:w="600" w:type="dxa"/>
            <w:vAlign w:val="bottom"/>
            <w:shd w:val="clear" w:color="auto" w:fill="E0EBED"/>
          </w:tcPr>
          <w:p>
            <w:pPr>
              <w:ind w:left="420"/>
              <w:spacing w:after="0" w:line="156" w:lineRule="exact"/>
              <w:rPr>
                <w:sz w:val="20"/>
                <w:szCs w:val="20"/>
                <w:color w:val="auto"/>
              </w:rPr>
            </w:pPr>
            <w:r>
              <w:rPr>
                <w:rFonts w:ascii="Arial" w:cs="Arial" w:eastAsia="Arial" w:hAnsi="Arial"/>
                <w:sz w:val="15"/>
                <w:szCs w:val="15"/>
                <w:color w:val="auto"/>
              </w:rPr>
              <w:t>5</w:t>
            </w:r>
          </w:p>
        </w:tc>
        <w:tc>
          <w:tcPr>
            <w:tcW w:w="920" w:type="dxa"/>
            <w:vAlign w:val="bottom"/>
            <w:shd w:val="clear" w:color="auto" w:fill="E0EBED"/>
          </w:tcPr>
          <w:p>
            <w:pPr>
              <w:jc w:val="right"/>
              <w:ind w:right="27"/>
              <w:spacing w:after="0" w:line="156" w:lineRule="exact"/>
              <w:rPr>
                <w:sz w:val="20"/>
                <w:szCs w:val="20"/>
                <w:color w:val="auto"/>
              </w:rPr>
            </w:pPr>
            <w:r>
              <w:rPr>
                <w:rFonts w:ascii="Arial" w:cs="Arial" w:eastAsia="Arial" w:hAnsi="Arial"/>
                <w:sz w:val="15"/>
                <w:szCs w:val="15"/>
                <w:color w:val="auto"/>
              </w:rPr>
              <w:t>30,619</w:t>
            </w:r>
          </w:p>
        </w:tc>
        <w:tc>
          <w:tcPr>
            <w:tcW w:w="160" w:type="dxa"/>
            <w:vAlign w:val="bottom"/>
            <w:shd w:val="clear" w:color="auto" w:fill="E0EBED"/>
          </w:tcPr>
          <w:p>
            <w:pPr>
              <w:spacing w:after="0"/>
              <w:rPr>
                <w:sz w:val="13"/>
                <w:szCs w:val="13"/>
                <w:color w:val="auto"/>
              </w:rPr>
            </w:pPr>
          </w:p>
        </w:tc>
        <w:tc>
          <w:tcPr>
            <w:tcW w:w="1040" w:type="dxa"/>
            <w:vAlign w:val="bottom"/>
            <w:shd w:val="clear" w:color="auto" w:fill="E0EBED"/>
          </w:tcPr>
          <w:p>
            <w:pPr>
              <w:jc w:val="right"/>
              <w:ind w:right="7"/>
              <w:spacing w:after="0" w:line="156" w:lineRule="exact"/>
              <w:rPr>
                <w:sz w:val="20"/>
                <w:szCs w:val="20"/>
                <w:color w:val="auto"/>
              </w:rPr>
            </w:pPr>
            <w:r>
              <w:rPr>
                <w:rFonts w:ascii="Arial" w:cs="Arial" w:eastAsia="Arial" w:hAnsi="Arial"/>
                <w:sz w:val="15"/>
                <w:szCs w:val="15"/>
                <w:color w:val="auto"/>
              </w:rPr>
              <w:t>–</w:t>
            </w:r>
          </w:p>
        </w:tc>
        <w:tc>
          <w:tcPr>
            <w:tcW w:w="920" w:type="dxa"/>
            <w:vAlign w:val="bottom"/>
            <w:shd w:val="clear" w:color="auto" w:fill="E0EBED"/>
          </w:tcPr>
          <w:p>
            <w:pPr>
              <w:jc w:val="right"/>
              <w:ind w:right="27"/>
              <w:spacing w:after="0" w:line="156" w:lineRule="exact"/>
              <w:rPr>
                <w:sz w:val="20"/>
                <w:szCs w:val="20"/>
                <w:color w:val="auto"/>
              </w:rPr>
            </w:pPr>
            <w:r>
              <w:rPr>
                <w:rFonts w:ascii="Arial" w:cs="Arial" w:eastAsia="Arial" w:hAnsi="Arial"/>
                <w:sz w:val="15"/>
                <w:szCs w:val="15"/>
                <w:color w:val="auto"/>
              </w:rPr>
              <w:t>–</w:t>
            </w:r>
          </w:p>
        </w:tc>
        <w:tc>
          <w:tcPr>
            <w:tcW w:w="220" w:type="dxa"/>
            <w:vAlign w:val="bottom"/>
            <w:shd w:val="clear" w:color="auto" w:fill="E0EBED"/>
          </w:tcPr>
          <w:p>
            <w:pPr>
              <w:spacing w:after="0"/>
              <w:rPr>
                <w:sz w:val="13"/>
                <w:szCs w:val="13"/>
                <w:color w:val="auto"/>
              </w:rPr>
            </w:pPr>
          </w:p>
        </w:tc>
        <w:tc>
          <w:tcPr>
            <w:tcW w:w="840" w:type="dxa"/>
            <w:vAlign w:val="bottom"/>
            <w:shd w:val="clear" w:color="auto" w:fill="E0EBED"/>
          </w:tcPr>
          <w:p>
            <w:pPr>
              <w:jc w:val="right"/>
              <w:spacing w:after="0" w:line="156" w:lineRule="exact"/>
              <w:rPr>
                <w:sz w:val="20"/>
                <w:szCs w:val="20"/>
                <w:color w:val="auto"/>
              </w:rPr>
            </w:pPr>
            <w:r>
              <w:rPr>
                <w:rFonts w:ascii="Arial" w:cs="Arial" w:eastAsia="Arial" w:hAnsi="Arial"/>
                <w:sz w:val="15"/>
                <w:szCs w:val="15"/>
                <w:color w:val="auto"/>
              </w:rPr>
              <w:t>30,624</w:t>
            </w:r>
          </w:p>
        </w:tc>
        <w:tc>
          <w:tcPr>
            <w:tcW w:w="200" w:type="dxa"/>
            <w:vAlign w:val="bottom"/>
            <w:shd w:val="clear" w:color="auto" w:fill="E0EBED"/>
          </w:tcPr>
          <w:p>
            <w:pPr>
              <w:spacing w:after="0"/>
              <w:rPr>
                <w:sz w:val="13"/>
                <w:szCs w:val="13"/>
                <w:color w:val="auto"/>
              </w:rPr>
            </w:pPr>
          </w:p>
        </w:tc>
        <w:tc>
          <w:tcPr>
            <w:tcW w:w="660" w:type="dxa"/>
            <w:vAlign w:val="bottom"/>
            <w:shd w:val="clear" w:color="auto" w:fill="E0EBED"/>
          </w:tcPr>
          <w:p>
            <w:pPr>
              <w:jc w:val="right"/>
              <w:spacing w:after="0" w:line="156" w:lineRule="exact"/>
              <w:rPr>
                <w:sz w:val="20"/>
                <w:szCs w:val="20"/>
                <w:color w:val="auto"/>
              </w:rPr>
            </w:pPr>
            <w:r>
              <w:rPr>
                <w:rFonts w:ascii="Arial" w:cs="Arial" w:eastAsia="Arial" w:hAnsi="Arial"/>
                <w:sz w:val="15"/>
                <w:szCs w:val="15"/>
                <w:color w:val="auto"/>
              </w:rPr>
              <w:t>–</w:t>
            </w:r>
          </w:p>
        </w:tc>
        <w:tc>
          <w:tcPr>
            <w:tcW w:w="900" w:type="dxa"/>
            <w:vAlign w:val="bottom"/>
            <w:shd w:val="clear" w:color="auto" w:fill="E0EBED"/>
          </w:tcPr>
          <w:p>
            <w:pPr>
              <w:jc w:val="right"/>
              <w:ind w:right="7"/>
              <w:spacing w:after="0" w:line="156" w:lineRule="exact"/>
              <w:rPr>
                <w:sz w:val="20"/>
                <w:szCs w:val="20"/>
                <w:color w:val="auto"/>
              </w:rPr>
            </w:pPr>
            <w:r>
              <w:rPr>
                <w:rFonts w:ascii="Arial" w:cs="Arial" w:eastAsia="Arial" w:hAnsi="Arial"/>
                <w:sz w:val="15"/>
                <w:szCs w:val="15"/>
                <w:color w:val="auto"/>
              </w:rPr>
              <w:t>30,624</w:t>
            </w:r>
          </w:p>
        </w:tc>
        <w:tc>
          <w:tcPr>
            <w:tcW w:w="0" w:type="dxa"/>
            <w:vAlign w:val="bottom"/>
          </w:tcPr>
          <w:p>
            <w:pPr>
              <w:spacing w:after="0"/>
              <w:rPr>
                <w:sz w:val="1"/>
                <w:szCs w:val="1"/>
                <w:color w:val="auto"/>
              </w:rPr>
            </w:pPr>
          </w:p>
        </w:tc>
      </w:tr>
      <w:tr>
        <w:trPr>
          <w:trHeight w:val="156"/>
        </w:trPr>
        <w:tc>
          <w:tcPr>
            <w:tcW w:w="3980" w:type="dxa"/>
            <w:vAlign w:val="bottom"/>
            <w:gridSpan w:val="2"/>
          </w:tcPr>
          <w:p>
            <w:pPr>
              <w:spacing w:after="0" w:line="156" w:lineRule="exact"/>
              <w:rPr>
                <w:sz w:val="20"/>
                <w:szCs w:val="20"/>
                <w:color w:val="auto"/>
              </w:rPr>
            </w:pPr>
            <w:r>
              <w:rPr>
                <w:rFonts w:ascii="Arial" w:cs="Arial" w:eastAsia="Arial" w:hAnsi="Arial"/>
                <w:sz w:val="15"/>
                <w:szCs w:val="15"/>
                <w:color w:val="auto"/>
              </w:rPr>
              <w:t>Repurchases of common stock</w:t>
            </w:r>
          </w:p>
        </w:tc>
        <w:tc>
          <w:tcPr>
            <w:tcW w:w="800" w:type="dxa"/>
            <w:vAlign w:val="bottom"/>
            <w:shd w:val="clear" w:color="auto" w:fill="E0EBED"/>
          </w:tcPr>
          <w:p>
            <w:pPr>
              <w:jc w:val="right"/>
              <w:ind w:right="27"/>
              <w:spacing w:after="0" w:line="156" w:lineRule="exact"/>
              <w:rPr>
                <w:sz w:val="20"/>
                <w:szCs w:val="20"/>
                <w:color w:val="auto"/>
              </w:rPr>
            </w:pPr>
            <w:r>
              <w:rPr>
                <w:rFonts w:ascii="Arial" w:cs="Arial" w:eastAsia="Arial" w:hAnsi="Arial"/>
                <w:sz w:val="15"/>
                <w:szCs w:val="15"/>
                <w:color w:val="auto"/>
              </w:rPr>
              <w:t>(3,285)</w:t>
            </w:r>
          </w:p>
        </w:tc>
        <w:tc>
          <w:tcPr>
            <w:tcW w:w="180" w:type="dxa"/>
            <w:vAlign w:val="bottom"/>
            <w:shd w:val="clear" w:color="auto" w:fill="E0EBED"/>
          </w:tcPr>
          <w:p>
            <w:pPr>
              <w:spacing w:after="0"/>
              <w:rPr>
                <w:sz w:val="13"/>
                <w:szCs w:val="13"/>
                <w:color w:val="auto"/>
              </w:rPr>
            </w:pPr>
          </w:p>
        </w:tc>
        <w:tc>
          <w:tcPr>
            <w:tcW w:w="600" w:type="dxa"/>
            <w:vAlign w:val="bottom"/>
            <w:shd w:val="clear" w:color="auto" w:fill="E0EBED"/>
          </w:tcPr>
          <w:p>
            <w:pPr>
              <w:jc w:val="right"/>
              <w:spacing w:after="0" w:line="156" w:lineRule="exact"/>
              <w:rPr>
                <w:sz w:val="20"/>
                <w:szCs w:val="20"/>
                <w:color w:val="auto"/>
              </w:rPr>
            </w:pPr>
            <w:r>
              <w:rPr>
                <w:rFonts w:ascii="Arial" w:cs="Arial" w:eastAsia="Arial" w:hAnsi="Arial"/>
                <w:sz w:val="15"/>
                <w:szCs w:val="15"/>
                <w:color w:val="auto"/>
              </w:rPr>
              <w:t>(33)</w:t>
            </w:r>
          </w:p>
        </w:tc>
        <w:tc>
          <w:tcPr>
            <w:tcW w:w="920" w:type="dxa"/>
            <w:vAlign w:val="bottom"/>
            <w:shd w:val="clear" w:color="auto" w:fill="E0EBED"/>
          </w:tcPr>
          <w:p>
            <w:pPr>
              <w:jc w:val="right"/>
              <w:ind w:right="27"/>
              <w:spacing w:after="0" w:line="156" w:lineRule="exact"/>
              <w:rPr>
                <w:sz w:val="20"/>
                <w:szCs w:val="20"/>
                <w:color w:val="auto"/>
              </w:rPr>
            </w:pPr>
            <w:r>
              <w:rPr>
                <w:rFonts w:ascii="Arial" w:cs="Arial" w:eastAsia="Arial" w:hAnsi="Arial"/>
                <w:sz w:val="15"/>
                <w:szCs w:val="15"/>
                <w:color w:val="auto"/>
              </w:rPr>
              <w:t>–</w:t>
            </w:r>
          </w:p>
        </w:tc>
        <w:tc>
          <w:tcPr>
            <w:tcW w:w="160" w:type="dxa"/>
            <w:vAlign w:val="bottom"/>
            <w:shd w:val="clear" w:color="auto" w:fill="E0EBED"/>
          </w:tcPr>
          <w:p>
            <w:pPr>
              <w:spacing w:after="0"/>
              <w:rPr>
                <w:sz w:val="13"/>
                <w:szCs w:val="13"/>
                <w:color w:val="auto"/>
              </w:rPr>
            </w:pPr>
          </w:p>
        </w:tc>
        <w:tc>
          <w:tcPr>
            <w:tcW w:w="1040" w:type="dxa"/>
            <w:vAlign w:val="bottom"/>
            <w:shd w:val="clear" w:color="auto" w:fill="E0EBED"/>
          </w:tcPr>
          <w:p>
            <w:pPr>
              <w:jc w:val="right"/>
              <w:ind w:right="7"/>
              <w:spacing w:after="0" w:line="156" w:lineRule="exact"/>
              <w:rPr>
                <w:sz w:val="20"/>
                <w:szCs w:val="20"/>
                <w:color w:val="auto"/>
              </w:rPr>
            </w:pPr>
            <w:r>
              <w:rPr>
                <w:rFonts w:ascii="Arial" w:cs="Arial" w:eastAsia="Arial" w:hAnsi="Arial"/>
                <w:sz w:val="15"/>
                <w:szCs w:val="15"/>
                <w:color w:val="auto"/>
              </w:rPr>
              <w:t>–</w:t>
            </w:r>
          </w:p>
        </w:tc>
        <w:tc>
          <w:tcPr>
            <w:tcW w:w="920" w:type="dxa"/>
            <w:vAlign w:val="bottom"/>
            <w:shd w:val="clear" w:color="auto" w:fill="E0EBED"/>
          </w:tcPr>
          <w:p>
            <w:pPr>
              <w:jc w:val="right"/>
              <w:spacing w:after="0" w:line="156" w:lineRule="exact"/>
              <w:rPr>
                <w:sz w:val="20"/>
                <w:szCs w:val="20"/>
                <w:color w:val="auto"/>
              </w:rPr>
            </w:pPr>
            <w:r>
              <w:rPr>
                <w:rFonts w:ascii="Arial" w:cs="Arial" w:eastAsia="Arial" w:hAnsi="Arial"/>
                <w:sz w:val="15"/>
                <w:szCs w:val="15"/>
                <w:color w:val="auto"/>
              </w:rPr>
              <w:t>(519,929)</w:t>
            </w:r>
          </w:p>
        </w:tc>
        <w:tc>
          <w:tcPr>
            <w:tcW w:w="220" w:type="dxa"/>
            <w:vAlign w:val="bottom"/>
            <w:shd w:val="clear" w:color="auto" w:fill="E0EBED"/>
          </w:tcPr>
          <w:p>
            <w:pPr>
              <w:spacing w:after="0"/>
              <w:rPr>
                <w:sz w:val="13"/>
                <w:szCs w:val="13"/>
                <w:color w:val="auto"/>
              </w:rPr>
            </w:pPr>
          </w:p>
        </w:tc>
        <w:tc>
          <w:tcPr>
            <w:tcW w:w="840" w:type="dxa"/>
            <w:vAlign w:val="bottom"/>
            <w:shd w:val="clear" w:color="auto" w:fill="E0EBED"/>
          </w:tcPr>
          <w:p>
            <w:pPr>
              <w:jc w:val="right"/>
              <w:spacing w:after="0" w:line="156" w:lineRule="exact"/>
              <w:rPr>
                <w:sz w:val="20"/>
                <w:szCs w:val="20"/>
                <w:color w:val="auto"/>
              </w:rPr>
            </w:pPr>
            <w:r>
              <w:rPr>
                <w:rFonts w:ascii="Arial" w:cs="Arial" w:eastAsia="Arial" w:hAnsi="Arial"/>
                <w:sz w:val="15"/>
                <w:szCs w:val="15"/>
                <w:color w:val="auto"/>
              </w:rPr>
              <w:t>(519,962)</w:t>
            </w:r>
          </w:p>
        </w:tc>
        <w:tc>
          <w:tcPr>
            <w:tcW w:w="200" w:type="dxa"/>
            <w:vAlign w:val="bottom"/>
            <w:shd w:val="clear" w:color="auto" w:fill="E0EBED"/>
          </w:tcPr>
          <w:p>
            <w:pPr>
              <w:spacing w:after="0"/>
              <w:rPr>
                <w:sz w:val="13"/>
                <w:szCs w:val="13"/>
                <w:color w:val="auto"/>
              </w:rPr>
            </w:pPr>
          </w:p>
        </w:tc>
        <w:tc>
          <w:tcPr>
            <w:tcW w:w="660" w:type="dxa"/>
            <w:vAlign w:val="bottom"/>
            <w:shd w:val="clear" w:color="auto" w:fill="E0EBED"/>
          </w:tcPr>
          <w:p>
            <w:pPr>
              <w:jc w:val="right"/>
              <w:spacing w:after="0" w:line="156" w:lineRule="exact"/>
              <w:rPr>
                <w:sz w:val="20"/>
                <w:szCs w:val="20"/>
                <w:color w:val="auto"/>
              </w:rPr>
            </w:pPr>
            <w:r>
              <w:rPr>
                <w:rFonts w:ascii="Arial" w:cs="Arial" w:eastAsia="Arial" w:hAnsi="Arial"/>
                <w:sz w:val="15"/>
                <w:szCs w:val="15"/>
                <w:color w:val="auto"/>
              </w:rPr>
              <w:t>–</w:t>
            </w:r>
          </w:p>
        </w:tc>
        <w:tc>
          <w:tcPr>
            <w:tcW w:w="900" w:type="dxa"/>
            <w:vAlign w:val="bottom"/>
            <w:shd w:val="clear" w:color="auto" w:fill="E0EBED"/>
          </w:tcPr>
          <w:p>
            <w:pPr>
              <w:jc w:val="right"/>
              <w:ind w:right="7"/>
              <w:spacing w:after="0" w:line="156" w:lineRule="exact"/>
              <w:rPr>
                <w:sz w:val="20"/>
                <w:szCs w:val="20"/>
                <w:color w:val="auto"/>
              </w:rPr>
            </w:pPr>
            <w:r>
              <w:rPr>
                <w:rFonts w:ascii="Arial" w:cs="Arial" w:eastAsia="Arial" w:hAnsi="Arial"/>
                <w:sz w:val="15"/>
                <w:szCs w:val="15"/>
                <w:color w:val="auto"/>
              </w:rPr>
              <w:t>(519,962)</w:t>
            </w:r>
          </w:p>
        </w:tc>
        <w:tc>
          <w:tcPr>
            <w:tcW w:w="0" w:type="dxa"/>
            <w:vAlign w:val="bottom"/>
          </w:tcPr>
          <w:p>
            <w:pPr>
              <w:spacing w:after="0"/>
              <w:rPr>
                <w:sz w:val="1"/>
                <w:szCs w:val="1"/>
                <w:color w:val="auto"/>
              </w:rPr>
            </w:pPr>
          </w:p>
        </w:tc>
      </w:tr>
      <w:tr>
        <w:trPr>
          <w:trHeight w:val="156"/>
        </w:trPr>
        <w:tc>
          <w:tcPr>
            <w:tcW w:w="3980" w:type="dxa"/>
            <w:vAlign w:val="bottom"/>
            <w:gridSpan w:val="2"/>
          </w:tcPr>
          <w:p>
            <w:pPr>
              <w:spacing w:after="0" w:line="156" w:lineRule="exact"/>
              <w:rPr>
                <w:sz w:val="20"/>
                <w:szCs w:val="20"/>
                <w:color w:val="auto"/>
              </w:rPr>
            </w:pPr>
            <w:r>
              <w:rPr>
                <w:rFonts w:ascii="Arial" w:cs="Arial" w:eastAsia="Arial" w:hAnsi="Arial"/>
                <w:sz w:val="15"/>
                <w:szCs w:val="15"/>
                <w:color w:val="auto"/>
              </w:rPr>
              <w:t>Stock-based compensation expense</w:t>
            </w:r>
          </w:p>
        </w:tc>
        <w:tc>
          <w:tcPr>
            <w:tcW w:w="800" w:type="dxa"/>
            <w:vAlign w:val="bottom"/>
            <w:shd w:val="clear" w:color="auto" w:fill="E0EBED"/>
          </w:tcPr>
          <w:p>
            <w:pPr>
              <w:jc w:val="right"/>
              <w:ind w:right="27"/>
              <w:spacing w:after="0" w:line="156" w:lineRule="exact"/>
              <w:rPr>
                <w:sz w:val="20"/>
                <w:szCs w:val="20"/>
                <w:color w:val="auto"/>
              </w:rPr>
            </w:pPr>
            <w:r>
              <w:rPr>
                <w:rFonts w:ascii="Arial" w:cs="Arial" w:eastAsia="Arial" w:hAnsi="Arial"/>
                <w:sz w:val="15"/>
                <w:szCs w:val="15"/>
                <w:color w:val="auto"/>
              </w:rPr>
              <w:t>–</w:t>
            </w:r>
          </w:p>
        </w:tc>
        <w:tc>
          <w:tcPr>
            <w:tcW w:w="180" w:type="dxa"/>
            <w:vAlign w:val="bottom"/>
            <w:shd w:val="clear" w:color="auto" w:fill="E0EBED"/>
          </w:tcPr>
          <w:p>
            <w:pPr>
              <w:spacing w:after="0"/>
              <w:rPr>
                <w:sz w:val="13"/>
                <w:szCs w:val="13"/>
                <w:color w:val="auto"/>
              </w:rPr>
            </w:pPr>
          </w:p>
        </w:tc>
        <w:tc>
          <w:tcPr>
            <w:tcW w:w="600" w:type="dxa"/>
            <w:vAlign w:val="bottom"/>
            <w:shd w:val="clear" w:color="auto" w:fill="E0EBED"/>
          </w:tcPr>
          <w:p>
            <w:pPr>
              <w:ind w:left="420"/>
              <w:spacing w:after="0" w:line="156" w:lineRule="exact"/>
              <w:rPr>
                <w:sz w:val="20"/>
                <w:szCs w:val="20"/>
                <w:color w:val="auto"/>
              </w:rPr>
            </w:pPr>
            <w:r>
              <w:rPr>
                <w:rFonts w:ascii="Arial" w:cs="Arial" w:eastAsia="Arial" w:hAnsi="Arial"/>
                <w:sz w:val="15"/>
                <w:szCs w:val="15"/>
                <w:color w:val="auto"/>
              </w:rPr>
              <w:t>–</w:t>
            </w:r>
          </w:p>
        </w:tc>
        <w:tc>
          <w:tcPr>
            <w:tcW w:w="920" w:type="dxa"/>
            <w:vAlign w:val="bottom"/>
            <w:shd w:val="clear" w:color="auto" w:fill="E0EBED"/>
          </w:tcPr>
          <w:p>
            <w:pPr>
              <w:jc w:val="right"/>
              <w:ind w:right="27"/>
              <w:spacing w:after="0" w:line="156" w:lineRule="exact"/>
              <w:rPr>
                <w:sz w:val="20"/>
                <w:szCs w:val="20"/>
                <w:color w:val="auto"/>
              </w:rPr>
            </w:pPr>
            <w:r>
              <w:rPr>
                <w:rFonts w:ascii="Arial" w:cs="Arial" w:eastAsia="Arial" w:hAnsi="Arial"/>
                <w:sz w:val="15"/>
                <w:szCs w:val="15"/>
                <w:color w:val="auto"/>
              </w:rPr>
              <w:t>13,589</w:t>
            </w:r>
          </w:p>
        </w:tc>
        <w:tc>
          <w:tcPr>
            <w:tcW w:w="160" w:type="dxa"/>
            <w:vAlign w:val="bottom"/>
            <w:shd w:val="clear" w:color="auto" w:fill="E0EBED"/>
          </w:tcPr>
          <w:p>
            <w:pPr>
              <w:spacing w:after="0"/>
              <w:rPr>
                <w:sz w:val="13"/>
                <w:szCs w:val="13"/>
                <w:color w:val="auto"/>
              </w:rPr>
            </w:pPr>
          </w:p>
        </w:tc>
        <w:tc>
          <w:tcPr>
            <w:tcW w:w="1040" w:type="dxa"/>
            <w:vAlign w:val="bottom"/>
            <w:shd w:val="clear" w:color="auto" w:fill="E0EBED"/>
          </w:tcPr>
          <w:p>
            <w:pPr>
              <w:jc w:val="right"/>
              <w:ind w:right="7"/>
              <w:spacing w:after="0" w:line="156" w:lineRule="exact"/>
              <w:rPr>
                <w:sz w:val="20"/>
                <w:szCs w:val="20"/>
                <w:color w:val="auto"/>
              </w:rPr>
            </w:pPr>
            <w:r>
              <w:rPr>
                <w:rFonts w:ascii="Arial" w:cs="Arial" w:eastAsia="Arial" w:hAnsi="Arial"/>
                <w:sz w:val="15"/>
                <w:szCs w:val="15"/>
                <w:color w:val="auto"/>
              </w:rPr>
              <w:t>–</w:t>
            </w:r>
          </w:p>
        </w:tc>
        <w:tc>
          <w:tcPr>
            <w:tcW w:w="920" w:type="dxa"/>
            <w:vAlign w:val="bottom"/>
            <w:shd w:val="clear" w:color="auto" w:fill="E0EBED"/>
          </w:tcPr>
          <w:p>
            <w:pPr>
              <w:jc w:val="right"/>
              <w:ind w:right="27"/>
              <w:spacing w:after="0" w:line="156" w:lineRule="exact"/>
              <w:rPr>
                <w:sz w:val="20"/>
                <w:szCs w:val="20"/>
                <w:color w:val="auto"/>
              </w:rPr>
            </w:pPr>
            <w:r>
              <w:rPr>
                <w:rFonts w:ascii="Arial" w:cs="Arial" w:eastAsia="Arial" w:hAnsi="Arial"/>
                <w:sz w:val="15"/>
                <w:szCs w:val="15"/>
                <w:color w:val="auto"/>
              </w:rPr>
              <w:t>–</w:t>
            </w:r>
          </w:p>
        </w:tc>
        <w:tc>
          <w:tcPr>
            <w:tcW w:w="220" w:type="dxa"/>
            <w:vAlign w:val="bottom"/>
            <w:shd w:val="clear" w:color="auto" w:fill="E0EBED"/>
          </w:tcPr>
          <w:p>
            <w:pPr>
              <w:spacing w:after="0"/>
              <w:rPr>
                <w:sz w:val="13"/>
                <w:szCs w:val="13"/>
                <w:color w:val="auto"/>
              </w:rPr>
            </w:pPr>
          </w:p>
        </w:tc>
        <w:tc>
          <w:tcPr>
            <w:tcW w:w="840" w:type="dxa"/>
            <w:vAlign w:val="bottom"/>
            <w:shd w:val="clear" w:color="auto" w:fill="E0EBED"/>
          </w:tcPr>
          <w:p>
            <w:pPr>
              <w:jc w:val="right"/>
              <w:spacing w:after="0" w:line="156" w:lineRule="exact"/>
              <w:rPr>
                <w:sz w:val="20"/>
                <w:szCs w:val="20"/>
                <w:color w:val="auto"/>
              </w:rPr>
            </w:pPr>
            <w:r>
              <w:rPr>
                <w:rFonts w:ascii="Arial" w:cs="Arial" w:eastAsia="Arial" w:hAnsi="Arial"/>
                <w:sz w:val="15"/>
                <w:szCs w:val="15"/>
                <w:color w:val="auto"/>
              </w:rPr>
              <w:t>13,589</w:t>
            </w:r>
          </w:p>
        </w:tc>
        <w:tc>
          <w:tcPr>
            <w:tcW w:w="200" w:type="dxa"/>
            <w:vAlign w:val="bottom"/>
            <w:shd w:val="clear" w:color="auto" w:fill="E0EBED"/>
          </w:tcPr>
          <w:p>
            <w:pPr>
              <w:spacing w:after="0"/>
              <w:rPr>
                <w:sz w:val="13"/>
                <w:szCs w:val="13"/>
                <w:color w:val="auto"/>
              </w:rPr>
            </w:pPr>
          </w:p>
        </w:tc>
        <w:tc>
          <w:tcPr>
            <w:tcW w:w="660" w:type="dxa"/>
            <w:vAlign w:val="bottom"/>
            <w:shd w:val="clear" w:color="auto" w:fill="E0EBED"/>
          </w:tcPr>
          <w:p>
            <w:pPr>
              <w:jc w:val="right"/>
              <w:spacing w:after="0" w:line="156" w:lineRule="exact"/>
              <w:rPr>
                <w:sz w:val="20"/>
                <w:szCs w:val="20"/>
                <w:color w:val="auto"/>
              </w:rPr>
            </w:pPr>
            <w:r>
              <w:rPr>
                <w:rFonts w:ascii="Arial" w:cs="Arial" w:eastAsia="Arial" w:hAnsi="Arial"/>
                <w:sz w:val="15"/>
                <w:szCs w:val="15"/>
                <w:color w:val="auto"/>
              </w:rPr>
              <w:t>–</w:t>
            </w:r>
          </w:p>
        </w:tc>
        <w:tc>
          <w:tcPr>
            <w:tcW w:w="900" w:type="dxa"/>
            <w:vAlign w:val="bottom"/>
            <w:shd w:val="clear" w:color="auto" w:fill="E0EBED"/>
          </w:tcPr>
          <w:p>
            <w:pPr>
              <w:jc w:val="right"/>
              <w:ind w:right="7"/>
              <w:spacing w:after="0" w:line="156" w:lineRule="exact"/>
              <w:rPr>
                <w:sz w:val="20"/>
                <w:szCs w:val="20"/>
                <w:color w:val="auto"/>
              </w:rPr>
            </w:pPr>
            <w:r>
              <w:rPr>
                <w:rFonts w:ascii="Arial" w:cs="Arial" w:eastAsia="Arial" w:hAnsi="Arial"/>
                <w:sz w:val="15"/>
                <w:szCs w:val="15"/>
                <w:color w:val="auto"/>
              </w:rPr>
              <w:t>13,589</w:t>
            </w:r>
          </w:p>
        </w:tc>
        <w:tc>
          <w:tcPr>
            <w:tcW w:w="0" w:type="dxa"/>
            <w:vAlign w:val="bottom"/>
          </w:tcPr>
          <w:p>
            <w:pPr>
              <w:spacing w:after="0"/>
              <w:rPr>
                <w:sz w:val="1"/>
                <w:szCs w:val="1"/>
                <w:color w:val="auto"/>
              </w:rPr>
            </w:pPr>
          </w:p>
        </w:tc>
      </w:tr>
      <w:tr>
        <w:trPr>
          <w:trHeight w:val="156"/>
        </w:trPr>
        <w:tc>
          <w:tcPr>
            <w:tcW w:w="3980" w:type="dxa"/>
            <w:vAlign w:val="bottom"/>
            <w:gridSpan w:val="2"/>
          </w:tcPr>
          <w:p>
            <w:pPr>
              <w:spacing w:after="0" w:line="156" w:lineRule="exact"/>
              <w:rPr>
                <w:sz w:val="20"/>
                <w:szCs w:val="20"/>
                <w:color w:val="auto"/>
              </w:rPr>
            </w:pPr>
            <w:r>
              <w:rPr>
                <w:rFonts w:ascii="Arial" w:cs="Arial" w:eastAsia="Arial" w:hAnsi="Arial"/>
                <w:sz w:val="15"/>
                <w:szCs w:val="15"/>
                <w:color w:val="auto"/>
              </w:rPr>
              <w:t>Noncontrolling interest acquired from business combination</w:t>
            </w:r>
          </w:p>
        </w:tc>
        <w:tc>
          <w:tcPr>
            <w:tcW w:w="800" w:type="dxa"/>
            <w:vAlign w:val="bottom"/>
            <w:shd w:val="clear" w:color="auto" w:fill="E0EBED"/>
          </w:tcPr>
          <w:p>
            <w:pPr>
              <w:jc w:val="right"/>
              <w:ind w:right="27"/>
              <w:spacing w:after="0" w:line="156" w:lineRule="exact"/>
              <w:rPr>
                <w:sz w:val="20"/>
                <w:szCs w:val="20"/>
                <w:color w:val="auto"/>
              </w:rPr>
            </w:pPr>
            <w:r>
              <w:rPr>
                <w:rFonts w:ascii="Arial" w:cs="Arial" w:eastAsia="Arial" w:hAnsi="Arial"/>
                <w:sz w:val="15"/>
                <w:szCs w:val="15"/>
                <w:color w:val="auto"/>
              </w:rPr>
              <w:t>–</w:t>
            </w:r>
          </w:p>
        </w:tc>
        <w:tc>
          <w:tcPr>
            <w:tcW w:w="180" w:type="dxa"/>
            <w:vAlign w:val="bottom"/>
            <w:shd w:val="clear" w:color="auto" w:fill="E0EBED"/>
          </w:tcPr>
          <w:p>
            <w:pPr>
              <w:spacing w:after="0"/>
              <w:rPr>
                <w:sz w:val="13"/>
                <w:szCs w:val="13"/>
                <w:color w:val="auto"/>
              </w:rPr>
            </w:pPr>
          </w:p>
        </w:tc>
        <w:tc>
          <w:tcPr>
            <w:tcW w:w="600" w:type="dxa"/>
            <w:vAlign w:val="bottom"/>
            <w:shd w:val="clear" w:color="auto" w:fill="E0EBED"/>
          </w:tcPr>
          <w:p>
            <w:pPr>
              <w:ind w:left="420"/>
              <w:spacing w:after="0" w:line="156" w:lineRule="exact"/>
              <w:rPr>
                <w:sz w:val="20"/>
                <w:szCs w:val="20"/>
                <w:color w:val="auto"/>
              </w:rPr>
            </w:pPr>
            <w:r>
              <w:rPr>
                <w:rFonts w:ascii="Arial" w:cs="Arial" w:eastAsia="Arial" w:hAnsi="Arial"/>
                <w:sz w:val="15"/>
                <w:szCs w:val="15"/>
                <w:color w:val="auto"/>
              </w:rPr>
              <w:t>–</w:t>
            </w:r>
          </w:p>
        </w:tc>
        <w:tc>
          <w:tcPr>
            <w:tcW w:w="920" w:type="dxa"/>
            <w:vAlign w:val="bottom"/>
            <w:shd w:val="clear" w:color="auto" w:fill="E0EBED"/>
          </w:tcPr>
          <w:p>
            <w:pPr>
              <w:jc w:val="right"/>
              <w:ind w:right="27"/>
              <w:spacing w:after="0" w:line="156" w:lineRule="exact"/>
              <w:rPr>
                <w:sz w:val="20"/>
                <w:szCs w:val="20"/>
                <w:color w:val="auto"/>
              </w:rPr>
            </w:pPr>
            <w:r>
              <w:rPr>
                <w:rFonts w:ascii="Arial" w:cs="Arial" w:eastAsia="Arial" w:hAnsi="Arial"/>
                <w:sz w:val="15"/>
                <w:szCs w:val="15"/>
                <w:color w:val="auto"/>
              </w:rPr>
              <w:t>–</w:t>
            </w:r>
          </w:p>
        </w:tc>
        <w:tc>
          <w:tcPr>
            <w:tcW w:w="160" w:type="dxa"/>
            <w:vAlign w:val="bottom"/>
            <w:shd w:val="clear" w:color="auto" w:fill="E0EBED"/>
          </w:tcPr>
          <w:p>
            <w:pPr>
              <w:spacing w:after="0"/>
              <w:rPr>
                <w:sz w:val="13"/>
                <w:szCs w:val="13"/>
                <w:color w:val="auto"/>
              </w:rPr>
            </w:pPr>
          </w:p>
        </w:tc>
        <w:tc>
          <w:tcPr>
            <w:tcW w:w="1040" w:type="dxa"/>
            <w:vAlign w:val="bottom"/>
            <w:shd w:val="clear" w:color="auto" w:fill="E0EBED"/>
          </w:tcPr>
          <w:p>
            <w:pPr>
              <w:jc w:val="right"/>
              <w:ind w:right="7"/>
              <w:spacing w:after="0" w:line="156" w:lineRule="exact"/>
              <w:rPr>
                <w:sz w:val="20"/>
                <w:szCs w:val="20"/>
                <w:color w:val="auto"/>
              </w:rPr>
            </w:pPr>
            <w:r>
              <w:rPr>
                <w:rFonts w:ascii="Arial" w:cs="Arial" w:eastAsia="Arial" w:hAnsi="Arial"/>
                <w:sz w:val="15"/>
                <w:szCs w:val="15"/>
                <w:color w:val="auto"/>
              </w:rPr>
              <w:t>–</w:t>
            </w:r>
          </w:p>
        </w:tc>
        <w:tc>
          <w:tcPr>
            <w:tcW w:w="920" w:type="dxa"/>
            <w:vAlign w:val="bottom"/>
            <w:shd w:val="clear" w:color="auto" w:fill="E0EBED"/>
          </w:tcPr>
          <w:p>
            <w:pPr>
              <w:jc w:val="right"/>
              <w:ind w:right="27"/>
              <w:spacing w:after="0" w:line="156" w:lineRule="exact"/>
              <w:rPr>
                <w:sz w:val="20"/>
                <w:szCs w:val="20"/>
                <w:color w:val="auto"/>
              </w:rPr>
            </w:pPr>
            <w:r>
              <w:rPr>
                <w:rFonts w:ascii="Arial" w:cs="Arial" w:eastAsia="Arial" w:hAnsi="Arial"/>
                <w:sz w:val="15"/>
                <w:szCs w:val="15"/>
                <w:color w:val="auto"/>
              </w:rPr>
              <w:t>–</w:t>
            </w:r>
          </w:p>
        </w:tc>
        <w:tc>
          <w:tcPr>
            <w:tcW w:w="220" w:type="dxa"/>
            <w:vAlign w:val="bottom"/>
            <w:shd w:val="clear" w:color="auto" w:fill="E0EBED"/>
          </w:tcPr>
          <w:p>
            <w:pPr>
              <w:spacing w:after="0"/>
              <w:rPr>
                <w:sz w:val="13"/>
                <w:szCs w:val="13"/>
                <w:color w:val="auto"/>
              </w:rPr>
            </w:pPr>
          </w:p>
        </w:tc>
        <w:tc>
          <w:tcPr>
            <w:tcW w:w="840" w:type="dxa"/>
            <w:vAlign w:val="bottom"/>
            <w:shd w:val="clear" w:color="auto" w:fill="E0EBED"/>
          </w:tcPr>
          <w:p>
            <w:pPr>
              <w:jc w:val="right"/>
              <w:spacing w:after="0" w:line="156" w:lineRule="exact"/>
              <w:rPr>
                <w:sz w:val="20"/>
                <w:szCs w:val="20"/>
                <w:color w:val="auto"/>
              </w:rPr>
            </w:pPr>
            <w:r>
              <w:rPr>
                <w:rFonts w:ascii="Arial" w:cs="Arial" w:eastAsia="Arial" w:hAnsi="Arial"/>
                <w:sz w:val="15"/>
                <w:szCs w:val="15"/>
                <w:color w:val="auto"/>
              </w:rPr>
              <w:t>–</w:t>
            </w:r>
          </w:p>
        </w:tc>
        <w:tc>
          <w:tcPr>
            <w:tcW w:w="200" w:type="dxa"/>
            <w:vAlign w:val="bottom"/>
            <w:shd w:val="clear" w:color="auto" w:fill="E0EBED"/>
          </w:tcPr>
          <w:p>
            <w:pPr>
              <w:spacing w:after="0"/>
              <w:rPr>
                <w:sz w:val="13"/>
                <w:szCs w:val="13"/>
                <w:color w:val="auto"/>
              </w:rPr>
            </w:pPr>
          </w:p>
        </w:tc>
        <w:tc>
          <w:tcPr>
            <w:tcW w:w="660" w:type="dxa"/>
            <w:vAlign w:val="bottom"/>
            <w:shd w:val="clear" w:color="auto" w:fill="E0EBED"/>
          </w:tcPr>
          <w:p>
            <w:pPr>
              <w:jc w:val="right"/>
              <w:spacing w:after="0" w:line="156" w:lineRule="exact"/>
              <w:rPr>
                <w:sz w:val="20"/>
                <w:szCs w:val="20"/>
                <w:color w:val="auto"/>
              </w:rPr>
            </w:pPr>
            <w:r>
              <w:rPr>
                <w:rFonts w:ascii="Arial" w:cs="Arial" w:eastAsia="Arial" w:hAnsi="Arial"/>
                <w:sz w:val="15"/>
                <w:szCs w:val="15"/>
                <w:color w:val="auto"/>
              </w:rPr>
              <w:t>1,475</w:t>
            </w:r>
          </w:p>
        </w:tc>
        <w:tc>
          <w:tcPr>
            <w:tcW w:w="900" w:type="dxa"/>
            <w:vAlign w:val="bottom"/>
            <w:shd w:val="clear" w:color="auto" w:fill="E0EBED"/>
          </w:tcPr>
          <w:p>
            <w:pPr>
              <w:jc w:val="right"/>
              <w:ind w:right="7"/>
              <w:spacing w:after="0" w:line="156" w:lineRule="exact"/>
              <w:rPr>
                <w:sz w:val="20"/>
                <w:szCs w:val="20"/>
                <w:color w:val="auto"/>
              </w:rPr>
            </w:pPr>
            <w:r>
              <w:rPr>
                <w:rFonts w:ascii="Arial" w:cs="Arial" w:eastAsia="Arial" w:hAnsi="Arial"/>
                <w:sz w:val="15"/>
                <w:szCs w:val="15"/>
                <w:color w:val="auto"/>
              </w:rPr>
              <w:t>1,475</w:t>
            </w:r>
          </w:p>
        </w:tc>
        <w:tc>
          <w:tcPr>
            <w:tcW w:w="0" w:type="dxa"/>
            <w:vAlign w:val="bottom"/>
          </w:tcPr>
          <w:p>
            <w:pPr>
              <w:spacing w:after="0"/>
              <w:rPr>
                <w:sz w:val="1"/>
                <w:szCs w:val="1"/>
                <w:color w:val="auto"/>
              </w:rPr>
            </w:pPr>
          </w:p>
        </w:tc>
      </w:tr>
      <w:tr>
        <w:trPr>
          <w:trHeight w:val="159"/>
        </w:trPr>
        <w:tc>
          <w:tcPr>
            <w:tcW w:w="3980" w:type="dxa"/>
            <w:vAlign w:val="bottom"/>
            <w:gridSpan w:val="2"/>
          </w:tcPr>
          <w:p>
            <w:pPr>
              <w:spacing w:after="0" w:line="159" w:lineRule="exact"/>
              <w:rPr>
                <w:sz w:val="20"/>
                <w:szCs w:val="20"/>
                <w:color w:val="auto"/>
              </w:rPr>
            </w:pPr>
            <w:r>
              <w:rPr>
                <w:rFonts w:ascii="Arial" w:cs="Arial" w:eastAsia="Arial" w:hAnsi="Arial"/>
                <w:sz w:val="15"/>
                <w:szCs w:val="15"/>
                <w:color w:val="auto"/>
              </w:rPr>
              <w:t>Purchase of subsidiary shares from noncontrolling interest</w:t>
            </w:r>
          </w:p>
        </w:tc>
        <w:tc>
          <w:tcPr>
            <w:tcW w:w="800" w:type="dxa"/>
            <w:vAlign w:val="bottom"/>
            <w:shd w:val="clear" w:color="auto" w:fill="E0EBED"/>
          </w:tcPr>
          <w:p>
            <w:pPr>
              <w:jc w:val="right"/>
              <w:ind w:right="27"/>
              <w:spacing w:after="0" w:line="159" w:lineRule="exact"/>
              <w:rPr>
                <w:sz w:val="20"/>
                <w:szCs w:val="20"/>
                <w:color w:val="auto"/>
              </w:rPr>
            </w:pPr>
            <w:r>
              <w:rPr>
                <w:rFonts w:ascii="Arial" w:cs="Arial" w:eastAsia="Arial" w:hAnsi="Arial"/>
                <w:sz w:val="15"/>
                <w:szCs w:val="15"/>
                <w:color w:val="auto"/>
              </w:rPr>
              <w:t>–</w:t>
            </w:r>
          </w:p>
        </w:tc>
        <w:tc>
          <w:tcPr>
            <w:tcW w:w="180" w:type="dxa"/>
            <w:vAlign w:val="bottom"/>
            <w:shd w:val="clear" w:color="auto" w:fill="E0EBED"/>
          </w:tcPr>
          <w:p>
            <w:pPr>
              <w:spacing w:after="0"/>
              <w:rPr>
                <w:sz w:val="13"/>
                <w:szCs w:val="13"/>
                <w:color w:val="auto"/>
              </w:rPr>
            </w:pPr>
          </w:p>
        </w:tc>
        <w:tc>
          <w:tcPr>
            <w:tcW w:w="600" w:type="dxa"/>
            <w:vAlign w:val="bottom"/>
            <w:shd w:val="clear" w:color="auto" w:fill="E0EBED"/>
          </w:tcPr>
          <w:p>
            <w:pPr>
              <w:ind w:left="420"/>
              <w:spacing w:after="0" w:line="159" w:lineRule="exact"/>
              <w:rPr>
                <w:sz w:val="20"/>
                <w:szCs w:val="20"/>
                <w:color w:val="auto"/>
              </w:rPr>
            </w:pPr>
            <w:r>
              <w:rPr>
                <w:rFonts w:ascii="Arial" w:cs="Arial" w:eastAsia="Arial" w:hAnsi="Arial"/>
                <w:sz w:val="15"/>
                <w:szCs w:val="15"/>
                <w:color w:val="auto"/>
              </w:rPr>
              <w:t>–</w:t>
            </w:r>
          </w:p>
        </w:tc>
        <w:tc>
          <w:tcPr>
            <w:tcW w:w="920" w:type="dxa"/>
            <w:vAlign w:val="bottom"/>
            <w:shd w:val="clear" w:color="auto" w:fill="E0EBED"/>
          </w:tcPr>
          <w:p>
            <w:pPr>
              <w:jc w:val="right"/>
              <w:ind w:right="27"/>
              <w:spacing w:after="0" w:line="159" w:lineRule="exact"/>
              <w:rPr>
                <w:sz w:val="20"/>
                <w:szCs w:val="20"/>
                <w:color w:val="auto"/>
              </w:rPr>
            </w:pPr>
            <w:r>
              <w:rPr>
                <w:rFonts w:ascii="Arial" w:cs="Arial" w:eastAsia="Arial" w:hAnsi="Arial"/>
                <w:sz w:val="15"/>
                <w:szCs w:val="15"/>
                <w:color w:val="auto"/>
              </w:rPr>
              <w:t>–</w:t>
            </w:r>
          </w:p>
        </w:tc>
        <w:tc>
          <w:tcPr>
            <w:tcW w:w="160" w:type="dxa"/>
            <w:vAlign w:val="bottom"/>
            <w:shd w:val="clear" w:color="auto" w:fill="E0EBED"/>
          </w:tcPr>
          <w:p>
            <w:pPr>
              <w:spacing w:after="0"/>
              <w:rPr>
                <w:sz w:val="13"/>
                <w:szCs w:val="13"/>
                <w:color w:val="auto"/>
              </w:rPr>
            </w:pPr>
          </w:p>
        </w:tc>
        <w:tc>
          <w:tcPr>
            <w:tcW w:w="1040" w:type="dxa"/>
            <w:vAlign w:val="bottom"/>
            <w:shd w:val="clear" w:color="auto" w:fill="E0EBED"/>
          </w:tcPr>
          <w:p>
            <w:pPr>
              <w:jc w:val="right"/>
              <w:ind w:right="7"/>
              <w:spacing w:after="0" w:line="159" w:lineRule="exact"/>
              <w:rPr>
                <w:sz w:val="20"/>
                <w:szCs w:val="20"/>
                <w:color w:val="auto"/>
              </w:rPr>
            </w:pPr>
            <w:r>
              <w:rPr>
                <w:rFonts w:ascii="Arial" w:cs="Arial" w:eastAsia="Arial" w:hAnsi="Arial"/>
                <w:sz w:val="15"/>
                <w:szCs w:val="15"/>
                <w:color w:val="auto"/>
              </w:rPr>
              <w:t>–</w:t>
            </w:r>
          </w:p>
        </w:tc>
        <w:tc>
          <w:tcPr>
            <w:tcW w:w="920" w:type="dxa"/>
            <w:vAlign w:val="bottom"/>
            <w:shd w:val="clear" w:color="auto" w:fill="E0EBED"/>
          </w:tcPr>
          <w:p>
            <w:pPr>
              <w:jc w:val="right"/>
              <w:ind w:right="27"/>
              <w:spacing w:after="0" w:line="159" w:lineRule="exact"/>
              <w:rPr>
                <w:sz w:val="20"/>
                <w:szCs w:val="20"/>
                <w:color w:val="auto"/>
              </w:rPr>
            </w:pPr>
            <w:r>
              <w:rPr>
                <w:rFonts w:ascii="Arial" w:cs="Arial" w:eastAsia="Arial" w:hAnsi="Arial"/>
                <w:sz w:val="15"/>
                <w:szCs w:val="15"/>
                <w:color w:val="auto"/>
              </w:rPr>
              <w:t>–</w:t>
            </w:r>
          </w:p>
        </w:tc>
        <w:tc>
          <w:tcPr>
            <w:tcW w:w="220" w:type="dxa"/>
            <w:vAlign w:val="bottom"/>
            <w:shd w:val="clear" w:color="auto" w:fill="E0EBED"/>
          </w:tcPr>
          <w:p>
            <w:pPr>
              <w:spacing w:after="0"/>
              <w:rPr>
                <w:sz w:val="13"/>
                <w:szCs w:val="13"/>
                <w:color w:val="auto"/>
              </w:rPr>
            </w:pPr>
          </w:p>
        </w:tc>
        <w:tc>
          <w:tcPr>
            <w:tcW w:w="840" w:type="dxa"/>
            <w:vAlign w:val="bottom"/>
            <w:shd w:val="clear" w:color="auto" w:fill="E0EBED"/>
          </w:tcPr>
          <w:p>
            <w:pPr>
              <w:jc w:val="right"/>
              <w:spacing w:after="0" w:line="159" w:lineRule="exact"/>
              <w:rPr>
                <w:sz w:val="20"/>
                <w:szCs w:val="20"/>
                <w:color w:val="auto"/>
              </w:rPr>
            </w:pPr>
            <w:r>
              <w:rPr>
                <w:rFonts w:ascii="Arial" w:cs="Arial" w:eastAsia="Arial" w:hAnsi="Arial"/>
                <w:sz w:val="15"/>
                <w:szCs w:val="15"/>
                <w:color w:val="auto"/>
              </w:rPr>
              <w:t>–</w:t>
            </w:r>
          </w:p>
        </w:tc>
        <w:tc>
          <w:tcPr>
            <w:tcW w:w="200" w:type="dxa"/>
            <w:vAlign w:val="bottom"/>
            <w:shd w:val="clear" w:color="auto" w:fill="E0EBED"/>
          </w:tcPr>
          <w:p>
            <w:pPr>
              <w:spacing w:after="0"/>
              <w:rPr>
                <w:sz w:val="13"/>
                <w:szCs w:val="13"/>
                <w:color w:val="auto"/>
              </w:rPr>
            </w:pPr>
          </w:p>
        </w:tc>
        <w:tc>
          <w:tcPr>
            <w:tcW w:w="660" w:type="dxa"/>
            <w:vAlign w:val="bottom"/>
            <w:shd w:val="clear" w:color="auto" w:fill="E0EBED"/>
          </w:tcPr>
          <w:p>
            <w:pPr>
              <w:jc w:val="right"/>
              <w:spacing w:after="0" w:line="159" w:lineRule="exact"/>
              <w:rPr>
                <w:sz w:val="20"/>
                <w:szCs w:val="20"/>
                <w:color w:val="auto"/>
              </w:rPr>
            </w:pPr>
            <w:r>
              <w:rPr>
                <w:rFonts w:ascii="Arial" w:cs="Arial" w:eastAsia="Arial" w:hAnsi="Arial"/>
                <w:sz w:val="15"/>
                <w:szCs w:val="15"/>
                <w:color w:val="auto"/>
              </w:rPr>
              <w:t>(325)</w:t>
            </w:r>
          </w:p>
        </w:tc>
        <w:tc>
          <w:tcPr>
            <w:tcW w:w="900" w:type="dxa"/>
            <w:vAlign w:val="bottom"/>
            <w:shd w:val="clear" w:color="auto" w:fill="E0EBED"/>
          </w:tcPr>
          <w:p>
            <w:pPr>
              <w:jc w:val="right"/>
              <w:ind w:right="7"/>
              <w:spacing w:after="0" w:line="159" w:lineRule="exact"/>
              <w:rPr>
                <w:sz w:val="20"/>
                <w:szCs w:val="20"/>
                <w:color w:val="auto"/>
              </w:rPr>
            </w:pPr>
            <w:r>
              <w:rPr>
                <w:rFonts w:ascii="Arial" w:cs="Arial" w:eastAsia="Arial" w:hAnsi="Arial"/>
                <w:sz w:val="15"/>
                <w:szCs w:val="15"/>
                <w:color w:val="auto"/>
              </w:rPr>
              <w:t>(325)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Borders>
              <w:top w:val="single" w:sz="8" w:color="auto"/>
            </w:tcBorders>
          </w:tcPr>
          <w:p>
            <w:pPr>
              <w:spacing w:after="0" w:line="149" w:lineRule="exact"/>
              <w:rPr>
                <w:sz w:val="20"/>
                <w:szCs w:val="20"/>
                <w:color w:val="auto"/>
              </w:rPr>
            </w:pPr>
            <w:r>
              <w:rPr>
                <w:rFonts w:ascii="Arial" w:cs="Arial" w:eastAsia="Arial" w:hAnsi="Arial"/>
                <w:sz w:val="15"/>
                <w:szCs w:val="15"/>
                <w:color w:val="auto"/>
              </w:rPr>
              <w:t>Balance at December 31, 2015</w:t>
            </w:r>
          </w:p>
        </w:tc>
        <w:tc>
          <w:tcPr>
            <w:tcW w:w="800" w:type="dxa"/>
            <w:vAlign w:val="bottom"/>
            <w:tcBorders>
              <w:top w:val="single" w:sz="8" w:color="auto"/>
            </w:tcBorders>
            <w:shd w:val="clear" w:color="auto" w:fill="E0EBED"/>
          </w:tcPr>
          <w:p>
            <w:pPr>
              <w:jc w:val="right"/>
              <w:ind w:right="27"/>
              <w:spacing w:after="0" w:line="149" w:lineRule="exact"/>
              <w:rPr>
                <w:sz w:val="20"/>
                <w:szCs w:val="20"/>
                <w:color w:val="auto"/>
              </w:rPr>
            </w:pPr>
            <w:r>
              <w:rPr>
                <w:rFonts w:ascii="Arial" w:cs="Arial" w:eastAsia="Arial" w:hAnsi="Arial"/>
                <w:sz w:val="15"/>
                <w:szCs w:val="15"/>
                <w:color w:val="auto"/>
              </w:rPr>
              <w:t>64,479</w:t>
            </w:r>
          </w:p>
        </w:tc>
        <w:tc>
          <w:tcPr>
            <w:tcW w:w="180" w:type="dxa"/>
            <w:vAlign w:val="bottom"/>
            <w:tcBorders>
              <w:top w:val="single" w:sz="8" w:color="auto"/>
            </w:tcBorders>
            <w:shd w:val="clear" w:color="auto" w:fill="E0EBED"/>
          </w:tcPr>
          <w:p>
            <w:pPr>
              <w:spacing w:after="0"/>
              <w:rPr>
                <w:sz w:val="12"/>
                <w:szCs w:val="12"/>
                <w:color w:val="auto"/>
              </w:rPr>
            </w:pPr>
          </w:p>
        </w:tc>
        <w:tc>
          <w:tcPr>
            <w:tcW w:w="600" w:type="dxa"/>
            <w:vAlign w:val="bottom"/>
            <w:tcBorders>
              <w:top w:val="single" w:sz="8" w:color="auto"/>
            </w:tcBorders>
            <w:shd w:val="clear" w:color="auto" w:fill="E0EBED"/>
          </w:tcPr>
          <w:p>
            <w:pPr>
              <w:ind w:left="260"/>
              <w:spacing w:after="0" w:line="149" w:lineRule="exact"/>
              <w:rPr>
                <w:sz w:val="20"/>
                <w:szCs w:val="20"/>
                <w:color w:val="auto"/>
              </w:rPr>
            </w:pPr>
            <w:r>
              <w:rPr>
                <w:rFonts w:ascii="Arial" w:cs="Arial" w:eastAsia="Arial" w:hAnsi="Arial"/>
                <w:sz w:val="15"/>
                <w:szCs w:val="15"/>
                <w:color w:val="auto"/>
              </w:rPr>
              <w:t>643</w:t>
            </w:r>
          </w:p>
        </w:tc>
        <w:tc>
          <w:tcPr>
            <w:tcW w:w="920" w:type="dxa"/>
            <w:vAlign w:val="bottom"/>
            <w:tcBorders>
              <w:top w:val="single" w:sz="8" w:color="auto"/>
            </w:tcBorders>
            <w:shd w:val="clear" w:color="auto" w:fill="E0EBED"/>
          </w:tcPr>
          <w:p>
            <w:pPr>
              <w:jc w:val="right"/>
              <w:ind w:right="27"/>
              <w:spacing w:after="0" w:line="149" w:lineRule="exact"/>
              <w:rPr>
                <w:sz w:val="20"/>
                <w:szCs w:val="20"/>
                <w:color w:val="auto"/>
              </w:rPr>
            </w:pPr>
            <w:r>
              <w:rPr>
                <w:rFonts w:ascii="Arial" w:cs="Arial" w:eastAsia="Arial" w:hAnsi="Arial"/>
                <w:sz w:val="15"/>
                <w:szCs w:val="15"/>
                <w:color w:val="auto"/>
              </w:rPr>
              <w:t>3,287,827</w:t>
            </w:r>
          </w:p>
        </w:tc>
        <w:tc>
          <w:tcPr>
            <w:tcW w:w="160" w:type="dxa"/>
            <w:vAlign w:val="bottom"/>
            <w:tcBorders>
              <w:top w:val="single" w:sz="8" w:color="auto"/>
            </w:tcBorders>
            <w:shd w:val="clear" w:color="auto" w:fill="E0EBED"/>
          </w:tcPr>
          <w:p>
            <w:pPr>
              <w:spacing w:after="0"/>
              <w:rPr>
                <w:sz w:val="12"/>
                <w:szCs w:val="12"/>
                <w:color w:val="auto"/>
              </w:rPr>
            </w:pPr>
          </w:p>
        </w:tc>
        <w:tc>
          <w:tcPr>
            <w:tcW w:w="1040" w:type="dxa"/>
            <w:vAlign w:val="bottom"/>
            <w:tcBorders>
              <w:top w:val="single" w:sz="8" w:color="auto"/>
            </w:tcBorders>
            <w:shd w:val="clear" w:color="auto" w:fill="E0EBED"/>
          </w:tcPr>
          <w:p>
            <w:pPr>
              <w:jc w:val="right"/>
              <w:ind w:right="7"/>
              <w:spacing w:after="0" w:line="149" w:lineRule="exact"/>
              <w:rPr>
                <w:sz w:val="20"/>
                <w:szCs w:val="20"/>
                <w:color w:val="auto"/>
              </w:rPr>
            </w:pPr>
            <w:r>
              <w:rPr>
                <w:rFonts w:ascii="Arial" w:cs="Arial" w:eastAsia="Arial" w:hAnsi="Arial"/>
                <w:sz w:val="15"/>
                <w:szCs w:val="15"/>
                <w:color w:val="auto"/>
              </w:rPr>
              <w:t>(105,622)</w:t>
            </w:r>
          </w:p>
        </w:tc>
        <w:tc>
          <w:tcPr>
            <w:tcW w:w="920" w:type="dxa"/>
            <w:vAlign w:val="bottom"/>
            <w:tcBorders>
              <w:top w:val="single" w:sz="8" w:color="auto"/>
            </w:tcBorders>
            <w:shd w:val="clear" w:color="auto" w:fill="E0EBED"/>
          </w:tcPr>
          <w:p>
            <w:pPr>
              <w:jc w:val="right"/>
              <w:ind w:right="27"/>
              <w:spacing w:after="0" w:line="149" w:lineRule="exact"/>
              <w:rPr>
                <w:sz w:val="20"/>
                <w:szCs w:val="20"/>
                <w:color w:val="auto"/>
              </w:rPr>
            </w:pPr>
            <w:r>
              <w:rPr>
                <w:rFonts w:ascii="Arial" w:cs="Arial" w:eastAsia="Arial" w:hAnsi="Arial"/>
                <w:sz w:val="15"/>
                <w:szCs w:val="15"/>
                <w:color w:val="auto"/>
              </w:rPr>
              <w:t>874,436</w:t>
            </w:r>
          </w:p>
        </w:tc>
        <w:tc>
          <w:tcPr>
            <w:tcW w:w="220" w:type="dxa"/>
            <w:vAlign w:val="bottom"/>
            <w:tcBorders>
              <w:top w:val="single" w:sz="8" w:color="auto"/>
            </w:tcBorders>
            <w:shd w:val="clear" w:color="auto" w:fill="E0EBED"/>
          </w:tcPr>
          <w:p>
            <w:pPr>
              <w:spacing w:after="0"/>
              <w:rPr>
                <w:sz w:val="12"/>
                <w:szCs w:val="12"/>
                <w:color w:val="auto"/>
              </w:rPr>
            </w:pPr>
          </w:p>
        </w:tc>
        <w:tc>
          <w:tcPr>
            <w:tcW w:w="840" w:type="dxa"/>
            <w:vAlign w:val="bottom"/>
            <w:tcBorders>
              <w:top w:val="single" w:sz="8" w:color="auto"/>
            </w:tcBorders>
            <w:shd w:val="clear" w:color="auto" w:fill="E0EBED"/>
          </w:tcPr>
          <w:p>
            <w:pPr>
              <w:jc w:val="right"/>
              <w:spacing w:after="0" w:line="149" w:lineRule="exact"/>
              <w:rPr>
                <w:sz w:val="20"/>
                <w:szCs w:val="20"/>
                <w:color w:val="auto"/>
              </w:rPr>
            </w:pPr>
            <w:r>
              <w:rPr>
                <w:rFonts w:ascii="Arial" w:cs="Arial" w:eastAsia="Arial" w:hAnsi="Arial"/>
                <w:sz w:val="15"/>
                <w:szCs w:val="15"/>
                <w:color w:val="auto"/>
              </w:rPr>
              <w:t>4,057,284</w:t>
            </w:r>
          </w:p>
        </w:tc>
        <w:tc>
          <w:tcPr>
            <w:tcW w:w="200" w:type="dxa"/>
            <w:vAlign w:val="bottom"/>
            <w:tcBorders>
              <w:top w:val="single" w:sz="8" w:color="auto"/>
            </w:tcBorders>
            <w:shd w:val="clear" w:color="auto" w:fill="E0EBED"/>
          </w:tcPr>
          <w:p>
            <w:pPr>
              <w:spacing w:after="0"/>
              <w:rPr>
                <w:sz w:val="12"/>
                <w:szCs w:val="12"/>
                <w:color w:val="auto"/>
              </w:rPr>
            </w:pPr>
          </w:p>
        </w:tc>
        <w:tc>
          <w:tcPr>
            <w:tcW w:w="660" w:type="dxa"/>
            <w:vAlign w:val="bottom"/>
            <w:tcBorders>
              <w:top w:val="single" w:sz="8" w:color="auto"/>
            </w:tcBorders>
            <w:shd w:val="clear" w:color="auto" w:fill="E0EBED"/>
          </w:tcPr>
          <w:p>
            <w:pPr>
              <w:jc w:val="right"/>
              <w:spacing w:after="0" w:line="149" w:lineRule="exact"/>
              <w:rPr>
                <w:sz w:val="20"/>
                <w:szCs w:val="20"/>
                <w:color w:val="auto"/>
              </w:rPr>
            </w:pPr>
            <w:r>
              <w:rPr>
                <w:rFonts w:ascii="Arial" w:cs="Arial" w:eastAsia="Arial" w:hAnsi="Arial"/>
                <w:sz w:val="15"/>
                <w:szCs w:val="15"/>
                <w:color w:val="auto"/>
              </w:rPr>
              <w:t>2,893</w:t>
            </w:r>
          </w:p>
        </w:tc>
        <w:tc>
          <w:tcPr>
            <w:tcW w:w="900" w:type="dxa"/>
            <w:vAlign w:val="bottom"/>
            <w:tcBorders>
              <w:top w:val="single" w:sz="8" w:color="auto"/>
            </w:tcBorders>
            <w:shd w:val="clear" w:color="auto" w:fill="E0EBED"/>
          </w:tcPr>
          <w:p>
            <w:pPr>
              <w:jc w:val="right"/>
              <w:ind w:right="7"/>
              <w:spacing w:after="0" w:line="149" w:lineRule="exact"/>
              <w:rPr>
                <w:sz w:val="20"/>
                <w:szCs w:val="20"/>
                <w:color w:val="auto"/>
              </w:rPr>
            </w:pPr>
            <w:r>
              <w:rPr>
                <w:rFonts w:ascii="Arial" w:cs="Arial" w:eastAsia="Arial" w:hAnsi="Arial"/>
                <w:sz w:val="15"/>
                <w:szCs w:val="15"/>
                <w:color w:val="auto"/>
              </w:rPr>
              <w:t>4,060,177</w:t>
            </w:r>
          </w:p>
        </w:tc>
        <w:tc>
          <w:tcPr>
            <w:tcW w:w="0" w:type="dxa"/>
            <w:vAlign w:val="bottom"/>
          </w:tcPr>
          <w:p>
            <w:pPr>
              <w:spacing w:after="0"/>
              <w:rPr>
                <w:sz w:val="1"/>
                <w:szCs w:val="1"/>
                <w:color w:val="auto"/>
              </w:rPr>
            </w:pPr>
          </w:p>
        </w:tc>
      </w:tr>
      <w:tr>
        <w:trPr>
          <w:trHeight w:val="321"/>
        </w:trPr>
        <w:tc>
          <w:tcPr>
            <w:tcW w:w="3980" w:type="dxa"/>
            <w:vAlign w:val="bottom"/>
            <w:gridSpan w:val="2"/>
          </w:tcPr>
          <w:p>
            <w:pPr>
              <w:spacing w:after="0"/>
              <w:rPr>
                <w:sz w:val="20"/>
                <w:szCs w:val="20"/>
                <w:color w:val="auto"/>
              </w:rPr>
            </w:pPr>
            <w:r>
              <w:rPr>
                <w:rFonts w:ascii="Arial" w:cs="Arial" w:eastAsia="Arial" w:hAnsi="Arial"/>
                <w:sz w:val="15"/>
                <w:szCs w:val="15"/>
                <w:color w:val="auto"/>
              </w:rPr>
              <w:t>Consolidated net earnings</w:t>
            </w:r>
          </w:p>
        </w:tc>
        <w:tc>
          <w:tcPr>
            <w:tcW w:w="800" w:type="dxa"/>
            <w:vAlign w:val="bottom"/>
            <w:shd w:val="clear" w:color="auto" w:fill="E0EBED"/>
          </w:tcPr>
          <w:p>
            <w:pPr>
              <w:jc w:val="right"/>
              <w:ind w:right="27"/>
              <w:spacing w:after="0"/>
              <w:rPr>
                <w:sz w:val="20"/>
                <w:szCs w:val="20"/>
                <w:color w:val="auto"/>
              </w:rPr>
            </w:pPr>
            <w:r>
              <w:rPr>
                <w:rFonts w:ascii="Arial" w:cs="Arial" w:eastAsia="Arial" w:hAnsi="Arial"/>
                <w:sz w:val="15"/>
                <w:szCs w:val="15"/>
                <w:color w:val="auto"/>
              </w:rPr>
              <w:t>–</w:t>
            </w:r>
          </w:p>
        </w:tc>
        <w:tc>
          <w:tcPr>
            <w:tcW w:w="180" w:type="dxa"/>
            <w:vAlign w:val="bottom"/>
            <w:shd w:val="clear" w:color="auto" w:fill="E0EBED"/>
          </w:tcPr>
          <w:p>
            <w:pPr>
              <w:spacing w:after="0"/>
              <w:rPr>
                <w:sz w:val="24"/>
                <w:szCs w:val="24"/>
                <w:color w:val="auto"/>
              </w:rPr>
            </w:pPr>
          </w:p>
        </w:tc>
        <w:tc>
          <w:tcPr>
            <w:tcW w:w="600" w:type="dxa"/>
            <w:vAlign w:val="bottom"/>
            <w:shd w:val="clear" w:color="auto" w:fill="E0EBED"/>
          </w:tcPr>
          <w:p>
            <w:pPr>
              <w:ind w:left="420"/>
              <w:spacing w:after="0"/>
              <w:rPr>
                <w:sz w:val="20"/>
                <w:szCs w:val="20"/>
                <w:color w:val="auto"/>
              </w:rPr>
            </w:pPr>
            <w:r>
              <w:rPr>
                <w:rFonts w:ascii="Arial" w:cs="Arial" w:eastAsia="Arial" w:hAnsi="Arial"/>
                <w:sz w:val="15"/>
                <w:szCs w:val="15"/>
                <w:color w:val="auto"/>
              </w:rPr>
              <w:t>–</w:t>
            </w:r>
          </w:p>
        </w:tc>
        <w:tc>
          <w:tcPr>
            <w:tcW w:w="920" w:type="dxa"/>
            <w:vAlign w:val="bottom"/>
            <w:shd w:val="clear" w:color="auto" w:fill="E0EBED"/>
          </w:tcPr>
          <w:p>
            <w:pPr>
              <w:jc w:val="right"/>
              <w:ind w:right="27"/>
              <w:spacing w:after="0"/>
              <w:rPr>
                <w:sz w:val="20"/>
                <w:szCs w:val="20"/>
                <w:color w:val="auto"/>
              </w:rPr>
            </w:pPr>
            <w:r>
              <w:rPr>
                <w:rFonts w:ascii="Arial" w:cs="Arial" w:eastAsia="Arial" w:hAnsi="Arial"/>
                <w:sz w:val="15"/>
                <w:szCs w:val="15"/>
                <w:color w:val="auto"/>
              </w:rPr>
              <w:t>–</w:t>
            </w:r>
          </w:p>
        </w:tc>
        <w:tc>
          <w:tcPr>
            <w:tcW w:w="160" w:type="dxa"/>
            <w:vAlign w:val="bottom"/>
            <w:shd w:val="clear" w:color="auto" w:fill="E0EBED"/>
          </w:tcPr>
          <w:p>
            <w:pPr>
              <w:spacing w:after="0"/>
              <w:rPr>
                <w:sz w:val="24"/>
                <w:szCs w:val="24"/>
                <w:color w:val="auto"/>
              </w:rPr>
            </w:pPr>
          </w:p>
        </w:tc>
        <w:tc>
          <w:tcPr>
            <w:tcW w:w="1040" w:type="dxa"/>
            <w:vAlign w:val="bottom"/>
            <w:shd w:val="clear" w:color="auto" w:fill="E0EBED"/>
          </w:tcPr>
          <w:p>
            <w:pPr>
              <w:jc w:val="right"/>
              <w:ind w:right="7"/>
              <w:spacing w:after="0"/>
              <w:rPr>
                <w:sz w:val="20"/>
                <w:szCs w:val="20"/>
                <w:color w:val="auto"/>
              </w:rPr>
            </w:pPr>
            <w:r>
              <w:rPr>
                <w:rFonts w:ascii="Arial" w:cs="Arial" w:eastAsia="Arial" w:hAnsi="Arial"/>
                <w:sz w:val="15"/>
                <w:szCs w:val="15"/>
                <w:color w:val="auto"/>
              </w:rPr>
              <w:t>–</w:t>
            </w:r>
          </w:p>
        </w:tc>
        <w:tc>
          <w:tcPr>
            <w:tcW w:w="920" w:type="dxa"/>
            <w:vAlign w:val="bottom"/>
            <w:shd w:val="clear" w:color="auto" w:fill="E0EBED"/>
          </w:tcPr>
          <w:p>
            <w:pPr>
              <w:jc w:val="right"/>
              <w:ind w:right="27"/>
              <w:spacing w:after="0"/>
              <w:rPr>
                <w:sz w:val="20"/>
                <w:szCs w:val="20"/>
                <w:color w:val="auto"/>
              </w:rPr>
            </w:pPr>
            <w:r>
              <w:rPr>
                <w:rFonts w:ascii="Arial" w:cs="Arial" w:eastAsia="Arial" w:hAnsi="Arial"/>
                <w:sz w:val="15"/>
                <w:szCs w:val="15"/>
                <w:color w:val="auto"/>
              </w:rPr>
              <w:t>425,386</w:t>
            </w:r>
          </w:p>
        </w:tc>
        <w:tc>
          <w:tcPr>
            <w:tcW w:w="220" w:type="dxa"/>
            <w:vAlign w:val="bottom"/>
            <w:shd w:val="clear" w:color="auto" w:fill="E0EBED"/>
          </w:tcPr>
          <w:p>
            <w:pPr>
              <w:spacing w:after="0"/>
              <w:rPr>
                <w:sz w:val="24"/>
                <w:szCs w:val="24"/>
                <w:color w:val="auto"/>
              </w:rPr>
            </w:pPr>
          </w:p>
        </w:tc>
        <w:tc>
          <w:tcPr>
            <w:tcW w:w="840" w:type="dxa"/>
            <w:vAlign w:val="bottom"/>
            <w:shd w:val="clear" w:color="auto" w:fill="E0EBED"/>
          </w:tcPr>
          <w:p>
            <w:pPr>
              <w:jc w:val="right"/>
              <w:spacing w:after="0"/>
              <w:rPr>
                <w:sz w:val="20"/>
                <w:szCs w:val="20"/>
                <w:color w:val="auto"/>
              </w:rPr>
            </w:pPr>
            <w:r>
              <w:rPr>
                <w:rFonts w:ascii="Arial" w:cs="Arial" w:eastAsia="Arial" w:hAnsi="Arial"/>
                <w:sz w:val="15"/>
                <w:szCs w:val="15"/>
                <w:color w:val="auto"/>
              </w:rPr>
              <w:t>425,386</w:t>
            </w:r>
          </w:p>
        </w:tc>
        <w:tc>
          <w:tcPr>
            <w:tcW w:w="200" w:type="dxa"/>
            <w:vAlign w:val="bottom"/>
            <w:shd w:val="clear" w:color="auto" w:fill="E0EBED"/>
          </w:tcPr>
          <w:p>
            <w:pPr>
              <w:spacing w:after="0"/>
              <w:rPr>
                <w:sz w:val="24"/>
                <w:szCs w:val="24"/>
                <w:color w:val="auto"/>
              </w:rPr>
            </w:pPr>
          </w:p>
        </w:tc>
        <w:tc>
          <w:tcPr>
            <w:tcW w:w="660" w:type="dxa"/>
            <w:vAlign w:val="bottom"/>
            <w:shd w:val="clear" w:color="auto" w:fill="E0EBED"/>
          </w:tcPr>
          <w:p>
            <w:pPr>
              <w:jc w:val="right"/>
              <w:spacing w:after="0"/>
              <w:rPr>
                <w:sz w:val="20"/>
                <w:szCs w:val="20"/>
                <w:color w:val="auto"/>
              </w:rPr>
            </w:pPr>
            <w:r>
              <w:rPr>
                <w:rFonts w:ascii="Arial" w:cs="Arial" w:eastAsia="Arial" w:hAnsi="Arial"/>
                <w:sz w:val="15"/>
                <w:szCs w:val="15"/>
                <w:color w:val="auto"/>
              </w:rPr>
              <w:t>58</w:t>
            </w:r>
          </w:p>
        </w:tc>
        <w:tc>
          <w:tcPr>
            <w:tcW w:w="900" w:type="dxa"/>
            <w:vAlign w:val="bottom"/>
            <w:shd w:val="clear" w:color="auto" w:fill="E0EBED"/>
          </w:tcPr>
          <w:p>
            <w:pPr>
              <w:jc w:val="right"/>
              <w:ind w:right="7"/>
              <w:spacing w:after="0"/>
              <w:rPr>
                <w:sz w:val="20"/>
                <w:szCs w:val="20"/>
                <w:color w:val="auto"/>
              </w:rPr>
            </w:pPr>
            <w:r>
              <w:rPr>
                <w:rFonts w:ascii="Arial" w:cs="Arial" w:eastAsia="Arial" w:hAnsi="Arial"/>
                <w:sz w:val="15"/>
                <w:szCs w:val="15"/>
                <w:color w:val="auto"/>
              </w:rPr>
              <w:t>425,444</w:t>
            </w:r>
          </w:p>
        </w:tc>
        <w:tc>
          <w:tcPr>
            <w:tcW w:w="0" w:type="dxa"/>
            <w:vAlign w:val="bottom"/>
          </w:tcPr>
          <w:p>
            <w:pPr>
              <w:spacing w:after="0"/>
              <w:rPr>
                <w:sz w:val="1"/>
                <w:szCs w:val="1"/>
                <w:color w:val="auto"/>
              </w:rPr>
            </w:pPr>
          </w:p>
        </w:tc>
      </w:tr>
      <w:tr>
        <w:trPr>
          <w:trHeight w:val="156"/>
        </w:trPr>
        <w:tc>
          <w:tcPr>
            <w:tcW w:w="3980" w:type="dxa"/>
            <w:vAlign w:val="bottom"/>
            <w:gridSpan w:val="2"/>
          </w:tcPr>
          <w:p>
            <w:pPr>
              <w:spacing w:after="0" w:line="156" w:lineRule="exact"/>
              <w:rPr>
                <w:sz w:val="20"/>
                <w:szCs w:val="20"/>
                <w:color w:val="auto"/>
              </w:rPr>
            </w:pPr>
            <w:r>
              <w:rPr>
                <w:rFonts w:ascii="Arial" w:cs="Arial" w:eastAsia="Arial" w:hAnsi="Arial"/>
                <w:sz w:val="15"/>
                <w:szCs w:val="15"/>
                <w:color w:val="auto"/>
              </w:rPr>
              <w:t>Other comprehensive (loss) earnings</w:t>
            </w:r>
          </w:p>
        </w:tc>
        <w:tc>
          <w:tcPr>
            <w:tcW w:w="800" w:type="dxa"/>
            <w:vAlign w:val="bottom"/>
            <w:shd w:val="clear" w:color="auto" w:fill="E0EBED"/>
          </w:tcPr>
          <w:p>
            <w:pPr>
              <w:jc w:val="right"/>
              <w:ind w:right="27"/>
              <w:spacing w:after="0" w:line="156" w:lineRule="exact"/>
              <w:rPr>
                <w:sz w:val="20"/>
                <w:szCs w:val="20"/>
                <w:color w:val="auto"/>
              </w:rPr>
            </w:pPr>
            <w:r>
              <w:rPr>
                <w:rFonts w:ascii="Arial" w:cs="Arial" w:eastAsia="Arial" w:hAnsi="Arial"/>
                <w:sz w:val="15"/>
                <w:szCs w:val="15"/>
                <w:color w:val="auto"/>
              </w:rPr>
              <w:t>–</w:t>
            </w:r>
          </w:p>
        </w:tc>
        <w:tc>
          <w:tcPr>
            <w:tcW w:w="180" w:type="dxa"/>
            <w:vAlign w:val="bottom"/>
            <w:shd w:val="clear" w:color="auto" w:fill="E0EBED"/>
          </w:tcPr>
          <w:p>
            <w:pPr>
              <w:spacing w:after="0"/>
              <w:rPr>
                <w:sz w:val="13"/>
                <w:szCs w:val="13"/>
                <w:color w:val="auto"/>
              </w:rPr>
            </w:pPr>
          </w:p>
        </w:tc>
        <w:tc>
          <w:tcPr>
            <w:tcW w:w="600" w:type="dxa"/>
            <w:vAlign w:val="bottom"/>
            <w:shd w:val="clear" w:color="auto" w:fill="E0EBED"/>
          </w:tcPr>
          <w:p>
            <w:pPr>
              <w:ind w:left="420"/>
              <w:spacing w:after="0" w:line="156" w:lineRule="exact"/>
              <w:rPr>
                <w:sz w:val="20"/>
                <w:szCs w:val="20"/>
                <w:color w:val="auto"/>
              </w:rPr>
            </w:pPr>
            <w:r>
              <w:rPr>
                <w:rFonts w:ascii="Arial" w:cs="Arial" w:eastAsia="Arial" w:hAnsi="Arial"/>
                <w:sz w:val="15"/>
                <w:szCs w:val="15"/>
                <w:color w:val="auto"/>
              </w:rPr>
              <w:t>–</w:t>
            </w:r>
          </w:p>
        </w:tc>
        <w:tc>
          <w:tcPr>
            <w:tcW w:w="920" w:type="dxa"/>
            <w:vAlign w:val="bottom"/>
            <w:shd w:val="clear" w:color="auto" w:fill="E0EBED"/>
          </w:tcPr>
          <w:p>
            <w:pPr>
              <w:jc w:val="right"/>
              <w:ind w:right="27"/>
              <w:spacing w:after="0" w:line="156" w:lineRule="exact"/>
              <w:rPr>
                <w:sz w:val="20"/>
                <w:szCs w:val="20"/>
                <w:color w:val="auto"/>
              </w:rPr>
            </w:pPr>
            <w:r>
              <w:rPr>
                <w:rFonts w:ascii="Arial" w:cs="Arial" w:eastAsia="Arial" w:hAnsi="Arial"/>
                <w:sz w:val="15"/>
                <w:szCs w:val="15"/>
                <w:color w:val="auto"/>
              </w:rPr>
              <w:t>–</w:t>
            </w:r>
          </w:p>
        </w:tc>
        <w:tc>
          <w:tcPr>
            <w:tcW w:w="160" w:type="dxa"/>
            <w:vAlign w:val="bottom"/>
            <w:shd w:val="clear" w:color="auto" w:fill="E0EBED"/>
          </w:tcPr>
          <w:p>
            <w:pPr>
              <w:spacing w:after="0"/>
              <w:rPr>
                <w:sz w:val="13"/>
                <w:szCs w:val="13"/>
                <w:color w:val="auto"/>
              </w:rPr>
            </w:pPr>
          </w:p>
        </w:tc>
        <w:tc>
          <w:tcPr>
            <w:tcW w:w="1040" w:type="dxa"/>
            <w:vAlign w:val="bottom"/>
            <w:shd w:val="clear" w:color="auto" w:fill="E0EBED"/>
          </w:tcPr>
          <w:p>
            <w:pPr>
              <w:jc w:val="right"/>
              <w:ind w:right="7"/>
              <w:spacing w:after="0" w:line="156" w:lineRule="exact"/>
              <w:rPr>
                <w:sz w:val="20"/>
                <w:szCs w:val="20"/>
                <w:color w:val="auto"/>
              </w:rPr>
            </w:pPr>
            <w:r>
              <w:rPr>
                <w:rFonts w:ascii="Arial" w:cs="Arial" w:eastAsia="Arial" w:hAnsi="Arial"/>
                <w:sz w:val="15"/>
                <w:szCs w:val="15"/>
                <w:color w:val="auto"/>
              </w:rPr>
              <w:t>(25,065)</w:t>
            </w:r>
          </w:p>
        </w:tc>
        <w:tc>
          <w:tcPr>
            <w:tcW w:w="920" w:type="dxa"/>
            <w:vAlign w:val="bottom"/>
            <w:shd w:val="clear" w:color="auto" w:fill="E0EBED"/>
          </w:tcPr>
          <w:p>
            <w:pPr>
              <w:jc w:val="right"/>
              <w:ind w:right="27"/>
              <w:spacing w:after="0" w:line="156" w:lineRule="exact"/>
              <w:rPr>
                <w:sz w:val="20"/>
                <w:szCs w:val="20"/>
                <w:color w:val="auto"/>
              </w:rPr>
            </w:pPr>
            <w:r>
              <w:rPr>
                <w:rFonts w:ascii="Arial" w:cs="Arial" w:eastAsia="Arial" w:hAnsi="Arial"/>
                <w:sz w:val="15"/>
                <w:szCs w:val="15"/>
                <w:color w:val="auto"/>
              </w:rPr>
              <w:t>–</w:t>
            </w:r>
          </w:p>
        </w:tc>
        <w:tc>
          <w:tcPr>
            <w:tcW w:w="220" w:type="dxa"/>
            <w:vAlign w:val="bottom"/>
            <w:shd w:val="clear" w:color="auto" w:fill="E0EBED"/>
          </w:tcPr>
          <w:p>
            <w:pPr>
              <w:spacing w:after="0"/>
              <w:rPr>
                <w:sz w:val="13"/>
                <w:szCs w:val="13"/>
                <w:color w:val="auto"/>
              </w:rPr>
            </w:pPr>
          </w:p>
        </w:tc>
        <w:tc>
          <w:tcPr>
            <w:tcW w:w="840" w:type="dxa"/>
            <w:vAlign w:val="bottom"/>
            <w:shd w:val="clear" w:color="auto" w:fill="E0EBED"/>
          </w:tcPr>
          <w:p>
            <w:pPr>
              <w:jc w:val="right"/>
              <w:spacing w:after="0" w:line="156" w:lineRule="exact"/>
              <w:rPr>
                <w:sz w:val="20"/>
                <w:szCs w:val="20"/>
                <w:color w:val="auto"/>
              </w:rPr>
            </w:pPr>
            <w:r>
              <w:rPr>
                <w:rFonts w:ascii="Arial" w:cs="Arial" w:eastAsia="Arial" w:hAnsi="Arial"/>
                <w:sz w:val="15"/>
                <w:szCs w:val="15"/>
                <w:color w:val="auto"/>
              </w:rPr>
              <w:t>(25,065)</w:t>
            </w:r>
          </w:p>
        </w:tc>
        <w:tc>
          <w:tcPr>
            <w:tcW w:w="200" w:type="dxa"/>
            <w:vAlign w:val="bottom"/>
            <w:shd w:val="clear" w:color="auto" w:fill="E0EBED"/>
          </w:tcPr>
          <w:p>
            <w:pPr>
              <w:spacing w:after="0"/>
              <w:rPr>
                <w:sz w:val="13"/>
                <w:szCs w:val="13"/>
                <w:color w:val="auto"/>
              </w:rPr>
            </w:pPr>
          </w:p>
        </w:tc>
        <w:tc>
          <w:tcPr>
            <w:tcW w:w="660" w:type="dxa"/>
            <w:vAlign w:val="bottom"/>
            <w:shd w:val="clear" w:color="auto" w:fill="E0EBED"/>
          </w:tcPr>
          <w:p>
            <w:pPr>
              <w:jc w:val="right"/>
              <w:spacing w:after="0" w:line="156" w:lineRule="exact"/>
              <w:rPr>
                <w:sz w:val="20"/>
                <w:szCs w:val="20"/>
                <w:color w:val="auto"/>
              </w:rPr>
            </w:pPr>
            <w:r>
              <w:rPr>
                <w:rFonts w:ascii="Arial" w:cs="Arial" w:eastAsia="Arial" w:hAnsi="Arial"/>
                <w:sz w:val="15"/>
                <w:szCs w:val="15"/>
                <w:color w:val="auto"/>
              </w:rPr>
              <w:t>61</w:t>
            </w:r>
          </w:p>
        </w:tc>
        <w:tc>
          <w:tcPr>
            <w:tcW w:w="900" w:type="dxa"/>
            <w:vAlign w:val="bottom"/>
            <w:shd w:val="clear" w:color="auto" w:fill="E0EBED"/>
          </w:tcPr>
          <w:p>
            <w:pPr>
              <w:jc w:val="right"/>
              <w:spacing w:after="0" w:line="156" w:lineRule="exact"/>
              <w:rPr>
                <w:sz w:val="20"/>
                <w:szCs w:val="20"/>
                <w:color w:val="auto"/>
              </w:rPr>
            </w:pPr>
            <w:r>
              <w:rPr>
                <w:rFonts w:ascii="Arial" w:cs="Arial" w:eastAsia="Arial" w:hAnsi="Arial"/>
                <w:sz w:val="15"/>
                <w:szCs w:val="15"/>
                <w:color w:val="auto"/>
              </w:rPr>
              <w:t>(25,004)</w:t>
            </w:r>
          </w:p>
        </w:tc>
        <w:tc>
          <w:tcPr>
            <w:tcW w:w="0" w:type="dxa"/>
            <w:vAlign w:val="bottom"/>
          </w:tcPr>
          <w:p>
            <w:pPr>
              <w:spacing w:after="0"/>
              <w:rPr>
                <w:sz w:val="1"/>
                <w:szCs w:val="1"/>
                <w:color w:val="auto"/>
              </w:rPr>
            </w:pPr>
          </w:p>
        </w:tc>
      </w:tr>
      <w:tr>
        <w:trPr>
          <w:trHeight w:val="156"/>
        </w:trPr>
        <w:tc>
          <w:tcPr>
            <w:tcW w:w="3980" w:type="dxa"/>
            <w:vAlign w:val="bottom"/>
            <w:gridSpan w:val="2"/>
          </w:tcPr>
          <w:p>
            <w:pPr>
              <w:spacing w:after="0" w:line="156" w:lineRule="exact"/>
              <w:rPr>
                <w:sz w:val="20"/>
                <w:szCs w:val="20"/>
                <w:color w:val="auto"/>
              </w:rPr>
            </w:pPr>
            <w:r>
              <w:rPr>
                <w:rFonts w:ascii="Arial" w:cs="Arial" w:eastAsia="Arial" w:hAnsi="Arial"/>
                <w:sz w:val="15"/>
                <w:szCs w:val="15"/>
                <w:color w:val="auto"/>
              </w:rPr>
              <w:t>Dividends declared ($1.64 per common share)</w:t>
            </w:r>
          </w:p>
        </w:tc>
        <w:tc>
          <w:tcPr>
            <w:tcW w:w="800" w:type="dxa"/>
            <w:vAlign w:val="bottom"/>
            <w:shd w:val="clear" w:color="auto" w:fill="E0EBED"/>
          </w:tcPr>
          <w:p>
            <w:pPr>
              <w:jc w:val="right"/>
              <w:ind w:right="27"/>
              <w:spacing w:after="0" w:line="156" w:lineRule="exact"/>
              <w:rPr>
                <w:sz w:val="20"/>
                <w:szCs w:val="20"/>
                <w:color w:val="auto"/>
              </w:rPr>
            </w:pPr>
            <w:r>
              <w:rPr>
                <w:rFonts w:ascii="Arial" w:cs="Arial" w:eastAsia="Arial" w:hAnsi="Arial"/>
                <w:sz w:val="15"/>
                <w:szCs w:val="15"/>
                <w:color w:val="auto"/>
              </w:rPr>
              <w:t>–</w:t>
            </w:r>
          </w:p>
        </w:tc>
        <w:tc>
          <w:tcPr>
            <w:tcW w:w="180" w:type="dxa"/>
            <w:vAlign w:val="bottom"/>
            <w:shd w:val="clear" w:color="auto" w:fill="E0EBED"/>
          </w:tcPr>
          <w:p>
            <w:pPr>
              <w:spacing w:after="0"/>
              <w:rPr>
                <w:sz w:val="13"/>
                <w:szCs w:val="13"/>
                <w:color w:val="auto"/>
              </w:rPr>
            </w:pPr>
          </w:p>
        </w:tc>
        <w:tc>
          <w:tcPr>
            <w:tcW w:w="600" w:type="dxa"/>
            <w:vAlign w:val="bottom"/>
            <w:shd w:val="clear" w:color="auto" w:fill="E0EBED"/>
          </w:tcPr>
          <w:p>
            <w:pPr>
              <w:ind w:left="420"/>
              <w:spacing w:after="0" w:line="156" w:lineRule="exact"/>
              <w:rPr>
                <w:sz w:val="20"/>
                <w:szCs w:val="20"/>
                <w:color w:val="auto"/>
              </w:rPr>
            </w:pPr>
            <w:r>
              <w:rPr>
                <w:rFonts w:ascii="Arial" w:cs="Arial" w:eastAsia="Arial" w:hAnsi="Arial"/>
                <w:sz w:val="15"/>
                <w:szCs w:val="15"/>
                <w:color w:val="auto"/>
              </w:rPr>
              <w:t>–</w:t>
            </w:r>
          </w:p>
        </w:tc>
        <w:tc>
          <w:tcPr>
            <w:tcW w:w="920" w:type="dxa"/>
            <w:vAlign w:val="bottom"/>
            <w:shd w:val="clear" w:color="auto" w:fill="E0EBED"/>
          </w:tcPr>
          <w:p>
            <w:pPr>
              <w:jc w:val="right"/>
              <w:ind w:right="27"/>
              <w:spacing w:after="0" w:line="156" w:lineRule="exact"/>
              <w:rPr>
                <w:sz w:val="20"/>
                <w:szCs w:val="20"/>
                <w:color w:val="auto"/>
              </w:rPr>
            </w:pPr>
            <w:r>
              <w:rPr>
                <w:rFonts w:ascii="Arial" w:cs="Arial" w:eastAsia="Arial" w:hAnsi="Arial"/>
                <w:sz w:val="15"/>
                <w:szCs w:val="15"/>
                <w:color w:val="auto"/>
              </w:rPr>
              <w:t>–</w:t>
            </w:r>
          </w:p>
        </w:tc>
        <w:tc>
          <w:tcPr>
            <w:tcW w:w="160" w:type="dxa"/>
            <w:vAlign w:val="bottom"/>
            <w:shd w:val="clear" w:color="auto" w:fill="E0EBED"/>
          </w:tcPr>
          <w:p>
            <w:pPr>
              <w:spacing w:after="0"/>
              <w:rPr>
                <w:sz w:val="13"/>
                <w:szCs w:val="13"/>
                <w:color w:val="auto"/>
              </w:rPr>
            </w:pPr>
          </w:p>
        </w:tc>
        <w:tc>
          <w:tcPr>
            <w:tcW w:w="1040" w:type="dxa"/>
            <w:vAlign w:val="bottom"/>
            <w:shd w:val="clear" w:color="auto" w:fill="E0EBED"/>
          </w:tcPr>
          <w:p>
            <w:pPr>
              <w:jc w:val="right"/>
              <w:ind w:right="7"/>
              <w:spacing w:after="0" w:line="156" w:lineRule="exact"/>
              <w:rPr>
                <w:sz w:val="20"/>
                <w:szCs w:val="20"/>
                <w:color w:val="auto"/>
              </w:rPr>
            </w:pPr>
            <w:r>
              <w:rPr>
                <w:rFonts w:ascii="Arial" w:cs="Arial" w:eastAsia="Arial" w:hAnsi="Arial"/>
                <w:sz w:val="15"/>
                <w:szCs w:val="15"/>
                <w:color w:val="auto"/>
              </w:rPr>
              <w:t>–</w:t>
            </w:r>
          </w:p>
        </w:tc>
        <w:tc>
          <w:tcPr>
            <w:tcW w:w="920" w:type="dxa"/>
            <w:vAlign w:val="bottom"/>
            <w:shd w:val="clear" w:color="auto" w:fill="E0EBED"/>
          </w:tcPr>
          <w:p>
            <w:pPr>
              <w:jc w:val="right"/>
              <w:spacing w:after="0" w:line="156" w:lineRule="exact"/>
              <w:rPr>
                <w:sz w:val="20"/>
                <w:szCs w:val="20"/>
                <w:color w:val="auto"/>
              </w:rPr>
            </w:pPr>
            <w:r>
              <w:rPr>
                <w:rFonts w:ascii="Arial" w:cs="Arial" w:eastAsia="Arial" w:hAnsi="Arial"/>
                <w:sz w:val="15"/>
                <w:szCs w:val="15"/>
                <w:color w:val="auto"/>
              </w:rPr>
              <w:t>(105,036)</w:t>
            </w:r>
          </w:p>
        </w:tc>
        <w:tc>
          <w:tcPr>
            <w:tcW w:w="220" w:type="dxa"/>
            <w:vAlign w:val="bottom"/>
            <w:shd w:val="clear" w:color="auto" w:fill="E0EBED"/>
          </w:tcPr>
          <w:p>
            <w:pPr>
              <w:spacing w:after="0"/>
              <w:rPr>
                <w:sz w:val="13"/>
                <w:szCs w:val="13"/>
                <w:color w:val="auto"/>
              </w:rPr>
            </w:pPr>
          </w:p>
        </w:tc>
        <w:tc>
          <w:tcPr>
            <w:tcW w:w="840" w:type="dxa"/>
            <w:vAlign w:val="bottom"/>
            <w:shd w:val="clear" w:color="auto" w:fill="E0EBED"/>
          </w:tcPr>
          <w:p>
            <w:pPr>
              <w:jc w:val="right"/>
              <w:spacing w:after="0" w:line="156" w:lineRule="exact"/>
              <w:rPr>
                <w:sz w:val="20"/>
                <w:szCs w:val="20"/>
                <w:color w:val="auto"/>
              </w:rPr>
            </w:pPr>
            <w:r>
              <w:rPr>
                <w:rFonts w:ascii="Arial" w:cs="Arial" w:eastAsia="Arial" w:hAnsi="Arial"/>
                <w:sz w:val="15"/>
                <w:szCs w:val="15"/>
                <w:color w:val="auto"/>
              </w:rPr>
              <w:t>(105,036)</w:t>
            </w:r>
          </w:p>
        </w:tc>
        <w:tc>
          <w:tcPr>
            <w:tcW w:w="200" w:type="dxa"/>
            <w:vAlign w:val="bottom"/>
            <w:shd w:val="clear" w:color="auto" w:fill="E0EBED"/>
          </w:tcPr>
          <w:p>
            <w:pPr>
              <w:spacing w:after="0"/>
              <w:rPr>
                <w:sz w:val="13"/>
                <w:szCs w:val="13"/>
                <w:color w:val="auto"/>
              </w:rPr>
            </w:pPr>
          </w:p>
        </w:tc>
        <w:tc>
          <w:tcPr>
            <w:tcW w:w="660" w:type="dxa"/>
            <w:vAlign w:val="bottom"/>
            <w:shd w:val="clear" w:color="auto" w:fill="E0EBED"/>
          </w:tcPr>
          <w:p>
            <w:pPr>
              <w:jc w:val="right"/>
              <w:spacing w:after="0" w:line="156" w:lineRule="exact"/>
              <w:rPr>
                <w:sz w:val="20"/>
                <w:szCs w:val="20"/>
                <w:color w:val="auto"/>
              </w:rPr>
            </w:pPr>
            <w:r>
              <w:rPr>
                <w:rFonts w:ascii="Arial" w:cs="Arial" w:eastAsia="Arial" w:hAnsi="Arial"/>
                <w:sz w:val="15"/>
                <w:szCs w:val="15"/>
                <w:color w:val="auto"/>
              </w:rPr>
              <w:t>–</w:t>
            </w:r>
          </w:p>
        </w:tc>
        <w:tc>
          <w:tcPr>
            <w:tcW w:w="900" w:type="dxa"/>
            <w:vAlign w:val="bottom"/>
            <w:shd w:val="clear" w:color="auto" w:fill="E0EBED"/>
          </w:tcPr>
          <w:p>
            <w:pPr>
              <w:jc w:val="right"/>
              <w:spacing w:after="0" w:line="156" w:lineRule="exact"/>
              <w:rPr>
                <w:sz w:val="20"/>
                <w:szCs w:val="20"/>
                <w:color w:val="auto"/>
              </w:rPr>
            </w:pPr>
            <w:r>
              <w:rPr>
                <w:rFonts w:ascii="Arial" w:cs="Arial" w:eastAsia="Arial" w:hAnsi="Arial"/>
                <w:sz w:val="15"/>
                <w:szCs w:val="15"/>
                <w:color w:val="auto"/>
              </w:rPr>
              <w:t>(105,036)</w:t>
            </w:r>
          </w:p>
        </w:tc>
        <w:tc>
          <w:tcPr>
            <w:tcW w:w="0" w:type="dxa"/>
            <w:vAlign w:val="bottom"/>
          </w:tcPr>
          <w:p>
            <w:pPr>
              <w:spacing w:after="0"/>
              <w:rPr>
                <w:sz w:val="1"/>
                <w:szCs w:val="1"/>
                <w:color w:val="auto"/>
              </w:rPr>
            </w:pPr>
          </w:p>
        </w:tc>
      </w:tr>
      <w:tr>
        <w:trPr>
          <w:trHeight w:val="156"/>
        </w:trPr>
        <w:tc>
          <w:tcPr>
            <w:tcW w:w="3980" w:type="dxa"/>
            <w:vAlign w:val="bottom"/>
            <w:gridSpan w:val="2"/>
          </w:tcPr>
          <w:p>
            <w:pPr>
              <w:spacing w:after="0" w:line="156" w:lineRule="exact"/>
              <w:rPr>
                <w:sz w:val="20"/>
                <w:szCs w:val="20"/>
                <w:color w:val="auto"/>
              </w:rPr>
            </w:pPr>
            <w:r>
              <w:rPr>
                <w:rFonts w:ascii="Arial" w:cs="Arial" w:eastAsia="Arial" w:hAnsi="Arial"/>
                <w:sz w:val="15"/>
                <w:szCs w:val="15"/>
                <w:color w:val="auto"/>
              </w:rPr>
              <w:t>Issuances of common stock for stock award plans</w:t>
            </w:r>
          </w:p>
        </w:tc>
        <w:tc>
          <w:tcPr>
            <w:tcW w:w="800" w:type="dxa"/>
            <w:vAlign w:val="bottom"/>
            <w:shd w:val="clear" w:color="auto" w:fill="E0EBED"/>
          </w:tcPr>
          <w:p>
            <w:pPr>
              <w:jc w:val="right"/>
              <w:ind w:right="27"/>
              <w:spacing w:after="0" w:line="156" w:lineRule="exact"/>
              <w:rPr>
                <w:sz w:val="20"/>
                <w:szCs w:val="20"/>
                <w:color w:val="auto"/>
              </w:rPr>
            </w:pPr>
            <w:r>
              <w:rPr>
                <w:rFonts w:ascii="Arial" w:cs="Arial" w:eastAsia="Arial" w:hAnsi="Arial"/>
                <w:sz w:val="15"/>
                <w:szCs w:val="15"/>
                <w:color w:val="auto"/>
              </w:rPr>
              <w:t>285</w:t>
            </w:r>
          </w:p>
        </w:tc>
        <w:tc>
          <w:tcPr>
            <w:tcW w:w="180" w:type="dxa"/>
            <w:vAlign w:val="bottom"/>
            <w:shd w:val="clear" w:color="auto" w:fill="E0EBED"/>
          </w:tcPr>
          <w:p>
            <w:pPr>
              <w:spacing w:after="0"/>
              <w:rPr>
                <w:sz w:val="13"/>
                <w:szCs w:val="13"/>
                <w:color w:val="auto"/>
              </w:rPr>
            </w:pPr>
          </w:p>
        </w:tc>
        <w:tc>
          <w:tcPr>
            <w:tcW w:w="600" w:type="dxa"/>
            <w:vAlign w:val="bottom"/>
            <w:shd w:val="clear" w:color="auto" w:fill="E0EBED"/>
          </w:tcPr>
          <w:p>
            <w:pPr>
              <w:ind w:left="420"/>
              <w:spacing w:after="0" w:line="156" w:lineRule="exact"/>
              <w:rPr>
                <w:sz w:val="20"/>
                <w:szCs w:val="20"/>
                <w:color w:val="auto"/>
              </w:rPr>
            </w:pPr>
            <w:r>
              <w:rPr>
                <w:rFonts w:ascii="Arial" w:cs="Arial" w:eastAsia="Arial" w:hAnsi="Arial"/>
                <w:sz w:val="15"/>
                <w:szCs w:val="15"/>
                <w:color w:val="auto"/>
              </w:rPr>
              <w:t>3</w:t>
            </w:r>
          </w:p>
        </w:tc>
        <w:tc>
          <w:tcPr>
            <w:tcW w:w="920" w:type="dxa"/>
            <w:vAlign w:val="bottom"/>
            <w:shd w:val="clear" w:color="auto" w:fill="E0EBED"/>
          </w:tcPr>
          <w:p>
            <w:pPr>
              <w:jc w:val="right"/>
              <w:ind w:right="27"/>
              <w:spacing w:after="0" w:line="156" w:lineRule="exact"/>
              <w:rPr>
                <w:sz w:val="20"/>
                <w:szCs w:val="20"/>
                <w:color w:val="auto"/>
              </w:rPr>
            </w:pPr>
            <w:r>
              <w:rPr>
                <w:rFonts w:ascii="Arial" w:cs="Arial" w:eastAsia="Arial" w:hAnsi="Arial"/>
                <w:sz w:val="15"/>
                <w:szCs w:val="15"/>
                <w:color w:val="auto"/>
              </w:rPr>
              <w:t>26,109</w:t>
            </w:r>
          </w:p>
        </w:tc>
        <w:tc>
          <w:tcPr>
            <w:tcW w:w="160" w:type="dxa"/>
            <w:vAlign w:val="bottom"/>
            <w:shd w:val="clear" w:color="auto" w:fill="E0EBED"/>
          </w:tcPr>
          <w:p>
            <w:pPr>
              <w:spacing w:after="0"/>
              <w:rPr>
                <w:sz w:val="13"/>
                <w:szCs w:val="13"/>
                <w:color w:val="auto"/>
              </w:rPr>
            </w:pPr>
          </w:p>
        </w:tc>
        <w:tc>
          <w:tcPr>
            <w:tcW w:w="1040" w:type="dxa"/>
            <w:vAlign w:val="bottom"/>
            <w:shd w:val="clear" w:color="auto" w:fill="E0EBED"/>
          </w:tcPr>
          <w:p>
            <w:pPr>
              <w:jc w:val="right"/>
              <w:ind w:right="7"/>
              <w:spacing w:after="0" w:line="156" w:lineRule="exact"/>
              <w:rPr>
                <w:sz w:val="20"/>
                <w:szCs w:val="20"/>
                <w:color w:val="auto"/>
              </w:rPr>
            </w:pPr>
            <w:r>
              <w:rPr>
                <w:rFonts w:ascii="Arial" w:cs="Arial" w:eastAsia="Arial" w:hAnsi="Arial"/>
                <w:sz w:val="15"/>
                <w:szCs w:val="15"/>
                <w:color w:val="auto"/>
              </w:rPr>
              <w:t>–</w:t>
            </w:r>
          </w:p>
        </w:tc>
        <w:tc>
          <w:tcPr>
            <w:tcW w:w="920" w:type="dxa"/>
            <w:vAlign w:val="bottom"/>
            <w:shd w:val="clear" w:color="auto" w:fill="E0EBED"/>
          </w:tcPr>
          <w:p>
            <w:pPr>
              <w:jc w:val="right"/>
              <w:ind w:right="27"/>
              <w:spacing w:after="0" w:line="156" w:lineRule="exact"/>
              <w:rPr>
                <w:sz w:val="20"/>
                <w:szCs w:val="20"/>
                <w:color w:val="auto"/>
              </w:rPr>
            </w:pPr>
            <w:r>
              <w:rPr>
                <w:rFonts w:ascii="Arial" w:cs="Arial" w:eastAsia="Arial" w:hAnsi="Arial"/>
                <w:sz w:val="15"/>
                <w:szCs w:val="15"/>
                <w:color w:val="auto"/>
              </w:rPr>
              <w:t>–</w:t>
            </w:r>
          </w:p>
        </w:tc>
        <w:tc>
          <w:tcPr>
            <w:tcW w:w="220" w:type="dxa"/>
            <w:vAlign w:val="bottom"/>
            <w:shd w:val="clear" w:color="auto" w:fill="E0EBED"/>
          </w:tcPr>
          <w:p>
            <w:pPr>
              <w:spacing w:after="0"/>
              <w:rPr>
                <w:sz w:val="13"/>
                <w:szCs w:val="13"/>
                <w:color w:val="auto"/>
              </w:rPr>
            </w:pPr>
          </w:p>
        </w:tc>
        <w:tc>
          <w:tcPr>
            <w:tcW w:w="840" w:type="dxa"/>
            <w:vAlign w:val="bottom"/>
            <w:shd w:val="clear" w:color="auto" w:fill="E0EBED"/>
          </w:tcPr>
          <w:p>
            <w:pPr>
              <w:jc w:val="right"/>
              <w:spacing w:after="0" w:line="156" w:lineRule="exact"/>
              <w:rPr>
                <w:sz w:val="20"/>
                <w:szCs w:val="20"/>
                <w:color w:val="auto"/>
              </w:rPr>
            </w:pPr>
            <w:r>
              <w:rPr>
                <w:rFonts w:ascii="Arial" w:cs="Arial" w:eastAsia="Arial" w:hAnsi="Arial"/>
                <w:sz w:val="15"/>
                <w:szCs w:val="15"/>
                <w:color w:val="auto"/>
              </w:rPr>
              <w:t>26,112</w:t>
            </w:r>
          </w:p>
        </w:tc>
        <w:tc>
          <w:tcPr>
            <w:tcW w:w="200" w:type="dxa"/>
            <w:vAlign w:val="bottom"/>
            <w:shd w:val="clear" w:color="auto" w:fill="E0EBED"/>
          </w:tcPr>
          <w:p>
            <w:pPr>
              <w:spacing w:after="0"/>
              <w:rPr>
                <w:sz w:val="13"/>
                <w:szCs w:val="13"/>
                <w:color w:val="auto"/>
              </w:rPr>
            </w:pPr>
          </w:p>
        </w:tc>
        <w:tc>
          <w:tcPr>
            <w:tcW w:w="660" w:type="dxa"/>
            <w:vAlign w:val="bottom"/>
            <w:shd w:val="clear" w:color="auto" w:fill="E0EBED"/>
          </w:tcPr>
          <w:p>
            <w:pPr>
              <w:jc w:val="right"/>
              <w:spacing w:after="0" w:line="156" w:lineRule="exact"/>
              <w:rPr>
                <w:sz w:val="20"/>
                <w:szCs w:val="20"/>
                <w:color w:val="auto"/>
              </w:rPr>
            </w:pPr>
            <w:r>
              <w:rPr>
                <w:rFonts w:ascii="Arial" w:cs="Arial" w:eastAsia="Arial" w:hAnsi="Arial"/>
                <w:sz w:val="15"/>
                <w:szCs w:val="15"/>
                <w:color w:val="auto"/>
              </w:rPr>
              <w:t>–</w:t>
            </w:r>
          </w:p>
        </w:tc>
        <w:tc>
          <w:tcPr>
            <w:tcW w:w="900" w:type="dxa"/>
            <w:vAlign w:val="bottom"/>
            <w:shd w:val="clear" w:color="auto" w:fill="E0EBED"/>
          </w:tcPr>
          <w:p>
            <w:pPr>
              <w:jc w:val="right"/>
              <w:ind w:right="7"/>
              <w:spacing w:after="0" w:line="156" w:lineRule="exact"/>
              <w:rPr>
                <w:sz w:val="20"/>
                <w:szCs w:val="20"/>
                <w:color w:val="auto"/>
              </w:rPr>
            </w:pPr>
            <w:r>
              <w:rPr>
                <w:rFonts w:ascii="Arial" w:cs="Arial" w:eastAsia="Arial" w:hAnsi="Arial"/>
                <w:sz w:val="15"/>
                <w:szCs w:val="15"/>
                <w:color w:val="auto"/>
              </w:rPr>
              <w:t>26,112</w:t>
            </w:r>
          </w:p>
        </w:tc>
        <w:tc>
          <w:tcPr>
            <w:tcW w:w="0" w:type="dxa"/>
            <w:vAlign w:val="bottom"/>
          </w:tcPr>
          <w:p>
            <w:pPr>
              <w:spacing w:after="0"/>
              <w:rPr>
                <w:sz w:val="1"/>
                <w:szCs w:val="1"/>
                <w:color w:val="auto"/>
              </w:rPr>
            </w:pPr>
          </w:p>
        </w:tc>
      </w:tr>
      <w:tr>
        <w:trPr>
          <w:trHeight w:val="156"/>
        </w:trPr>
        <w:tc>
          <w:tcPr>
            <w:tcW w:w="3980" w:type="dxa"/>
            <w:vAlign w:val="bottom"/>
            <w:gridSpan w:val="2"/>
          </w:tcPr>
          <w:p>
            <w:pPr>
              <w:spacing w:after="0" w:line="156" w:lineRule="exact"/>
              <w:rPr>
                <w:sz w:val="20"/>
                <w:szCs w:val="20"/>
                <w:color w:val="auto"/>
              </w:rPr>
            </w:pPr>
            <w:r>
              <w:rPr>
                <w:rFonts w:ascii="Arial" w:cs="Arial" w:eastAsia="Arial" w:hAnsi="Arial"/>
                <w:sz w:val="15"/>
                <w:szCs w:val="15"/>
                <w:color w:val="auto"/>
              </w:rPr>
              <w:t>Repurchases of common stock</w:t>
            </w:r>
          </w:p>
        </w:tc>
        <w:tc>
          <w:tcPr>
            <w:tcW w:w="800" w:type="dxa"/>
            <w:vAlign w:val="bottom"/>
            <w:shd w:val="clear" w:color="auto" w:fill="E0EBED"/>
          </w:tcPr>
          <w:p>
            <w:pPr>
              <w:jc w:val="right"/>
              <w:ind w:right="27"/>
              <w:spacing w:after="0" w:line="156" w:lineRule="exact"/>
              <w:rPr>
                <w:sz w:val="20"/>
                <w:szCs w:val="20"/>
                <w:color w:val="auto"/>
              </w:rPr>
            </w:pPr>
            <w:r>
              <w:rPr>
                <w:rFonts w:ascii="Arial" w:cs="Arial" w:eastAsia="Arial" w:hAnsi="Arial"/>
                <w:sz w:val="15"/>
                <w:szCs w:val="15"/>
                <w:color w:val="auto"/>
              </w:rPr>
              <w:t>(1,588)</w:t>
            </w:r>
          </w:p>
        </w:tc>
        <w:tc>
          <w:tcPr>
            <w:tcW w:w="180" w:type="dxa"/>
            <w:vAlign w:val="bottom"/>
            <w:shd w:val="clear" w:color="auto" w:fill="E0EBED"/>
          </w:tcPr>
          <w:p>
            <w:pPr>
              <w:spacing w:after="0"/>
              <w:rPr>
                <w:sz w:val="13"/>
                <w:szCs w:val="13"/>
                <w:color w:val="auto"/>
              </w:rPr>
            </w:pPr>
          </w:p>
        </w:tc>
        <w:tc>
          <w:tcPr>
            <w:tcW w:w="600" w:type="dxa"/>
            <w:vAlign w:val="bottom"/>
            <w:shd w:val="clear" w:color="auto" w:fill="E0EBED"/>
          </w:tcPr>
          <w:p>
            <w:pPr>
              <w:ind w:left="240"/>
              <w:spacing w:after="0" w:line="156" w:lineRule="exact"/>
              <w:rPr>
                <w:sz w:val="20"/>
                <w:szCs w:val="20"/>
                <w:color w:val="auto"/>
              </w:rPr>
            </w:pPr>
            <w:r>
              <w:rPr>
                <w:rFonts w:ascii="Arial" w:cs="Arial" w:eastAsia="Arial" w:hAnsi="Arial"/>
                <w:sz w:val="15"/>
                <w:szCs w:val="15"/>
                <w:color w:val="auto"/>
              </w:rPr>
              <w:t>(16)</w:t>
            </w:r>
          </w:p>
        </w:tc>
        <w:tc>
          <w:tcPr>
            <w:tcW w:w="920" w:type="dxa"/>
            <w:vAlign w:val="bottom"/>
            <w:shd w:val="clear" w:color="auto" w:fill="E0EBED"/>
          </w:tcPr>
          <w:p>
            <w:pPr>
              <w:jc w:val="right"/>
              <w:ind w:right="27"/>
              <w:spacing w:after="0" w:line="156" w:lineRule="exact"/>
              <w:rPr>
                <w:sz w:val="20"/>
                <w:szCs w:val="20"/>
                <w:color w:val="auto"/>
              </w:rPr>
            </w:pPr>
            <w:r>
              <w:rPr>
                <w:rFonts w:ascii="Arial" w:cs="Arial" w:eastAsia="Arial" w:hAnsi="Arial"/>
                <w:sz w:val="15"/>
                <w:szCs w:val="15"/>
                <w:color w:val="auto"/>
              </w:rPr>
              <w:t>–</w:t>
            </w:r>
          </w:p>
        </w:tc>
        <w:tc>
          <w:tcPr>
            <w:tcW w:w="160" w:type="dxa"/>
            <w:vAlign w:val="bottom"/>
            <w:shd w:val="clear" w:color="auto" w:fill="E0EBED"/>
          </w:tcPr>
          <w:p>
            <w:pPr>
              <w:spacing w:after="0"/>
              <w:rPr>
                <w:sz w:val="13"/>
                <w:szCs w:val="13"/>
                <w:color w:val="auto"/>
              </w:rPr>
            </w:pPr>
          </w:p>
        </w:tc>
        <w:tc>
          <w:tcPr>
            <w:tcW w:w="1040" w:type="dxa"/>
            <w:vAlign w:val="bottom"/>
            <w:shd w:val="clear" w:color="auto" w:fill="E0EBED"/>
          </w:tcPr>
          <w:p>
            <w:pPr>
              <w:jc w:val="right"/>
              <w:ind w:right="7"/>
              <w:spacing w:after="0" w:line="156" w:lineRule="exact"/>
              <w:rPr>
                <w:sz w:val="20"/>
                <w:szCs w:val="20"/>
                <w:color w:val="auto"/>
              </w:rPr>
            </w:pPr>
            <w:r>
              <w:rPr>
                <w:rFonts w:ascii="Arial" w:cs="Arial" w:eastAsia="Arial" w:hAnsi="Arial"/>
                <w:sz w:val="15"/>
                <w:szCs w:val="15"/>
                <w:color w:val="auto"/>
              </w:rPr>
              <w:t>–</w:t>
            </w:r>
          </w:p>
        </w:tc>
        <w:tc>
          <w:tcPr>
            <w:tcW w:w="920" w:type="dxa"/>
            <w:vAlign w:val="bottom"/>
            <w:shd w:val="clear" w:color="auto" w:fill="E0EBED"/>
          </w:tcPr>
          <w:p>
            <w:pPr>
              <w:jc w:val="right"/>
              <w:spacing w:after="0" w:line="156" w:lineRule="exact"/>
              <w:rPr>
                <w:sz w:val="20"/>
                <w:szCs w:val="20"/>
                <w:color w:val="auto"/>
              </w:rPr>
            </w:pPr>
            <w:r>
              <w:rPr>
                <w:rFonts w:ascii="Arial" w:cs="Arial" w:eastAsia="Arial" w:hAnsi="Arial"/>
                <w:sz w:val="15"/>
                <w:szCs w:val="15"/>
                <w:color w:val="auto"/>
              </w:rPr>
              <w:t>(259,212)</w:t>
            </w:r>
          </w:p>
        </w:tc>
        <w:tc>
          <w:tcPr>
            <w:tcW w:w="220" w:type="dxa"/>
            <w:vAlign w:val="bottom"/>
            <w:shd w:val="clear" w:color="auto" w:fill="E0EBED"/>
          </w:tcPr>
          <w:p>
            <w:pPr>
              <w:spacing w:after="0"/>
              <w:rPr>
                <w:sz w:val="13"/>
                <w:szCs w:val="13"/>
                <w:color w:val="auto"/>
              </w:rPr>
            </w:pPr>
          </w:p>
        </w:tc>
        <w:tc>
          <w:tcPr>
            <w:tcW w:w="840" w:type="dxa"/>
            <w:vAlign w:val="bottom"/>
            <w:shd w:val="clear" w:color="auto" w:fill="E0EBED"/>
          </w:tcPr>
          <w:p>
            <w:pPr>
              <w:jc w:val="right"/>
              <w:spacing w:after="0" w:line="156" w:lineRule="exact"/>
              <w:rPr>
                <w:sz w:val="20"/>
                <w:szCs w:val="20"/>
                <w:color w:val="auto"/>
              </w:rPr>
            </w:pPr>
            <w:r>
              <w:rPr>
                <w:rFonts w:ascii="Arial" w:cs="Arial" w:eastAsia="Arial" w:hAnsi="Arial"/>
                <w:sz w:val="15"/>
                <w:szCs w:val="15"/>
                <w:color w:val="auto"/>
              </w:rPr>
              <w:t>(259,228)</w:t>
            </w:r>
          </w:p>
        </w:tc>
        <w:tc>
          <w:tcPr>
            <w:tcW w:w="200" w:type="dxa"/>
            <w:vAlign w:val="bottom"/>
            <w:shd w:val="clear" w:color="auto" w:fill="E0EBED"/>
          </w:tcPr>
          <w:p>
            <w:pPr>
              <w:spacing w:after="0"/>
              <w:rPr>
                <w:sz w:val="13"/>
                <w:szCs w:val="13"/>
                <w:color w:val="auto"/>
              </w:rPr>
            </w:pPr>
          </w:p>
        </w:tc>
        <w:tc>
          <w:tcPr>
            <w:tcW w:w="660" w:type="dxa"/>
            <w:vAlign w:val="bottom"/>
            <w:shd w:val="clear" w:color="auto" w:fill="E0EBED"/>
          </w:tcPr>
          <w:p>
            <w:pPr>
              <w:jc w:val="right"/>
              <w:spacing w:after="0" w:line="156" w:lineRule="exact"/>
              <w:rPr>
                <w:sz w:val="20"/>
                <w:szCs w:val="20"/>
                <w:color w:val="auto"/>
              </w:rPr>
            </w:pPr>
            <w:r>
              <w:rPr>
                <w:rFonts w:ascii="Arial" w:cs="Arial" w:eastAsia="Arial" w:hAnsi="Arial"/>
                <w:sz w:val="15"/>
                <w:szCs w:val="15"/>
                <w:color w:val="auto"/>
              </w:rPr>
              <w:t>–</w:t>
            </w:r>
          </w:p>
        </w:tc>
        <w:tc>
          <w:tcPr>
            <w:tcW w:w="900" w:type="dxa"/>
            <w:vAlign w:val="bottom"/>
            <w:shd w:val="clear" w:color="auto" w:fill="E0EBED"/>
          </w:tcPr>
          <w:p>
            <w:pPr>
              <w:jc w:val="right"/>
              <w:spacing w:after="0" w:line="156" w:lineRule="exact"/>
              <w:rPr>
                <w:sz w:val="20"/>
                <w:szCs w:val="20"/>
                <w:color w:val="auto"/>
              </w:rPr>
            </w:pPr>
            <w:r>
              <w:rPr>
                <w:rFonts w:ascii="Arial" w:cs="Arial" w:eastAsia="Arial" w:hAnsi="Arial"/>
                <w:sz w:val="15"/>
                <w:szCs w:val="15"/>
                <w:color w:val="auto"/>
              </w:rPr>
              <w:t>(259,228)</w:t>
            </w:r>
          </w:p>
        </w:tc>
        <w:tc>
          <w:tcPr>
            <w:tcW w:w="0" w:type="dxa"/>
            <w:vAlign w:val="bottom"/>
          </w:tcPr>
          <w:p>
            <w:pPr>
              <w:spacing w:after="0"/>
              <w:rPr>
                <w:sz w:val="1"/>
                <w:szCs w:val="1"/>
                <w:color w:val="auto"/>
              </w:rPr>
            </w:pPr>
          </w:p>
        </w:tc>
      </w:tr>
      <w:tr>
        <w:trPr>
          <w:trHeight w:val="156"/>
        </w:trPr>
        <w:tc>
          <w:tcPr>
            <w:tcW w:w="3980" w:type="dxa"/>
            <w:vAlign w:val="bottom"/>
            <w:gridSpan w:val="2"/>
          </w:tcPr>
          <w:p>
            <w:pPr>
              <w:spacing w:after="0" w:line="156" w:lineRule="exact"/>
              <w:rPr>
                <w:sz w:val="20"/>
                <w:szCs w:val="20"/>
                <w:color w:val="auto"/>
              </w:rPr>
            </w:pPr>
            <w:r>
              <w:rPr>
                <w:rFonts w:ascii="Arial" w:cs="Arial" w:eastAsia="Arial" w:hAnsi="Arial"/>
                <w:sz w:val="15"/>
                <w:szCs w:val="15"/>
                <w:color w:val="auto"/>
              </w:rPr>
              <w:t>Stock-based compensation expense</w:t>
            </w:r>
          </w:p>
        </w:tc>
        <w:tc>
          <w:tcPr>
            <w:tcW w:w="800" w:type="dxa"/>
            <w:vAlign w:val="bottom"/>
            <w:shd w:val="clear" w:color="auto" w:fill="E0EBED"/>
          </w:tcPr>
          <w:p>
            <w:pPr>
              <w:jc w:val="right"/>
              <w:ind w:right="27"/>
              <w:spacing w:after="0" w:line="156" w:lineRule="exact"/>
              <w:rPr>
                <w:sz w:val="20"/>
                <w:szCs w:val="20"/>
                <w:color w:val="auto"/>
              </w:rPr>
            </w:pPr>
            <w:r>
              <w:rPr>
                <w:rFonts w:ascii="Arial" w:cs="Arial" w:eastAsia="Arial" w:hAnsi="Arial"/>
                <w:sz w:val="15"/>
                <w:szCs w:val="15"/>
                <w:color w:val="auto"/>
              </w:rPr>
              <w:t>–</w:t>
            </w:r>
          </w:p>
        </w:tc>
        <w:tc>
          <w:tcPr>
            <w:tcW w:w="180" w:type="dxa"/>
            <w:vAlign w:val="bottom"/>
            <w:shd w:val="clear" w:color="auto" w:fill="E0EBED"/>
          </w:tcPr>
          <w:p>
            <w:pPr>
              <w:spacing w:after="0"/>
              <w:rPr>
                <w:sz w:val="13"/>
                <w:szCs w:val="13"/>
                <w:color w:val="auto"/>
              </w:rPr>
            </w:pPr>
          </w:p>
        </w:tc>
        <w:tc>
          <w:tcPr>
            <w:tcW w:w="600" w:type="dxa"/>
            <w:vAlign w:val="bottom"/>
            <w:shd w:val="clear" w:color="auto" w:fill="E0EBED"/>
          </w:tcPr>
          <w:p>
            <w:pPr>
              <w:ind w:left="420"/>
              <w:spacing w:after="0" w:line="156" w:lineRule="exact"/>
              <w:rPr>
                <w:sz w:val="20"/>
                <w:szCs w:val="20"/>
                <w:color w:val="auto"/>
              </w:rPr>
            </w:pPr>
            <w:r>
              <w:rPr>
                <w:rFonts w:ascii="Arial" w:cs="Arial" w:eastAsia="Arial" w:hAnsi="Arial"/>
                <w:sz w:val="15"/>
                <w:szCs w:val="15"/>
                <w:color w:val="auto"/>
              </w:rPr>
              <w:t>–</w:t>
            </w:r>
          </w:p>
        </w:tc>
        <w:tc>
          <w:tcPr>
            <w:tcW w:w="920" w:type="dxa"/>
            <w:vAlign w:val="bottom"/>
            <w:shd w:val="clear" w:color="auto" w:fill="E0EBED"/>
          </w:tcPr>
          <w:p>
            <w:pPr>
              <w:jc w:val="right"/>
              <w:ind w:right="27"/>
              <w:spacing w:after="0" w:line="156" w:lineRule="exact"/>
              <w:rPr>
                <w:sz w:val="20"/>
                <w:szCs w:val="20"/>
                <w:color w:val="auto"/>
              </w:rPr>
            </w:pPr>
            <w:r>
              <w:rPr>
                <w:rFonts w:ascii="Arial" w:cs="Arial" w:eastAsia="Arial" w:hAnsi="Arial"/>
                <w:sz w:val="15"/>
                <w:szCs w:val="15"/>
                <w:color w:val="auto"/>
              </w:rPr>
              <w:t>20,481</w:t>
            </w:r>
          </w:p>
        </w:tc>
        <w:tc>
          <w:tcPr>
            <w:tcW w:w="160" w:type="dxa"/>
            <w:vAlign w:val="bottom"/>
            <w:shd w:val="clear" w:color="auto" w:fill="E0EBED"/>
          </w:tcPr>
          <w:p>
            <w:pPr>
              <w:spacing w:after="0"/>
              <w:rPr>
                <w:sz w:val="13"/>
                <w:szCs w:val="13"/>
                <w:color w:val="auto"/>
              </w:rPr>
            </w:pPr>
          </w:p>
        </w:tc>
        <w:tc>
          <w:tcPr>
            <w:tcW w:w="1040" w:type="dxa"/>
            <w:vAlign w:val="bottom"/>
            <w:shd w:val="clear" w:color="auto" w:fill="E0EBED"/>
          </w:tcPr>
          <w:p>
            <w:pPr>
              <w:jc w:val="right"/>
              <w:ind w:right="7"/>
              <w:spacing w:after="0" w:line="156" w:lineRule="exact"/>
              <w:rPr>
                <w:sz w:val="20"/>
                <w:szCs w:val="20"/>
                <w:color w:val="auto"/>
              </w:rPr>
            </w:pPr>
            <w:r>
              <w:rPr>
                <w:rFonts w:ascii="Arial" w:cs="Arial" w:eastAsia="Arial" w:hAnsi="Arial"/>
                <w:sz w:val="15"/>
                <w:szCs w:val="15"/>
                <w:color w:val="auto"/>
              </w:rPr>
              <w:t>–</w:t>
            </w:r>
          </w:p>
        </w:tc>
        <w:tc>
          <w:tcPr>
            <w:tcW w:w="920" w:type="dxa"/>
            <w:vAlign w:val="bottom"/>
            <w:shd w:val="clear" w:color="auto" w:fill="E0EBED"/>
          </w:tcPr>
          <w:p>
            <w:pPr>
              <w:jc w:val="right"/>
              <w:ind w:right="27"/>
              <w:spacing w:after="0" w:line="156" w:lineRule="exact"/>
              <w:rPr>
                <w:sz w:val="20"/>
                <w:szCs w:val="20"/>
                <w:color w:val="auto"/>
              </w:rPr>
            </w:pPr>
            <w:r>
              <w:rPr>
                <w:rFonts w:ascii="Arial" w:cs="Arial" w:eastAsia="Arial" w:hAnsi="Arial"/>
                <w:sz w:val="15"/>
                <w:szCs w:val="15"/>
                <w:color w:val="auto"/>
              </w:rPr>
              <w:t>–</w:t>
            </w:r>
          </w:p>
        </w:tc>
        <w:tc>
          <w:tcPr>
            <w:tcW w:w="220" w:type="dxa"/>
            <w:vAlign w:val="bottom"/>
            <w:shd w:val="clear" w:color="auto" w:fill="E0EBED"/>
          </w:tcPr>
          <w:p>
            <w:pPr>
              <w:spacing w:after="0"/>
              <w:rPr>
                <w:sz w:val="13"/>
                <w:szCs w:val="13"/>
                <w:color w:val="auto"/>
              </w:rPr>
            </w:pPr>
          </w:p>
        </w:tc>
        <w:tc>
          <w:tcPr>
            <w:tcW w:w="840" w:type="dxa"/>
            <w:vAlign w:val="bottom"/>
            <w:shd w:val="clear" w:color="auto" w:fill="E0EBED"/>
          </w:tcPr>
          <w:p>
            <w:pPr>
              <w:jc w:val="right"/>
              <w:spacing w:after="0" w:line="156" w:lineRule="exact"/>
              <w:rPr>
                <w:sz w:val="20"/>
                <w:szCs w:val="20"/>
                <w:color w:val="auto"/>
              </w:rPr>
            </w:pPr>
            <w:r>
              <w:rPr>
                <w:rFonts w:ascii="Arial" w:cs="Arial" w:eastAsia="Arial" w:hAnsi="Arial"/>
                <w:sz w:val="15"/>
                <w:szCs w:val="15"/>
                <w:color w:val="auto"/>
              </w:rPr>
              <w:t>20,481</w:t>
            </w:r>
          </w:p>
        </w:tc>
        <w:tc>
          <w:tcPr>
            <w:tcW w:w="200" w:type="dxa"/>
            <w:vAlign w:val="bottom"/>
            <w:shd w:val="clear" w:color="auto" w:fill="E0EBED"/>
          </w:tcPr>
          <w:p>
            <w:pPr>
              <w:spacing w:after="0"/>
              <w:rPr>
                <w:sz w:val="13"/>
                <w:szCs w:val="13"/>
                <w:color w:val="auto"/>
              </w:rPr>
            </w:pPr>
          </w:p>
        </w:tc>
        <w:tc>
          <w:tcPr>
            <w:tcW w:w="660" w:type="dxa"/>
            <w:vAlign w:val="bottom"/>
            <w:shd w:val="clear" w:color="auto" w:fill="E0EBED"/>
          </w:tcPr>
          <w:p>
            <w:pPr>
              <w:jc w:val="right"/>
              <w:spacing w:after="0" w:line="156" w:lineRule="exact"/>
              <w:rPr>
                <w:sz w:val="20"/>
                <w:szCs w:val="20"/>
                <w:color w:val="auto"/>
              </w:rPr>
            </w:pPr>
            <w:r>
              <w:rPr>
                <w:rFonts w:ascii="Arial" w:cs="Arial" w:eastAsia="Arial" w:hAnsi="Arial"/>
                <w:sz w:val="15"/>
                <w:szCs w:val="15"/>
                <w:color w:val="auto"/>
              </w:rPr>
              <w:t>–</w:t>
            </w:r>
          </w:p>
        </w:tc>
        <w:tc>
          <w:tcPr>
            <w:tcW w:w="900" w:type="dxa"/>
            <w:vAlign w:val="bottom"/>
            <w:shd w:val="clear" w:color="auto" w:fill="E0EBED"/>
          </w:tcPr>
          <w:p>
            <w:pPr>
              <w:jc w:val="right"/>
              <w:ind w:right="7"/>
              <w:spacing w:after="0" w:line="156" w:lineRule="exact"/>
              <w:rPr>
                <w:sz w:val="20"/>
                <w:szCs w:val="20"/>
                <w:color w:val="auto"/>
              </w:rPr>
            </w:pPr>
            <w:r>
              <w:rPr>
                <w:rFonts w:ascii="Arial" w:cs="Arial" w:eastAsia="Arial" w:hAnsi="Arial"/>
                <w:sz w:val="15"/>
                <w:szCs w:val="15"/>
                <w:color w:val="auto"/>
              </w:rPr>
              <w:t>20,481</w:t>
            </w:r>
          </w:p>
        </w:tc>
        <w:tc>
          <w:tcPr>
            <w:tcW w:w="0" w:type="dxa"/>
            <w:vAlign w:val="bottom"/>
          </w:tcPr>
          <w:p>
            <w:pPr>
              <w:spacing w:after="0"/>
              <w:rPr>
                <w:sz w:val="1"/>
                <w:szCs w:val="1"/>
                <w:color w:val="auto"/>
              </w:rPr>
            </w:pPr>
          </w:p>
        </w:tc>
      </w:tr>
      <w:tr>
        <w:trPr>
          <w:trHeight w:val="156"/>
        </w:trPr>
        <w:tc>
          <w:tcPr>
            <w:tcW w:w="3980" w:type="dxa"/>
            <w:vAlign w:val="bottom"/>
            <w:gridSpan w:val="2"/>
          </w:tcPr>
          <w:p>
            <w:pPr>
              <w:spacing w:after="0" w:line="156" w:lineRule="exact"/>
              <w:rPr>
                <w:sz w:val="20"/>
                <w:szCs w:val="20"/>
                <w:color w:val="auto"/>
              </w:rPr>
            </w:pPr>
            <w:r>
              <w:rPr>
                <w:rFonts w:ascii="Arial" w:cs="Arial" w:eastAsia="Arial" w:hAnsi="Arial"/>
                <w:sz w:val="15"/>
                <w:szCs w:val="15"/>
                <w:color w:val="auto"/>
              </w:rPr>
              <w:t>Distributions to owners of noncontrolling interest</w:t>
            </w:r>
          </w:p>
        </w:tc>
        <w:tc>
          <w:tcPr>
            <w:tcW w:w="800" w:type="dxa"/>
            <w:vAlign w:val="bottom"/>
            <w:shd w:val="clear" w:color="auto" w:fill="E0EBED"/>
          </w:tcPr>
          <w:p>
            <w:pPr>
              <w:jc w:val="right"/>
              <w:ind w:right="27"/>
              <w:spacing w:after="0" w:line="156" w:lineRule="exact"/>
              <w:rPr>
                <w:sz w:val="20"/>
                <w:szCs w:val="20"/>
                <w:color w:val="auto"/>
              </w:rPr>
            </w:pPr>
            <w:r>
              <w:rPr>
                <w:rFonts w:ascii="Arial" w:cs="Arial" w:eastAsia="Arial" w:hAnsi="Arial"/>
                <w:sz w:val="15"/>
                <w:szCs w:val="15"/>
                <w:color w:val="auto"/>
              </w:rPr>
              <w:t>–</w:t>
            </w:r>
          </w:p>
        </w:tc>
        <w:tc>
          <w:tcPr>
            <w:tcW w:w="180" w:type="dxa"/>
            <w:vAlign w:val="bottom"/>
            <w:shd w:val="clear" w:color="auto" w:fill="E0EBED"/>
          </w:tcPr>
          <w:p>
            <w:pPr>
              <w:spacing w:after="0"/>
              <w:rPr>
                <w:sz w:val="13"/>
                <w:szCs w:val="13"/>
                <w:color w:val="auto"/>
              </w:rPr>
            </w:pPr>
          </w:p>
        </w:tc>
        <w:tc>
          <w:tcPr>
            <w:tcW w:w="600" w:type="dxa"/>
            <w:vAlign w:val="bottom"/>
            <w:shd w:val="clear" w:color="auto" w:fill="E0EBED"/>
          </w:tcPr>
          <w:p>
            <w:pPr>
              <w:ind w:left="420"/>
              <w:spacing w:after="0" w:line="156" w:lineRule="exact"/>
              <w:rPr>
                <w:sz w:val="20"/>
                <w:szCs w:val="20"/>
                <w:color w:val="auto"/>
              </w:rPr>
            </w:pPr>
            <w:r>
              <w:rPr>
                <w:rFonts w:ascii="Arial" w:cs="Arial" w:eastAsia="Arial" w:hAnsi="Arial"/>
                <w:sz w:val="15"/>
                <w:szCs w:val="15"/>
                <w:color w:val="auto"/>
              </w:rPr>
              <w:t>–</w:t>
            </w:r>
          </w:p>
        </w:tc>
        <w:tc>
          <w:tcPr>
            <w:tcW w:w="920" w:type="dxa"/>
            <w:vAlign w:val="bottom"/>
            <w:shd w:val="clear" w:color="auto" w:fill="E0EBED"/>
          </w:tcPr>
          <w:p>
            <w:pPr>
              <w:jc w:val="right"/>
              <w:ind w:right="27"/>
              <w:spacing w:after="0" w:line="156" w:lineRule="exact"/>
              <w:rPr>
                <w:sz w:val="20"/>
                <w:szCs w:val="20"/>
                <w:color w:val="auto"/>
              </w:rPr>
            </w:pPr>
            <w:r>
              <w:rPr>
                <w:rFonts w:ascii="Arial" w:cs="Arial" w:eastAsia="Arial" w:hAnsi="Arial"/>
                <w:sz w:val="15"/>
                <w:szCs w:val="15"/>
                <w:color w:val="auto"/>
              </w:rPr>
              <w:t>–</w:t>
            </w:r>
          </w:p>
        </w:tc>
        <w:tc>
          <w:tcPr>
            <w:tcW w:w="160" w:type="dxa"/>
            <w:vAlign w:val="bottom"/>
            <w:shd w:val="clear" w:color="auto" w:fill="E0EBED"/>
          </w:tcPr>
          <w:p>
            <w:pPr>
              <w:spacing w:after="0"/>
              <w:rPr>
                <w:sz w:val="13"/>
                <w:szCs w:val="13"/>
                <w:color w:val="auto"/>
              </w:rPr>
            </w:pPr>
          </w:p>
        </w:tc>
        <w:tc>
          <w:tcPr>
            <w:tcW w:w="1040" w:type="dxa"/>
            <w:vAlign w:val="bottom"/>
            <w:shd w:val="clear" w:color="auto" w:fill="E0EBED"/>
          </w:tcPr>
          <w:p>
            <w:pPr>
              <w:jc w:val="right"/>
              <w:ind w:right="7"/>
              <w:spacing w:after="0" w:line="156" w:lineRule="exact"/>
              <w:rPr>
                <w:sz w:val="20"/>
                <w:szCs w:val="20"/>
                <w:color w:val="auto"/>
              </w:rPr>
            </w:pPr>
            <w:r>
              <w:rPr>
                <w:rFonts w:ascii="Arial" w:cs="Arial" w:eastAsia="Arial" w:hAnsi="Arial"/>
                <w:sz w:val="15"/>
                <w:szCs w:val="15"/>
                <w:color w:val="auto"/>
              </w:rPr>
              <w:t>–</w:t>
            </w:r>
          </w:p>
        </w:tc>
        <w:tc>
          <w:tcPr>
            <w:tcW w:w="920" w:type="dxa"/>
            <w:vAlign w:val="bottom"/>
            <w:shd w:val="clear" w:color="auto" w:fill="E0EBED"/>
          </w:tcPr>
          <w:p>
            <w:pPr>
              <w:jc w:val="right"/>
              <w:ind w:right="27"/>
              <w:spacing w:after="0" w:line="156" w:lineRule="exact"/>
              <w:rPr>
                <w:sz w:val="20"/>
                <w:szCs w:val="20"/>
                <w:color w:val="auto"/>
              </w:rPr>
            </w:pPr>
            <w:r>
              <w:rPr>
                <w:rFonts w:ascii="Arial" w:cs="Arial" w:eastAsia="Arial" w:hAnsi="Arial"/>
                <w:sz w:val="15"/>
                <w:szCs w:val="15"/>
                <w:color w:val="auto"/>
              </w:rPr>
              <w:t>–</w:t>
            </w:r>
          </w:p>
        </w:tc>
        <w:tc>
          <w:tcPr>
            <w:tcW w:w="220" w:type="dxa"/>
            <w:vAlign w:val="bottom"/>
            <w:shd w:val="clear" w:color="auto" w:fill="E0EBED"/>
          </w:tcPr>
          <w:p>
            <w:pPr>
              <w:spacing w:after="0"/>
              <w:rPr>
                <w:sz w:val="13"/>
                <w:szCs w:val="13"/>
                <w:color w:val="auto"/>
              </w:rPr>
            </w:pPr>
          </w:p>
        </w:tc>
        <w:tc>
          <w:tcPr>
            <w:tcW w:w="840" w:type="dxa"/>
            <w:vAlign w:val="bottom"/>
            <w:shd w:val="clear" w:color="auto" w:fill="E0EBED"/>
          </w:tcPr>
          <w:p>
            <w:pPr>
              <w:jc w:val="right"/>
              <w:spacing w:after="0" w:line="156" w:lineRule="exact"/>
              <w:rPr>
                <w:sz w:val="20"/>
                <w:szCs w:val="20"/>
                <w:color w:val="auto"/>
              </w:rPr>
            </w:pPr>
            <w:r>
              <w:rPr>
                <w:rFonts w:ascii="Arial" w:cs="Arial" w:eastAsia="Arial" w:hAnsi="Arial"/>
                <w:sz w:val="15"/>
                <w:szCs w:val="15"/>
                <w:color w:val="auto"/>
              </w:rPr>
              <w:t>–</w:t>
            </w:r>
          </w:p>
        </w:tc>
        <w:tc>
          <w:tcPr>
            <w:tcW w:w="200" w:type="dxa"/>
            <w:vAlign w:val="bottom"/>
            <w:shd w:val="clear" w:color="auto" w:fill="E0EBED"/>
          </w:tcPr>
          <w:p>
            <w:pPr>
              <w:spacing w:after="0"/>
              <w:rPr>
                <w:sz w:val="13"/>
                <w:szCs w:val="13"/>
                <w:color w:val="auto"/>
              </w:rPr>
            </w:pPr>
          </w:p>
        </w:tc>
        <w:tc>
          <w:tcPr>
            <w:tcW w:w="660" w:type="dxa"/>
            <w:vAlign w:val="bottom"/>
            <w:shd w:val="clear" w:color="auto" w:fill="E0EBED"/>
          </w:tcPr>
          <w:p>
            <w:pPr>
              <w:jc w:val="right"/>
              <w:spacing w:after="0" w:line="156" w:lineRule="exact"/>
              <w:rPr>
                <w:sz w:val="20"/>
                <w:szCs w:val="20"/>
                <w:color w:val="auto"/>
              </w:rPr>
            </w:pPr>
            <w:r>
              <w:rPr>
                <w:rFonts w:ascii="Arial" w:cs="Arial" w:eastAsia="Arial" w:hAnsi="Arial"/>
                <w:sz w:val="15"/>
                <w:szCs w:val="15"/>
                <w:color w:val="auto"/>
              </w:rPr>
              <w:t>(400)</w:t>
            </w:r>
          </w:p>
        </w:tc>
        <w:tc>
          <w:tcPr>
            <w:tcW w:w="900" w:type="dxa"/>
            <w:vAlign w:val="bottom"/>
            <w:shd w:val="clear" w:color="auto" w:fill="E0EBED"/>
          </w:tcPr>
          <w:p>
            <w:pPr>
              <w:jc w:val="right"/>
              <w:spacing w:after="0" w:line="156" w:lineRule="exact"/>
              <w:rPr>
                <w:sz w:val="20"/>
                <w:szCs w:val="20"/>
                <w:color w:val="auto"/>
              </w:rPr>
            </w:pPr>
            <w:r>
              <w:rPr>
                <w:rFonts w:ascii="Arial" w:cs="Arial" w:eastAsia="Arial" w:hAnsi="Arial"/>
                <w:sz w:val="15"/>
                <w:szCs w:val="15"/>
                <w:color w:val="auto"/>
              </w:rPr>
              <w:t>(400)</w:t>
            </w:r>
          </w:p>
        </w:tc>
        <w:tc>
          <w:tcPr>
            <w:tcW w:w="0" w:type="dxa"/>
            <w:vAlign w:val="bottom"/>
          </w:tcPr>
          <w:p>
            <w:pPr>
              <w:spacing w:after="0"/>
              <w:rPr>
                <w:sz w:val="1"/>
                <w:szCs w:val="1"/>
                <w:color w:val="auto"/>
              </w:rPr>
            </w:pPr>
          </w:p>
        </w:tc>
      </w:tr>
      <w:tr>
        <w:trPr>
          <w:trHeight w:val="159"/>
        </w:trPr>
        <w:tc>
          <w:tcPr>
            <w:tcW w:w="3980" w:type="dxa"/>
            <w:vAlign w:val="bottom"/>
            <w:gridSpan w:val="2"/>
          </w:tcPr>
          <w:p>
            <w:pPr>
              <w:spacing w:after="0" w:line="159" w:lineRule="exact"/>
              <w:rPr>
                <w:sz w:val="20"/>
                <w:szCs w:val="20"/>
                <w:color w:val="auto"/>
              </w:rPr>
            </w:pPr>
            <w:r>
              <w:rPr>
                <w:rFonts w:ascii="Arial" w:cs="Arial" w:eastAsia="Arial" w:hAnsi="Arial"/>
                <w:sz w:val="15"/>
                <w:szCs w:val="15"/>
                <w:color w:val="auto"/>
              </w:rPr>
              <w:t>Contribution from owners of noncontrolling interest</w:t>
            </w:r>
          </w:p>
        </w:tc>
        <w:tc>
          <w:tcPr>
            <w:tcW w:w="800" w:type="dxa"/>
            <w:vAlign w:val="bottom"/>
            <w:shd w:val="clear" w:color="auto" w:fill="E0EBED"/>
          </w:tcPr>
          <w:p>
            <w:pPr>
              <w:jc w:val="right"/>
              <w:ind w:right="27"/>
              <w:spacing w:after="0" w:line="159" w:lineRule="exact"/>
              <w:rPr>
                <w:sz w:val="20"/>
                <w:szCs w:val="20"/>
                <w:color w:val="auto"/>
              </w:rPr>
            </w:pPr>
            <w:r>
              <w:rPr>
                <w:rFonts w:ascii="Arial" w:cs="Arial" w:eastAsia="Arial" w:hAnsi="Arial"/>
                <w:sz w:val="15"/>
                <w:szCs w:val="15"/>
                <w:color w:val="auto"/>
              </w:rPr>
              <w:t>–</w:t>
            </w:r>
          </w:p>
        </w:tc>
        <w:tc>
          <w:tcPr>
            <w:tcW w:w="180" w:type="dxa"/>
            <w:vAlign w:val="bottom"/>
            <w:shd w:val="clear" w:color="auto" w:fill="E0EBED"/>
          </w:tcPr>
          <w:p>
            <w:pPr>
              <w:spacing w:after="0"/>
              <w:rPr>
                <w:sz w:val="13"/>
                <w:szCs w:val="13"/>
                <w:color w:val="auto"/>
              </w:rPr>
            </w:pPr>
          </w:p>
        </w:tc>
        <w:tc>
          <w:tcPr>
            <w:tcW w:w="600" w:type="dxa"/>
            <w:vAlign w:val="bottom"/>
            <w:shd w:val="clear" w:color="auto" w:fill="E0EBED"/>
          </w:tcPr>
          <w:p>
            <w:pPr>
              <w:ind w:left="420"/>
              <w:spacing w:after="0" w:line="159" w:lineRule="exact"/>
              <w:rPr>
                <w:sz w:val="20"/>
                <w:szCs w:val="20"/>
                <w:color w:val="auto"/>
              </w:rPr>
            </w:pPr>
            <w:r>
              <w:rPr>
                <w:rFonts w:ascii="Arial" w:cs="Arial" w:eastAsia="Arial" w:hAnsi="Arial"/>
                <w:sz w:val="15"/>
                <w:szCs w:val="15"/>
                <w:color w:val="auto"/>
              </w:rPr>
              <w:t>–</w:t>
            </w:r>
          </w:p>
        </w:tc>
        <w:tc>
          <w:tcPr>
            <w:tcW w:w="920" w:type="dxa"/>
            <w:vAlign w:val="bottom"/>
            <w:shd w:val="clear" w:color="auto" w:fill="E0EBED"/>
          </w:tcPr>
          <w:p>
            <w:pPr>
              <w:jc w:val="right"/>
              <w:ind w:right="27"/>
              <w:spacing w:after="0" w:line="159" w:lineRule="exact"/>
              <w:rPr>
                <w:sz w:val="20"/>
                <w:szCs w:val="20"/>
                <w:color w:val="auto"/>
              </w:rPr>
            </w:pPr>
            <w:r>
              <w:rPr>
                <w:rFonts w:ascii="Arial" w:cs="Arial" w:eastAsia="Arial" w:hAnsi="Arial"/>
                <w:sz w:val="15"/>
                <w:szCs w:val="15"/>
                <w:color w:val="auto"/>
              </w:rPr>
              <w:t>44</w:t>
            </w:r>
          </w:p>
        </w:tc>
        <w:tc>
          <w:tcPr>
            <w:tcW w:w="160" w:type="dxa"/>
            <w:vAlign w:val="bottom"/>
            <w:shd w:val="clear" w:color="auto" w:fill="E0EBED"/>
          </w:tcPr>
          <w:p>
            <w:pPr>
              <w:spacing w:after="0"/>
              <w:rPr>
                <w:sz w:val="13"/>
                <w:szCs w:val="13"/>
                <w:color w:val="auto"/>
              </w:rPr>
            </w:pPr>
          </w:p>
        </w:tc>
        <w:tc>
          <w:tcPr>
            <w:tcW w:w="1040" w:type="dxa"/>
            <w:vAlign w:val="bottom"/>
            <w:shd w:val="clear" w:color="auto" w:fill="E0EBED"/>
          </w:tcPr>
          <w:p>
            <w:pPr>
              <w:jc w:val="right"/>
              <w:ind w:right="7"/>
              <w:spacing w:after="0" w:line="159" w:lineRule="exact"/>
              <w:rPr>
                <w:sz w:val="20"/>
                <w:szCs w:val="20"/>
                <w:color w:val="auto"/>
              </w:rPr>
            </w:pPr>
            <w:r>
              <w:rPr>
                <w:rFonts w:ascii="Arial" w:cs="Arial" w:eastAsia="Arial" w:hAnsi="Arial"/>
                <w:sz w:val="15"/>
                <w:szCs w:val="15"/>
                <w:color w:val="auto"/>
              </w:rPr>
              <w:t>–</w:t>
            </w:r>
          </w:p>
        </w:tc>
        <w:tc>
          <w:tcPr>
            <w:tcW w:w="920" w:type="dxa"/>
            <w:vAlign w:val="bottom"/>
            <w:shd w:val="clear" w:color="auto" w:fill="E0EBED"/>
          </w:tcPr>
          <w:p>
            <w:pPr>
              <w:jc w:val="right"/>
              <w:ind w:right="27"/>
              <w:spacing w:after="0" w:line="159" w:lineRule="exact"/>
              <w:rPr>
                <w:sz w:val="20"/>
                <w:szCs w:val="20"/>
                <w:color w:val="auto"/>
              </w:rPr>
            </w:pPr>
            <w:r>
              <w:rPr>
                <w:rFonts w:ascii="Arial" w:cs="Arial" w:eastAsia="Arial" w:hAnsi="Arial"/>
                <w:sz w:val="15"/>
                <w:szCs w:val="15"/>
                <w:color w:val="auto"/>
              </w:rPr>
              <w:t>–</w:t>
            </w:r>
          </w:p>
        </w:tc>
        <w:tc>
          <w:tcPr>
            <w:tcW w:w="220" w:type="dxa"/>
            <w:vAlign w:val="bottom"/>
            <w:shd w:val="clear" w:color="auto" w:fill="E0EBED"/>
          </w:tcPr>
          <w:p>
            <w:pPr>
              <w:spacing w:after="0"/>
              <w:rPr>
                <w:sz w:val="13"/>
                <w:szCs w:val="13"/>
                <w:color w:val="auto"/>
              </w:rPr>
            </w:pPr>
          </w:p>
        </w:tc>
        <w:tc>
          <w:tcPr>
            <w:tcW w:w="840" w:type="dxa"/>
            <w:vAlign w:val="bottom"/>
            <w:shd w:val="clear" w:color="auto" w:fill="E0EBED"/>
          </w:tcPr>
          <w:p>
            <w:pPr>
              <w:jc w:val="right"/>
              <w:spacing w:after="0" w:line="159" w:lineRule="exact"/>
              <w:rPr>
                <w:sz w:val="20"/>
                <w:szCs w:val="20"/>
                <w:color w:val="auto"/>
              </w:rPr>
            </w:pPr>
            <w:r>
              <w:rPr>
                <w:rFonts w:ascii="Arial" w:cs="Arial" w:eastAsia="Arial" w:hAnsi="Arial"/>
                <w:sz w:val="15"/>
                <w:szCs w:val="15"/>
                <w:color w:val="auto"/>
              </w:rPr>
              <w:t>44</w:t>
            </w:r>
          </w:p>
        </w:tc>
        <w:tc>
          <w:tcPr>
            <w:tcW w:w="200" w:type="dxa"/>
            <w:vAlign w:val="bottom"/>
            <w:shd w:val="clear" w:color="auto" w:fill="E0EBED"/>
          </w:tcPr>
          <w:p>
            <w:pPr>
              <w:spacing w:after="0"/>
              <w:rPr>
                <w:sz w:val="13"/>
                <w:szCs w:val="13"/>
                <w:color w:val="auto"/>
              </w:rPr>
            </w:pPr>
          </w:p>
        </w:tc>
        <w:tc>
          <w:tcPr>
            <w:tcW w:w="660" w:type="dxa"/>
            <w:vAlign w:val="bottom"/>
            <w:shd w:val="clear" w:color="auto" w:fill="E0EBED"/>
          </w:tcPr>
          <w:p>
            <w:pPr>
              <w:jc w:val="right"/>
              <w:spacing w:after="0" w:line="159" w:lineRule="exact"/>
              <w:rPr>
                <w:sz w:val="20"/>
                <w:szCs w:val="20"/>
                <w:color w:val="auto"/>
              </w:rPr>
            </w:pPr>
            <w:r>
              <w:rPr>
                <w:rFonts w:ascii="Arial" w:cs="Arial" w:eastAsia="Arial" w:hAnsi="Arial"/>
                <w:sz w:val="15"/>
                <w:szCs w:val="15"/>
                <w:color w:val="auto"/>
              </w:rPr>
              <w:t>–</w:t>
            </w:r>
          </w:p>
        </w:tc>
        <w:tc>
          <w:tcPr>
            <w:tcW w:w="900" w:type="dxa"/>
            <w:vAlign w:val="bottom"/>
            <w:shd w:val="clear" w:color="auto" w:fill="E0EBED"/>
          </w:tcPr>
          <w:p>
            <w:pPr>
              <w:jc w:val="right"/>
              <w:ind w:right="7"/>
              <w:spacing w:after="0" w:line="159" w:lineRule="exact"/>
              <w:rPr>
                <w:sz w:val="20"/>
                <w:szCs w:val="20"/>
                <w:color w:val="auto"/>
              </w:rPr>
            </w:pPr>
            <w:r>
              <w:rPr>
                <w:rFonts w:ascii="Arial" w:cs="Arial" w:eastAsia="Arial" w:hAnsi="Arial"/>
                <w:sz w:val="15"/>
                <w:szCs w:val="15"/>
                <w:color w:val="auto"/>
              </w:rPr>
              <w:t>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Borders>
              <w:top w:val="single" w:sz="8" w:color="auto"/>
            </w:tcBorders>
          </w:tcPr>
          <w:p>
            <w:pPr>
              <w:spacing w:after="0" w:line="149" w:lineRule="exact"/>
              <w:rPr>
                <w:sz w:val="20"/>
                <w:szCs w:val="20"/>
                <w:color w:val="auto"/>
              </w:rPr>
            </w:pPr>
            <w:r>
              <w:rPr>
                <w:rFonts w:ascii="Arial" w:cs="Arial" w:eastAsia="Arial" w:hAnsi="Arial"/>
                <w:sz w:val="15"/>
                <w:szCs w:val="15"/>
                <w:color w:val="auto"/>
              </w:rPr>
              <w:t>Balance at December 31, 2016</w:t>
            </w:r>
          </w:p>
        </w:tc>
        <w:tc>
          <w:tcPr>
            <w:tcW w:w="800" w:type="dxa"/>
            <w:vAlign w:val="bottom"/>
            <w:tcBorders>
              <w:top w:val="single" w:sz="8" w:color="auto"/>
            </w:tcBorders>
            <w:shd w:val="clear" w:color="auto" w:fill="CDDEE7"/>
          </w:tcPr>
          <w:p>
            <w:pPr>
              <w:jc w:val="right"/>
              <w:ind w:right="27"/>
              <w:spacing w:after="0" w:line="149" w:lineRule="exact"/>
              <w:rPr>
                <w:sz w:val="20"/>
                <w:szCs w:val="20"/>
                <w:color w:val="auto"/>
              </w:rPr>
            </w:pPr>
            <w:r>
              <w:rPr>
                <w:rFonts w:ascii="Arial" w:cs="Arial" w:eastAsia="Arial" w:hAnsi="Arial"/>
                <w:sz w:val="15"/>
                <w:szCs w:val="15"/>
                <w:color w:val="auto"/>
              </w:rPr>
              <w:t>63,176</w:t>
            </w:r>
          </w:p>
        </w:tc>
        <w:tc>
          <w:tcPr>
            <w:tcW w:w="180" w:type="dxa"/>
            <w:vAlign w:val="bottom"/>
            <w:tcBorders>
              <w:top w:val="single" w:sz="8" w:color="auto"/>
            </w:tcBorders>
            <w:shd w:val="clear" w:color="auto" w:fill="CDDEE7"/>
          </w:tcPr>
          <w:p>
            <w:pPr>
              <w:spacing w:after="0"/>
              <w:rPr>
                <w:sz w:val="12"/>
                <w:szCs w:val="12"/>
                <w:color w:val="auto"/>
              </w:rPr>
            </w:pPr>
          </w:p>
        </w:tc>
        <w:tc>
          <w:tcPr>
            <w:tcW w:w="600" w:type="dxa"/>
            <w:vAlign w:val="bottom"/>
            <w:tcBorders>
              <w:top w:val="single" w:sz="8" w:color="auto"/>
            </w:tcBorders>
            <w:shd w:val="clear" w:color="auto" w:fill="CDDEE7"/>
          </w:tcPr>
          <w:p>
            <w:pPr>
              <w:ind w:left="260"/>
              <w:spacing w:after="0" w:line="149" w:lineRule="exact"/>
              <w:rPr>
                <w:sz w:val="20"/>
                <w:szCs w:val="20"/>
                <w:color w:val="auto"/>
              </w:rPr>
            </w:pPr>
            <w:r>
              <w:rPr>
                <w:rFonts w:ascii="Arial" w:cs="Arial" w:eastAsia="Arial" w:hAnsi="Arial"/>
                <w:sz w:val="15"/>
                <w:szCs w:val="15"/>
                <w:color w:val="auto"/>
              </w:rPr>
              <w:t>630</w:t>
            </w:r>
          </w:p>
        </w:tc>
        <w:tc>
          <w:tcPr>
            <w:tcW w:w="920" w:type="dxa"/>
            <w:vAlign w:val="bottom"/>
            <w:tcBorders>
              <w:top w:val="single" w:sz="8" w:color="auto"/>
            </w:tcBorders>
            <w:shd w:val="clear" w:color="auto" w:fill="CDDEE7"/>
          </w:tcPr>
          <w:p>
            <w:pPr>
              <w:jc w:val="right"/>
              <w:ind w:right="27"/>
              <w:spacing w:after="0" w:line="149" w:lineRule="exact"/>
              <w:rPr>
                <w:sz w:val="20"/>
                <w:szCs w:val="20"/>
                <w:color w:val="auto"/>
              </w:rPr>
            </w:pPr>
            <w:r>
              <w:rPr>
                <w:rFonts w:ascii="Arial" w:cs="Arial" w:eastAsia="Arial" w:hAnsi="Arial"/>
                <w:sz w:val="15"/>
                <w:szCs w:val="15"/>
                <w:color w:val="auto"/>
              </w:rPr>
              <w:t>3,334,461</w:t>
            </w:r>
          </w:p>
        </w:tc>
        <w:tc>
          <w:tcPr>
            <w:tcW w:w="160" w:type="dxa"/>
            <w:vAlign w:val="bottom"/>
            <w:tcBorders>
              <w:top w:val="single" w:sz="8" w:color="auto"/>
            </w:tcBorders>
            <w:shd w:val="clear" w:color="auto" w:fill="CDDEE7"/>
          </w:tcPr>
          <w:p>
            <w:pPr>
              <w:spacing w:after="0"/>
              <w:rPr>
                <w:sz w:val="12"/>
                <w:szCs w:val="12"/>
                <w:color w:val="auto"/>
              </w:rPr>
            </w:pPr>
          </w:p>
        </w:tc>
        <w:tc>
          <w:tcPr>
            <w:tcW w:w="1040" w:type="dxa"/>
            <w:vAlign w:val="bottom"/>
            <w:tcBorders>
              <w:top w:val="single" w:sz="8" w:color="auto"/>
            </w:tcBorders>
            <w:shd w:val="clear" w:color="auto" w:fill="CDDEE7"/>
          </w:tcPr>
          <w:p>
            <w:pPr>
              <w:jc w:val="right"/>
              <w:ind w:right="7"/>
              <w:spacing w:after="0" w:line="149" w:lineRule="exact"/>
              <w:rPr>
                <w:sz w:val="20"/>
                <w:szCs w:val="20"/>
                <w:color w:val="auto"/>
              </w:rPr>
            </w:pPr>
            <w:r>
              <w:rPr>
                <w:rFonts w:ascii="Arial" w:cs="Arial" w:eastAsia="Arial" w:hAnsi="Arial"/>
                <w:sz w:val="15"/>
                <w:szCs w:val="15"/>
                <w:color w:val="auto"/>
              </w:rPr>
              <w:t>(130,687)</w:t>
            </w:r>
          </w:p>
        </w:tc>
        <w:tc>
          <w:tcPr>
            <w:tcW w:w="920" w:type="dxa"/>
            <w:vAlign w:val="bottom"/>
            <w:tcBorders>
              <w:top w:val="single" w:sz="8" w:color="auto"/>
            </w:tcBorders>
            <w:shd w:val="clear" w:color="auto" w:fill="CDDEE7"/>
          </w:tcPr>
          <w:p>
            <w:pPr>
              <w:jc w:val="right"/>
              <w:ind w:right="27"/>
              <w:spacing w:after="0" w:line="149" w:lineRule="exact"/>
              <w:rPr>
                <w:sz w:val="20"/>
                <w:szCs w:val="20"/>
                <w:color w:val="auto"/>
              </w:rPr>
            </w:pPr>
            <w:r>
              <w:rPr>
                <w:rFonts w:ascii="Arial" w:cs="Arial" w:eastAsia="Arial" w:hAnsi="Arial"/>
                <w:sz w:val="15"/>
                <w:szCs w:val="15"/>
                <w:color w:val="auto"/>
              </w:rPr>
              <w:t>935,574</w:t>
            </w:r>
          </w:p>
        </w:tc>
        <w:tc>
          <w:tcPr>
            <w:tcW w:w="220" w:type="dxa"/>
            <w:vAlign w:val="bottom"/>
            <w:tcBorders>
              <w:top w:val="single" w:sz="8" w:color="auto"/>
            </w:tcBorders>
            <w:shd w:val="clear" w:color="auto" w:fill="CDDEE7"/>
          </w:tcPr>
          <w:p>
            <w:pPr>
              <w:spacing w:after="0"/>
              <w:rPr>
                <w:sz w:val="12"/>
                <w:szCs w:val="12"/>
                <w:color w:val="auto"/>
              </w:rPr>
            </w:pPr>
          </w:p>
        </w:tc>
        <w:tc>
          <w:tcPr>
            <w:tcW w:w="840" w:type="dxa"/>
            <w:vAlign w:val="bottom"/>
            <w:tcBorders>
              <w:top w:val="single" w:sz="8" w:color="auto"/>
            </w:tcBorders>
            <w:shd w:val="clear" w:color="auto" w:fill="CDDEE7"/>
          </w:tcPr>
          <w:p>
            <w:pPr>
              <w:jc w:val="right"/>
              <w:spacing w:after="0" w:line="149" w:lineRule="exact"/>
              <w:rPr>
                <w:sz w:val="20"/>
                <w:szCs w:val="20"/>
                <w:color w:val="auto"/>
              </w:rPr>
            </w:pPr>
            <w:r>
              <w:rPr>
                <w:rFonts w:ascii="Arial" w:cs="Arial" w:eastAsia="Arial" w:hAnsi="Arial"/>
                <w:sz w:val="15"/>
                <w:szCs w:val="15"/>
                <w:color w:val="auto"/>
              </w:rPr>
              <w:t>4,139,978</w:t>
            </w:r>
          </w:p>
        </w:tc>
        <w:tc>
          <w:tcPr>
            <w:tcW w:w="200" w:type="dxa"/>
            <w:vAlign w:val="bottom"/>
            <w:tcBorders>
              <w:top w:val="single" w:sz="8" w:color="auto"/>
            </w:tcBorders>
            <w:shd w:val="clear" w:color="auto" w:fill="CDDEE7"/>
          </w:tcPr>
          <w:p>
            <w:pPr>
              <w:spacing w:after="0"/>
              <w:rPr>
                <w:sz w:val="12"/>
                <w:szCs w:val="12"/>
                <w:color w:val="auto"/>
              </w:rPr>
            </w:pPr>
          </w:p>
        </w:tc>
        <w:tc>
          <w:tcPr>
            <w:tcW w:w="660" w:type="dxa"/>
            <w:vAlign w:val="bottom"/>
            <w:tcBorders>
              <w:top w:val="single" w:sz="8" w:color="auto"/>
            </w:tcBorders>
            <w:shd w:val="clear" w:color="auto" w:fill="CDDEE7"/>
          </w:tcPr>
          <w:p>
            <w:pPr>
              <w:jc w:val="right"/>
              <w:spacing w:after="0" w:line="149" w:lineRule="exact"/>
              <w:rPr>
                <w:sz w:val="20"/>
                <w:szCs w:val="20"/>
                <w:color w:val="auto"/>
              </w:rPr>
            </w:pPr>
            <w:r>
              <w:rPr>
                <w:rFonts w:ascii="Arial" w:cs="Arial" w:eastAsia="Arial" w:hAnsi="Arial"/>
                <w:sz w:val="15"/>
                <w:szCs w:val="15"/>
                <w:color w:val="auto"/>
              </w:rPr>
              <w:t>2,612</w:t>
            </w:r>
          </w:p>
        </w:tc>
        <w:tc>
          <w:tcPr>
            <w:tcW w:w="900" w:type="dxa"/>
            <w:vAlign w:val="bottom"/>
            <w:tcBorders>
              <w:top w:val="single" w:sz="8" w:color="auto"/>
            </w:tcBorders>
            <w:shd w:val="clear" w:color="auto" w:fill="CDDEE7"/>
          </w:tcPr>
          <w:p>
            <w:pPr>
              <w:jc w:val="right"/>
              <w:ind w:right="7"/>
              <w:spacing w:after="0" w:line="149" w:lineRule="exact"/>
              <w:rPr>
                <w:sz w:val="20"/>
                <w:szCs w:val="20"/>
                <w:color w:val="auto"/>
              </w:rPr>
            </w:pPr>
            <w:r>
              <w:rPr>
                <w:rFonts w:ascii="Arial" w:cs="Arial" w:eastAsia="Arial" w:hAnsi="Arial"/>
                <w:sz w:val="15"/>
                <w:szCs w:val="15"/>
                <w:color w:val="auto"/>
              </w:rPr>
              <w:t>4,142,590</w:t>
            </w:r>
          </w:p>
        </w:tc>
        <w:tc>
          <w:tcPr>
            <w:tcW w:w="0" w:type="dxa"/>
            <w:vAlign w:val="bottom"/>
          </w:tcPr>
          <w:p>
            <w:pPr>
              <w:spacing w:after="0"/>
              <w:rPr>
                <w:sz w:val="1"/>
                <w:szCs w:val="1"/>
                <w:color w:val="auto"/>
              </w:rPr>
            </w:pPr>
          </w:p>
        </w:tc>
      </w:tr>
      <w:tr>
        <w:trPr>
          <w:trHeight w:val="342"/>
        </w:trPr>
        <w:tc>
          <w:tcPr>
            <w:tcW w:w="3980" w:type="dxa"/>
            <w:vAlign w:val="bottom"/>
            <w:gridSpan w:val="2"/>
          </w:tcPr>
          <w:p>
            <w:pPr>
              <w:spacing w:after="0"/>
              <w:rPr>
                <w:sz w:val="20"/>
                <w:szCs w:val="20"/>
                <w:color w:val="auto"/>
              </w:rPr>
            </w:pPr>
            <w:r>
              <w:rPr>
                <w:rFonts w:ascii="Arial" w:cs="Arial" w:eastAsia="Arial" w:hAnsi="Arial"/>
                <w:sz w:val="15"/>
                <w:szCs w:val="15"/>
                <w:b w:val="1"/>
                <w:bCs w:val="1"/>
                <w:color w:val="auto"/>
              </w:rPr>
              <w:t>Consolidated net earnings</w:t>
            </w:r>
          </w:p>
        </w:tc>
        <w:tc>
          <w:tcPr>
            <w:tcW w:w="800" w:type="dxa"/>
            <w:vAlign w:val="bottom"/>
            <w:shd w:val="clear" w:color="auto" w:fill="CDDEE7"/>
          </w:tcPr>
          <w:p>
            <w:pPr>
              <w:jc w:val="right"/>
              <w:ind w:right="27"/>
              <w:spacing w:after="0"/>
              <w:rPr>
                <w:sz w:val="20"/>
                <w:szCs w:val="20"/>
                <w:color w:val="auto"/>
              </w:rPr>
            </w:pPr>
            <w:r>
              <w:rPr>
                <w:rFonts w:ascii="Arial" w:cs="Arial" w:eastAsia="Arial" w:hAnsi="Arial"/>
                <w:sz w:val="15"/>
                <w:szCs w:val="15"/>
                <w:b w:val="1"/>
                <w:bCs w:val="1"/>
                <w:color w:val="auto"/>
              </w:rPr>
              <w:t>–</w:t>
            </w:r>
          </w:p>
        </w:tc>
        <w:tc>
          <w:tcPr>
            <w:tcW w:w="180" w:type="dxa"/>
            <w:vAlign w:val="bottom"/>
            <w:shd w:val="clear" w:color="auto" w:fill="CDDEE7"/>
          </w:tcPr>
          <w:p>
            <w:pPr>
              <w:spacing w:after="0"/>
              <w:rPr>
                <w:sz w:val="24"/>
                <w:szCs w:val="24"/>
                <w:color w:val="auto"/>
              </w:rPr>
            </w:pPr>
          </w:p>
        </w:tc>
        <w:tc>
          <w:tcPr>
            <w:tcW w:w="600" w:type="dxa"/>
            <w:vAlign w:val="bottom"/>
            <w:shd w:val="clear" w:color="auto" w:fill="CDDEE7"/>
          </w:tcPr>
          <w:p>
            <w:pPr>
              <w:ind w:left="420"/>
              <w:spacing w:after="0"/>
              <w:rPr>
                <w:sz w:val="20"/>
                <w:szCs w:val="20"/>
                <w:color w:val="auto"/>
              </w:rPr>
            </w:pPr>
            <w:r>
              <w:rPr>
                <w:rFonts w:ascii="Arial" w:cs="Arial" w:eastAsia="Arial" w:hAnsi="Arial"/>
                <w:sz w:val="15"/>
                <w:szCs w:val="15"/>
                <w:b w:val="1"/>
                <w:bCs w:val="1"/>
                <w:color w:val="auto"/>
              </w:rPr>
              <w:t>–</w:t>
            </w:r>
          </w:p>
        </w:tc>
        <w:tc>
          <w:tcPr>
            <w:tcW w:w="920" w:type="dxa"/>
            <w:vAlign w:val="bottom"/>
            <w:shd w:val="clear" w:color="auto" w:fill="CDDEE7"/>
          </w:tcPr>
          <w:p>
            <w:pPr>
              <w:jc w:val="right"/>
              <w:ind w:right="27"/>
              <w:spacing w:after="0"/>
              <w:rPr>
                <w:sz w:val="20"/>
                <w:szCs w:val="20"/>
                <w:color w:val="auto"/>
              </w:rPr>
            </w:pPr>
            <w:r>
              <w:rPr>
                <w:rFonts w:ascii="Arial" w:cs="Arial" w:eastAsia="Arial" w:hAnsi="Arial"/>
                <w:sz w:val="15"/>
                <w:szCs w:val="15"/>
                <w:b w:val="1"/>
                <w:bCs w:val="1"/>
                <w:color w:val="auto"/>
              </w:rPr>
              <w:t>–</w:t>
            </w:r>
          </w:p>
        </w:tc>
        <w:tc>
          <w:tcPr>
            <w:tcW w:w="160" w:type="dxa"/>
            <w:vAlign w:val="bottom"/>
            <w:shd w:val="clear" w:color="auto" w:fill="CDDEE7"/>
          </w:tcPr>
          <w:p>
            <w:pPr>
              <w:spacing w:after="0"/>
              <w:rPr>
                <w:sz w:val="24"/>
                <w:szCs w:val="24"/>
                <w:color w:val="auto"/>
              </w:rPr>
            </w:pPr>
          </w:p>
        </w:tc>
        <w:tc>
          <w:tcPr>
            <w:tcW w:w="1040" w:type="dxa"/>
            <w:vAlign w:val="bottom"/>
            <w:shd w:val="clear" w:color="auto" w:fill="CDDEE7"/>
          </w:tcPr>
          <w:p>
            <w:pPr>
              <w:jc w:val="right"/>
              <w:ind w:right="7"/>
              <w:spacing w:after="0"/>
              <w:rPr>
                <w:sz w:val="20"/>
                <w:szCs w:val="20"/>
                <w:color w:val="auto"/>
              </w:rPr>
            </w:pPr>
            <w:r>
              <w:rPr>
                <w:rFonts w:ascii="Arial" w:cs="Arial" w:eastAsia="Arial" w:hAnsi="Arial"/>
                <w:sz w:val="15"/>
                <w:szCs w:val="15"/>
                <w:b w:val="1"/>
                <w:bCs w:val="1"/>
                <w:color w:val="auto"/>
              </w:rPr>
              <w:t>–</w:t>
            </w:r>
          </w:p>
        </w:tc>
        <w:tc>
          <w:tcPr>
            <w:tcW w:w="920" w:type="dxa"/>
            <w:vAlign w:val="bottom"/>
            <w:shd w:val="clear" w:color="auto" w:fill="CDDEE7"/>
          </w:tcPr>
          <w:p>
            <w:pPr>
              <w:jc w:val="right"/>
              <w:ind w:right="27"/>
              <w:spacing w:after="0"/>
              <w:rPr>
                <w:sz w:val="20"/>
                <w:szCs w:val="20"/>
                <w:color w:val="auto"/>
              </w:rPr>
            </w:pPr>
            <w:r>
              <w:rPr>
                <w:rFonts w:ascii="Arial" w:cs="Arial" w:eastAsia="Arial" w:hAnsi="Arial"/>
                <w:sz w:val="15"/>
                <w:szCs w:val="15"/>
                <w:b w:val="1"/>
                <w:bCs w:val="1"/>
                <w:color w:val="auto"/>
              </w:rPr>
              <w:t>713,342</w:t>
            </w:r>
          </w:p>
        </w:tc>
        <w:tc>
          <w:tcPr>
            <w:tcW w:w="220" w:type="dxa"/>
            <w:vAlign w:val="bottom"/>
            <w:shd w:val="clear" w:color="auto" w:fill="CDDEE7"/>
          </w:tcPr>
          <w:p>
            <w:pPr>
              <w:spacing w:after="0"/>
              <w:rPr>
                <w:sz w:val="24"/>
                <w:szCs w:val="24"/>
                <w:color w:val="auto"/>
              </w:rPr>
            </w:pPr>
          </w:p>
        </w:tc>
        <w:tc>
          <w:tcPr>
            <w:tcW w:w="840" w:type="dxa"/>
            <w:vAlign w:val="bottom"/>
            <w:shd w:val="clear" w:color="auto" w:fill="CDDEE7"/>
          </w:tcPr>
          <w:p>
            <w:pPr>
              <w:jc w:val="right"/>
              <w:spacing w:after="0"/>
              <w:rPr>
                <w:sz w:val="20"/>
                <w:szCs w:val="20"/>
                <w:color w:val="auto"/>
              </w:rPr>
            </w:pPr>
            <w:r>
              <w:rPr>
                <w:rFonts w:ascii="Arial" w:cs="Arial" w:eastAsia="Arial" w:hAnsi="Arial"/>
                <w:sz w:val="15"/>
                <w:szCs w:val="15"/>
                <w:b w:val="1"/>
                <w:bCs w:val="1"/>
                <w:color w:val="auto"/>
              </w:rPr>
              <w:t>713,342</w:t>
            </w:r>
          </w:p>
        </w:tc>
        <w:tc>
          <w:tcPr>
            <w:tcW w:w="200" w:type="dxa"/>
            <w:vAlign w:val="bottom"/>
            <w:shd w:val="clear" w:color="auto" w:fill="CDDEE7"/>
          </w:tcPr>
          <w:p>
            <w:pPr>
              <w:spacing w:after="0"/>
              <w:rPr>
                <w:sz w:val="24"/>
                <w:szCs w:val="24"/>
                <w:color w:val="auto"/>
              </w:rPr>
            </w:pPr>
          </w:p>
        </w:tc>
        <w:tc>
          <w:tcPr>
            <w:tcW w:w="660" w:type="dxa"/>
            <w:vAlign w:val="bottom"/>
            <w:shd w:val="clear" w:color="auto" w:fill="CDDEE7"/>
          </w:tcPr>
          <w:p>
            <w:pPr>
              <w:jc w:val="right"/>
              <w:spacing w:after="0"/>
              <w:rPr>
                <w:sz w:val="20"/>
                <w:szCs w:val="20"/>
                <w:color w:val="auto"/>
              </w:rPr>
            </w:pPr>
            <w:r>
              <w:rPr>
                <w:rFonts w:ascii="Arial" w:cs="Arial" w:eastAsia="Arial" w:hAnsi="Arial"/>
                <w:sz w:val="15"/>
                <w:szCs w:val="15"/>
                <w:b w:val="1"/>
                <w:bCs w:val="1"/>
                <w:color w:val="auto"/>
              </w:rPr>
              <w:t>43</w:t>
            </w:r>
          </w:p>
        </w:tc>
        <w:tc>
          <w:tcPr>
            <w:tcW w:w="900" w:type="dxa"/>
            <w:vAlign w:val="bottom"/>
            <w:shd w:val="clear" w:color="auto" w:fill="CDDEE7"/>
          </w:tcPr>
          <w:p>
            <w:pPr>
              <w:jc w:val="right"/>
              <w:ind w:right="7"/>
              <w:spacing w:after="0"/>
              <w:rPr>
                <w:sz w:val="20"/>
                <w:szCs w:val="20"/>
                <w:color w:val="auto"/>
              </w:rPr>
            </w:pPr>
            <w:r>
              <w:rPr>
                <w:rFonts w:ascii="Arial" w:cs="Arial" w:eastAsia="Arial" w:hAnsi="Arial"/>
                <w:sz w:val="15"/>
                <w:szCs w:val="15"/>
                <w:b w:val="1"/>
                <w:bCs w:val="1"/>
                <w:color w:val="auto"/>
              </w:rPr>
              <w:t>713,385</w:t>
            </w:r>
          </w:p>
        </w:tc>
        <w:tc>
          <w:tcPr>
            <w:tcW w:w="0" w:type="dxa"/>
            <w:vAlign w:val="bottom"/>
          </w:tcPr>
          <w:p>
            <w:pPr>
              <w:spacing w:after="0"/>
              <w:rPr>
                <w:sz w:val="1"/>
                <w:szCs w:val="1"/>
                <w:color w:val="auto"/>
              </w:rPr>
            </w:pPr>
          </w:p>
        </w:tc>
      </w:tr>
      <w:tr>
        <w:trPr>
          <w:trHeight w:val="156"/>
        </w:trPr>
        <w:tc>
          <w:tcPr>
            <w:tcW w:w="3980" w:type="dxa"/>
            <w:vAlign w:val="bottom"/>
            <w:gridSpan w:val="2"/>
          </w:tcPr>
          <w:p>
            <w:pPr>
              <w:spacing w:after="0" w:line="156" w:lineRule="exact"/>
              <w:rPr>
                <w:sz w:val="20"/>
                <w:szCs w:val="20"/>
                <w:color w:val="auto"/>
              </w:rPr>
            </w:pPr>
            <w:r>
              <w:rPr>
                <w:rFonts w:ascii="Arial" w:cs="Arial" w:eastAsia="Arial" w:hAnsi="Arial"/>
                <w:sz w:val="15"/>
                <w:szCs w:val="15"/>
                <w:b w:val="1"/>
                <w:bCs w:val="1"/>
                <w:color w:val="auto"/>
              </w:rPr>
              <w:t>Other comprehensive earnings</w:t>
            </w:r>
          </w:p>
        </w:tc>
        <w:tc>
          <w:tcPr>
            <w:tcW w:w="800" w:type="dxa"/>
            <w:vAlign w:val="bottom"/>
            <w:shd w:val="clear" w:color="auto" w:fill="CDDEE7"/>
          </w:tcPr>
          <w:p>
            <w:pPr>
              <w:jc w:val="right"/>
              <w:ind w:right="27"/>
              <w:spacing w:after="0" w:line="156" w:lineRule="exact"/>
              <w:rPr>
                <w:sz w:val="20"/>
                <w:szCs w:val="20"/>
                <w:color w:val="auto"/>
              </w:rPr>
            </w:pPr>
            <w:r>
              <w:rPr>
                <w:rFonts w:ascii="Arial" w:cs="Arial" w:eastAsia="Arial" w:hAnsi="Arial"/>
                <w:sz w:val="15"/>
                <w:szCs w:val="15"/>
                <w:b w:val="1"/>
                <w:bCs w:val="1"/>
                <w:color w:val="auto"/>
              </w:rPr>
              <w:t>–</w:t>
            </w:r>
          </w:p>
        </w:tc>
        <w:tc>
          <w:tcPr>
            <w:tcW w:w="180" w:type="dxa"/>
            <w:vAlign w:val="bottom"/>
            <w:shd w:val="clear" w:color="auto" w:fill="CDDEE7"/>
          </w:tcPr>
          <w:p>
            <w:pPr>
              <w:spacing w:after="0"/>
              <w:rPr>
                <w:sz w:val="13"/>
                <w:szCs w:val="13"/>
                <w:color w:val="auto"/>
              </w:rPr>
            </w:pPr>
          </w:p>
        </w:tc>
        <w:tc>
          <w:tcPr>
            <w:tcW w:w="600" w:type="dxa"/>
            <w:vAlign w:val="bottom"/>
            <w:shd w:val="clear" w:color="auto" w:fill="CDDEE7"/>
          </w:tcPr>
          <w:p>
            <w:pPr>
              <w:ind w:left="420"/>
              <w:spacing w:after="0" w:line="156" w:lineRule="exact"/>
              <w:rPr>
                <w:sz w:val="20"/>
                <w:szCs w:val="20"/>
                <w:color w:val="auto"/>
              </w:rPr>
            </w:pPr>
            <w:r>
              <w:rPr>
                <w:rFonts w:ascii="Arial" w:cs="Arial" w:eastAsia="Arial" w:hAnsi="Arial"/>
                <w:sz w:val="15"/>
                <w:szCs w:val="15"/>
                <w:b w:val="1"/>
                <w:bCs w:val="1"/>
                <w:color w:val="auto"/>
              </w:rPr>
              <w:t>–</w:t>
            </w:r>
          </w:p>
        </w:tc>
        <w:tc>
          <w:tcPr>
            <w:tcW w:w="920" w:type="dxa"/>
            <w:vAlign w:val="bottom"/>
            <w:shd w:val="clear" w:color="auto" w:fill="CDDEE7"/>
          </w:tcPr>
          <w:p>
            <w:pPr>
              <w:jc w:val="right"/>
              <w:ind w:right="27"/>
              <w:spacing w:after="0" w:line="156" w:lineRule="exact"/>
              <w:rPr>
                <w:sz w:val="20"/>
                <w:szCs w:val="20"/>
                <w:color w:val="auto"/>
              </w:rPr>
            </w:pPr>
            <w:r>
              <w:rPr>
                <w:rFonts w:ascii="Arial" w:cs="Arial" w:eastAsia="Arial" w:hAnsi="Arial"/>
                <w:sz w:val="15"/>
                <w:szCs w:val="15"/>
                <w:b w:val="1"/>
                <w:bCs w:val="1"/>
                <w:color w:val="auto"/>
              </w:rPr>
              <w:t>–</w:t>
            </w:r>
          </w:p>
        </w:tc>
        <w:tc>
          <w:tcPr>
            <w:tcW w:w="160" w:type="dxa"/>
            <w:vAlign w:val="bottom"/>
            <w:shd w:val="clear" w:color="auto" w:fill="CDDEE7"/>
          </w:tcPr>
          <w:p>
            <w:pPr>
              <w:spacing w:after="0"/>
              <w:rPr>
                <w:sz w:val="13"/>
                <w:szCs w:val="13"/>
                <w:color w:val="auto"/>
              </w:rPr>
            </w:pPr>
          </w:p>
        </w:tc>
        <w:tc>
          <w:tcPr>
            <w:tcW w:w="1040" w:type="dxa"/>
            <w:vAlign w:val="bottom"/>
            <w:shd w:val="clear" w:color="auto" w:fill="CDDEE7"/>
          </w:tcPr>
          <w:p>
            <w:pPr>
              <w:jc w:val="right"/>
              <w:ind w:right="7"/>
              <w:spacing w:after="0" w:line="156" w:lineRule="exact"/>
              <w:rPr>
                <w:sz w:val="20"/>
                <w:szCs w:val="20"/>
                <w:color w:val="auto"/>
              </w:rPr>
            </w:pPr>
            <w:r>
              <w:rPr>
                <w:rFonts w:ascii="Arial" w:cs="Arial" w:eastAsia="Arial" w:hAnsi="Arial"/>
                <w:sz w:val="15"/>
                <w:szCs w:val="15"/>
                <w:b w:val="1"/>
                <w:bCs w:val="1"/>
                <w:color w:val="auto"/>
              </w:rPr>
              <w:t>1,583</w:t>
            </w:r>
          </w:p>
        </w:tc>
        <w:tc>
          <w:tcPr>
            <w:tcW w:w="920" w:type="dxa"/>
            <w:vAlign w:val="bottom"/>
            <w:shd w:val="clear" w:color="auto" w:fill="CDDEE7"/>
          </w:tcPr>
          <w:p>
            <w:pPr>
              <w:jc w:val="right"/>
              <w:ind w:right="27"/>
              <w:spacing w:after="0" w:line="156" w:lineRule="exact"/>
              <w:rPr>
                <w:sz w:val="20"/>
                <w:szCs w:val="20"/>
                <w:color w:val="auto"/>
              </w:rPr>
            </w:pPr>
            <w:r>
              <w:rPr>
                <w:rFonts w:ascii="Arial" w:cs="Arial" w:eastAsia="Arial" w:hAnsi="Arial"/>
                <w:sz w:val="15"/>
                <w:szCs w:val="15"/>
                <w:b w:val="1"/>
                <w:bCs w:val="1"/>
                <w:color w:val="auto"/>
              </w:rPr>
              <w:t>–</w:t>
            </w:r>
          </w:p>
        </w:tc>
        <w:tc>
          <w:tcPr>
            <w:tcW w:w="220" w:type="dxa"/>
            <w:vAlign w:val="bottom"/>
            <w:shd w:val="clear" w:color="auto" w:fill="CDDEE7"/>
          </w:tcPr>
          <w:p>
            <w:pPr>
              <w:spacing w:after="0"/>
              <w:rPr>
                <w:sz w:val="13"/>
                <w:szCs w:val="13"/>
                <w:color w:val="auto"/>
              </w:rPr>
            </w:pPr>
          </w:p>
        </w:tc>
        <w:tc>
          <w:tcPr>
            <w:tcW w:w="840" w:type="dxa"/>
            <w:vAlign w:val="bottom"/>
            <w:shd w:val="clear" w:color="auto" w:fill="CDDEE7"/>
          </w:tcPr>
          <w:p>
            <w:pPr>
              <w:jc w:val="right"/>
              <w:spacing w:after="0" w:line="156" w:lineRule="exact"/>
              <w:rPr>
                <w:sz w:val="20"/>
                <w:szCs w:val="20"/>
                <w:color w:val="auto"/>
              </w:rPr>
            </w:pPr>
            <w:r>
              <w:rPr>
                <w:rFonts w:ascii="Arial" w:cs="Arial" w:eastAsia="Arial" w:hAnsi="Arial"/>
                <w:sz w:val="15"/>
                <w:szCs w:val="15"/>
                <w:b w:val="1"/>
                <w:bCs w:val="1"/>
                <w:color w:val="auto"/>
              </w:rPr>
              <w:t>1,583</w:t>
            </w:r>
          </w:p>
        </w:tc>
        <w:tc>
          <w:tcPr>
            <w:tcW w:w="200" w:type="dxa"/>
            <w:vAlign w:val="bottom"/>
            <w:shd w:val="clear" w:color="auto" w:fill="CDDEE7"/>
          </w:tcPr>
          <w:p>
            <w:pPr>
              <w:spacing w:after="0"/>
              <w:rPr>
                <w:sz w:val="13"/>
                <w:szCs w:val="13"/>
                <w:color w:val="auto"/>
              </w:rPr>
            </w:pPr>
          </w:p>
        </w:tc>
        <w:tc>
          <w:tcPr>
            <w:tcW w:w="660" w:type="dxa"/>
            <w:vAlign w:val="bottom"/>
            <w:shd w:val="clear" w:color="auto" w:fill="CDDEE7"/>
          </w:tcPr>
          <w:p>
            <w:pPr>
              <w:jc w:val="right"/>
              <w:spacing w:after="0" w:line="156" w:lineRule="exact"/>
              <w:rPr>
                <w:sz w:val="20"/>
                <w:szCs w:val="20"/>
                <w:color w:val="auto"/>
              </w:rPr>
            </w:pPr>
            <w:r>
              <w:rPr>
                <w:rFonts w:ascii="Arial" w:cs="Arial" w:eastAsia="Arial" w:hAnsi="Arial"/>
                <w:sz w:val="15"/>
                <w:szCs w:val="15"/>
                <w:b w:val="1"/>
                <w:bCs w:val="1"/>
                <w:color w:val="auto"/>
              </w:rPr>
              <w:t>10</w:t>
            </w:r>
          </w:p>
        </w:tc>
        <w:tc>
          <w:tcPr>
            <w:tcW w:w="900" w:type="dxa"/>
            <w:vAlign w:val="bottom"/>
            <w:shd w:val="clear" w:color="auto" w:fill="CDDEE7"/>
          </w:tcPr>
          <w:p>
            <w:pPr>
              <w:jc w:val="right"/>
              <w:ind w:right="7"/>
              <w:spacing w:after="0" w:line="156" w:lineRule="exact"/>
              <w:rPr>
                <w:sz w:val="20"/>
                <w:szCs w:val="20"/>
                <w:color w:val="auto"/>
              </w:rPr>
            </w:pPr>
            <w:r>
              <w:rPr>
                <w:rFonts w:ascii="Arial" w:cs="Arial" w:eastAsia="Arial" w:hAnsi="Arial"/>
                <w:sz w:val="15"/>
                <w:szCs w:val="15"/>
                <w:b w:val="1"/>
                <w:bCs w:val="1"/>
                <w:color w:val="auto"/>
              </w:rPr>
              <w:t>1,593</w:t>
            </w:r>
          </w:p>
        </w:tc>
        <w:tc>
          <w:tcPr>
            <w:tcW w:w="0" w:type="dxa"/>
            <w:vAlign w:val="bottom"/>
          </w:tcPr>
          <w:p>
            <w:pPr>
              <w:spacing w:after="0"/>
              <w:rPr>
                <w:sz w:val="1"/>
                <w:szCs w:val="1"/>
                <w:color w:val="auto"/>
              </w:rPr>
            </w:pPr>
          </w:p>
        </w:tc>
      </w:tr>
      <w:tr>
        <w:trPr>
          <w:trHeight w:val="156"/>
        </w:trPr>
        <w:tc>
          <w:tcPr>
            <w:tcW w:w="3980" w:type="dxa"/>
            <w:vAlign w:val="bottom"/>
            <w:gridSpan w:val="2"/>
          </w:tcPr>
          <w:p>
            <w:pPr>
              <w:spacing w:after="0" w:line="156" w:lineRule="exact"/>
              <w:rPr>
                <w:sz w:val="20"/>
                <w:szCs w:val="20"/>
                <w:color w:val="auto"/>
              </w:rPr>
            </w:pPr>
            <w:r>
              <w:rPr>
                <w:rFonts w:ascii="Arial" w:cs="Arial" w:eastAsia="Arial" w:hAnsi="Arial"/>
                <w:sz w:val="15"/>
                <w:szCs w:val="15"/>
                <w:b w:val="1"/>
                <w:bCs w:val="1"/>
                <w:color w:val="auto"/>
              </w:rPr>
              <w:t>Dividends declared ($1.72 per common share)</w:t>
            </w:r>
          </w:p>
        </w:tc>
        <w:tc>
          <w:tcPr>
            <w:tcW w:w="800" w:type="dxa"/>
            <w:vAlign w:val="bottom"/>
            <w:shd w:val="clear" w:color="auto" w:fill="CDDEE7"/>
          </w:tcPr>
          <w:p>
            <w:pPr>
              <w:jc w:val="right"/>
              <w:ind w:right="27"/>
              <w:spacing w:after="0" w:line="156" w:lineRule="exact"/>
              <w:rPr>
                <w:sz w:val="20"/>
                <w:szCs w:val="20"/>
                <w:color w:val="auto"/>
              </w:rPr>
            </w:pPr>
            <w:r>
              <w:rPr>
                <w:rFonts w:ascii="Arial" w:cs="Arial" w:eastAsia="Arial" w:hAnsi="Arial"/>
                <w:sz w:val="15"/>
                <w:szCs w:val="15"/>
                <w:b w:val="1"/>
                <w:bCs w:val="1"/>
                <w:color w:val="auto"/>
              </w:rPr>
              <w:t>–</w:t>
            </w:r>
          </w:p>
        </w:tc>
        <w:tc>
          <w:tcPr>
            <w:tcW w:w="180" w:type="dxa"/>
            <w:vAlign w:val="bottom"/>
            <w:shd w:val="clear" w:color="auto" w:fill="CDDEE7"/>
          </w:tcPr>
          <w:p>
            <w:pPr>
              <w:spacing w:after="0"/>
              <w:rPr>
                <w:sz w:val="13"/>
                <w:szCs w:val="13"/>
                <w:color w:val="auto"/>
              </w:rPr>
            </w:pPr>
          </w:p>
        </w:tc>
        <w:tc>
          <w:tcPr>
            <w:tcW w:w="600" w:type="dxa"/>
            <w:vAlign w:val="bottom"/>
            <w:shd w:val="clear" w:color="auto" w:fill="CDDEE7"/>
          </w:tcPr>
          <w:p>
            <w:pPr>
              <w:ind w:left="420"/>
              <w:spacing w:after="0" w:line="156" w:lineRule="exact"/>
              <w:rPr>
                <w:sz w:val="20"/>
                <w:szCs w:val="20"/>
                <w:color w:val="auto"/>
              </w:rPr>
            </w:pPr>
            <w:r>
              <w:rPr>
                <w:rFonts w:ascii="Arial" w:cs="Arial" w:eastAsia="Arial" w:hAnsi="Arial"/>
                <w:sz w:val="15"/>
                <w:szCs w:val="15"/>
                <w:b w:val="1"/>
                <w:bCs w:val="1"/>
                <w:color w:val="auto"/>
              </w:rPr>
              <w:t>–</w:t>
            </w:r>
          </w:p>
        </w:tc>
        <w:tc>
          <w:tcPr>
            <w:tcW w:w="920" w:type="dxa"/>
            <w:vAlign w:val="bottom"/>
            <w:shd w:val="clear" w:color="auto" w:fill="CDDEE7"/>
          </w:tcPr>
          <w:p>
            <w:pPr>
              <w:jc w:val="right"/>
              <w:ind w:right="27"/>
              <w:spacing w:after="0" w:line="156" w:lineRule="exact"/>
              <w:rPr>
                <w:sz w:val="20"/>
                <w:szCs w:val="20"/>
                <w:color w:val="auto"/>
              </w:rPr>
            </w:pPr>
            <w:r>
              <w:rPr>
                <w:rFonts w:ascii="Arial" w:cs="Arial" w:eastAsia="Arial" w:hAnsi="Arial"/>
                <w:sz w:val="15"/>
                <w:szCs w:val="15"/>
                <w:b w:val="1"/>
                <w:bCs w:val="1"/>
                <w:color w:val="auto"/>
              </w:rPr>
              <w:t>–</w:t>
            </w:r>
          </w:p>
        </w:tc>
        <w:tc>
          <w:tcPr>
            <w:tcW w:w="160" w:type="dxa"/>
            <w:vAlign w:val="bottom"/>
            <w:shd w:val="clear" w:color="auto" w:fill="CDDEE7"/>
          </w:tcPr>
          <w:p>
            <w:pPr>
              <w:spacing w:after="0"/>
              <w:rPr>
                <w:sz w:val="13"/>
                <w:szCs w:val="13"/>
                <w:color w:val="auto"/>
              </w:rPr>
            </w:pPr>
          </w:p>
        </w:tc>
        <w:tc>
          <w:tcPr>
            <w:tcW w:w="1040" w:type="dxa"/>
            <w:vAlign w:val="bottom"/>
            <w:shd w:val="clear" w:color="auto" w:fill="CDDEE7"/>
          </w:tcPr>
          <w:p>
            <w:pPr>
              <w:jc w:val="right"/>
              <w:ind w:right="7"/>
              <w:spacing w:after="0" w:line="156" w:lineRule="exact"/>
              <w:rPr>
                <w:sz w:val="20"/>
                <w:szCs w:val="20"/>
                <w:color w:val="auto"/>
              </w:rPr>
            </w:pPr>
            <w:r>
              <w:rPr>
                <w:rFonts w:ascii="Arial" w:cs="Arial" w:eastAsia="Arial" w:hAnsi="Arial"/>
                <w:sz w:val="15"/>
                <w:szCs w:val="15"/>
                <w:b w:val="1"/>
                <w:bCs w:val="1"/>
                <w:color w:val="auto"/>
              </w:rPr>
              <w:t>–</w:t>
            </w:r>
          </w:p>
        </w:tc>
        <w:tc>
          <w:tcPr>
            <w:tcW w:w="920" w:type="dxa"/>
            <w:vAlign w:val="bottom"/>
            <w:shd w:val="clear" w:color="auto" w:fill="CDDEE7"/>
          </w:tcPr>
          <w:p>
            <w:pPr>
              <w:jc w:val="right"/>
              <w:spacing w:after="0" w:line="156" w:lineRule="exact"/>
              <w:rPr>
                <w:sz w:val="20"/>
                <w:szCs w:val="20"/>
                <w:color w:val="auto"/>
              </w:rPr>
            </w:pPr>
            <w:r>
              <w:rPr>
                <w:rFonts w:ascii="Arial" w:cs="Arial" w:eastAsia="Arial" w:hAnsi="Arial"/>
                <w:sz w:val="15"/>
                <w:szCs w:val="15"/>
                <w:b w:val="1"/>
                <w:bCs w:val="1"/>
                <w:color w:val="auto"/>
              </w:rPr>
              <w:t>(108,852)</w:t>
            </w:r>
          </w:p>
        </w:tc>
        <w:tc>
          <w:tcPr>
            <w:tcW w:w="220" w:type="dxa"/>
            <w:vAlign w:val="bottom"/>
            <w:shd w:val="clear" w:color="auto" w:fill="CDDEE7"/>
          </w:tcPr>
          <w:p>
            <w:pPr>
              <w:spacing w:after="0"/>
              <w:rPr>
                <w:sz w:val="13"/>
                <w:szCs w:val="13"/>
                <w:color w:val="auto"/>
              </w:rPr>
            </w:pPr>
          </w:p>
        </w:tc>
        <w:tc>
          <w:tcPr>
            <w:tcW w:w="840" w:type="dxa"/>
            <w:vAlign w:val="bottom"/>
            <w:shd w:val="clear" w:color="auto" w:fill="CDDEE7"/>
          </w:tcPr>
          <w:p>
            <w:pPr>
              <w:jc w:val="right"/>
              <w:spacing w:after="0" w:line="156" w:lineRule="exact"/>
              <w:rPr>
                <w:sz w:val="20"/>
                <w:szCs w:val="20"/>
                <w:color w:val="auto"/>
              </w:rPr>
            </w:pPr>
            <w:r>
              <w:rPr>
                <w:rFonts w:ascii="Arial" w:cs="Arial" w:eastAsia="Arial" w:hAnsi="Arial"/>
                <w:sz w:val="15"/>
                <w:szCs w:val="15"/>
                <w:b w:val="1"/>
                <w:bCs w:val="1"/>
                <w:color w:val="auto"/>
              </w:rPr>
              <w:t>(108,852)</w:t>
            </w:r>
          </w:p>
        </w:tc>
        <w:tc>
          <w:tcPr>
            <w:tcW w:w="200" w:type="dxa"/>
            <w:vAlign w:val="bottom"/>
            <w:shd w:val="clear" w:color="auto" w:fill="CDDEE7"/>
          </w:tcPr>
          <w:p>
            <w:pPr>
              <w:spacing w:after="0"/>
              <w:rPr>
                <w:sz w:val="13"/>
                <w:szCs w:val="13"/>
                <w:color w:val="auto"/>
              </w:rPr>
            </w:pPr>
          </w:p>
        </w:tc>
        <w:tc>
          <w:tcPr>
            <w:tcW w:w="660" w:type="dxa"/>
            <w:vAlign w:val="bottom"/>
            <w:shd w:val="clear" w:color="auto" w:fill="CDDEE7"/>
          </w:tcPr>
          <w:p>
            <w:pPr>
              <w:jc w:val="right"/>
              <w:spacing w:after="0" w:line="156" w:lineRule="exact"/>
              <w:rPr>
                <w:sz w:val="20"/>
                <w:szCs w:val="20"/>
                <w:color w:val="auto"/>
              </w:rPr>
            </w:pPr>
            <w:r>
              <w:rPr>
                <w:rFonts w:ascii="Arial" w:cs="Arial" w:eastAsia="Arial" w:hAnsi="Arial"/>
                <w:sz w:val="15"/>
                <w:szCs w:val="15"/>
                <w:b w:val="1"/>
                <w:bCs w:val="1"/>
                <w:color w:val="auto"/>
              </w:rPr>
              <w:t>–</w:t>
            </w:r>
          </w:p>
        </w:tc>
        <w:tc>
          <w:tcPr>
            <w:tcW w:w="900" w:type="dxa"/>
            <w:vAlign w:val="bottom"/>
            <w:shd w:val="clear" w:color="auto" w:fill="CDDEE7"/>
          </w:tcPr>
          <w:p>
            <w:pPr>
              <w:jc w:val="right"/>
              <w:spacing w:after="0" w:line="156" w:lineRule="exact"/>
              <w:rPr>
                <w:sz w:val="20"/>
                <w:szCs w:val="20"/>
                <w:color w:val="auto"/>
              </w:rPr>
            </w:pPr>
            <w:r>
              <w:rPr>
                <w:rFonts w:ascii="Arial" w:cs="Arial" w:eastAsia="Arial" w:hAnsi="Arial"/>
                <w:sz w:val="15"/>
                <w:szCs w:val="15"/>
                <w:b w:val="1"/>
                <w:bCs w:val="1"/>
                <w:color w:val="auto"/>
              </w:rPr>
              <w:t>(108,852)</w:t>
            </w:r>
          </w:p>
        </w:tc>
        <w:tc>
          <w:tcPr>
            <w:tcW w:w="0" w:type="dxa"/>
            <w:vAlign w:val="bottom"/>
          </w:tcPr>
          <w:p>
            <w:pPr>
              <w:spacing w:after="0"/>
              <w:rPr>
                <w:sz w:val="1"/>
                <w:szCs w:val="1"/>
                <w:color w:val="auto"/>
              </w:rPr>
            </w:pPr>
          </w:p>
        </w:tc>
      </w:tr>
      <w:tr>
        <w:trPr>
          <w:trHeight w:val="156"/>
        </w:trPr>
        <w:tc>
          <w:tcPr>
            <w:tcW w:w="3980" w:type="dxa"/>
            <w:vAlign w:val="bottom"/>
            <w:gridSpan w:val="2"/>
          </w:tcPr>
          <w:p>
            <w:pPr>
              <w:spacing w:after="0" w:line="156" w:lineRule="exact"/>
              <w:rPr>
                <w:sz w:val="20"/>
                <w:szCs w:val="20"/>
                <w:color w:val="auto"/>
              </w:rPr>
            </w:pPr>
            <w:r>
              <w:rPr>
                <w:rFonts w:ascii="Arial" w:cs="Arial" w:eastAsia="Arial" w:hAnsi="Arial"/>
                <w:sz w:val="15"/>
                <w:szCs w:val="15"/>
                <w:b w:val="1"/>
                <w:bCs w:val="1"/>
                <w:color w:val="auto"/>
              </w:rPr>
              <w:t>Issuances of common stock for stock award plans</w:t>
            </w:r>
          </w:p>
        </w:tc>
        <w:tc>
          <w:tcPr>
            <w:tcW w:w="800" w:type="dxa"/>
            <w:vAlign w:val="bottom"/>
            <w:shd w:val="clear" w:color="auto" w:fill="CDDEE7"/>
          </w:tcPr>
          <w:p>
            <w:pPr>
              <w:jc w:val="right"/>
              <w:ind w:right="27"/>
              <w:spacing w:after="0" w:line="156" w:lineRule="exact"/>
              <w:rPr>
                <w:sz w:val="20"/>
                <w:szCs w:val="20"/>
                <w:color w:val="auto"/>
              </w:rPr>
            </w:pPr>
            <w:r>
              <w:rPr>
                <w:rFonts w:ascii="Arial" w:cs="Arial" w:eastAsia="Arial" w:hAnsi="Arial"/>
                <w:sz w:val="15"/>
                <w:szCs w:val="15"/>
                <w:b w:val="1"/>
                <w:bCs w:val="1"/>
                <w:color w:val="auto"/>
              </w:rPr>
              <w:t>155</w:t>
            </w:r>
          </w:p>
        </w:tc>
        <w:tc>
          <w:tcPr>
            <w:tcW w:w="180" w:type="dxa"/>
            <w:vAlign w:val="bottom"/>
            <w:shd w:val="clear" w:color="auto" w:fill="CDDEE7"/>
          </w:tcPr>
          <w:p>
            <w:pPr>
              <w:spacing w:after="0"/>
              <w:rPr>
                <w:sz w:val="13"/>
                <w:szCs w:val="13"/>
                <w:color w:val="auto"/>
              </w:rPr>
            </w:pPr>
          </w:p>
        </w:tc>
        <w:tc>
          <w:tcPr>
            <w:tcW w:w="600" w:type="dxa"/>
            <w:vAlign w:val="bottom"/>
            <w:shd w:val="clear" w:color="auto" w:fill="CDDEE7"/>
          </w:tcPr>
          <w:p>
            <w:pPr>
              <w:ind w:left="420"/>
              <w:spacing w:after="0" w:line="156" w:lineRule="exact"/>
              <w:rPr>
                <w:sz w:val="20"/>
                <w:szCs w:val="20"/>
                <w:color w:val="auto"/>
              </w:rPr>
            </w:pPr>
            <w:r>
              <w:rPr>
                <w:rFonts w:ascii="Arial" w:cs="Arial" w:eastAsia="Arial" w:hAnsi="Arial"/>
                <w:sz w:val="15"/>
                <w:szCs w:val="15"/>
                <w:b w:val="1"/>
                <w:bCs w:val="1"/>
                <w:color w:val="auto"/>
              </w:rPr>
              <w:t>2</w:t>
            </w:r>
          </w:p>
        </w:tc>
        <w:tc>
          <w:tcPr>
            <w:tcW w:w="920" w:type="dxa"/>
            <w:vAlign w:val="bottom"/>
            <w:shd w:val="clear" w:color="auto" w:fill="CDDEE7"/>
          </w:tcPr>
          <w:p>
            <w:pPr>
              <w:jc w:val="right"/>
              <w:ind w:right="27"/>
              <w:spacing w:after="0" w:line="156" w:lineRule="exact"/>
              <w:rPr>
                <w:sz w:val="20"/>
                <w:szCs w:val="20"/>
                <w:color w:val="auto"/>
              </w:rPr>
            </w:pPr>
            <w:r>
              <w:rPr>
                <w:rFonts w:ascii="Arial" w:cs="Arial" w:eastAsia="Arial" w:hAnsi="Arial"/>
                <w:sz w:val="15"/>
                <w:szCs w:val="15"/>
                <w:b w:val="1"/>
                <w:bCs w:val="1"/>
                <w:color w:val="auto"/>
              </w:rPr>
              <w:t>14,891</w:t>
            </w:r>
          </w:p>
        </w:tc>
        <w:tc>
          <w:tcPr>
            <w:tcW w:w="160" w:type="dxa"/>
            <w:vAlign w:val="bottom"/>
            <w:shd w:val="clear" w:color="auto" w:fill="CDDEE7"/>
          </w:tcPr>
          <w:p>
            <w:pPr>
              <w:spacing w:after="0"/>
              <w:rPr>
                <w:sz w:val="13"/>
                <w:szCs w:val="13"/>
                <w:color w:val="auto"/>
              </w:rPr>
            </w:pPr>
          </w:p>
        </w:tc>
        <w:tc>
          <w:tcPr>
            <w:tcW w:w="1040" w:type="dxa"/>
            <w:vAlign w:val="bottom"/>
            <w:shd w:val="clear" w:color="auto" w:fill="CDDEE7"/>
          </w:tcPr>
          <w:p>
            <w:pPr>
              <w:jc w:val="right"/>
              <w:ind w:right="7"/>
              <w:spacing w:after="0" w:line="156" w:lineRule="exact"/>
              <w:rPr>
                <w:sz w:val="20"/>
                <w:szCs w:val="20"/>
                <w:color w:val="auto"/>
              </w:rPr>
            </w:pPr>
            <w:r>
              <w:rPr>
                <w:rFonts w:ascii="Arial" w:cs="Arial" w:eastAsia="Arial" w:hAnsi="Arial"/>
                <w:sz w:val="15"/>
                <w:szCs w:val="15"/>
                <w:b w:val="1"/>
                <w:bCs w:val="1"/>
                <w:color w:val="auto"/>
              </w:rPr>
              <w:t>–</w:t>
            </w:r>
          </w:p>
        </w:tc>
        <w:tc>
          <w:tcPr>
            <w:tcW w:w="920" w:type="dxa"/>
            <w:vAlign w:val="bottom"/>
            <w:shd w:val="clear" w:color="auto" w:fill="CDDEE7"/>
          </w:tcPr>
          <w:p>
            <w:pPr>
              <w:jc w:val="right"/>
              <w:ind w:right="27"/>
              <w:spacing w:after="0" w:line="156" w:lineRule="exact"/>
              <w:rPr>
                <w:sz w:val="20"/>
                <w:szCs w:val="20"/>
                <w:color w:val="auto"/>
              </w:rPr>
            </w:pPr>
            <w:r>
              <w:rPr>
                <w:rFonts w:ascii="Arial" w:cs="Arial" w:eastAsia="Arial" w:hAnsi="Arial"/>
                <w:sz w:val="15"/>
                <w:szCs w:val="15"/>
                <w:b w:val="1"/>
                <w:bCs w:val="1"/>
                <w:color w:val="auto"/>
              </w:rPr>
              <w:t>–</w:t>
            </w:r>
          </w:p>
        </w:tc>
        <w:tc>
          <w:tcPr>
            <w:tcW w:w="220" w:type="dxa"/>
            <w:vAlign w:val="bottom"/>
            <w:shd w:val="clear" w:color="auto" w:fill="CDDEE7"/>
          </w:tcPr>
          <w:p>
            <w:pPr>
              <w:spacing w:after="0"/>
              <w:rPr>
                <w:sz w:val="13"/>
                <w:szCs w:val="13"/>
                <w:color w:val="auto"/>
              </w:rPr>
            </w:pPr>
          </w:p>
        </w:tc>
        <w:tc>
          <w:tcPr>
            <w:tcW w:w="840" w:type="dxa"/>
            <w:vAlign w:val="bottom"/>
            <w:shd w:val="clear" w:color="auto" w:fill="CDDEE7"/>
          </w:tcPr>
          <w:p>
            <w:pPr>
              <w:jc w:val="right"/>
              <w:spacing w:after="0" w:line="156" w:lineRule="exact"/>
              <w:rPr>
                <w:sz w:val="20"/>
                <w:szCs w:val="20"/>
                <w:color w:val="auto"/>
              </w:rPr>
            </w:pPr>
            <w:r>
              <w:rPr>
                <w:rFonts w:ascii="Arial" w:cs="Arial" w:eastAsia="Arial" w:hAnsi="Arial"/>
                <w:sz w:val="15"/>
                <w:szCs w:val="15"/>
                <w:b w:val="1"/>
                <w:bCs w:val="1"/>
                <w:color w:val="auto"/>
              </w:rPr>
              <w:t>14,893</w:t>
            </w:r>
          </w:p>
        </w:tc>
        <w:tc>
          <w:tcPr>
            <w:tcW w:w="200" w:type="dxa"/>
            <w:vAlign w:val="bottom"/>
            <w:shd w:val="clear" w:color="auto" w:fill="CDDEE7"/>
          </w:tcPr>
          <w:p>
            <w:pPr>
              <w:spacing w:after="0"/>
              <w:rPr>
                <w:sz w:val="13"/>
                <w:szCs w:val="13"/>
                <w:color w:val="auto"/>
              </w:rPr>
            </w:pPr>
          </w:p>
        </w:tc>
        <w:tc>
          <w:tcPr>
            <w:tcW w:w="660" w:type="dxa"/>
            <w:vAlign w:val="bottom"/>
            <w:shd w:val="clear" w:color="auto" w:fill="CDDEE7"/>
          </w:tcPr>
          <w:p>
            <w:pPr>
              <w:jc w:val="right"/>
              <w:spacing w:after="0" w:line="156" w:lineRule="exact"/>
              <w:rPr>
                <w:sz w:val="20"/>
                <w:szCs w:val="20"/>
                <w:color w:val="auto"/>
              </w:rPr>
            </w:pPr>
            <w:r>
              <w:rPr>
                <w:rFonts w:ascii="Arial" w:cs="Arial" w:eastAsia="Arial" w:hAnsi="Arial"/>
                <w:sz w:val="15"/>
                <w:szCs w:val="15"/>
                <w:b w:val="1"/>
                <w:bCs w:val="1"/>
                <w:color w:val="auto"/>
              </w:rPr>
              <w:t>–</w:t>
            </w:r>
          </w:p>
        </w:tc>
        <w:tc>
          <w:tcPr>
            <w:tcW w:w="900" w:type="dxa"/>
            <w:vAlign w:val="bottom"/>
            <w:shd w:val="clear" w:color="auto" w:fill="CDDEE7"/>
          </w:tcPr>
          <w:p>
            <w:pPr>
              <w:jc w:val="right"/>
              <w:ind w:right="7"/>
              <w:spacing w:after="0" w:line="156" w:lineRule="exact"/>
              <w:rPr>
                <w:sz w:val="20"/>
                <w:szCs w:val="20"/>
                <w:color w:val="auto"/>
              </w:rPr>
            </w:pPr>
            <w:r>
              <w:rPr>
                <w:rFonts w:ascii="Arial" w:cs="Arial" w:eastAsia="Arial" w:hAnsi="Arial"/>
                <w:sz w:val="15"/>
                <w:szCs w:val="15"/>
                <w:b w:val="1"/>
                <w:bCs w:val="1"/>
                <w:color w:val="auto"/>
              </w:rPr>
              <w:t>14,893</w:t>
            </w:r>
          </w:p>
        </w:tc>
        <w:tc>
          <w:tcPr>
            <w:tcW w:w="0" w:type="dxa"/>
            <w:vAlign w:val="bottom"/>
          </w:tcPr>
          <w:p>
            <w:pPr>
              <w:spacing w:after="0"/>
              <w:rPr>
                <w:sz w:val="1"/>
                <w:szCs w:val="1"/>
                <w:color w:val="auto"/>
              </w:rPr>
            </w:pPr>
          </w:p>
        </w:tc>
      </w:tr>
      <w:tr>
        <w:trPr>
          <w:trHeight w:val="156"/>
        </w:trPr>
        <w:tc>
          <w:tcPr>
            <w:tcW w:w="3980" w:type="dxa"/>
            <w:vAlign w:val="bottom"/>
            <w:gridSpan w:val="2"/>
          </w:tcPr>
          <w:p>
            <w:pPr>
              <w:spacing w:after="0" w:line="156" w:lineRule="exact"/>
              <w:rPr>
                <w:sz w:val="20"/>
                <w:szCs w:val="20"/>
                <w:color w:val="auto"/>
              </w:rPr>
            </w:pPr>
            <w:r>
              <w:rPr>
                <w:rFonts w:ascii="Arial" w:cs="Arial" w:eastAsia="Arial" w:hAnsi="Arial"/>
                <w:sz w:val="15"/>
                <w:szCs w:val="15"/>
                <w:b w:val="1"/>
                <w:bCs w:val="1"/>
                <w:color w:val="auto"/>
              </w:rPr>
              <w:t>Shares withheld for employees’ income tax obligations</w:t>
            </w:r>
          </w:p>
        </w:tc>
        <w:tc>
          <w:tcPr>
            <w:tcW w:w="800" w:type="dxa"/>
            <w:vAlign w:val="bottom"/>
            <w:shd w:val="clear" w:color="auto" w:fill="CDDEE7"/>
          </w:tcPr>
          <w:p>
            <w:pPr>
              <w:jc w:val="right"/>
              <w:ind w:right="27"/>
              <w:spacing w:after="0" w:line="156" w:lineRule="exact"/>
              <w:rPr>
                <w:sz w:val="20"/>
                <w:szCs w:val="20"/>
                <w:color w:val="auto"/>
              </w:rPr>
            </w:pPr>
            <w:r>
              <w:rPr>
                <w:rFonts w:ascii="Arial" w:cs="Arial" w:eastAsia="Arial" w:hAnsi="Arial"/>
                <w:sz w:val="15"/>
                <w:szCs w:val="15"/>
                <w:b w:val="1"/>
                <w:bCs w:val="1"/>
                <w:color w:val="auto"/>
              </w:rPr>
              <w:t>–</w:t>
            </w:r>
          </w:p>
        </w:tc>
        <w:tc>
          <w:tcPr>
            <w:tcW w:w="180" w:type="dxa"/>
            <w:vAlign w:val="bottom"/>
            <w:shd w:val="clear" w:color="auto" w:fill="CDDEE7"/>
          </w:tcPr>
          <w:p>
            <w:pPr>
              <w:spacing w:after="0"/>
              <w:rPr>
                <w:sz w:val="13"/>
                <w:szCs w:val="13"/>
                <w:color w:val="auto"/>
              </w:rPr>
            </w:pPr>
          </w:p>
        </w:tc>
        <w:tc>
          <w:tcPr>
            <w:tcW w:w="600" w:type="dxa"/>
            <w:vAlign w:val="bottom"/>
            <w:shd w:val="clear" w:color="auto" w:fill="CDDEE7"/>
          </w:tcPr>
          <w:p>
            <w:pPr>
              <w:ind w:left="420"/>
              <w:spacing w:after="0" w:line="156" w:lineRule="exact"/>
              <w:rPr>
                <w:sz w:val="20"/>
                <w:szCs w:val="20"/>
                <w:color w:val="auto"/>
              </w:rPr>
            </w:pPr>
            <w:r>
              <w:rPr>
                <w:rFonts w:ascii="Arial" w:cs="Arial" w:eastAsia="Arial" w:hAnsi="Arial"/>
                <w:sz w:val="15"/>
                <w:szCs w:val="15"/>
                <w:b w:val="1"/>
                <w:bCs w:val="1"/>
                <w:color w:val="auto"/>
              </w:rPr>
              <w:t>–</w:t>
            </w:r>
          </w:p>
        </w:tc>
        <w:tc>
          <w:tcPr>
            <w:tcW w:w="920" w:type="dxa"/>
            <w:vAlign w:val="bottom"/>
            <w:shd w:val="clear" w:color="auto" w:fill="CDDEE7"/>
          </w:tcPr>
          <w:p>
            <w:pPr>
              <w:jc w:val="right"/>
              <w:spacing w:after="0" w:line="156" w:lineRule="exact"/>
              <w:rPr>
                <w:sz w:val="20"/>
                <w:szCs w:val="20"/>
                <w:color w:val="auto"/>
              </w:rPr>
            </w:pPr>
            <w:r>
              <w:rPr>
                <w:rFonts w:ascii="Arial" w:cs="Arial" w:eastAsia="Arial" w:hAnsi="Arial"/>
                <w:sz w:val="15"/>
                <w:szCs w:val="15"/>
                <w:b w:val="1"/>
                <w:bCs w:val="1"/>
                <w:color w:val="auto"/>
              </w:rPr>
              <w:t>(11,805)</w:t>
            </w:r>
          </w:p>
        </w:tc>
        <w:tc>
          <w:tcPr>
            <w:tcW w:w="160" w:type="dxa"/>
            <w:vAlign w:val="bottom"/>
            <w:shd w:val="clear" w:color="auto" w:fill="CDDEE7"/>
          </w:tcPr>
          <w:p>
            <w:pPr>
              <w:spacing w:after="0"/>
              <w:rPr>
                <w:sz w:val="13"/>
                <w:szCs w:val="13"/>
                <w:color w:val="auto"/>
              </w:rPr>
            </w:pPr>
          </w:p>
        </w:tc>
        <w:tc>
          <w:tcPr>
            <w:tcW w:w="1040" w:type="dxa"/>
            <w:vAlign w:val="bottom"/>
            <w:shd w:val="clear" w:color="auto" w:fill="CDDEE7"/>
          </w:tcPr>
          <w:p>
            <w:pPr>
              <w:jc w:val="right"/>
              <w:ind w:right="7"/>
              <w:spacing w:after="0" w:line="156" w:lineRule="exact"/>
              <w:rPr>
                <w:sz w:val="20"/>
                <w:szCs w:val="20"/>
                <w:color w:val="auto"/>
              </w:rPr>
            </w:pPr>
            <w:r>
              <w:rPr>
                <w:rFonts w:ascii="Arial" w:cs="Arial" w:eastAsia="Arial" w:hAnsi="Arial"/>
                <w:sz w:val="15"/>
                <w:szCs w:val="15"/>
                <w:b w:val="1"/>
                <w:bCs w:val="1"/>
                <w:color w:val="auto"/>
              </w:rPr>
              <w:t>–</w:t>
            </w:r>
          </w:p>
        </w:tc>
        <w:tc>
          <w:tcPr>
            <w:tcW w:w="920" w:type="dxa"/>
            <w:vAlign w:val="bottom"/>
            <w:shd w:val="clear" w:color="auto" w:fill="CDDEE7"/>
          </w:tcPr>
          <w:p>
            <w:pPr>
              <w:jc w:val="right"/>
              <w:ind w:right="27"/>
              <w:spacing w:after="0" w:line="156" w:lineRule="exact"/>
              <w:rPr>
                <w:sz w:val="20"/>
                <w:szCs w:val="20"/>
                <w:color w:val="auto"/>
              </w:rPr>
            </w:pPr>
            <w:r>
              <w:rPr>
                <w:rFonts w:ascii="Arial" w:cs="Arial" w:eastAsia="Arial" w:hAnsi="Arial"/>
                <w:sz w:val="15"/>
                <w:szCs w:val="15"/>
                <w:b w:val="1"/>
                <w:bCs w:val="1"/>
                <w:color w:val="auto"/>
              </w:rPr>
              <w:t>–</w:t>
            </w:r>
          </w:p>
        </w:tc>
        <w:tc>
          <w:tcPr>
            <w:tcW w:w="220" w:type="dxa"/>
            <w:vAlign w:val="bottom"/>
            <w:shd w:val="clear" w:color="auto" w:fill="CDDEE7"/>
          </w:tcPr>
          <w:p>
            <w:pPr>
              <w:spacing w:after="0"/>
              <w:rPr>
                <w:sz w:val="13"/>
                <w:szCs w:val="13"/>
                <w:color w:val="auto"/>
              </w:rPr>
            </w:pPr>
          </w:p>
        </w:tc>
        <w:tc>
          <w:tcPr>
            <w:tcW w:w="840" w:type="dxa"/>
            <w:vAlign w:val="bottom"/>
            <w:shd w:val="clear" w:color="auto" w:fill="CDDEE7"/>
          </w:tcPr>
          <w:p>
            <w:pPr>
              <w:jc w:val="right"/>
              <w:spacing w:after="0" w:line="156" w:lineRule="exact"/>
              <w:rPr>
                <w:sz w:val="20"/>
                <w:szCs w:val="20"/>
                <w:color w:val="auto"/>
              </w:rPr>
            </w:pPr>
            <w:r>
              <w:rPr>
                <w:rFonts w:ascii="Arial" w:cs="Arial" w:eastAsia="Arial" w:hAnsi="Arial"/>
                <w:sz w:val="15"/>
                <w:szCs w:val="15"/>
                <w:b w:val="1"/>
                <w:bCs w:val="1"/>
                <w:color w:val="auto"/>
              </w:rPr>
              <w:t>(11,805)</w:t>
            </w:r>
          </w:p>
        </w:tc>
        <w:tc>
          <w:tcPr>
            <w:tcW w:w="200" w:type="dxa"/>
            <w:vAlign w:val="bottom"/>
            <w:shd w:val="clear" w:color="auto" w:fill="CDDEE7"/>
          </w:tcPr>
          <w:p>
            <w:pPr>
              <w:spacing w:after="0"/>
              <w:rPr>
                <w:sz w:val="13"/>
                <w:szCs w:val="13"/>
                <w:color w:val="auto"/>
              </w:rPr>
            </w:pPr>
          </w:p>
        </w:tc>
        <w:tc>
          <w:tcPr>
            <w:tcW w:w="660" w:type="dxa"/>
            <w:vAlign w:val="bottom"/>
            <w:shd w:val="clear" w:color="auto" w:fill="CDDEE7"/>
          </w:tcPr>
          <w:p>
            <w:pPr>
              <w:jc w:val="right"/>
              <w:spacing w:after="0" w:line="156" w:lineRule="exact"/>
              <w:rPr>
                <w:sz w:val="20"/>
                <w:szCs w:val="20"/>
                <w:color w:val="auto"/>
              </w:rPr>
            </w:pPr>
            <w:r>
              <w:rPr>
                <w:rFonts w:ascii="Arial" w:cs="Arial" w:eastAsia="Arial" w:hAnsi="Arial"/>
                <w:sz w:val="15"/>
                <w:szCs w:val="15"/>
                <w:b w:val="1"/>
                <w:bCs w:val="1"/>
                <w:color w:val="auto"/>
              </w:rPr>
              <w:t>–</w:t>
            </w:r>
          </w:p>
        </w:tc>
        <w:tc>
          <w:tcPr>
            <w:tcW w:w="900" w:type="dxa"/>
            <w:vAlign w:val="bottom"/>
            <w:shd w:val="clear" w:color="auto" w:fill="CDDEE7"/>
          </w:tcPr>
          <w:p>
            <w:pPr>
              <w:jc w:val="right"/>
              <w:spacing w:after="0" w:line="156" w:lineRule="exact"/>
              <w:rPr>
                <w:sz w:val="20"/>
                <w:szCs w:val="20"/>
                <w:color w:val="auto"/>
              </w:rPr>
            </w:pPr>
            <w:r>
              <w:rPr>
                <w:rFonts w:ascii="Arial" w:cs="Arial" w:eastAsia="Arial" w:hAnsi="Arial"/>
                <w:sz w:val="15"/>
                <w:szCs w:val="15"/>
                <w:b w:val="1"/>
                <w:bCs w:val="1"/>
                <w:color w:val="auto"/>
              </w:rPr>
              <w:t>(11,805)</w:t>
            </w:r>
          </w:p>
        </w:tc>
        <w:tc>
          <w:tcPr>
            <w:tcW w:w="0" w:type="dxa"/>
            <w:vAlign w:val="bottom"/>
          </w:tcPr>
          <w:p>
            <w:pPr>
              <w:spacing w:after="0"/>
              <w:rPr>
                <w:sz w:val="1"/>
                <w:szCs w:val="1"/>
                <w:color w:val="auto"/>
              </w:rPr>
            </w:pPr>
          </w:p>
        </w:tc>
      </w:tr>
      <w:tr>
        <w:trPr>
          <w:trHeight w:val="156"/>
        </w:trPr>
        <w:tc>
          <w:tcPr>
            <w:tcW w:w="3980" w:type="dxa"/>
            <w:vAlign w:val="bottom"/>
            <w:gridSpan w:val="2"/>
          </w:tcPr>
          <w:p>
            <w:pPr>
              <w:spacing w:after="0" w:line="156" w:lineRule="exact"/>
              <w:rPr>
                <w:sz w:val="20"/>
                <w:szCs w:val="20"/>
                <w:color w:val="auto"/>
              </w:rPr>
            </w:pPr>
            <w:r>
              <w:rPr>
                <w:rFonts w:ascii="Arial" w:cs="Arial" w:eastAsia="Arial" w:hAnsi="Arial"/>
                <w:sz w:val="15"/>
                <w:szCs w:val="15"/>
                <w:b w:val="1"/>
                <w:bCs w:val="1"/>
                <w:color w:val="auto"/>
              </w:rPr>
              <w:t>Repurchases of common stock</w:t>
            </w:r>
          </w:p>
        </w:tc>
        <w:tc>
          <w:tcPr>
            <w:tcW w:w="800" w:type="dxa"/>
            <w:vAlign w:val="bottom"/>
            <w:shd w:val="clear" w:color="auto" w:fill="CDDEE7"/>
          </w:tcPr>
          <w:p>
            <w:pPr>
              <w:jc w:val="right"/>
              <w:ind w:right="27"/>
              <w:spacing w:after="0" w:line="156" w:lineRule="exact"/>
              <w:rPr>
                <w:sz w:val="20"/>
                <w:szCs w:val="20"/>
                <w:color w:val="auto"/>
              </w:rPr>
            </w:pPr>
            <w:r>
              <w:rPr>
                <w:rFonts w:ascii="Arial" w:cs="Arial" w:eastAsia="Arial" w:hAnsi="Arial"/>
                <w:sz w:val="15"/>
                <w:szCs w:val="15"/>
                <w:b w:val="1"/>
                <w:bCs w:val="1"/>
                <w:color w:val="auto"/>
              </w:rPr>
              <w:t>(458)</w:t>
            </w:r>
          </w:p>
        </w:tc>
        <w:tc>
          <w:tcPr>
            <w:tcW w:w="180" w:type="dxa"/>
            <w:vAlign w:val="bottom"/>
            <w:shd w:val="clear" w:color="auto" w:fill="CDDEE7"/>
          </w:tcPr>
          <w:p>
            <w:pPr>
              <w:spacing w:after="0"/>
              <w:rPr>
                <w:sz w:val="13"/>
                <w:szCs w:val="13"/>
                <w:color w:val="auto"/>
              </w:rPr>
            </w:pPr>
          </w:p>
        </w:tc>
        <w:tc>
          <w:tcPr>
            <w:tcW w:w="600" w:type="dxa"/>
            <w:vAlign w:val="bottom"/>
            <w:shd w:val="clear" w:color="auto" w:fill="CDDEE7"/>
          </w:tcPr>
          <w:p>
            <w:pPr>
              <w:jc w:val="right"/>
              <w:spacing w:after="0" w:line="156" w:lineRule="exact"/>
              <w:rPr>
                <w:sz w:val="20"/>
                <w:szCs w:val="20"/>
                <w:color w:val="auto"/>
              </w:rPr>
            </w:pPr>
            <w:r>
              <w:rPr>
                <w:rFonts w:ascii="Arial" w:cs="Arial" w:eastAsia="Arial" w:hAnsi="Arial"/>
                <w:sz w:val="15"/>
                <w:szCs w:val="15"/>
                <w:b w:val="1"/>
                <w:bCs w:val="1"/>
                <w:color w:val="auto"/>
              </w:rPr>
              <w:t>(4)</w:t>
            </w:r>
          </w:p>
        </w:tc>
        <w:tc>
          <w:tcPr>
            <w:tcW w:w="920" w:type="dxa"/>
            <w:vAlign w:val="bottom"/>
            <w:shd w:val="clear" w:color="auto" w:fill="CDDEE7"/>
          </w:tcPr>
          <w:p>
            <w:pPr>
              <w:jc w:val="right"/>
              <w:ind w:right="27"/>
              <w:spacing w:after="0" w:line="156" w:lineRule="exact"/>
              <w:rPr>
                <w:sz w:val="20"/>
                <w:szCs w:val="20"/>
                <w:color w:val="auto"/>
              </w:rPr>
            </w:pPr>
            <w:r>
              <w:rPr>
                <w:rFonts w:ascii="Arial" w:cs="Arial" w:eastAsia="Arial" w:hAnsi="Arial"/>
                <w:sz w:val="15"/>
                <w:szCs w:val="15"/>
                <w:b w:val="1"/>
                <w:bCs w:val="1"/>
                <w:color w:val="auto"/>
              </w:rPr>
              <w:t>–</w:t>
            </w:r>
          </w:p>
        </w:tc>
        <w:tc>
          <w:tcPr>
            <w:tcW w:w="160" w:type="dxa"/>
            <w:vAlign w:val="bottom"/>
            <w:shd w:val="clear" w:color="auto" w:fill="CDDEE7"/>
          </w:tcPr>
          <w:p>
            <w:pPr>
              <w:spacing w:after="0"/>
              <w:rPr>
                <w:sz w:val="13"/>
                <w:szCs w:val="13"/>
                <w:color w:val="auto"/>
              </w:rPr>
            </w:pPr>
          </w:p>
        </w:tc>
        <w:tc>
          <w:tcPr>
            <w:tcW w:w="1040" w:type="dxa"/>
            <w:vAlign w:val="bottom"/>
            <w:shd w:val="clear" w:color="auto" w:fill="CDDEE7"/>
          </w:tcPr>
          <w:p>
            <w:pPr>
              <w:jc w:val="right"/>
              <w:ind w:right="7"/>
              <w:spacing w:after="0" w:line="156" w:lineRule="exact"/>
              <w:rPr>
                <w:sz w:val="20"/>
                <w:szCs w:val="20"/>
                <w:color w:val="auto"/>
              </w:rPr>
            </w:pPr>
            <w:r>
              <w:rPr>
                <w:rFonts w:ascii="Arial" w:cs="Arial" w:eastAsia="Arial" w:hAnsi="Arial"/>
                <w:sz w:val="15"/>
                <w:szCs w:val="15"/>
                <w:b w:val="1"/>
                <w:bCs w:val="1"/>
                <w:color w:val="auto"/>
              </w:rPr>
              <w:t>–</w:t>
            </w:r>
          </w:p>
        </w:tc>
        <w:tc>
          <w:tcPr>
            <w:tcW w:w="920" w:type="dxa"/>
            <w:vAlign w:val="bottom"/>
            <w:shd w:val="clear" w:color="auto" w:fill="CDDEE7"/>
          </w:tcPr>
          <w:p>
            <w:pPr>
              <w:jc w:val="right"/>
              <w:spacing w:after="0" w:line="156" w:lineRule="exact"/>
              <w:rPr>
                <w:sz w:val="20"/>
                <w:szCs w:val="20"/>
                <w:color w:val="auto"/>
              </w:rPr>
            </w:pPr>
            <w:r>
              <w:rPr>
                <w:rFonts w:ascii="Arial" w:cs="Arial" w:eastAsia="Arial" w:hAnsi="Arial"/>
                <w:sz w:val="15"/>
                <w:szCs w:val="15"/>
                <w:b w:val="1"/>
                <w:bCs w:val="1"/>
                <w:color w:val="auto"/>
              </w:rPr>
              <w:t>(99,995)</w:t>
            </w:r>
          </w:p>
        </w:tc>
        <w:tc>
          <w:tcPr>
            <w:tcW w:w="220" w:type="dxa"/>
            <w:vAlign w:val="bottom"/>
            <w:shd w:val="clear" w:color="auto" w:fill="CDDEE7"/>
          </w:tcPr>
          <w:p>
            <w:pPr>
              <w:spacing w:after="0"/>
              <w:rPr>
                <w:sz w:val="13"/>
                <w:szCs w:val="13"/>
                <w:color w:val="auto"/>
              </w:rPr>
            </w:pPr>
          </w:p>
        </w:tc>
        <w:tc>
          <w:tcPr>
            <w:tcW w:w="840" w:type="dxa"/>
            <w:vAlign w:val="bottom"/>
            <w:shd w:val="clear" w:color="auto" w:fill="CDDEE7"/>
          </w:tcPr>
          <w:p>
            <w:pPr>
              <w:jc w:val="right"/>
              <w:spacing w:after="0" w:line="156" w:lineRule="exact"/>
              <w:rPr>
                <w:sz w:val="20"/>
                <w:szCs w:val="20"/>
                <w:color w:val="auto"/>
              </w:rPr>
            </w:pPr>
            <w:r>
              <w:rPr>
                <w:rFonts w:ascii="Arial" w:cs="Arial" w:eastAsia="Arial" w:hAnsi="Arial"/>
                <w:sz w:val="15"/>
                <w:szCs w:val="15"/>
                <w:b w:val="1"/>
                <w:bCs w:val="1"/>
                <w:color w:val="auto"/>
              </w:rPr>
              <w:t>(99,999)</w:t>
            </w:r>
          </w:p>
        </w:tc>
        <w:tc>
          <w:tcPr>
            <w:tcW w:w="200" w:type="dxa"/>
            <w:vAlign w:val="bottom"/>
            <w:shd w:val="clear" w:color="auto" w:fill="CDDEE7"/>
          </w:tcPr>
          <w:p>
            <w:pPr>
              <w:spacing w:after="0"/>
              <w:rPr>
                <w:sz w:val="13"/>
                <w:szCs w:val="13"/>
                <w:color w:val="auto"/>
              </w:rPr>
            </w:pPr>
          </w:p>
        </w:tc>
        <w:tc>
          <w:tcPr>
            <w:tcW w:w="660" w:type="dxa"/>
            <w:vAlign w:val="bottom"/>
            <w:shd w:val="clear" w:color="auto" w:fill="CDDEE7"/>
          </w:tcPr>
          <w:p>
            <w:pPr>
              <w:jc w:val="right"/>
              <w:spacing w:after="0" w:line="156" w:lineRule="exact"/>
              <w:rPr>
                <w:sz w:val="20"/>
                <w:szCs w:val="20"/>
                <w:color w:val="auto"/>
              </w:rPr>
            </w:pPr>
            <w:r>
              <w:rPr>
                <w:rFonts w:ascii="Arial" w:cs="Arial" w:eastAsia="Arial" w:hAnsi="Arial"/>
                <w:sz w:val="15"/>
                <w:szCs w:val="15"/>
                <w:b w:val="1"/>
                <w:bCs w:val="1"/>
                <w:color w:val="auto"/>
              </w:rPr>
              <w:t>–</w:t>
            </w:r>
          </w:p>
        </w:tc>
        <w:tc>
          <w:tcPr>
            <w:tcW w:w="900" w:type="dxa"/>
            <w:vAlign w:val="bottom"/>
            <w:shd w:val="clear" w:color="auto" w:fill="CDDEE7"/>
          </w:tcPr>
          <w:p>
            <w:pPr>
              <w:jc w:val="right"/>
              <w:spacing w:after="0" w:line="156" w:lineRule="exact"/>
              <w:rPr>
                <w:sz w:val="20"/>
                <w:szCs w:val="20"/>
                <w:color w:val="auto"/>
              </w:rPr>
            </w:pPr>
            <w:r>
              <w:rPr>
                <w:rFonts w:ascii="Arial" w:cs="Arial" w:eastAsia="Arial" w:hAnsi="Arial"/>
                <w:sz w:val="15"/>
                <w:szCs w:val="15"/>
                <w:b w:val="1"/>
                <w:bCs w:val="1"/>
                <w:color w:val="auto"/>
              </w:rPr>
              <w:t>(99,999)</w:t>
            </w:r>
          </w:p>
        </w:tc>
        <w:tc>
          <w:tcPr>
            <w:tcW w:w="0" w:type="dxa"/>
            <w:vAlign w:val="bottom"/>
          </w:tcPr>
          <w:p>
            <w:pPr>
              <w:spacing w:after="0"/>
              <w:rPr>
                <w:sz w:val="1"/>
                <w:szCs w:val="1"/>
                <w:color w:val="auto"/>
              </w:rPr>
            </w:pPr>
          </w:p>
        </w:tc>
      </w:tr>
      <w:tr>
        <w:trPr>
          <w:trHeight w:val="156"/>
        </w:trPr>
        <w:tc>
          <w:tcPr>
            <w:tcW w:w="3980" w:type="dxa"/>
            <w:vAlign w:val="bottom"/>
            <w:gridSpan w:val="2"/>
          </w:tcPr>
          <w:p>
            <w:pPr>
              <w:spacing w:after="0" w:line="156" w:lineRule="exact"/>
              <w:rPr>
                <w:sz w:val="20"/>
                <w:szCs w:val="20"/>
                <w:color w:val="auto"/>
              </w:rPr>
            </w:pPr>
            <w:r>
              <w:rPr>
                <w:rFonts w:ascii="Arial" w:cs="Arial" w:eastAsia="Arial" w:hAnsi="Arial"/>
                <w:sz w:val="15"/>
                <w:szCs w:val="15"/>
                <w:b w:val="1"/>
                <w:bCs w:val="1"/>
                <w:color w:val="auto"/>
              </w:rPr>
              <w:t>Stock-based compensation expense</w:t>
            </w:r>
          </w:p>
        </w:tc>
        <w:tc>
          <w:tcPr>
            <w:tcW w:w="800" w:type="dxa"/>
            <w:vAlign w:val="bottom"/>
            <w:shd w:val="clear" w:color="auto" w:fill="CDDEE7"/>
          </w:tcPr>
          <w:p>
            <w:pPr>
              <w:jc w:val="right"/>
              <w:ind w:right="27"/>
              <w:spacing w:after="0" w:line="156" w:lineRule="exact"/>
              <w:rPr>
                <w:sz w:val="20"/>
                <w:szCs w:val="20"/>
                <w:color w:val="auto"/>
              </w:rPr>
            </w:pPr>
            <w:r>
              <w:rPr>
                <w:rFonts w:ascii="Arial" w:cs="Arial" w:eastAsia="Arial" w:hAnsi="Arial"/>
                <w:sz w:val="15"/>
                <w:szCs w:val="15"/>
                <w:b w:val="1"/>
                <w:bCs w:val="1"/>
                <w:color w:val="auto"/>
              </w:rPr>
              <w:t>–</w:t>
            </w:r>
          </w:p>
        </w:tc>
        <w:tc>
          <w:tcPr>
            <w:tcW w:w="180" w:type="dxa"/>
            <w:vAlign w:val="bottom"/>
            <w:shd w:val="clear" w:color="auto" w:fill="CDDEE7"/>
          </w:tcPr>
          <w:p>
            <w:pPr>
              <w:spacing w:after="0"/>
              <w:rPr>
                <w:sz w:val="13"/>
                <w:szCs w:val="13"/>
                <w:color w:val="auto"/>
              </w:rPr>
            </w:pPr>
          </w:p>
        </w:tc>
        <w:tc>
          <w:tcPr>
            <w:tcW w:w="600" w:type="dxa"/>
            <w:vAlign w:val="bottom"/>
            <w:shd w:val="clear" w:color="auto" w:fill="CDDEE7"/>
          </w:tcPr>
          <w:p>
            <w:pPr>
              <w:ind w:left="420"/>
              <w:spacing w:after="0" w:line="156" w:lineRule="exact"/>
              <w:rPr>
                <w:sz w:val="20"/>
                <w:szCs w:val="20"/>
                <w:color w:val="auto"/>
              </w:rPr>
            </w:pPr>
            <w:r>
              <w:rPr>
                <w:rFonts w:ascii="Arial" w:cs="Arial" w:eastAsia="Arial" w:hAnsi="Arial"/>
                <w:sz w:val="15"/>
                <w:szCs w:val="15"/>
                <w:b w:val="1"/>
                <w:bCs w:val="1"/>
                <w:color w:val="auto"/>
              </w:rPr>
              <w:t>–</w:t>
            </w:r>
          </w:p>
        </w:tc>
        <w:tc>
          <w:tcPr>
            <w:tcW w:w="920" w:type="dxa"/>
            <w:vAlign w:val="bottom"/>
            <w:shd w:val="clear" w:color="auto" w:fill="CDDEE7"/>
          </w:tcPr>
          <w:p>
            <w:pPr>
              <w:jc w:val="right"/>
              <w:ind w:right="27"/>
              <w:spacing w:after="0" w:line="156" w:lineRule="exact"/>
              <w:rPr>
                <w:sz w:val="20"/>
                <w:szCs w:val="20"/>
                <w:color w:val="auto"/>
              </w:rPr>
            </w:pPr>
            <w:r>
              <w:rPr>
                <w:rFonts w:ascii="Arial" w:cs="Arial" w:eastAsia="Arial" w:hAnsi="Arial"/>
                <w:sz w:val="15"/>
                <w:szCs w:val="15"/>
                <w:b w:val="1"/>
                <w:bCs w:val="1"/>
                <w:color w:val="auto"/>
              </w:rPr>
              <w:t>30,460</w:t>
            </w:r>
          </w:p>
        </w:tc>
        <w:tc>
          <w:tcPr>
            <w:tcW w:w="160" w:type="dxa"/>
            <w:vAlign w:val="bottom"/>
            <w:shd w:val="clear" w:color="auto" w:fill="CDDEE7"/>
          </w:tcPr>
          <w:p>
            <w:pPr>
              <w:spacing w:after="0"/>
              <w:rPr>
                <w:sz w:val="13"/>
                <w:szCs w:val="13"/>
                <w:color w:val="auto"/>
              </w:rPr>
            </w:pPr>
          </w:p>
        </w:tc>
        <w:tc>
          <w:tcPr>
            <w:tcW w:w="1040" w:type="dxa"/>
            <w:vAlign w:val="bottom"/>
            <w:shd w:val="clear" w:color="auto" w:fill="CDDEE7"/>
          </w:tcPr>
          <w:p>
            <w:pPr>
              <w:jc w:val="right"/>
              <w:ind w:right="7"/>
              <w:spacing w:after="0" w:line="156" w:lineRule="exact"/>
              <w:rPr>
                <w:sz w:val="20"/>
                <w:szCs w:val="20"/>
                <w:color w:val="auto"/>
              </w:rPr>
            </w:pPr>
            <w:r>
              <w:rPr>
                <w:rFonts w:ascii="Arial" w:cs="Arial" w:eastAsia="Arial" w:hAnsi="Arial"/>
                <w:sz w:val="15"/>
                <w:szCs w:val="15"/>
                <w:b w:val="1"/>
                <w:bCs w:val="1"/>
                <w:color w:val="auto"/>
              </w:rPr>
              <w:t>–</w:t>
            </w:r>
          </w:p>
        </w:tc>
        <w:tc>
          <w:tcPr>
            <w:tcW w:w="920" w:type="dxa"/>
            <w:vAlign w:val="bottom"/>
            <w:shd w:val="clear" w:color="auto" w:fill="CDDEE7"/>
          </w:tcPr>
          <w:p>
            <w:pPr>
              <w:jc w:val="right"/>
              <w:ind w:right="27"/>
              <w:spacing w:after="0" w:line="156" w:lineRule="exact"/>
              <w:rPr>
                <w:sz w:val="20"/>
                <w:szCs w:val="20"/>
                <w:color w:val="auto"/>
              </w:rPr>
            </w:pPr>
            <w:r>
              <w:rPr>
                <w:rFonts w:ascii="Arial" w:cs="Arial" w:eastAsia="Arial" w:hAnsi="Arial"/>
                <w:sz w:val="15"/>
                <w:szCs w:val="15"/>
                <w:b w:val="1"/>
                <w:bCs w:val="1"/>
                <w:color w:val="auto"/>
              </w:rPr>
              <w:t>–</w:t>
            </w:r>
          </w:p>
        </w:tc>
        <w:tc>
          <w:tcPr>
            <w:tcW w:w="220" w:type="dxa"/>
            <w:vAlign w:val="bottom"/>
            <w:shd w:val="clear" w:color="auto" w:fill="CDDEE7"/>
          </w:tcPr>
          <w:p>
            <w:pPr>
              <w:spacing w:after="0"/>
              <w:rPr>
                <w:sz w:val="13"/>
                <w:szCs w:val="13"/>
                <w:color w:val="auto"/>
              </w:rPr>
            </w:pPr>
          </w:p>
        </w:tc>
        <w:tc>
          <w:tcPr>
            <w:tcW w:w="840" w:type="dxa"/>
            <w:vAlign w:val="bottom"/>
            <w:shd w:val="clear" w:color="auto" w:fill="CDDEE7"/>
          </w:tcPr>
          <w:p>
            <w:pPr>
              <w:jc w:val="right"/>
              <w:spacing w:after="0" w:line="156" w:lineRule="exact"/>
              <w:rPr>
                <w:sz w:val="20"/>
                <w:szCs w:val="20"/>
                <w:color w:val="auto"/>
              </w:rPr>
            </w:pPr>
            <w:r>
              <w:rPr>
                <w:rFonts w:ascii="Arial" w:cs="Arial" w:eastAsia="Arial" w:hAnsi="Arial"/>
                <w:sz w:val="15"/>
                <w:szCs w:val="15"/>
                <w:b w:val="1"/>
                <w:bCs w:val="1"/>
                <w:color w:val="auto"/>
              </w:rPr>
              <w:t>30,460</w:t>
            </w:r>
          </w:p>
        </w:tc>
        <w:tc>
          <w:tcPr>
            <w:tcW w:w="200" w:type="dxa"/>
            <w:vAlign w:val="bottom"/>
            <w:shd w:val="clear" w:color="auto" w:fill="CDDEE7"/>
          </w:tcPr>
          <w:p>
            <w:pPr>
              <w:spacing w:after="0"/>
              <w:rPr>
                <w:sz w:val="13"/>
                <w:szCs w:val="13"/>
                <w:color w:val="auto"/>
              </w:rPr>
            </w:pPr>
          </w:p>
        </w:tc>
        <w:tc>
          <w:tcPr>
            <w:tcW w:w="660" w:type="dxa"/>
            <w:vAlign w:val="bottom"/>
            <w:shd w:val="clear" w:color="auto" w:fill="CDDEE7"/>
          </w:tcPr>
          <w:p>
            <w:pPr>
              <w:jc w:val="right"/>
              <w:spacing w:after="0" w:line="156" w:lineRule="exact"/>
              <w:rPr>
                <w:sz w:val="20"/>
                <w:szCs w:val="20"/>
                <w:color w:val="auto"/>
              </w:rPr>
            </w:pPr>
            <w:r>
              <w:rPr>
                <w:rFonts w:ascii="Arial" w:cs="Arial" w:eastAsia="Arial" w:hAnsi="Arial"/>
                <w:sz w:val="15"/>
                <w:szCs w:val="15"/>
                <w:b w:val="1"/>
                <w:bCs w:val="1"/>
                <w:color w:val="auto"/>
              </w:rPr>
              <w:t>–</w:t>
            </w:r>
          </w:p>
        </w:tc>
        <w:tc>
          <w:tcPr>
            <w:tcW w:w="900" w:type="dxa"/>
            <w:vAlign w:val="bottom"/>
            <w:shd w:val="clear" w:color="auto" w:fill="CDDEE7"/>
          </w:tcPr>
          <w:p>
            <w:pPr>
              <w:jc w:val="right"/>
              <w:ind w:right="7"/>
              <w:spacing w:after="0" w:line="156" w:lineRule="exact"/>
              <w:rPr>
                <w:sz w:val="20"/>
                <w:szCs w:val="20"/>
                <w:color w:val="auto"/>
              </w:rPr>
            </w:pPr>
            <w:r>
              <w:rPr>
                <w:rFonts w:ascii="Arial" w:cs="Arial" w:eastAsia="Arial" w:hAnsi="Arial"/>
                <w:sz w:val="15"/>
                <w:szCs w:val="15"/>
                <w:b w:val="1"/>
                <w:bCs w:val="1"/>
                <w:color w:val="auto"/>
              </w:rPr>
              <w:t>30,460</w:t>
            </w:r>
          </w:p>
        </w:tc>
        <w:tc>
          <w:tcPr>
            <w:tcW w:w="0" w:type="dxa"/>
            <w:vAlign w:val="bottom"/>
          </w:tcPr>
          <w:p>
            <w:pPr>
              <w:spacing w:after="0"/>
              <w:rPr>
                <w:sz w:val="1"/>
                <w:szCs w:val="1"/>
                <w:color w:val="auto"/>
              </w:rPr>
            </w:pPr>
          </w:p>
        </w:tc>
      </w:tr>
      <w:tr>
        <w:trPr>
          <w:trHeight w:val="177"/>
        </w:trPr>
        <w:tc>
          <w:tcPr>
            <w:tcW w:w="3980" w:type="dxa"/>
            <w:vAlign w:val="bottom"/>
            <w:gridSpan w:val="2"/>
          </w:tcPr>
          <w:p>
            <w:pPr>
              <w:spacing w:after="0"/>
              <w:rPr>
                <w:sz w:val="20"/>
                <w:szCs w:val="20"/>
                <w:color w:val="auto"/>
              </w:rPr>
            </w:pPr>
            <w:r>
              <w:rPr>
                <w:rFonts w:ascii="Arial" w:cs="Arial" w:eastAsia="Arial" w:hAnsi="Arial"/>
                <w:sz w:val="15"/>
                <w:szCs w:val="15"/>
                <w:b w:val="1"/>
                <w:bCs w:val="1"/>
                <w:color w:val="auto"/>
              </w:rPr>
              <w:t>Contribution from owners of noncontrolling interest</w:t>
            </w:r>
          </w:p>
        </w:tc>
        <w:tc>
          <w:tcPr>
            <w:tcW w:w="800" w:type="dxa"/>
            <w:vAlign w:val="bottom"/>
            <w:shd w:val="clear" w:color="auto" w:fill="CDDEE7"/>
          </w:tcPr>
          <w:p>
            <w:pPr>
              <w:jc w:val="right"/>
              <w:ind w:right="27"/>
              <w:spacing w:after="0"/>
              <w:rPr>
                <w:sz w:val="20"/>
                <w:szCs w:val="20"/>
                <w:color w:val="auto"/>
              </w:rPr>
            </w:pPr>
            <w:r>
              <w:rPr>
                <w:rFonts w:ascii="Arial" w:cs="Arial" w:eastAsia="Arial" w:hAnsi="Arial"/>
                <w:sz w:val="15"/>
                <w:szCs w:val="15"/>
                <w:b w:val="1"/>
                <w:bCs w:val="1"/>
                <w:color w:val="auto"/>
              </w:rPr>
              <w:t>–</w:t>
            </w:r>
          </w:p>
        </w:tc>
        <w:tc>
          <w:tcPr>
            <w:tcW w:w="180" w:type="dxa"/>
            <w:vAlign w:val="bottom"/>
            <w:shd w:val="clear" w:color="auto" w:fill="CDDEE7"/>
          </w:tcPr>
          <w:p>
            <w:pPr>
              <w:spacing w:after="0"/>
              <w:rPr>
                <w:sz w:val="15"/>
                <w:szCs w:val="15"/>
                <w:color w:val="auto"/>
              </w:rPr>
            </w:pPr>
          </w:p>
        </w:tc>
        <w:tc>
          <w:tcPr>
            <w:tcW w:w="600" w:type="dxa"/>
            <w:vAlign w:val="bottom"/>
            <w:shd w:val="clear" w:color="auto" w:fill="CDDEE7"/>
          </w:tcPr>
          <w:p>
            <w:pPr>
              <w:ind w:left="420"/>
              <w:spacing w:after="0"/>
              <w:rPr>
                <w:sz w:val="20"/>
                <w:szCs w:val="20"/>
                <w:color w:val="auto"/>
              </w:rPr>
            </w:pPr>
            <w:r>
              <w:rPr>
                <w:rFonts w:ascii="Arial" w:cs="Arial" w:eastAsia="Arial" w:hAnsi="Arial"/>
                <w:sz w:val="15"/>
                <w:szCs w:val="15"/>
                <w:b w:val="1"/>
                <w:bCs w:val="1"/>
                <w:color w:val="auto"/>
              </w:rPr>
              <w:t>–</w:t>
            </w:r>
          </w:p>
        </w:tc>
        <w:tc>
          <w:tcPr>
            <w:tcW w:w="920" w:type="dxa"/>
            <w:vAlign w:val="bottom"/>
            <w:shd w:val="clear" w:color="auto" w:fill="CDDEE7"/>
          </w:tcPr>
          <w:p>
            <w:pPr>
              <w:jc w:val="right"/>
              <w:ind w:right="27"/>
              <w:spacing w:after="0"/>
              <w:rPr>
                <w:sz w:val="20"/>
                <w:szCs w:val="20"/>
                <w:color w:val="auto"/>
              </w:rPr>
            </w:pPr>
            <w:r>
              <w:rPr>
                <w:rFonts w:ascii="Arial" w:cs="Arial" w:eastAsia="Arial" w:hAnsi="Arial"/>
                <w:sz w:val="15"/>
                <w:szCs w:val="15"/>
                <w:b w:val="1"/>
                <w:bCs w:val="1"/>
                <w:color w:val="auto"/>
              </w:rPr>
              <w:t>–</w:t>
            </w:r>
          </w:p>
        </w:tc>
        <w:tc>
          <w:tcPr>
            <w:tcW w:w="160" w:type="dxa"/>
            <w:vAlign w:val="bottom"/>
            <w:shd w:val="clear" w:color="auto" w:fill="CDDEE7"/>
          </w:tcPr>
          <w:p>
            <w:pPr>
              <w:spacing w:after="0"/>
              <w:rPr>
                <w:sz w:val="15"/>
                <w:szCs w:val="15"/>
                <w:color w:val="auto"/>
              </w:rPr>
            </w:pPr>
          </w:p>
        </w:tc>
        <w:tc>
          <w:tcPr>
            <w:tcW w:w="1040" w:type="dxa"/>
            <w:vAlign w:val="bottom"/>
            <w:shd w:val="clear" w:color="auto" w:fill="CDDEE7"/>
          </w:tcPr>
          <w:p>
            <w:pPr>
              <w:jc w:val="right"/>
              <w:ind w:right="7"/>
              <w:spacing w:after="0"/>
              <w:rPr>
                <w:sz w:val="20"/>
                <w:szCs w:val="20"/>
                <w:color w:val="auto"/>
              </w:rPr>
            </w:pPr>
            <w:r>
              <w:rPr>
                <w:rFonts w:ascii="Arial" w:cs="Arial" w:eastAsia="Arial" w:hAnsi="Arial"/>
                <w:sz w:val="15"/>
                <w:szCs w:val="15"/>
                <w:b w:val="1"/>
                <w:bCs w:val="1"/>
                <w:color w:val="auto"/>
              </w:rPr>
              <w:t>–</w:t>
            </w:r>
          </w:p>
        </w:tc>
        <w:tc>
          <w:tcPr>
            <w:tcW w:w="920" w:type="dxa"/>
            <w:vAlign w:val="bottom"/>
            <w:shd w:val="clear" w:color="auto" w:fill="CDDEE7"/>
          </w:tcPr>
          <w:p>
            <w:pPr>
              <w:jc w:val="right"/>
              <w:ind w:right="27"/>
              <w:spacing w:after="0"/>
              <w:rPr>
                <w:sz w:val="20"/>
                <w:szCs w:val="20"/>
                <w:color w:val="auto"/>
              </w:rPr>
            </w:pPr>
            <w:r>
              <w:rPr>
                <w:rFonts w:ascii="Arial" w:cs="Arial" w:eastAsia="Arial" w:hAnsi="Arial"/>
                <w:sz w:val="15"/>
                <w:szCs w:val="15"/>
                <w:b w:val="1"/>
                <w:bCs w:val="1"/>
                <w:color w:val="auto"/>
              </w:rPr>
              <w:t>–</w:t>
            </w:r>
          </w:p>
        </w:tc>
        <w:tc>
          <w:tcPr>
            <w:tcW w:w="220" w:type="dxa"/>
            <w:vAlign w:val="bottom"/>
            <w:shd w:val="clear" w:color="auto" w:fill="CDDEE7"/>
          </w:tcPr>
          <w:p>
            <w:pPr>
              <w:spacing w:after="0"/>
              <w:rPr>
                <w:sz w:val="15"/>
                <w:szCs w:val="15"/>
                <w:color w:val="auto"/>
              </w:rPr>
            </w:pPr>
          </w:p>
        </w:tc>
        <w:tc>
          <w:tcPr>
            <w:tcW w:w="840" w:type="dxa"/>
            <w:vAlign w:val="bottom"/>
            <w:shd w:val="clear" w:color="auto" w:fill="CDDEE7"/>
          </w:tcPr>
          <w:p>
            <w:pPr>
              <w:jc w:val="right"/>
              <w:spacing w:after="0"/>
              <w:rPr>
                <w:sz w:val="20"/>
                <w:szCs w:val="20"/>
                <w:color w:val="auto"/>
              </w:rPr>
            </w:pPr>
            <w:r>
              <w:rPr>
                <w:rFonts w:ascii="Arial" w:cs="Arial" w:eastAsia="Arial" w:hAnsi="Arial"/>
                <w:sz w:val="15"/>
                <w:szCs w:val="15"/>
                <w:b w:val="1"/>
                <w:bCs w:val="1"/>
                <w:color w:val="auto"/>
              </w:rPr>
              <w:t>–</w:t>
            </w:r>
          </w:p>
        </w:tc>
        <w:tc>
          <w:tcPr>
            <w:tcW w:w="200" w:type="dxa"/>
            <w:vAlign w:val="bottom"/>
            <w:shd w:val="clear" w:color="auto" w:fill="CDDEE7"/>
          </w:tcPr>
          <w:p>
            <w:pPr>
              <w:spacing w:after="0"/>
              <w:rPr>
                <w:sz w:val="15"/>
                <w:szCs w:val="15"/>
                <w:color w:val="auto"/>
              </w:rPr>
            </w:pPr>
          </w:p>
        </w:tc>
        <w:tc>
          <w:tcPr>
            <w:tcW w:w="660" w:type="dxa"/>
            <w:vAlign w:val="bottom"/>
            <w:shd w:val="clear" w:color="auto" w:fill="CDDEE7"/>
          </w:tcPr>
          <w:p>
            <w:pPr>
              <w:jc w:val="right"/>
              <w:spacing w:after="0"/>
              <w:rPr>
                <w:sz w:val="20"/>
                <w:szCs w:val="20"/>
                <w:color w:val="auto"/>
              </w:rPr>
            </w:pPr>
            <w:r>
              <w:rPr>
                <w:rFonts w:ascii="Arial" w:cs="Arial" w:eastAsia="Arial" w:hAnsi="Arial"/>
                <w:sz w:val="15"/>
                <w:szCs w:val="15"/>
                <w:b w:val="1"/>
                <w:bCs w:val="1"/>
                <w:color w:val="auto"/>
              </w:rPr>
              <w:t>212</w:t>
            </w:r>
          </w:p>
        </w:tc>
        <w:tc>
          <w:tcPr>
            <w:tcW w:w="900" w:type="dxa"/>
            <w:vAlign w:val="bottom"/>
            <w:shd w:val="clear" w:color="auto" w:fill="CDDEE7"/>
          </w:tcPr>
          <w:p>
            <w:pPr>
              <w:jc w:val="right"/>
              <w:ind w:right="7"/>
              <w:spacing w:after="0"/>
              <w:rPr>
                <w:sz w:val="20"/>
                <w:szCs w:val="20"/>
                <w:color w:val="auto"/>
              </w:rPr>
            </w:pPr>
            <w:r>
              <w:rPr>
                <w:rFonts w:ascii="Arial" w:cs="Arial" w:eastAsia="Arial" w:hAnsi="Arial"/>
                <w:sz w:val="15"/>
                <w:szCs w:val="15"/>
                <w:b w:val="1"/>
                <w:bCs w:val="1"/>
                <w:color w:val="auto"/>
              </w:rPr>
              <w:t>212</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960" w:type="dxa"/>
            <w:vAlign w:val="bottom"/>
            <w:tcBorders>
              <w:top w:val="single" w:sz="8" w:color="auto"/>
              <w:bottom w:val="single" w:sz="8" w:color="auto"/>
            </w:tcBorders>
          </w:tcPr>
          <w:p>
            <w:pPr>
              <w:spacing w:after="0" w:line="149" w:lineRule="exact"/>
              <w:rPr>
                <w:sz w:val="20"/>
                <w:szCs w:val="20"/>
                <w:color w:val="auto"/>
              </w:rPr>
            </w:pPr>
            <w:r>
              <w:rPr>
                <w:rFonts w:ascii="Arial" w:cs="Arial" w:eastAsia="Arial" w:hAnsi="Arial"/>
                <w:sz w:val="15"/>
                <w:szCs w:val="15"/>
                <w:b w:val="1"/>
                <w:bCs w:val="1"/>
                <w:color w:val="auto"/>
              </w:rPr>
              <w:t>Balance at December 31, 2017</w:t>
            </w:r>
          </w:p>
        </w:tc>
        <w:tc>
          <w:tcPr>
            <w:tcW w:w="800" w:type="dxa"/>
            <w:vAlign w:val="bottom"/>
            <w:tcBorders>
              <w:top w:val="single" w:sz="8" w:color="auto"/>
              <w:bottom w:val="single" w:sz="8" w:color="auto"/>
            </w:tcBorders>
            <w:shd w:val="clear" w:color="auto" w:fill="CDDEE7"/>
          </w:tcPr>
          <w:p>
            <w:pPr>
              <w:jc w:val="right"/>
              <w:ind w:right="27"/>
              <w:spacing w:after="0" w:line="149" w:lineRule="exact"/>
              <w:rPr>
                <w:sz w:val="20"/>
                <w:szCs w:val="20"/>
                <w:color w:val="auto"/>
              </w:rPr>
            </w:pPr>
            <w:r>
              <w:rPr>
                <w:rFonts w:ascii="Arial" w:cs="Arial" w:eastAsia="Arial" w:hAnsi="Arial"/>
                <w:sz w:val="15"/>
                <w:szCs w:val="15"/>
                <w:b w:val="1"/>
                <w:bCs w:val="1"/>
                <w:color w:val="auto"/>
              </w:rPr>
              <w:t>62,873</w:t>
            </w:r>
          </w:p>
        </w:tc>
        <w:tc>
          <w:tcPr>
            <w:tcW w:w="180" w:type="dxa"/>
            <w:vAlign w:val="bottom"/>
            <w:tcBorders>
              <w:top w:val="single" w:sz="8" w:color="auto"/>
              <w:bottom w:val="single" w:sz="8" w:color="auto"/>
            </w:tcBorders>
            <w:shd w:val="clear" w:color="auto" w:fill="CDDEE7"/>
          </w:tcPr>
          <w:p>
            <w:pPr>
              <w:ind w:left="80"/>
              <w:spacing w:after="0" w:line="149" w:lineRule="exact"/>
              <w:rPr>
                <w:sz w:val="20"/>
                <w:szCs w:val="20"/>
                <w:color w:val="auto"/>
              </w:rPr>
            </w:pPr>
            <w:r>
              <w:rPr>
                <w:rFonts w:ascii="Arial" w:cs="Arial" w:eastAsia="Arial" w:hAnsi="Arial"/>
                <w:sz w:val="15"/>
                <w:szCs w:val="15"/>
                <w:b w:val="1"/>
                <w:bCs w:val="1"/>
                <w:color w:val="auto"/>
                <w:w w:val="95"/>
              </w:rPr>
              <w:t>$</w:t>
            </w:r>
          </w:p>
        </w:tc>
        <w:tc>
          <w:tcPr>
            <w:tcW w:w="600" w:type="dxa"/>
            <w:vAlign w:val="bottom"/>
            <w:tcBorders>
              <w:top w:val="single" w:sz="8" w:color="auto"/>
              <w:bottom w:val="single" w:sz="8" w:color="auto"/>
            </w:tcBorders>
            <w:shd w:val="clear" w:color="auto" w:fill="CDDEE7"/>
          </w:tcPr>
          <w:p>
            <w:pPr>
              <w:ind w:left="260"/>
              <w:spacing w:after="0" w:line="149" w:lineRule="exact"/>
              <w:rPr>
                <w:sz w:val="20"/>
                <w:szCs w:val="20"/>
                <w:color w:val="auto"/>
              </w:rPr>
            </w:pPr>
            <w:r>
              <w:rPr>
                <w:rFonts w:ascii="Arial" w:cs="Arial" w:eastAsia="Arial" w:hAnsi="Arial"/>
                <w:sz w:val="15"/>
                <w:szCs w:val="15"/>
                <w:b w:val="1"/>
                <w:bCs w:val="1"/>
                <w:color w:val="auto"/>
              </w:rPr>
              <w:t>628</w:t>
            </w:r>
          </w:p>
        </w:tc>
        <w:tc>
          <w:tcPr>
            <w:tcW w:w="920" w:type="dxa"/>
            <w:vAlign w:val="bottom"/>
            <w:tcBorders>
              <w:top w:val="single" w:sz="8" w:color="auto"/>
              <w:bottom w:val="single" w:sz="8" w:color="auto"/>
            </w:tcBorders>
            <w:shd w:val="clear" w:color="auto" w:fill="CDDEE7"/>
          </w:tcPr>
          <w:p>
            <w:pPr>
              <w:jc w:val="right"/>
              <w:ind w:right="27"/>
              <w:spacing w:after="0" w:line="149" w:lineRule="exact"/>
              <w:rPr>
                <w:sz w:val="20"/>
                <w:szCs w:val="20"/>
                <w:color w:val="auto"/>
              </w:rPr>
            </w:pPr>
            <w:r>
              <w:rPr>
                <w:rFonts w:ascii="Arial" w:cs="Arial" w:eastAsia="Arial" w:hAnsi="Arial"/>
                <w:sz w:val="15"/>
                <w:szCs w:val="15"/>
                <w:b w:val="1"/>
                <w:bCs w:val="1"/>
                <w:color w:val="auto"/>
              </w:rPr>
              <w:t>$ 3,368,007</w:t>
            </w:r>
          </w:p>
        </w:tc>
        <w:tc>
          <w:tcPr>
            <w:tcW w:w="160" w:type="dxa"/>
            <w:vAlign w:val="bottom"/>
            <w:tcBorders>
              <w:top w:val="single" w:sz="8" w:color="auto"/>
              <w:bottom w:val="single" w:sz="8" w:color="auto"/>
            </w:tcBorders>
            <w:shd w:val="clear" w:color="auto" w:fill="CDDEE7"/>
          </w:tcPr>
          <w:p>
            <w:pPr>
              <w:ind w:left="80"/>
              <w:spacing w:after="0" w:line="149" w:lineRule="exact"/>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shd w:val="clear" w:color="auto" w:fill="CDDEE7"/>
          </w:tcPr>
          <w:p>
            <w:pPr>
              <w:jc w:val="right"/>
              <w:ind w:right="7"/>
              <w:spacing w:after="0" w:line="149" w:lineRule="exact"/>
              <w:rPr>
                <w:sz w:val="20"/>
                <w:szCs w:val="20"/>
                <w:color w:val="auto"/>
              </w:rPr>
            </w:pPr>
            <w:r>
              <w:rPr>
                <w:rFonts w:ascii="Arial" w:cs="Arial" w:eastAsia="Arial" w:hAnsi="Arial"/>
                <w:sz w:val="15"/>
                <w:szCs w:val="15"/>
                <w:b w:val="1"/>
                <w:bCs w:val="1"/>
                <w:color w:val="auto"/>
              </w:rPr>
              <w:t>(129,104)</w:t>
            </w:r>
          </w:p>
        </w:tc>
        <w:tc>
          <w:tcPr>
            <w:tcW w:w="920" w:type="dxa"/>
            <w:vAlign w:val="bottom"/>
            <w:tcBorders>
              <w:top w:val="single" w:sz="8" w:color="auto"/>
              <w:bottom w:val="single" w:sz="8" w:color="auto"/>
            </w:tcBorders>
            <w:shd w:val="clear" w:color="auto" w:fill="CDDEE7"/>
          </w:tcPr>
          <w:p>
            <w:pPr>
              <w:jc w:val="right"/>
              <w:ind w:right="27"/>
              <w:spacing w:after="0" w:line="149" w:lineRule="exact"/>
              <w:rPr>
                <w:sz w:val="20"/>
                <w:szCs w:val="20"/>
                <w:color w:val="auto"/>
              </w:rPr>
            </w:pPr>
            <w:r>
              <w:rPr>
                <w:rFonts w:ascii="Arial" w:cs="Arial" w:eastAsia="Arial" w:hAnsi="Arial"/>
                <w:sz w:val="15"/>
                <w:szCs w:val="15"/>
                <w:b w:val="1"/>
                <w:bCs w:val="1"/>
                <w:color w:val="auto"/>
              </w:rPr>
              <w:t>$ 1,440,069</w:t>
            </w:r>
          </w:p>
        </w:tc>
        <w:tc>
          <w:tcPr>
            <w:tcW w:w="220" w:type="dxa"/>
            <w:vAlign w:val="bottom"/>
            <w:tcBorders>
              <w:top w:val="single" w:sz="8" w:color="auto"/>
              <w:bottom w:val="single" w:sz="8" w:color="auto"/>
            </w:tcBorders>
            <w:shd w:val="clear" w:color="auto" w:fill="CDDEE7"/>
          </w:tcPr>
          <w:p>
            <w:pPr>
              <w:ind w:left="60"/>
              <w:spacing w:after="0" w:line="149" w:lineRule="exact"/>
              <w:rPr>
                <w:sz w:val="20"/>
                <w:szCs w:val="20"/>
                <w:color w:val="auto"/>
              </w:rPr>
            </w:pPr>
            <w:r>
              <w:rPr>
                <w:rFonts w:ascii="Arial" w:cs="Arial" w:eastAsia="Arial" w:hAnsi="Arial"/>
                <w:sz w:val="15"/>
                <w:szCs w:val="15"/>
                <w:b w:val="1"/>
                <w:bCs w:val="1"/>
                <w:color w:val="auto"/>
              </w:rPr>
              <w:t>$</w:t>
            </w:r>
          </w:p>
        </w:tc>
        <w:tc>
          <w:tcPr>
            <w:tcW w:w="840" w:type="dxa"/>
            <w:vAlign w:val="bottom"/>
            <w:tcBorders>
              <w:top w:val="single" w:sz="8" w:color="auto"/>
              <w:bottom w:val="single" w:sz="8" w:color="auto"/>
            </w:tcBorders>
            <w:shd w:val="clear" w:color="auto" w:fill="CDDEE7"/>
          </w:tcPr>
          <w:p>
            <w:pPr>
              <w:jc w:val="right"/>
              <w:spacing w:after="0" w:line="149" w:lineRule="exact"/>
              <w:rPr>
                <w:sz w:val="20"/>
                <w:szCs w:val="20"/>
                <w:color w:val="auto"/>
              </w:rPr>
            </w:pPr>
            <w:r>
              <w:rPr>
                <w:rFonts w:ascii="Arial" w:cs="Arial" w:eastAsia="Arial" w:hAnsi="Arial"/>
                <w:sz w:val="15"/>
                <w:szCs w:val="15"/>
                <w:b w:val="1"/>
                <w:bCs w:val="1"/>
                <w:color w:val="auto"/>
              </w:rPr>
              <w:t>4,679,600</w:t>
            </w:r>
          </w:p>
        </w:tc>
        <w:tc>
          <w:tcPr>
            <w:tcW w:w="200" w:type="dxa"/>
            <w:vAlign w:val="bottom"/>
            <w:tcBorders>
              <w:top w:val="single" w:sz="8" w:color="auto"/>
              <w:bottom w:val="single" w:sz="8" w:color="auto"/>
            </w:tcBorders>
            <w:shd w:val="clear" w:color="auto" w:fill="CDDEE7"/>
          </w:tcPr>
          <w:p>
            <w:pPr>
              <w:ind w:left="60"/>
              <w:spacing w:after="0" w:line="149" w:lineRule="exact"/>
              <w:rPr>
                <w:sz w:val="20"/>
                <w:szCs w:val="20"/>
                <w:color w:val="auto"/>
              </w:rPr>
            </w:pPr>
            <w:r>
              <w:rPr>
                <w:rFonts w:ascii="Arial" w:cs="Arial" w:eastAsia="Arial" w:hAnsi="Arial"/>
                <w:sz w:val="15"/>
                <w:szCs w:val="15"/>
                <w:b w:val="1"/>
                <w:bCs w:val="1"/>
                <w:color w:val="auto"/>
              </w:rPr>
              <w:t>$</w:t>
            </w:r>
          </w:p>
        </w:tc>
        <w:tc>
          <w:tcPr>
            <w:tcW w:w="660" w:type="dxa"/>
            <w:vAlign w:val="bottom"/>
            <w:tcBorders>
              <w:top w:val="single" w:sz="8" w:color="auto"/>
              <w:bottom w:val="single" w:sz="8" w:color="auto"/>
            </w:tcBorders>
            <w:shd w:val="clear" w:color="auto" w:fill="CDDEE7"/>
          </w:tcPr>
          <w:p>
            <w:pPr>
              <w:jc w:val="right"/>
              <w:spacing w:after="0" w:line="149" w:lineRule="exact"/>
              <w:rPr>
                <w:sz w:val="20"/>
                <w:szCs w:val="20"/>
                <w:color w:val="auto"/>
              </w:rPr>
            </w:pPr>
            <w:r>
              <w:rPr>
                <w:rFonts w:ascii="Arial" w:cs="Arial" w:eastAsia="Arial" w:hAnsi="Arial"/>
                <w:sz w:val="15"/>
                <w:szCs w:val="15"/>
                <w:b w:val="1"/>
                <w:bCs w:val="1"/>
                <w:color w:val="auto"/>
              </w:rPr>
              <w:t>2,877</w:t>
            </w:r>
          </w:p>
        </w:tc>
        <w:tc>
          <w:tcPr>
            <w:tcW w:w="900" w:type="dxa"/>
            <w:vAlign w:val="bottom"/>
            <w:tcBorders>
              <w:top w:val="single" w:sz="8" w:color="auto"/>
              <w:bottom w:val="single" w:sz="8" w:color="auto"/>
            </w:tcBorders>
            <w:shd w:val="clear" w:color="auto" w:fill="CDDEE7"/>
          </w:tcPr>
          <w:p>
            <w:pPr>
              <w:jc w:val="right"/>
              <w:ind w:right="7"/>
              <w:spacing w:after="0" w:line="149" w:lineRule="exact"/>
              <w:rPr>
                <w:sz w:val="20"/>
                <w:szCs w:val="20"/>
                <w:color w:val="auto"/>
              </w:rPr>
            </w:pPr>
            <w:r>
              <w:rPr>
                <w:rFonts w:ascii="Arial" w:cs="Arial" w:eastAsia="Arial" w:hAnsi="Arial"/>
                <w:sz w:val="15"/>
                <w:szCs w:val="15"/>
                <w:b w:val="1"/>
                <w:bCs w:val="1"/>
                <w:color w:val="auto"/>
              </w:rPr>
              <w:t>$ 4,682,477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color w:val="auto"/>
        </w:rPr>
        <w:t>The notes on pages 15 through 41 are an integral part of these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14</w:t>
      </w:r>
    </w:p>
    <w:p>
      <w:pPr>
        <w:sectPr>
          <w:pgSz w:w="11900" w:h="16838" w:orient="portrait"/>
          <w:cols w:equalWidth="0" w:num="1">
            <w:col w:w="11420"/>
          </w:cols>
          <w:pgMar w:left="240" w:top="376"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7"/>
          <w:szCs w:val="17"/>
          <w:b w:val="1"/>
          <w:bCs w:val="1"/>
          <w:color w:val="0085CD"/>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3">
                      <a:extLst>
                        <a:ext uri="{28A0092B-C50C-407E-A947-70E740481C1C}"/>
                      </a:extLst>
                    </a:blip>
                    <a:srcRect/>
                    <a:stretch>
                      <a:fillRect/>
                    </a:stretch>
                  </pic:blipFill>
                  <pic:spPr bwMode="auto">
                    <a:xfrm>
                      <a:off x="0" y="0"/>
                      <a:ext cx="7293610" cy="37465"/>
                    </a:xfrm>
                    <a:prstGeom prst="rect">
                      <a:avLst/>
                    </a:prstGeom>
                    <a:noFill/>
                  </pic:spPr>
                </pic:pic>
              </a:graphicData>
            </a:graphic>
          </wp:anchor>
        </w:drawing>
        <w:t>NOTES TO FINANCIAL STATEMENTS</w:t>
      </w:r>
    </w:p>
    <w:p>
      <w:pPr>
        <w:sectPr>
          <w:pgSz w:w="11900" w:h="16838" w:orient="portrait"/>
          <w:cols w:equalWidth="0" w:num="1">
            <w:col w:w="11420"/>
          </w:cols>
          <w:pgMar w:left="240" w:top="2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color w:val="0085CD"/>
        </w:rPr>
        <w:t>Note A: Accounting Policies</w:t>
      </w:r>
    </w:p>
    <w:p>
      <w:pPr>
        <w:spacing w:after="0" w:line="16" w:lineRule="exact"/>
        <w:rPr>
          <w:sz w:val="20"/>
          <w:szCs w:val="20"/>
          <w:color w:val="auto"/>
        </w:rPr>
      </w:pPr>
    </w:p>
    <w:p>
      <w:pPr>
        <w:jc w:val="both"/>
        <w:spacing w:after="0" w:line="237" w:lineRule="auto"/>
        <w:rPr>
          <w:sz w:val="20"/>
          <w:szCs w:val="20"/>
          <w:color w:val="auto"/>
        </w:rPr>
      </w:pPr>
      <w:r>
        <w:rPr>
          <w:rFonts w:ascii="Arial" w:cs="Arial" w:eastAsia="Arial" w:hAnsi="Arial"/>
          <w:sz w:val="16"/>
          <w:szCs w:val="16"/>
          <w:b w:val="1"/>
          <w:bCs w:val="1"/>
          <w:i w:val="1"/>
          <w:iCs w:val="1"/>
          <w:color w:val="49B28F"/>
        </w:rPr>
        <w:t xml:space="preserve">Organization. </w:t>
      </w:r>
      <w:r>
        <w:rPr>
          <w:rFonts w:ascii="Arial" w:cs="Arial" w:eastAsia="Arial" w:hAnsi="Arial"/>
          <w:sz w:val="16"/>
          <w:szCs w:val="16"/>
          <w:color w:val="000000"/>
        </w:rPr>
        <w:t>Martin Marietta Materials, Inc. (the “Company” or “Martin</w:t>
      </w:r>
      <w:r>
        <w:rPr>
          <w:rFonts w:ascii="Arial" w:cs="Arial" w:eastAsia="Arial" w:hAnsi="Arial"/>
          <w:sz w:val="16"/>
          <w:szCs w:val="16"/>
          <w:b w:val="1"/>
          <w:bCs w:val="1"/>
          <w:i w:val="1"/>
          <w:iCs w:val="1"/>
          <w:color w:val="49B28F"/>
        </w:rPr>
        <w:t xml:space="preserve"> </w:t>
      </w:r>
      <w:r>
        <w:rPr>
          <w:rFonts w:ascii="Arial" w:cs="Arial" w:eastAsia="Arial" w:hAnsi="Arial"/>
          <w:sz w:val="16"/>
          <w:szCs w:val="16"/>
          <w:color w:val="000000"/>
        </w:rPr>
        <w:t>Marietta”) is a natural resource-based building materials company. The Company supplies aggregates (crushed stone, sand and gravel) through its network of 282 quarries, mines and distribution yards to its customers in 30 states, Canada, the Bahamas and the Caribbean Islands. In the western United States, Martin Marietta also provides cement and downstream products, namely, ready mixed concrete, asphalt and paving services, in markets where the Company has a leading aggregates position. Specifically, the Company has two cement plants in Texas, five cement distribution facilities and 152 ready mixed concrete and asphalt plants in Texas, Colorado, Louisiana and Arkansas. The Company’s heavy-side building materials are used in infrastructure, nonresidential and residential construction projects. Aggregates are also used in agricultural, utility and environmental applications and as railroad ballast. The aggregates, cement, ready mixed concrete and asphalt and paving product lines are reported collectively as the “Building Materials” business. As of December 31, 2017, the Building Materials business contains the following reportable segments: Mid-America Group, Southeast Group and West Group. The Mid-America Group operates in Indiana, Iowa, northern Kansas, Kentucky, Maryland, Minnesota, Missouri, eastern Nebraska, North Carolina, Ohio, South Carolina, Virginia, Washington and West Virginia. The Southeast Group has operations in Alabama, Florida, Georgia, Tennessee, Nova Scotia and the Bahamas. The West Group operates in Arkansas, Colorado, southern Kansas, Louisiana, western Nebraska, Nevada, Oklahoma, Texas, Utah and Wyoming. The following states accounted for 74% of the Building Materials business’ 2017 net sales: Texas, Colorado, North Carolina, Iowa and Georgia.</w:t>
      </w:r>
    </w:p>
    <w:p>
      <w:pPr>
        <w:spacing w:after="0" w:line="208"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The Company also operates a Magnesia Specialties business, which produces magnesia-based chemical products used in industrial, agricultural and environmental applications, and dolomitic lime sold primarily to customers in the steel and mining industries. Magnesia Specialties’ production facilities are located in Ohio and Michigan, and products are shipped to customers worldwide.</w:t>
      </w:r>
    </w:p>
    <w:p>
      <w:pPr>
        <w:spacing w:after="0" w:line="174" w:lineRule="exact"/>
        <w:rPr>
          <w:sz w:val="20"/>
          <w:szCs w:val="20"/>
          <w:color w:val="auto"/>
        </w:rPr>
      </w:pPr>
    </w:p>
    <w:p>
      <w:pPr>
        <w:jc w:val="both"/>
        <w:spacing w:after="0" w:line="244" w:lineRule="auto"/>
        <w:rPr>
          <w:sz w:val="20"/>
          <w:szCs w:val="20"/>
          <w:color w:val="auto"/>
        </w:rPr>
      </w:pPr>
      <w:r>
        <w:rPr>
          <w:rFonts w:ascii="Arial" w:cs="Arial" w:eastAsia="Arial" w:hAnsi="Arial"/>
          <w:sz w:val="16"/>
          <w:szCs w:val="16"/>
          <w:b w:val="1"/>
          <w:bCs w:val="1"/>
          <w:i w:val="1"/>
          <w:iCs w:val="1"/>
          <w:color w:val="49B28F"/>
        </w:rPr>
        <w:t xml:space="preserve">Use of Estimates. </w:t>
      </w:r>
      <w:r>
        <w:rPr>
          <w:rFonts w:ascii="Arial" w:cs="Arial" w:eastAsia="Arial" w:hAnsi="Arial"/>
          <w:sz w:val="16"/>
          <w:szCs w:val="16"/>
          <w:color w:val="000000"/>
        </w:rPr>
        <w:t>The preparation of the Company’s consolidated</w:t>
      </w:r>
      <w:r>
        <w:rPr>
          <w:rFonts w:ascii="Arial" w:cs="Arial" w:eastAsia="Arial" w:hAnsi="Arial"/>
          <w:sz w:val="16"/>
          <w:szCs w:val="16"/>
          <w:b w:val="1"/>
          <w:bCs w:val="1"/>
          <w:i w:val="1"/>
          <w:iCs w:val="1"/>
          <w:color w:val="49B28F"/>
        </w:rPr>
        <w:t xml:space="preserve"> </w:t>
      </w:r>
      <w:r>
        <w:rPr>
          <w:rFonts w:ascii="Arial" w:cs="Arial" w:eastAsia="Arial" w:hAnsi="Arial"/>
          <w:sz w:val="16"/>
          <w:szCs w:val="16"/>
          <w:color w:val="000000"/>
        </w:rPr>
        <w:t>financial statements in conformity with accounting principles generally accepted in the United States (U.S. GAAP) requires management to make certain estimates and assumptions about future events. These estimates and the underlying assumptions affect the amounts of assets and liabilities reported, disclosures about contingent assets and liabilities and reported amounts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revenues and expenses. Such estimates include the valuation of accounts receivable, inventories, goodwill, intangible assets and other long-lived assets and assumptions used in the calculation of income tax (benefit) expense, retirement and other postemployment benefits, and the allocation of the purchase price to the fair values of assets acquired and liabilities assumed as part of business combinations. These estimates and assumptions are based on management’s judgment. Management evaluates estimates and assumptions on an ongoing basis using historical experience and other factors, including the current economic environment, and adjusts such estimates and assumptions when facts and circumstances dictate. Changes in credit, equity and energy markets and changes in construction activity increase the uncertainty inherent in certain estimates and assumptions. As future events and their effects cannot be determined with precision, actual results could differ significantly from estimates. Changes in estimates, including those resulting from continuing changes in the economic environment, are reflected in the consolidated financial statements for the period in which the change in estimate occurs.</w:t>
      </w:r>
    </w:p>
    <w:p>
      <w:pPr>
        <w:spacing w:after="0" w:line="175" w:lineRule="exact"/>
        <w:rPr>
          <w:sz w:val="20"/>
          <w:szCs w:val="20"/>
          <w:color w:val="auto"/>
        </w:rPr>
      </w:pPr>
    </w:p>
    <w:p>
      <w:pPr>
        <w:jc w:val="both"/>
        <w:spacing w:after="0" w:line="244" w:lineRule="auto"/>
        <w:rPr>
          <w:sz w:val="20"/>
          <w:szCs w:val="20"/>
          <w:color w:val="auto"/>
        </w:rPr>
      </w:pPr>
      <w:r>
        <w:rPr>
          <w:rFonts w:ascii="Arial" w:cs="Arial" w:eastAsia="Arial" w:hAnsi="Arial"/>
          <w:sz w:val="16"/>
          <w:szCs w:val="16"/>
          <w:b w:val="1"/>
          <w:bCs w:val="1"/>
          <w:i w:val="1"/>
          <w:iCs w:val="1"/>
          <w:color w:val="49B28F"/>
        </w:rPr>
        <w:t xml:space="preserve">Basis of Consolidation. </w:t>
      </w:r>
      <w:r>
        <w:rPr>
          <w:rFonts w:ascii="Arial" w:cs="Arial" w:eastAsia="Arial" w:hAnsi="Arial"/>
          <w:sz w:val="16"/>
          <w:szCs w:val="16"/>
          <w:color w:val="000000"/>
        </w:rPr>
        <w:t>The consolidated financial statements include the</w:t>
      </w:r>
      <w:r>
        <w:rPr>
          <w:rFonts w:ascii="Arial" w:cs="Arial" w:eastAsia="Arial" w:hAnsi="Arial"/>
          <w:sz w:val="16"/>
          <w:szCs w:val="16"/>
          <w:b w:val="1"/>
          <w:bCs w:val="1"/>
          <w:i w:val="1"/>
          <w:iCs w:val="1"/>
          <w:color w:val="49B28F"/>
        </w:rPr>
        <w:t xml:space="preserve"> </w:t>
      </w:r>
      <w:r>
        <w:rPr>
          <w:rFonts w:ascii="Arial" w:cs="Arial" w:eastAsia="Arial" w:hAnsi="Arial"/>
          <w:sz w:val="16"/>
          <w:szCs w:val="16"/>
          <w:color w:val="000000"/>
        </w:rPr>
        <w:t>accounts of the Company and its wholly-owned and majority-owned subsidiaries. Partially-owned affiliates are either consolidated or accounted for at cost or as equity investments, depending on the level of ownership interest or the Company’s ability to exercise control over the affiliates’ operations. Intercompany balances and transactions have been eliminated in consolidation.</w:t>
      </w:r>
    </w:p>
    <w:p>
      <w:pPr>
        <w:spacing w:after="0" w:line="170" w:lineRule="exact"/>
        <w:rPr>
          <w:sz w:val="20"/>
          <w:szCs w:val="20"/>
          <w:color w:val="auto"/>
        </w:rPr>
      </w:pPr>
    </w:p>
    <w:p>
      <w:pPr>
        <w:jc w:val="both"/>
        <w:spacing w:after="0"/>
        <w:rPr>
          <w:sz w:val="20"/>
          <w:szCs w:val="20"/>
          <w:color w:val="auto"/>
        </w:rPr>
      </w:pPr>
      <w:r>
        <w:rPr>
          <w:rFonts w:ascii="Arial" w:cs="Arial" w:eastAsia="Arial" w:hAnsi="Arial"/>
          <w:sz w:val="16"/>
          <w:szCs w:val="16"/>
          <w:b w:val="1"/>
          <w:bCs w:val="1"/>
          <w:i w:val="1"/>
          <w:iCs w:val="1"/>
          <w:color w:val="49B28F"/>
        </w:rPr>
        <w:t xml:space="preserve">Revenue Recognition. </w:t>
      </w:r>
      <w:r>
        <w:rPr>
          <w:rFonts w:ascii="Arial" w:cs="Arial" w:eastAsia="Arial" w:hAnsi="Arial"/>
          <w:sz w:val="16"/>
          <w:szCs w:val="16"/>
          <w:color w:val="000000"/>
        </w:rPr>
        <w:t>Total revenues include sales of materials and</w:t>
      </w:r>
      <w:r>
        <w:rPr>
          <w:rFonts w:ascii="Arial" w:cs="Arial" w:eastAsia="Arial" w:hAnsi="Arial"/>
          <w:sz w:val="16"/>
          <w:szCs w:val="16"/>
          <w:b w:val="1"/>
          <w:bCs w:val="1"/>
          <w:i w:val="1"/>
          <w:iCs w:val="1"/>
          <w:color w:val="49B28F"/>
        </w:rPr>
        <w:t xml:space="preserve"> </w:t>
      </w:r>
      <w:r>
        <w:rPr>
          <w:rFonts w:ascii="Arial" w:cs="Arial" w:eastAsia="Arial" w:hAnsi="Arial"/>
          <w:sz w:val="16"/>
          <w:szCs w:val="16"/>
          <w:color w:val="000000"/>
        </w:rPr>
        <w:t>services provided to customers, net of discounts or allowances, if any, and include freight and delivery costs billed to customers. Revenues for product sales are recognized when risks associated with ownership have passed to unaffiliated customers. Typically, this occurs when finished products are shipped. Revenues derived from the paving business are recognized using the percentage-of-completion method under the revenue-cost approach. Under the revenue-cost approach, recognized contract revenue equals the total estimated contract revenue multiplied by the percentage of completion. Recognized costs equal the total estimated contract cost multiplied by the percentage of completion. The percentage of completion is determined by costs incurred to date as a percentage of total costs estimated for the project.</w:t>
      </w:r>
    </w:p>
    <w:p>
      <w:pPr>
        <w:spacing w:after="0" w:line="362" w:lineRule="exact"/>
        <w:rPr>
          <w:sz w:val="20"/>
          <w:szCs w:val="20"/>
          <w:color w:val="auto"/>
        </w:rPr>
      </w:pPr>
    </w:p>
    <w:p>
      <w:pPr>
        <w:jc w:val="both"/>
        <w:spacing w:after="0" w:line="279" w:lineRule="auto"/>
        <w:rPr>
          <w:sz w:val="20"/>
          <w:szCs w:val="20"/>
          <w:color w:val="auto"/>
        </w:rPr>
      </w:pPr>
      <w:r>
        <w:rPr>
          <w:rFonts w:ascii="Arial" w:cs="Arial" w:eastAsia="Arial" w:hAnsi="Arial"/>
          <w:sz w:val="16"/>
          <w:szCs w:val="16"/>
          <w:b w:val="1"/>
          <w:bCs w:val="1"/>
          <w:i w:val="1"/>
          <w:iCs w:val="1"/>
          <w:color w:val="49B28F"/>
        </w:rPr>
        <w:t xml:space="preserve">Freight and Delivery Costs. </w:t>
      </w:r>
      <w:r>
        <w:rPr>
          <w:rFonts w:ascii="Arial" w:cs="Arial" w:eastAsia="Arial" w:hAnsi="Arial"/>
          <w:sz w:val="16"/>
          <w:szCs w:val="16"/>
          <w:color w:val="000000"/>
        </w:rPr>
        <w:t>Freight and delivery costs represent pass-through transportation costs incurred and paid</w:t>
      </w:r>
    </w:p>
    <w:p>
      <w:pPr>
        <w:spacing w:after="0" w:line="200" w:lineRule="exact"/>
        <w:rPr>
          <w:sz w:val="20"/>
          <w:szCs w:val="20"/>
          <w:color w:val="auto"/>
        </w:rPr>
      </w:pPr>
    </w:p>
    <w:p>
      <w:pPr>
        <w:sectPr>
          <w:pgSz w:w="11900" w:h="16838" w:orient="portrait"/>
          <w:cols w:equalWidth="0" w:num="2">
            <w:col w:w="5480" w:space="360"/>
            <w:col w:w="5580"/>
          </w:cols>
          <w:pgMar w:left="240" w:top="259" w:right="239" w:bottom="1440" w:gutter="0" w:footer="0" w:header="0"/>
          <w:type w:val="continuous"/>
        </w:sectPr>
      </w:pP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15</w:t>
      </w:r>
    </w:p>
    <w:p>
      <w:pPr>
        <w:sectPr>
          <w:pgSz w:w="11900" w:h="16838" w:orient="portrait"/>
          <w:cols w:equalWidth="0" w:num="1">
            <w:col w:w="11420"/>
          </w:cols>
          <w:pgMar w:left="240" w:top="259" w:right="239" w:bottom="1440" w:gutter="0" w:footer="0" w:header="0"/>
          <w:type w:val="continuous"/>
        </w:sectPr>
      </w:pPr>
    </w:p>
    <w:bookmarkStart w:id="68" w:name="page69"/>
    <w:bookmarkEnd w:id="68"/>
    <w:p>
      <w:pPr>
        <w:jc w:val="center"/>
        <w:ind w:right="-19"/>
        <w:spacing w:after="0"/>
        <w:rPr>
          <w:sz w:val="20"/>
          <w:szCs w:val="20"/>
          <w:color w:val="auto"/>
        </w:rPr>
      </w:pPr>
      <w:r>
        <w:rPr>
          <w:rFonts w:ascii="Arial" w:cs="Arial" w:eastAsia="Arial" w:hAnsi="Arial"/>
          <w:sz w:val="17"/>
          <w:szCs w:val="17"/>
          <w:b w:val="1"/>
          <w:bCs w:val="1"/>
          <w:color w:val="0085CD"/>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4">
                      <a:extLst>
                        <a:ext uri="{28A0092B-C50C-407E-A947-70E740481C1C}"/>
                      </a:extLst>
                    </a:blip>
                    <a:srcRect/>
                    <a:stretch>
                      <a:fillRect/>
                    </a:stretch>
                  </pic:blipFill>
                  <pic:spPr bwMode="auto">
                    <a:xfrm>
                      <a:off x="0" y="0"/>
                      <a:ext cx="7293610" cy="37465"/>
                    </a:xfrm>
                    <a:prstGeom prst="rect">
                      <a:avLst/>
                    </a:prstGeom>
                    <a:noFill/>
                  </pic:spPr>
                </pic:pic>
              </a:graphicData>
            </a:graphic>
          </wp:anchor>
        </w:drawing>
        <w:t xml:space="preserve">NOTES TO FINANCIAL STATEMENTS </w:t>
      </w:r>
      <w:r>
        <w:rPr>
          <w:rFonts w:ascii="Arial" w:cs="Arial" w:eastAsia="Arial" w:hAnsi="Arial"/>
          <w:sz w:val="15"/>
          <w:szCs w:val="15"/>
          <w:color w:val="0085CD"/>
        </w:rPr>
        <w:t>(continued)</w:t>
      </w:r>
    </w:p>
    <w:p>
      <w:pPr>
        <w:sectPr>
          <w:pgSz w:w="11900" w:h="16838" w:orient="portrait"/>
          <w:cols w:equalWidth="0" w:num="1">
            <w:col w:w="11420"/>
          </w:cols>
          <w:pgMar w:left="240" w:top="2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color w:val="auto"/>
        </w:rPr>
        <w:t>by the Company to third-party carriers to deliver products to customers.</w:t>
      </w:r>
    </w:p>
    <w:p>
      <w:pPr>
        <w:spacing w:after="0"/>
        <w:rPr>
          <w:sz w:val="20"/>
          <w:szCs w:val="20"/>
          <w:color w:val="auto"/>
        </w:rPr>
      </w:pPr>
      <w:r>
        <w:rPr>
          <w:rFonts w:ascii="Arial" w:cs="Arial" w:eastAsia="Arial" w:hAnsi="Arial"/>
          <w:sz w:val="16"/>
          <w:szCs w:val="16"/>
          <w:color w:val="auto"/>
        </w:rPr>
        <w:t>These costs are then billed to the customers.</w:t>
      </w:r>
    </w:p>
    <w:p>
      <w:pPr>
        <w:spacing w:after="0" w:line="185" w:lineRule="exact"/>
        <w:rPr>
          <w:sz w:val="20"/>
          <w:szCs w:val="20"/>
          <w:color w:val="auto"/>
        </w:rPr>
      </w:pPr>
    </w:p>
    <w:p>
      <w:pPr>
        <w:jc w:val="both"/>
        <w:spacing w:after="0" w:line="241" w:lineRule="auto"/>
        <w:rPr>
          <w:sz w:val="20"/>
          <w:szCs w:val="20"/>
          <w:color w:val="auto"/>
        </w:rPr>
      </w:pPr>
      <w:r>
        <w:rPr>
          <w:rFonts w:ascii="Arial" w:cs="Arial" w:eastAsia="Arial" w:hAnsi="Arial"/>
          <w:sz w:val="16"/>
          <w:szCs w:val="16"/>
          <w:b w:val="1"/>
          <w:bCs w:val="1"/>
          <w:i w:val="1"/>
          <w:iCs w:val="1"/>
          <w:color w:val="49B28F"/>
        </w:rPr>
        <w:t xml:space="preserve">Cash and Cash Equivalents. </w:t>
      </w:r>
      <w:r>
        <w:rPr>
          <w:rFonts w:ascii="Arial" w:cs="Arial" w:eastAsia="Arial" w:hAnsi="Arial"/>
          <w:sz w:val="16"/>
          <w:szCs w:val="16"/>
          <w:color w:val="000000"/>
        </w:rPr>
        <w:t>Cash equivalents are comprised of highly-liquid instruments with original maturities of three months or less from the date of purchase. The Company manages its cash and cash equivalents to ensure short-term operating cash needs are met and excess funds are managed efficiently. When operating cash is not sufficient to meet current needs, the Company borrows money under its existing credit facilities. The Company utilizes excess cash to either pay down credit facility borrowings or invest in money market funds, money market demand deposit accounts or offshore time deposit accounts. Money market demand deposits and offshore time deposit accounts are exposed to bank solvency risk.</w:t>
      </w:r>
    </w:p>
    <w:p>
      <w:pPr>
        <w:spacing w:after="0" w:line="177" w:lineRule="exact"/>
        <w:rPr>
          <w:sz w:val="20"/>
          <w:szCs w:val="20"/>
          <w:color w:val="auto"/>
        </w:rPr>
      </w:pPr>
    </w:p>
    <w:p>
      <w:pPr>
        <w:jc w:val="both"/>
        <w:spacing w:after="0" w:line="243" w:lineRule="auto"/>
        <w:rPr>
          <w:sz w:val="20"/>
          <w:szCs w:val="20"/>
          <w:color w:val="auto"/>
        </w:rPr>
      </w:pPr>
      <w:r>
        <w:rPr>
          <w:rFonts w:ascii="Arial" w:cs="Arial" w:eastAsia="Arial" w:hAnsi="Arial"/>
          <w:sz w:val="16"/>
          <w:szCs w:val="16"/>
          <w:b w:val="1"/>
          <w:bCs w:val="1"/>
          <w:i w:val="1"/>
          <w:iCs w:val="1"/>
          <w:color w:val="49B28F"/>
        </w:rPr>
        <w:t xml:space="preserve">Customer Receivables. </w:t>
      </w:r>
      <w:r>
        <w:rPr>
          <w:rFonts w:ascii="Arial" w:cs="Arial" w:eastAsia="Arial" w:hAnsi="Arial"/>
          <w:sz w:val="16"/>
          <w:szCs w:val="16"/>
          <w:color w:val="000000"/>
        </w:rPr>
        <w:t>Customer receivables are stated at cost. The</w:t>
      </w:r>
      <w:r>
        <w:rPr>
          <w:rFonts w:ascii="Arial" w:cs="Arial" w:eastAsia="Arial" w:hAnsi="Arial"/>
          <w:sz w:val="16"/>
          <w:szCs w:val="16"/>
          <w:b w:val="1"/>
          <w:bCs w:val="1"/>
          <w:i w:val="1"/>
          <w:iCs w:val="1"/>
          <w:color w:val="49B28F"/>
        </w:rPr>
        <w:t xml:space="preserve"> </w:t>
      </w:r>
      <w:r>
        <w:rPr>
          <w:rFonts w:ascii="Arial" w:cs="Arial" w:eastAsia="Arial" w:hAnsi="Arial"/>
          <w:sz w:val="16"/>
          <w:szCs w:val="16"/>
          <w:color w:val="000000"/>
        </w:rPr>
        <w:t>Company does not typically charge interest on customer accounts receivables. The Company records an allowance for doubtful accounts, which includes a provision for probable losses based on historical write offs and a specific reserve for accounts deemed at risk. The Company writes off customer receivables as bad debt expense when it becomes probable based upon customer facts and circumstances that such amounts will not be collected.</w:t>
      </w:r>
    </w:p>
    <w:p>
      <w:pPr>
        <w:spacing w:after="0" w:line="171" w:lineRule="exact"/>
        <w:rPr>
          <w:sz w:val="20"/>
          <w:szCs w:val="20"/>
          <w:color w:val="auto"/>
        </w:rPr>
      </w:pPr>
    </w:p>
    <w:p>
      <w:pPr>
        <w:jc w:val="both"/>
        <w:spacing w:after="0" w:line="242" w:lineRule="auto"/>
        <w:rPr>
          <w:sz w:val="20"/>
          <w:szCs w:val="20"/>
          <w:color w:val="auto"/>
        </w:rPr>
      </w:pPr>
      <w:r>
        <w:rPr>
          <w:rFonts w:ascii="Arial" w:cs="Arial" w:eastAsia="Arial" w:hAnsi="Arial"/>
          <w:sz w:val="16"/>
          <w:szCs w:val="16"/>
          <w:b w:val="1"/>
          <w:bCs w:val="1"/>
          <w:i w:val="1"/>
          <w:iCs w:val="1"/>
          <w:color w:val="49B28F"/>
        </w:rPr>
        <w:t xml:space="preserve">Inventories Valuation. </w:t>
      </w:r>
      <w:r>
        <w:rPr>
          <w:rFonts w:ascii="Arial" w:cs="Arial" w:eastAsia="Arial" w:hAnsi="Arial"/>
          <w:sz w:val="16"/>
          <w:szCs w:val="16"/>
          <w:color w:val="000000"/>
        </w:rPr>
        <w:t>Inventories are stated at the lower of cost or net</w:t>
      </w:r>
      <w:r>
        <w:rPr>
          <w:rFonts w:ascii="Arial" w:cs="Arial" w:eastAsia="Arial" w:hAnsi="Arial"/>
          <w:sz w:val="16"/>
          <w:szCs w:val="16"/>
          <w:b w:val="1"/>
          <w:bCs w:val="1"/>
          <w:i w:val="1"/>
          <w:iCs w:val="1"/>
          <w:color w:val="49B28F"/>
        </w:rPr>
        <w:t xml:space="preserve"> </w:t>
      </w:r>
      <w:r>
        <w:rPr>
          <w:rFonts w:ascii="Arial" w:cs="Arial" w:eastAsia="Arial" w:hAnsi="Arial"/>
          <w:sz w:val="16"/>
          <w:szCs w:val="16"/>
          <w:color w:val="000000"/>
        </w:rPr>
        <w:t>realizable value. Costs for finished products and in process inventories are determined by the first-in, first-out method. Carrying value for expendable parts and supplies are determined by the weighted-average cost method. The Company records an allowance for finished product inventories based on an analysis of inventory on hand in excess of historical sales for a twelve-month period or five-year average and future demand. The Company also establishes an allowance for expendable parts over five years old and supplies over one year old.</w:t>
      </w:r>
    </w:p>
    <w:p>
      <w:pPr>
        <w:spacing w:after="0" w:line="193"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Post-production stripping costs, which represent costs of removing overburden and waste materials to access mineral deposits, are a component of inventory production costs and recognized in cost of sales in the same period as the revenue from the sale of the inventory.</w:t>
      </w:r>
    </w:p>
    <w:p>
      <w:pPr>
        <w:spacing w:after="0" w:line="172" w:lineRule="exact"/>
        <w:rPr>
          <w:sz w:val="20"/>
          <w:szCs w:val="20"/>
          <w:color w:val="auto"/>
        </w:rPr>
      </w:pPr>
    </w:p>
    <w:p>
      <w:pPr>
        <w:jc w:val="both"/>
        <w:spacing w:after="0" w:line="279" w:lineRule="auto"/>
        <w:rPr>
          <w:sz w:val="20"/>
          <w:szCs w:val="20"/>
          <w:color w:val="auto"/>
        </w:rPr>
      </w:pPr>
      <w:r>
        <w:rPr>
          <w:rFonts w:ascii="Arial" w:cs="Arial" w:eastAsia="Arial" w:hAnsi="Arial"/>
          <w:sz w:val="16"/>
          <w:szCs w:val="16"/>
          <w:b w:val="1"/>
          <w:bCs w:val="1"/>
          <w:i w:val="1"/>
          <w:iCs w:val="1"/>
          <w:color w:val="49B28F"/>
        </w:rPr>
        <w:t xml:space="preserve">Property, Plant and Equipment. </w:t>
      </w:r>
      <w:r>
        <w:rPr>
          <w:rFonts w:ascii="Arial" w:cs="Arial" w:eastAsia="Arial" w:hAnsi="Arial"/>
          <w:sz w:val="16"/>
          <w:szCs w:val="16"/>
          <w:color w:val="000000"/>
        </w:rPr>
        <w:t>Property, plant and equipment are stated</w:t>
      </w:r>
      <w:r>
        <w:rPr>
          <w:rFonts w:ascii="Arial" w:cs="Arial" w:eastAsia="Arial" w:hAnsi="Arial"/>
          <w:sz w:val="16"/>
          <w:szCs w:val="16"/>
          <w:b w:val="1"/>
          <w:bCs w:val="1"/>
          <w:i w:val="1"/>
          <w:iCs w:val="1"/>
          <w:color w:val="49B28F"/>
        </w:rPr>
        <w:t xml:space="preserve"> </w:t>
      </w:r>
      <w:r>
        <w:rPr>
          <w:rFonts w:ascii="Arial" w:cs="Arial" w:eastAsia="Arial" w:hAnsi="Arial"/>
          <w:sz w:val="16"/>
          <w:szCs w:val="16"/>
          <w:color w:val="000000"/>
        </w:rPr>
        <w:t>at cost.</w:t>
      </w:r>
    </w:p>
    <w:p>
      <w:pPr>
        <w:spacing w:after="0" w:line="163"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The estimated service lives for property, plant and equipment are as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2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Class of Assets</w:t>
            </w:r>
          </w:p>
        </w:tc>
        <w:tc>
          <w:tcPr>
            <w:tcW w:w="2220" w:type="dxa"/>
            <w:vAlign w:val="bottom"/>
          </w:tcPr>
          <w:p>
            <w:pPr>
              <w:spacing w:after="0"/>
              <w:rPr>
                <w:sz w:val="16"/>
                <w:szCs w:val="16"/>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Range of Service Lives</w:t>
            </w:r>
          </w:p>
        </w:tc>
      </w:tr>
      <w:tr>
        <w:trPr>
          <w:trHeight w:val="158"/>
        </w:trPr>
        <w:tc>
          <w:tcPr>
            <w:tcW w:w="3440" w:type="dxa"/>
            <w:vAlign w:val="bottom"/>
            <w:gridSpan w:val="2"/>
          </w:tcPr>
          <w:p>
            <w:pPr>
              <w:spacing w:after="0" w:line="159" w:lineRule="exact"/>
              <w:rPr>
                <w:sz w:val="20"/>
                <w:szCs w:val="20"/>
                <w:color w:val="auto"/>
              </w:rPr>
            </w:pPr>
            <w:r>
              <w:rPr>
                <w:rFonts w:ascii="Arial" w:cs="Arial" w:eastAsia="Arial" w:hAnsi="Arial"/>
                <w:sz w:val="15"/>
                <w:szCs w:val="15"/>
                <w:color w:val="auto"/>
              </w:rPr>
              <w:t>Buildings</w:t>
            </w:r>
          </w:p>
        </w:tc>
        <w:tc>
          <w:tcPr>
            <w:tcW w:w="1780" w:type="dxa"/>
            <w:vAlign w:val="bottom"/>
          </w:tcPr>
          <w:p>
            <w:pPr>
              <w:jc w:val="center"/>
              <w:spacing w:after="0" w:line="159" w:lineRule="exact"/>
              <w:rPr>
                <w:sz w:val="20"/>
                <w:szCs w:val="20"/>
                <w:color w:val="auto"/>
              </w:rPr>
            </w:pPr>
            <w:r>
              <w:rPr>
                <w:rFonts w:ascii="Arial" w:cs="Arial" w:eastAsia="Arial" w:hAnsi="Arial"/>
                <w:sz w:val="15"/>
                <w:szCs w:val="15"/>
                <w:color w:val="auto"/>
                <w:w w:val="99"/>
              </w:rPr>
              <w:t>5 to 20 years</w:t>
            </w:r>
          </w:p>
        </w:tc>
      </w:tr>
      <w:tr>
        <w:trPr>
          <w:trHeight w:val="156"/>
        </w:trPr>
        <w:tc>
          <w:tcPr>
            <w:tcW w:w="3440" w:type="dxa"/>
            <w:vAlign w:val="bottom"/>
            <w:gridSpan w:val="2"/>
          </w:tcPr>
          <w:p>
            <w:pPr>
              <w:spacing w:after="0" w:line="156" w:lineRule="exact"/>
              <w:rPr>
                <w:sz w:val="20"/>
                <w:szCs w:val="20"/>
                <w:color w:val="auto"/>
              </w:rPr>
            </w:pPr>
            <w:r>
              <w:rPr>
                <w:rFonts w:ascii="Arial" w:cs="Arial" w:eastAsia="Arial" w:hAnsi="Arial"/>
                <w:sz w:val="15"/>
                <w:szCs w:val="15"/>
                <w:color w:val="auto"/>
              </w:rPr>
              <w:t>Machinery &amp; Equipment</w:t>
            </w:r>
          </w:p>
        </w:tc>
        <w:tc>
          <w:tcPr>
            <w:tcW w:w="1780" w:type="dxa"/>
            <w:vAlign w:val="bottom"/>
          </w:tcPr>
          <w:p>
            <w:pPr>
              <w:jc w:val="center"/>
              <w:spacing w:after="0" w:line="156" w:lineRule="exact"/>
              <w:rPr>
                <w:sz w:val="20"/>
                <w:szCs w:val="20"/>
                <w:color w:val="auto"/>
              </w:rPr>
            </w:pPr>
            <w:r>
              <w:rPr>
                <w:rFonts w:ascii="Arial" w:cs="Arial" w:eastAsia="Arial" w:hAnsi="Arial"/>
                <w:sz w:val="15"/>
                <w:szCs w:val="15"/>
                <w:color w:val="auto"/>
                <w:w w:val="99"/>
              </w:rPr>
              <w:t>2 to 20 years</w:t>
            </w:r>
          </w:p>
        </w:tc>
      </w:tr>
      <w:tr>
        <w:trPr>
          <w:trHeight w:val="177"/>
        </w:trPr>
        <w:tc>
          <w:tcPr>
            <w:tcW w:w="3440" w:type="dxa"/>
            <w:vAlign w:val="bottom"/>
            <w:gridSpan w:val="2"/>
          </w:tcPr>
          <w:p>
            <w:pPr>
              <w:spacing w:after="0"/>
              <w:rPr>
                <w:sz w:val="20"/>
                <w:szCs w:val="20"/>
                <w:color w:val="auto"/>
              </w:rPr>
            </w:pPr>
            <w:r>
              <w:rPr>
                <w:rFonts w:ascii="Arial" w:cs="Arial" w:eastAsia="Arial" w:hAnsi="Arial"/>
                <w:sz w:val="15"/>
                <w:szCs w:val="15"/>
                <w:color w:val="auto"/>
              </w:rPr>
              <w:t>Land Improvements</w:t>
            </w:r>
          </w:p>
        </w:tc>
        <w:tc>
          <w:tcPr>
            <w:tcW w:w="1780" w:type="dxa"/>
            <w:vAlign w:val="bottom"/>
          </w:tcPr>
          <w:p>
            <w:pPr>
              <w:jc w:val="center"/>
              <w:spacing w:after="0"/>
              <w:rPr>
                <w:sz w:val="20"/>
                <w:szCs w:val="20"/>
                <w:color w:val="auto"/>
              </w:rPr>
            </w:pPr>
            <w:r>
              <w:rPr>
                <w:rFonts w:ascii="Arial" w:cs="Arial" w:eastAsia="Arial" w:hAnsi="Arial"/>
                <w:sz w:val="15"/>
                <w:szCs w:val="15"/>
                <w:color w:val="auto"/>
                <w:w w:val="99"/>
              </w:rPr>
              <w:t>5 to 60 years</w:t>
            </w:r>
          </w:p>
        </w:tc>
      </w:tr>
    </w:tbl>
    <w:p>
      <w:pPr>
        <w:spacing w:after="0" w:line="184"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The Company begins capitalizing quarry development costs at a point when reserves are determined to be proven or probable, economically mineable and when demand supports investment in the market. Capitalization of these costs ceases when production commences. Capitalized quarry development costs are classified as land improvements and depreciated over the life of the reserves.</w:t>
      </w:r>
    </w:p>
    <w:p>
      <w:pPr>
        <w:spacing w:after="0" w:line="194"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The Company reviews relevant facts and circumstances to determine whether to capitalize or expense pre-production stripping costs when additional pits are developed at an existing quarry. If the additional pit operates in a separate and distinct area of the quarry, these costs are capitalized as quarry development costs and depreciated over the life of the uncovered reserves. Additionally, a separate asset retirement obligation is created for additional pits when the liability is incurred. Once a pit enters the production phase, all post-production stripping costs are charged to inventory production costs as incurred.</w:t>
      </w:r>
    </w:p>
    <w:p>
      <w:pPr>
        <w:spacing w:after="0" w:line="371"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Mineral reserves and mineral interests acquired in connection with a business combination are valued using an income approach over the life of the reserves.</w:t>
      </w:r>
    </w:p>
    <w:p>
      <w:pPr>
        <w:spacing w:after="0" w:line="189"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Depreciation is computed based on estimated service lives, principally using the straight-line method. Depletion of mineral reserves is calculated based on proven and probable reserves using the units-of-production method on a quarry-by-quarry basis.</w:t>
      </w:r>
    </w:p>
    <w:p>
      <w:pPr>
        <w:spacing w:after="0" w:line="192"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Property, plant and equipment are reviewed for impairment whenever facts and circumstances indicate that the carrying amount of an asset group may not be recoverable. An impairment loss is recognized if expected future undiscounted cash flows over the estimated remaining service life of the related asset are less than the asset’s carrying value.</w:t>
      </w:r>
    </w:p>
    <w:p>
      <w:pPr>
        <w:spacing w:after="0" w:line="17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b w:val="1"/>
          <w:bCs w:val="1"/>
          <w:i w:val="1"/>
          <w:iCs w:val="1"/>
          <w:color w:val="49B28F"/>
        </w:rPr>
        <w:t xml:space="preserve">Repair and Maintenance Costs. </w:t>
      </w:r>
      <w:r>
        <w:rPr>
          <w:rFonts w:ascii="Arial" w:cs="Arial" w:eastAsia="Arial" w:hAnsi="Arial"/>
          <w:sz w:val="16"/>
          <w:szCs w:val="16"/>
          <w:color w:val="000000"/>
        </w:rPr>
        <w:t>Repair and maintenance costs that do not</w:t>
      </w:r>
      <w:r>
        <w:rPr>
          <w:rFonts w:ascii="Arial" w:cs="Arial" w:eastAsia="Arial" w:hAnsi="Arial"/>
          <w:sz w:val="16"/>
          <w:szCs w:val="16"/>
          <w:b w:val="1"/>
          <w:bCs w:val="1"/>
          <w:i w:val="1"/>
          <w:iCs w:val="1"/>
          <w:color w:val="49B28F"/>
        </w:rPr>
        <w:t xml:space="preserve"> </w:t>
      </w:r>
      <w:r>
        <w:rPr>
          <w:rFonts w:ascii="Arial" w:cs="Arial" w:eastAsia="Arial" w:hAnsi="Arial"/>
          <w:sz w:val="16"/>
          <w:szCs w:val="16"/>
          <w:color w:val="000000"/>
        </w:rPr>
        <w:t>substantially extend the life of the Company’s plant and equipment are expensed as incurred.</w:t>
      </w:r>
    </w:p>
    <w:p>
      <w:pPr>
        <w:spacing w:after="0" w:line="159" w:lineRule="exact"/>
        <w:rPr>
          <w:sz w:val="20"/>
          <w:szCs w:val="20"/>
          <w:color w:val="auto"/>
        </w:rPr>
      </w:pPr>
    </w:p>
    <w:p>
      <w:pPr>
        <w:jc w:val="both"/>
        <w:spacing w:after="0" w:line="279" w:lineRule="auto"/>
        <w:rPr>
          <w:sz w:val="20"/>
          <w:szCs w:val="20"/>
          <w:color w:val="auto"/>
        </w:rPr>
      </w:pPr>
      <w:r>
        <w:rPr>
          <w:rFonts w:ascii="Arial" w:cs="Arial" w:eastAsia="Arial" w:hAnsi="Arial"/>
          <w:sz w:val="16"/>
          <w:szCs w:val="16"/>
          <w:b w:val="1"/>
          <w:bCs w:val="1"/>
          <w:i w:val="1"/>
          <w:iCs w:val="1"/>
          <w:color w:val="49B28F"/>
        </w:rPr>
        <w:t xml:space="preserve">Goodwill and Intangible Assets. </w:t>
      </w:r>
      <w:r>
        <w:rPr>
          <w:rFonts w:ascii="Arial" w:cs="Arial" w:eastAsia="Arial" w:hAnsi="Arial"/>
          <w:sz w:val="16"/>
          <w:szCs w:val="16"/>
          <w:color w:val="000000"/>
        </w:rPr>
        <w:t>Goodwill represents the excess purchase</w:t>
      </w:r>
      <w:r>
        <w:rPr>
          <w:rFonts w:ascii="Arial" w:cs="Arial" w:eastAsia="Arial" w:hAnsi="Arial"/>
          <w:sz w:val="16"/>
          <w:szCs w:val="16"/>
          <w:b w:val="1"/>
          <w:bCs w:val="1"/>
          <w:i w:val="1"/>
          <w:iCs w:val="1"/>
          <w:color w:val="49B28F"/>
        </w:rPr>
        <w:t xml:space="preserve"> </w:t>
      </w:r>
      <w:r>
        <w:rPr>
          <w:rFonts w:ascii="Arial" w:cs="Arial" w:eastAsia="Arial" w:hAnsi="Arial"/>
          <w:sz w:val="16"/>
          <w:szCs w:val="16"/>
          <w:color w:val="000000"/>
        </w:rPr>
        <w:t>price paid for acquired businesses over</w:t>
      </w:r>
    </w:p>
    <w:p>
      <w:pPr>
        <w:spacing w:after="0" w:line="200" w:lineRule="exact"/>
        <w:rPr>
          <w:sz w:val="20"/>
          <w:szCs w:val="20"/>
          <w:color w:val="auto"/>
        </w:rPr>
      </w:pPr>
    </w:p>
    <w:p>
      <w:pPr>
        <w:sectPr>
          <w:pgSz w:w="11900" w:h="16838" w:orient="portrait"/>
          <w:cols w:equalWidth="0" w:num="2">
            <w:col w:w="5480" w:space="360"/>
            <w:col w:w="5580"/>
          </w:cols>
          <w:pgMar w:left="240" w:top="259" w:right="239" w:bottom="1440" w:gutter="0" w:footer="0" w:header="0"/>
          <w:type w:val="continuous"/>
        </w:sectPr>
      </w:pP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16</w:t>
      </w:r>
    </w:p>
    <w:p>
      <w:pPr>
        <w:sectPr>
          <w:pgSz w:w="11900" w:h="16838" w:orient="portrait"/>
          <w:cols w:equalWidth="0" w:num="1">
            <w:col w:w="11420"/>
          </w:cols>
          <w:pgMar w:left="240" w:top="259" w:right="239" w:bottom="1440" w:gutter="0" w:footer="0" w:header="0"/>
          <w:type w:val="continuous"/>
        </w:sectPr>
      </w:pPr>
    </w:p>
    <w:bookmarkStart w:id="69" w:name="page70"/>
    <w:bookmarkEnd w:id="69"/>
    <w:p>
      <w:pPr>
        <w:jc w:val="center"/>
        <w:ind w:right="-19"/>
        <w:spacing w:after="0"/>
        <w:rPr>
          <w:sz w:val="20"/>
          <w:szCs w:val="20"/>
          <w:color w:val="auto"/>
        </w:rPr>
      </w:pPr>
      <w:r>
        <w:rPr>
          <w:rFonts w:ascii="Arial" w:cs="Arial" w:eastAsia="Arial" w:hAnsi="Arial"/>
          <w:sz w:val="17"/>
          <w:szCs w:val="17"/>
          <w:b w:val="1"/>
          <w:bCs w:val="1"/>
          <w:color w:val="0085CD"/>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5">
                      <a:extLst>
                        <a:ext uri="{28A0092B-C50C-407E-A947-70E740481C1C}"/>
                      </a:extLst>
                    </a:blip>
                    <a:srcRect/>
                    <a:stretch>
                      <a:fillRect/>
                    </a:stretch>
                  </pic:blipFill>
                  <pic:spPr bwMode="auto">
                    <a:xfrm>
                      <a:off x="0" y="0"/>
                      <a:ext cx="7293610" cy="37465"/>
                    </a:xfrm>
                    <a:prstGeom prst="rect">
                      <a:avLst/>
                    </a:prstGeom>
                    <a:noFill/>
                  </pic:spPr>
                </pic:pic>
              </a:graphicData>
            </a:graphic>
          </wp:anchor>
        </w:drawing>
        <w:t xml:space="preserve">NOTES TO FINANCIAL STATEMENTS </w:t>
      </w:r>
      <w:r>
        <w:rPr>
          <w:rFonts w:ascii="Arial" w:cs="Arial" w:eastAsia="Arial" w:hAnsi="Arial"/>
          <w:sz w:val="15"/>
          <w:szCs w:val="15"/>
          <w:color w:val="0085CD"/>
        </w:rPr>
        <w:t>(continued)</w:t>
      </w:r>
    </w:p>
    <w:p>
      <w:pPr>
        <w:sectPr>
          <w:pgSz w:w="11900" w:h="16838" w:orient="portrait"/>
          <w:cols w:equalWidth="0" w:num="1">
            <w:col w:w="11420"/>
          </w:cols>
          <w:pgMar w:left="240" w:top="2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the estimated fair value of identifiable assets and liabilities. Other intangibles represent amounts assigned principally to contractual agreements and are amortized ratably over periods based on related contractual terms.</w:t>
      </w:r>
    </w:p>
    <w:p>
      <w:pPr>
        <w:spacing w:after="0" w:line="378"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The Company’s reporting units, which represent the level at which goodwill is tested for impairment, are based on the geographic segments of the Building Materials business. Goodwill is assigned to the respective reporting unit(s) based on the location of acquisitions at the time of consummation. Goodwill is tested for impairment by comparing the reporting unit’s fair value to its carrying value, which represents Step 1 of a two-step approach. However, prior to Step 1, the Company may perform an optional qualitative assessment and evaluate macroeconomic conditions, industry and market conditions, cost factors, overall financial performance and other business or reporting unit-specific events. If the Company concludes it is more-likely-than-not (i.e., a likelihood of more than 50%) that a reporting unit’s fair value is higher than its carrying value, the Company does not perform any further goodwill impairment testing for that reporting unit. Otherwise, it proceeds to Step 1 of its goodwill impairment analysis. The Company may bypass the qualitative assessment for any reporting unit in any period and proceed directly with the quantitative calculation in Step 1. If the reporting unit’s fair value exceeds its carrying value, no further calculation is necessary. A reporting unit with a carrying value in excess of its fair value constitutes a Step 1 failure and may lead to an impairment charge.</w:t>
      </w:r>
    </w:p>
    <w:p>
      <w:pPr>
        <w:spacing w:after="0" w:line="346"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The carrying values of goodwill and other indefinite-lived intangible assets are reviewed annually, as of October 1, for impairment. An interim review is performed between annual tests if facts and circumstances indicate potential impairment. The carrying value of other amortizable intangibles is reviewed if facts and circumstances indicate potential impairment. If a review indicates the carrying value is impaired, a charge is recorded.</w:t>
      </w:r>
    </w:p>
    <w:p>
      <w:pPr>
        <w:spacing w:after="0" w:line="174" w:lineRule="exact"/>
        <w:rPr>
          <w:sz w:val="20"/>
          <w:szCs w:val="20"/>
          <w:color w:val="auto"/>
        </w:rPr>
      </w:pPr>
    </w:p>
    <w:p>
      <w:pPr>
        <w:jc w:val="both"/>
        <w:spacing w:after="0" w:line="244" w:lineRule="auto"/>
        <w:rPr>
          <w:sz w:val="20"/>
          <w:szCs w:val="20"/>
          <w:color w:val="auto"/>
        </w:rPr>
      </w:pPr>
      <w:r>
        <w:rPr>
          <w:rFonts w:ascii="Arial" w:cs="Arial" w:eastAsia="Arial" w:hAnsi="Arial"/>
          <w:sz w:val="16"/>
          <w:szCs w:val="16"/>
          <w:b w:val="1"/>
          <w:bCs w:val="1"/>
          <w:i w:val="1"/>
          <w:iCs w:val="1"/>
          <w:color w:val="49B28F"/>
        </w:rPr>
        <w:t xml:space="preserve">Retirement Plans and Postretirement Benefits. </w:t>
      </w:r>
      <w:r>
        <w:rPr>
          <w:rFonts w:ascii="Arial" w:cs="Arial" w:eastAsia="Arial" w:hAnsi="Arial"/>
          <w:sz w:val="16"/>
          <w:szCs w:val="16"/>
          <w:color w:val="000000"/>
        </w:rPr>
        <w:t>The Company sponsors</w:t>
      </w:r>
      <w:r>
        <w:rPr>
          <w:rFonts w:ascii="Arial" w:cs="Arial" w:eastAsia="Arial" w:hAnsi="Arial"/>
          <w:sz w:val="16"/>
          <w:szCs w:val="16"/>
          <w:b w:val="1"/>
          <w:bCs w:val="1"/>
          <w:i w:val="1"/>
          <w:iCs w:val="1"/>
          <w:color w:val="49B28F"/>
        </w:rPr>
        <w:t xml:space="preserve"> </w:t>
      </w:r>
      <w:r>
        <w:rPr>
          <w:rFonts w:ascii="Arial" w:cs="Arial" w:eastAsia="Arial" w:hAnsi="Arial"/>
          <w:sz w:val="16"/>
          <w:szCs w:val="16"/>
          <w:color w:val="000000"/>
        </w:rPr>
        <w:t>defined benefit retirement plans and also provides other postretirement benefits. The Company recognizes the funded status, defined as the difference between the fair value of plan assets and the benefit obligation, of its pension plans and other postretirement benefits as an asset or liability on the consolidated balance sheets. Actuarial gains or losses that arise during the year 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not recognized as net periodic benefit cost in the same year, but rather are recognized as a component of accumulated other comprehensive earnings or loss. Those amounts are amortized over the participants’ average remaining service period and recognized as a component of net periodic benefit cost. The amount amortized is determined using a corridor approach and represents the excess over 10% of the greater of the projected benefit obligation or pension plan assets.</w:t>
      </w:r>
    </w:p>
    <w:p>
      <w:pPr>
        <w:spacing w:after="0" w:line="177" w:lineRule="exact"/>
        <w:rPr>
          <w:sz w:val="20"/>
          <w:szCs w:val="20"/>
          <w:color w:val="auto"/>
        </w:rPr>
      </w:pPr>
    </w:p>
    <w:p>
      <w:pPr>
        <w:jc w:val="both"/>
        <w:spacing w:after="0" w:line="245" w:lineRule="auto"/>
        <w:rPr>
          <w:sz w:val="20"/>
          <w:szCs w:val="20"/>
          <w:color w:val="auto"/>
        </w:rPr>
      </w:pPr>
      <w:r>
        <w:rPr>
          <w:rFonts w:ascii="Arial" w:cs="Arial" w:eastAsia="Arial" w:hAnsi="Arial"/>
          <w:sz w:val="16"/>
          <w:szCs w:val="16"/>
          <w:b w:val="1"/>
          <w:bCs w:val="1"/>
          <w:i w:val="1"/>
          <w:iCs w:val="1"/>
          <w:color w:val="49B28F"/>
        </w:rPr>
        <w:t xml:space="preserve">Stock-Based Compensation. </w:t>
      </w:r>
      <w:r>
        <w:rPr>
          <w:rFonts w:ascii="Arial" w:cs="Arial" w:eastAsia="Arial" w:hAnsi="Arial"/>
          <w:sz w:val="16"/>
          <w:szCs w:val="16"/>
          <w:color w:val="000000"/>
        </w:rPr>
        <w:t>The Company has stock-based</w:t>
      </w:r>
      <w:r>
        <w:rPr>
          <w:rFonts w:ascii="Arial" w:cs="Arial" w:eastAsia="Arial" w:hAnsi="Arial"/>
          <w:sz w:val="16"/>
          <w:szCs w:val="16"/>
          <w:b w:val="1"/>
          <w:bCs w:val="1"/>
          <w:i w:val="1"/>
          <w:iCs w:val="1"/>
          <w:color w:val="49B28F"/>
        </w:rPr>
        <w:t xml:space="preserve"> </w:t>
      </w:r>
      <w:r>
        <w:rPr>
          <w:rFonts w:ascii="Arial" w:cs="Arial" w:eastAsia="Arial" w:hAnsi="Arial"/>
          <w:sz w:val="16"/>
          <w:szCs w:val="16"/>
          <w:color w:val="000000"/>
        </w:rPr>
        <w:t>compensation plans for employees and its Board of Directors. The Company recognizes all forms of stock-based awards that vest, including stock options, as compensation expense. The compensation expense is the fair value of the awards at the measurement date and is recognized over the requisite service period.</w:t>
      </w:r>
    </w:p>
    <w:p>
      <w:pPr>
        <w:spacing w:after="0" w:line="191"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The fair value of restricted stock awards, incentive compensation stock awards and Board of Directors’ fees paid in the form of common stock are based on the closing price of the Company’s common stock on the awards’ respective grant dates. The fair value of performance stock awards is determined by a Monte Carlo simulation methodology.</w:t>
      </w:r>
    </w:p>
    <w:p>
      <w:pPr>
        <w:spacing w:after="0" w:line="192"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In 2017 and 2016, the Company did not issue any stock options. For stock options issued prior to 2016, the Company used the accelerated expense recognition method. The accelerated recognition method requires stock options that vest ratably to be divided into tranches. The expense for each tranche is allocated to its particular vesting period.</w:t>
      </w:r>
    </w:p>
    <w:p>
      <w:pPr>
        <w:spacing w:after="0" w:line="192"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The Company uses the lattice valuation model to determine the fair value of stock option awards. The lattice valuation model takes into account employees’ exercise patterns based on changes in the Company’s stock price and other variables. The period of time for which options are expected to be outstanding is a derived output of the lattice valuation model and includes the following considerations: vesting period of the award, expected volatility of the underlying stock and employees’ ages.</w:t>
      </w:r>
    </w:p>
    <w:p>
      <w:pPr>
        <w:spacing w:after="0" w:line="19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Key assumptions used in determining the fair value of the stock options awarded in 2015 were: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shd w:val="clear" w:color="auto" w:fill="CCEEFF"/>
          </w:tcPr>
          <w:p>
            <w:pPr>
              <w:spacing w:after="0"/>
              <w:rPr>
                <w:sz w:val="20"/>
                <w:szCs w:val="20"/>
                <w:color w:val="auto"/>
              </w:rPr>
            </w:pPr>
            <w:r>
              <w:rPr>
                <w:rFonts w:ascii="Arial" w:cs="Arial" w:eastAsia="Arial" w:hAnsi="Arial"/>
                <w:sz w:val="14"/>
                <w:szCs w:val="14"/>
                <w:color w:val="auto"/>
              </w:rPr>
              <w:t>Risk-free interest rate</w:t>
            </w:r>
          </w:p>
        </w:tc>
        <w:tc>
          <w:tcPr>
            <w:tcW w:w="2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w:t>
            </w:r>
          </w:p>
        </w:tc>
      </w:tr>
      <w:tr>
        <w:trPr>
          <w:trHeight w:val="156"/>
        </w:trPr>
        <w:tc>
          <w:tcPr>
            <w:tcW w:w="3140" w:type="dxa"/>
            <w:vAlign w:val="bottom"/>
          </w:tcPr>
          <w:p>
            <w:pPr>
              <w:spacing w:after="0" w:line="156" w:lineRule="exact"/>
              <w:rPr>
                <w:sz w:val="20"/>
                <w:szCs w:val="20"/>
                <w:color w:val="auto"/>
              </w:rPr>
            </w:pPr>
            <w:r>
              <w:rPr>
                <w:rFonts w:ascii="Arial" w:cs="Arial" w:eastAsia="Arial" w:hAnsi="Arial"/>
                <w:sz w:val="14"/>
                <w:szCs w:val="14"/>
                <w:color w:val="auto"/>
              </w:rPr>
              <w:t>Dividend yield</w:t>
            </w:r>
          </w:p>
        </w:tc>
        <w:tc>
          <w:tcPr>
            <w:tcW w:w="2440" w:type="dxa"/>
            <w:vAlign w:val="bottom"/>
          </w:tcPr>
          <w:p>
            <w:pPr>
              <w:jc w:val="right"/>
              <w:spacing w:after="0" w:line="156" w:lineRule="exact"/>
              <w:rPr>
                <w:sz w:val="20"/>
                <w:szCs w:val="20"/>
                <w:color w:val="auto"/>
              </w:rPr>
            </w:pPr>
            <w:r>
              <w:rPr>
                <w:rFonts w:ascii="Arial" w:cs="Arial" w:eastAsia="Arial" w:hAnsi="Arial"/>
                <w:sz w:val="14"/>
                <w:szCs w:val="14"/>
                <w:color w:val="auto"/>
              </w:rPr>
              <w:t>1.20%</w:t>
            </w:r>
          </w:p>
        </w:tc>
      </w:tr>
      <w:tr>
        <w:trPr>
          <w:trHeight w:val="156"/>
        </w:trPr>
        <w:tc>
          <w:tcPr>
            <w:tcW w:w="314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Volatility factor</w:t>
            </w:r>
          </w:p>
        </w:tc>
        <w:tc>
          <w:tcPr>
            <w:tcW w:w="244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36.10%</w:t>
            </w:r>
          </w:p>
        </w:tc>
      </w:tr>
      <w:tr>
        <w:trPr>
          <w:trHeight w:val="170"/>
        </w:trPr>
        <w:tc>
          <w:tcPr>
            <w:tcW w:w="3140" w:type="dxa"/>
            <w:vAlign w:val="bottom"/>
          </w:tcPr>
          <w:p>
            <w:pPr>
              <w:spacing w:after="0"/>
              <w:rPr>
                <w:sz w:val="20"/>
                <w:szCs w:val="20"/>
                <w:color w:val="auto"/>
              </w:rPr>
            </w:pPr>
            <w:r>
              <w:rPr>
                <w:rFonts w:ascii="Arial" w:cs="Arial" w:eastAsia="Arial" w:hAnsi="Arial"/>
                <w:sz w:val="14"/>
                <w:szCs w:val="14"/>
                <w:color w:val="auto"/>
              </w:rPr>
              <w:t>Expected term</w:t>
            </w:r>
          </w:p>
        </w:tc>
        <w:tc>
          <w:tcPr>
            <w:tcW w:w="2440" w:type="dxa"/>
            <w:vAlign w:val="bottom"/>
          </w:tcPr>
          <w:p>
            <w:pPr>
              <w:jc w:val="right"/>
              <w:spacing w:after="0"/>
              <w:rPr>
                <w:sz w:val="20"/>
                <w:szCs w:val="20"/>
                <w:color w:val="auto"/>
              </w:rPr>
            </w:pPr>
            <w:r>
              <w:rPr>
                <w:rFonts w:ascii="Arial" w:cs="Arial" w:eastAsia="Arial" w:hAnsi="Arial"/>
                <w:sz w:val="14"/>
                <w:szCs w:val="14"/>
                <w:color w:val="auto"/>
              </w:rPr>
              <w:t>8.5 years</w:t>
            </w:r>
          </w:p>
        </w:tc>
      </w:tr>
    </w:tbl>
    <w:p>
      <w:pPr>
        <w:spacing w:after="0" w:line="200" w:lineRule="exact"/>
        <w:rPr>
          <w:sz w:val="20"/>
          <w:szCs w:val="20"/>
          <w:color w:val="auto"/>
        </w:rPr>
      </w:pPr>
    </w:p>
    <w:p>
      <w:pPr>
        <w:sectPr>
          <w:pgSz w:w="11900" w:h="16838" w:orient="portrait"/>
          <w:cols w:equalWidth="0" w:num="2">
            <w:col w:w="5480" w:space="360"/>
            <w:col w:w="5580"/>
          </w:cols>
          <w:pgMar w:left="240" w:top="259" w:right="239" w:bottom="1440" w:gutter="0" w:footer="0" w:header="0"/>
          <w:type w:val="continuous"/>
        </w:sectPr>
      </w:pP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17</w:t>
      </w:r>
    </w:p>
    <w:p>
      <w:pPr>
        <w:sectPr>
          <w:pgSz w:w="11900" w:h="16838" w:orient="portrait"/>
          <w:cols w:equalWidth="0" w:num="1">
            <w:col w:w="11420"/>
          </w:cols>
          <w:pgMar w:left="240" w:top="259" w:right="239" w:bottom="1440" w:gutter="0" w:footer="0" w:header="0"/>
          <w:type w:val="continuous"/>
        </w:sectPr>
      </w:pPr>
    </w:p>
    <w:bookmarkStart w:id="70" w:name="page71"/>
    <w:bookmarkEnd w:id="70"/>
    <w:p>
      <w:pPr>
        <w:jc w:val="center"/>
        <w:ind w:right="-19"/>
        <w:spacing w:after="0"/>
        <w:rPr>
          <w:sz w:val="20"/>
          <w:szCs w:val="20"/>
          <w:color w:val="auto"/>
        </w:rPr>
      </w:pPr>
      <w:r>
        <w:rPr>
          <w:rFonts w:ascii="Arial" w:cs="Arial" w:eastAsia="Arial" w:hAnsi="Arial"/>
          <w:sz w:val="17"/>
          <w:szCs w:val="17"/>
          <w:b w:val="1"/>
          <w:bCs w:val="1"/>
          <w:color w:val="0085CD"/>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6">
                      <a:extLst>
                        <a:ext uri="{28A0092B-C50C-407E-A947-70E740481C1C}"/>
                      </a:extLst>
                    </a:blip>
                    <a:srcRect/>
                    <a:stretch>
                      <a:fillRect/>
                    </a:stretch>
                  </pic:blipFill>
                  <pic:spPr bwMode="auto">
                    <a:xfrm>
                      <a:off x="0" y="0"/>
                      <a:ext cx="7293610" cy="37465"/>
                    </a:xfrm>
                    <a:prstGeom prst="rect">
                      <a:avLst/>
                    </a:prstGeom>
                    <a:noFill/>
                  </pic:spPr>
                </pic:pic>
              </a:graphicData>
            </a:graphic>
          </wp:anchor>
        </w:drawing>
        <w:t xml:space="preserve">NOTES TO FINANCIAL STATEMENTS </w:t>
      </w:r>
      <w:r>
        <w:rPr>
          <w:rFonts w:ascii="Arial" w:cs="Arial" w:eastAsia="Arial" w:hAnsi="Arial"/>
          <w:sz w:val="15"/>
          <w:szCs w:val="15"/>
          <w:color w:val="0085CD"/>
        </w:rPr>
        <w:t>(continued)</w:t>
      </w:r>
    </w:p>
    <w:p>
      <w:pPr>
        <w:sectPr>
          <w:pgSz w:w="11900" w:h="16838" w:orient="portrait"/>
          <w:cols w:equalWidth="0" w:num="1">
            <w:col w:w="11420"/>
          </w:cols>
          <w:pgMar w:left="240" w:top="2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Based on these assumptions, the weighted-average fair value of each stock option granted in 2015 was $57.71.</w:t>
      </w:r>
    </w:p>
    <w:p>
      <w:pPr>
        <w:spacing w:after="0" w:line="183"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The risk-free interest rate reflects the interest rate on zero-coupon U.S. government bonds, available at the time each option was granted, having a remaining life approximately equal to the option’s expected life. The dividend yield represents the dividend rate expected to be paid over the option’s expected life. The Company’s volatility factor measures the amount by which its stock price is expected to fluctuate during the expected life of the option and is based on historical stock price changes. Forfeitures are required to be estimated at the time of grant and revised, if necessary, in subsequent periods if actual forfeitures differ from those estimates. The Company estimates forfeitures and will ultimately recognize compensation cost only for those stock-based awards that vest.</w:t>
      </w:r>
    </w:p>
    <w:p>
      <w:pPr>
        <w:spacing w:after="0" w:line="179" w:lineRule="exact"/>
        <w:rPr>
          <w:sz w:val="20"/>
          <w:szCs w:val="20"/>
          <w:color w:val="auto"/>
        </w:rPr>
      </w:pPr>
    </w:p>
    <w:p>
      <w:pPr>
        <w:jc w:val="both"/>
        <w:spacing w:after="0" w:line="244" w:lineRule="auto"/>
        <w:rPr>
          <w:sz w:val="20"/>
          <w:szCs w:val="20"/>
          <w:color w:val="auto"/>
        </w:rPr>
      </w:pPr>
      <w:r>
        <w:rPr>
          <w:rFonts w:ascii="Arial" w:cs="Arial" w:eastAsia="Arial" w:hAnsi="Arial"/>
          <w:sz w:val="16"/>
          <w:szCs w:val="16"/>
          <w:b w:val="1"/>
          <w:bCs w:val="1"/>
          <w:i w:val="1"/>
          <w:iCs w:val="1"/>
          <w:color w:val="49B28F"/>
        </w:rPr>
        <w:t xml:space="preserve">Environmental Matters. </w:t>
      </w:r>
      <w:r>
        <w:rPr>
          <w:rFonts w:ascii="Arial" w:cs="Arial" w:eastAsia="Arial" w:hAnsi="Arial"/>
          <w:sz w:val="16"/>
          <w:szCs w:val="16"/>
          <w:color w:val="000000"/>
        </w:rPr>
        <w:t>The Company records a liability for an asset</w:t>
      </w:r>
      <w:r>
        <w:rPr>
          <w:rFonts w:ascii="Arial" w:cs="Arial" w:eastAsia="Arial" w:hAnsi="Arial"/>
          <w:sz w:val="16"/>
          <w:szCs w:val="16"/>
          <w:b w:val="1"/>
          <w:bCs w:val="1"/>
          <w:i w:val="1"/>
          <w:iCs w:val="1"/>
          <w:color w:val="49B28F"/>
        </w:rPr>
        <w:t xml:space="preserve"> </w:t>
      </w:r>
      <w:r>
        <w:rPr>
          <w:rFonts w:ascii="Arial" w:cs="Arial" w:eastAsia="Arial" w:hAnsi="Arial"/>
          <w:sz w:val="16"/>
          <w:szCs w:val="16"/>
          <w:color w:val="000000"/>
        </w:rPr>
        <w:t>retirement obligation at fair value in the period in which it is incurred. The asset retirement obligation is recorded at the acquisition date of a long-lived tangible asset if the fair value can be reasonably estimated. A corresponding amount is capitalized as part of the asset’s carrying amount. The fair value is affected by management’s assumptions regarding the scope of the work required, inflation rates and quarry closure dates.</w:t>
      </w:r>
    </w:p>
    <w:p>
      <w:pPr>
        <w:spacing w:after="0" w:line="190"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Further, the Company records an accrual for other environmental remediation liabilities in the period in which it is probable that a liability has been incurred and the appropriate amounts can be estimated reasonably. Such accruals are adjusted as further information develops or circumstances change. Generally, these costs are not discounted to their present value or offset for potential insurance or other claims or potential gains from future alternative uses for a site.</w:t>
      </w:r>
    </w:p>
    <w:p>
      <w:pPr>
        <w:spacing w:after="0" w:line="177" w:lineRule="exact"/>
        <w:rPr>
          <w:sz w:val="20"/>
          <w:szCs w:val="20"/>
          <w:color w:val="auto"/>
        </w:rPr>
      </w:pPr>
    </w:p>
    <w:p>
      <w:pPr>
        <w:jc w:val="both"/>
        <w:spacing w:after="0" w:line="244" w:lineRule="auto"/>
        <w:rPr>
          <w:sz w:val="20"/>
          <w:szCs w:val="20"/>
          <w:color w:val="auto"/>
        </w:rPr>
      </w:pPr>
      <w:r>
        <w:rPr>
          <w:rFonts w:ascii="Arial" w:cs="Arial" w:eastAsia="Arial" w:hAnsi="Arial"/>
          <w:sz w:val="16"/>
          <w:szCs w:val="16"/>
          <w:b w:val="1"/>
          <w:bCs w:val="1"/>
          <w:i w:val="1"/>
          <w:iCs w:val="1"/>
          <w:color w:val="49B28F"/>
        </w:rPr>
        <w:t xml:space="preserve">Income Taxes. </w:t>
      </w:r>
      <w:r>
        <w:rPr>
          <w:rFonts w:ascii="Arial" w:cs="Arial" w:eastAsia="Arial" w:hAnsi="Arial"/>
          <w:sz w:val="16"/>
          <w:szCs w:val="16"/>
          <w:color w:val="000000"/>
        </w:rPr>
        <w:t>Deferred income taxes, net, on the consolidated balance</w:t>
      </w:r>
      <w:r>
        <w:rPr>
          <w:rFonts w:ascii="Arial" w:cs="Arial" w:eastAsia="Arial" w:hAnsi="Arial"/>
          <w:sz w:val="16"/>
          <w:szCs w:val="16"/>
          <w:b w:val="1"/>
          <w:bCs w:val="1"/>
          <w:i w:val="1"/>
          <w:iCs w:val="1"/>
          <w:color w:val="49B28F"/>
        </w:rPr>
        <w:t xml:space="preserve"> </w:t>
      </w:r>
      <w:r>
        <w:rPr>
          <w:rFonts w:ascii="Arial" w:cs="Arial" w:eastAsia="Arial" w:hAnsi="Arial"/>
          <w:sz w:val="16"/>
          <w:szCs w:val="16"/>
          <w:color w:val="000000"/>
        </w:rPr>
        <w:t>sheets reflect the net tax effects of temporary differences between the carrying amounts of assets and liabilities for financial reporting purposes and the amounts used for income tax purposes, net of valuation allowances. The effect on deferred income tax assets and liabilities attributable to changes in enacted tax rates are charged or credited to income tax expense or benefit in the period of enactment.</w:t>
      </w:r>
    </w:p>
    <w:p>
      <w:pPr>
        <w:spacing w:after="0" w:line="170" w:lineRule="exact"/>
        <w:rPr>
          <w:sz w:val="20"/>
          <w:szCs w:val="20"/>
          <w:color w:val="auto"/>
        </w:rPr>
      </w:pPr>
    </w:p>
    <w:p>
      <w:pPr>
        <w:jc w:val="both"/>
        <w:spacing w:after="0" w:line="247" w:lineRule="auto"/>
        <w:rPr>
          <w:sz w:val="20"/>
          <w:szCs w:val="20"/>
          <w:color w:val="auto"/>
        </w:rPr>
      </w:pPr>
      <w:r>
        <w:rPr>
          <w:rFonts w:ascii="Arial" w:cs="Arial" w:eastAsia="Arial" w:hAnsi="Arial"/>
          <w:sz w:val="16"/>
          <w:szCs w:val="16"/>
          <w:b w:val="1"/>
          <w:bCs w:val="1"/>
          <w:i w:val="1"/>
          <w:iCs w:val="1"/>
          <w:color w:val="49B28F"/>
        </w:rPr>
        <w:t xml:space="preserve">Uncertain Tax Positions. </w:t>
      </w:r>
      <w:r>
        <w:rPr>
          <w:rFonts w:ascii="Arial" w:cs="Arial" w:eastAsia="Arial" w:hAnsi="Arial"/>
          <w:sz w:val="16"/>
          <w:szCs w:val="16"/>
          <w:color w:val="000000"/>
        </w:rPr>
        <w:t>The Company recognizes a tax benefit when it</w:t>
      </w:r>
      <w:r>
        <w:rPr>
          <w:rFonts w:ascii="Arial" w:cs="Arial" w:eastAsia="Arial" w:hAnsi="Arial"/>
          <w:sz w:val="16"/>
          <w:szCs w:val="16"/>
          <w:b w:val="1"/>
          <w:bCs w:val="1"/>
          <w:i w:val="1"/>
          <w:iCs w:val="1"/>
          <w:color w:val="49B28F"/>
        </w:rPr>
        <w:t xml:space="preserve"> </w:t>
      </w:r>
      <w:r>
        <w:rPr>
          <w:rFonts w:ascii="Arial" w:cs="Arial" w:eastAsia="Arial" w:hAnsi="Arial"/>
          <w:sz w:val="16"/>
          <w:szCs w:val="16"/>
          <w:color w:val="000000"/>
        </w:rPr>
        <w:t>is more-likely-than-not, based on the technical merits, that a tax position would be sustained upon examination by a taxing authority. The amount to be recognized is measured as the largest amount of tax benefit that is greater than 50%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likely of being realized upon ultimate settlement with a taxing authority that has full knowledge of all relevant information. The Company’s unrecognized tax benefits are recorded in other liabilities on the consolidated balance sheets or as an offset to the deferred tax asset for tax carryforwards where available.</w:t>
      </w:r>
    </w:p>
    <w:p>
      <w:pPr>
        <w:spacing w:after="0" w:line="377"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The Company records interest accrued in relation to unrecognized tax benefits as income tax expense. Penalties, if incurred, are recorded as operating expenses in the consolidated statements of earnings.</w:t>
      </w:r>
    </w:p>
    <w:p>
      <w:pPr>
        <w:spacing w:after="0" w:line="16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b w:val="1"/>
          <w:bCs w:val="1"/>
          <w:i w:val="1"/>
          <w:iCs w:val="1"/>
          <w:color w:val="49B28F"/>
        </w:rPr>
        <w:t xml:space="preserve">Sales Taxes. </w:t>
      </w:r>
      <w:r>
        <w:rPr>
          <w:rFonts w:ascii="Arial" w:cs="Arial" w:eastAsia="Arial" w:hAnsi="Arial"/>
          <w:sz w:val="16"/>
          <w:szCs w:val="16"/>
          <w:color w:val="000000"/>
        </w:rPr>
        <w:t>Sales taxes collected from customers are recorded as</w:t>
      </w:r>
      <w:r>
        <w:rPr>
          <w:rFonts w:ascii="Arial" w:cs="Arial" w:eastAsia="Arial" w:hAnsi="Arial"/>
          <w:sz w:val="16"/>
          <w:szCs w:val="16"/>
          <w:b w:val="1"/>
          <w:bCs w:val="1"/>
          <w:i w:val="1"/>
          <w:iCs w:val="1"/>
          <w:color w:val="49B28F"/>
        </w:rPr>
        <w:t xml:space="preserve"> </w:t>
      </w:r>
      <w:r>
        <w:rPr>
          <w:rFonts w:ascii="Arial" w:cs="Arial" w:eastAsia="Arial" w:hAnsi="Arial"/>
          <w:sz w:val="16"/>
          <w:szCs w:val="16"/>
          <w:color w:val="000000"/>
        </w:rPr>
        <w:t>liabilities until remitted to taxing authorities and therefore are not reflected in the consolidated statements of earnings.</w:t>
      </w:r>
    </w:p>
    <w:p>
      <w:pPr>
        <w:spacing w:after="0" w:line="159" w:lineRule="exact"/>
        <w:rPr>
          <w:sz w:val="20"/>
          <w:szCs w:val="20"/>
          <w:color w:val="auto"/>
        </w:rPr>
      </w:pPr>
    </w:p>
    <w:p>
      <w:pPr>
        <w:jc w:val="both"/>
        <w:spacing w:after="0" w:line="279" w:lineRule="auto"/>
        <w:rPr>
          <w:sz w:val="20"/>
          <w:szCs w:val="20"/>
          <w:color w:val="auto"/>
        </w:rPr>
      </w:pPr>
      <w:r>
        <w:rPr>
          <w:rFonts w:ascii="Arial" w:cs="Arial" w:eastAsia="Arial" w:hAnsi="Arial"/>
          <w:sz w:val="16"/>
          <w:szCs w:val="16"/>
          <w:b w:val="1"/>
          <w:bCs w:val="1"/>
          <w:i w:val="1"/>
          <w:iCs w:val="1"/>
          <w:color w:val="49B28F"/>
        </w:rPr>
        <w:t xml:space="preserve">Start-Up Costs. </w:t>
      </w:r>
      <w:r>
        <w:rPr>
          <w:rFonts w:ascii="Arial" w:cs="Arial" w:eastAsia="Arial" w:hAnsi="Arial"/>
          <w:sz w:val="16"/>
          <w:szCs w:val="16"/>
          <w:color w:val="000000"/>
        </w:rPr>
        <w:t>Noncapital start-up costs for new facilities and products are</w:t>
      </w:r>
      <w:r>
        <w:rPr>
          <w:rFonts w:ascii="Arial" w:cs="Arial" w:eastAsia="Arial" w:hAnsi="Arial"/>
          <w:sz w:val="16"/>
          <w:szCs w:val="16"/>
          <w:b w:val="1"/>
          <w:bCs w:val="1"/>
          <w:i w:val="1"/>
          <w:iCs w:val="1"/>
          <w:color w:val="49B28F"/>
        </w:rPr>
        <w:t xml:space="preserve"> </w:t>
      </w:r>
      <w:r>
        <w:rPr>
          <w:rFonts w:ascii="Arial" w:cs="Arial" w:eastAsia="Arial" w:hAnsi="Arial"/>
          <w:sz w:val="16"/>
          <w:szCs w:val="16"/>
          <w:color w:val="000000"/>
        </w:rPr>
        <w:t>charged to operations as incurred.</w:t>
      </w:r>
    </w:p>
    <w:p>
      <w:pPr>
        <w:spacing w:after="0" w:line="143" w:lineRule="exact"/>
        <w:rPr>
          <w:sz w:val="20"/>
          <w:szCs w:val="20"/>
          <w:color w:val="auto"/>
        </w:rPr>
      </w:pPr>
    </w:p>
    <w:p>
      <w:pPr>
        <w:jc w:val="both"/>
        <w:spacing w:after="0"/>
        <w:rPr>
          <w:sz w:val="20"/>
          <w:szCs w:val="20"/>
          <w:color w:val="auto"/>
        </w:rPr>
      </w:pPr>
      <w:r>
        <w:rPr>
          <w:rFonts w:ascii="Arial" w:cs="Arial" w:eastAsia="Arial" w:hAnsi="Arial"/>
          <w:sz w:val="16"/>
          <w:szCs w:val="16"/>
          <w:b w:val="1"/>
          <w:bCs w:val="1"/>
          <w:i w:val="1"/>
          <w:iCs w:val="1"/>
          <w:color w:val="49B28F"/>
        </w:rPr>
        <w:t xml:space="preserve">Warranties. </w:t>
      </w:r>
      <w:r>
        <w:rPr>
          <w:rFonts w:ascii="Arial" w:cs="Arial" w:eastAsia="Arial" w:hAnsi="Arial"/>
          <w:sz w:val="16"/>
          <w:szCs w:val="16"/>
          <w:color w:val="000000"/>
        </w:rPr>
        <w:t>The Company’s construction contracts contain warranty</w:t>
      </w:r>
      <w:r>
        <w:rPr>
          <w:rFonts w:ascii="Arial" w:cs="Arial" w:eastAsia="Arial" w:hAnsi="Arial"/>
          <w:sz w:val="16"/>
          <w:szCs w:val="16"/>
          <w:b w:val="1"/>
          <w:bCs w:val="1"/>
          <w:i w:val="1"/>
          <w:iCs w:val="1"/>
          <w:color w:val="49B28F"/>
        </w:rPr>
        <w:t xml:space="preserve"> </w:t>
      </w:r>
      <w:r>
        <w:rPr>
          <w:rFonts w:ascii="Arial" w:cs="Arial" w:eastAsia="Arial" w:hAnsi="Arial"/>
          <w:sz w:val="16"/>
          <w:szCs w:val="16"/>
          <w:color w:val="000000"/>
        </w:rPr>
        <w:t>provisions covering defects in materials, design or workmanship that generally run from nine months to one year after project completion. Due to the nature of its projects, including contract owner inspections of the work both during construction and prior to acceptance, the Company has not experienced material warranty costs for these short-term warranties and therefore does not believe an accrual for these costs is necessary. The ready mixed concrete product line carries a longer warranty period, for which the Company has accrued an estimate of warranty cost based on experience with the type of work and any known risks relative to the projects. These costs were not material to the Company’s consolidated results of operations for the years ended December 31, 2017, 2016 and 2015.</w:t>
      </w:r>
    </w:p>
    <w:p>
      <w:pPr>
        <w:spacing w:after="0" w:line="180" w:lineRule="exact"/>
        <w:rPr>
          <w:sz w:val="20"/>
          <w:szCs w:val="20"/>
          <w:color w:val="auto"/>
        </w:rPr>
      </w:pPr>
    </w:p>
    <w:p>
      <w:pPr>
        <w:jc w:val="both"/>
        <w:spacing w:after="0" w:line="243" w:lineRule="auto"/>
        <w:rPr>
          <w:sz w:val="20"/>
          <w:szCs w:val="20"/>
          <w:color w:val="auto"/>
        </w:rPr>
      </w:pPr>
      <w:r>
        <w:rPr>
          <w:rFonts w:ascii="Arial" w:cs="Arial" w:eastAsia="Arial" w:hAnsi="Arial"/>
          <w:sz w:val="16"/>
          <w:szCs w:val="16"/>
          <w:b w:val="1"/>
          <w:bCs w:val="1"/>
          <w:i w:val="1"/>
          <w:iCs w:val="1"/>
          <w:color w:val="49B28F"/>
        </w:rPr>
        <w:t xml:space="preserve">Consolidated Comprehensive Earnings and Accumulated Other Comprehensive Loss. </w:t>
      </w:r>
      <w:r>
        <w:rPr>
          <w:rFonts w:ascii="Arial" w:cs="Arial" w:eastAsia="Arial" w:hAnsi="Arial"/>
          <w:sz w:val="16"/>
          <w:szCs w:val="16"/>
          <w:color w:val="000000"/>
        </w:rPr>
        <w:t>Consolidated comprehensive earnings for the</w:t>
      </w:r>
      <w:r>
        <w:rPr>
          <w:rFonts w:ascii="Arial" w:cs="Arial" w:eastAsia="Arial" w:hAnsi="Arial"/>
          <w:sz w:val="16"/>
          <w:szCs w:val="16"/>
          <w:b w:val="1"/>
          <w:bCs w:val="1"/>
          <w:i w:val="1"/>
          <w:iCs w:val="1"/>
          <w:color w:val="49B28F"/>
        </w:rPr>
        <w:t xml:space="preserve"> </w:t>
      </w:r>
      <w:r>
        <w:rPr>
          <w:rFonts w:ascii="Arial" w:cs="Arial" w:eastAsia="Arial" w:hAnsi="Arial"/>
          <w:sz w:val="16"/>
          <w:szCs w:val="16"/>
          <w:color w:val="000000"/>
        </w:rPr>
        <w:t>Company consist of consolidated net earnings, adjustments for the funded status of pension and postretirement benefit plans, foreign currency translation adjustments and the amortization of the value of terminated forward starting interest rate swap agreements into interest expense, and are presented in the Company’s consolidated statements of comprehensive earnings.</w:t>
      </w:r>
    </w:p>
    <w:p>
      <w:pPr>
        <w:spacing w:after="0" w:line="377"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Accumulated other comprehensive loss consists of unrecognized gains and losses related to the funded status of the pension and postretirement benefit plans, foreign currency translation and the unamortized value of terminated forward starting interest rate swap agreements, and is presented on the Company’s consolidated balance sheets.</w:t>
      </w:r>
    </w:p>
    <w:p>
      <w:pPr>
        <w:spacing w:after="0" w:line="200" w:lineRule="exact"/>
        <w:rPr>
          <w:sz w:val="20"/>
          <w:szCs w:val="20"/>
          <w:color w:val="auto"/>
        </w:rPr>
      </w:pPr>
    </w:p>
    <w:p>
      <w:pPr>
        <w:sectPr>
          <w:pgSz w:w="11900" w:h="16838" w:orient="portrait"/>
          <w:cols w:equalWidth="0" w:num="2">
            <w:col w:w="5480" w:space="360"/>
            <w:col w:w="5580"/>
          </w:cols>
          <w:pgMar w:left="240" w:top="259" w:right="239" w:bottom="1440" w:gutter="0" w:footer="0" w:header="0"/>
          <w:type w:val="continuous"/>
        </w:sectPr>
      </w:pPr>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18</w:t>
      </w:r>
    </w:p>
    <w:p>
      <w:pPr>
        <w:sectPr>
          <w:pgSz w:w="11900" w:h="16838" w:orient="portrait"/>
          <w:cols w:equalWidth="0" w:num="1">
            <w:col w:w="11420"/>
          </w:cols>
          <w:pgMar w:left="240" w:top="259" w:right="239" w:bottom="1440" w:gutter="0" w:footer="0" w:header="0"/>
          <w:type w:val="continuous"/>
        </w:sectPr>
      </w:pPr>
    </w:p>
    <w:bookmarkStart w:id="71" w:name="page72"/>
    <w:bookmarkEnd w:id="71"/>
    <w:p>
      <w:pPr>
        <w:jc w:val="center"/>
        <w:spacing w:after="0"/>
        <w:rPr>
          <w:sz w:val="20"/>
          <w:szCs w:val="20"/>
          <w:color w:val="auto"/>
        </w:rPr>
      </w:pPr>
      <w:r>
        <w:rPr>
          <w:rFonts w:ascii="Arial" w:cs="Arial" w:eastAsia="Arial" w:hAnsi="Arial"/>
          <w:sz w:val="17"/>
          <w:szCs w:val="17"/>
          <w:b w:val="1"/>
          <w:bCs w:val="1"/>
          <w:color w:val="0085CD"/>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7">
                      <a:extLst>
                        <a:ext uri="{28A0092B-C50C-407E-A947-70E740481C1C}"/>
                      </a:extLst>
                    </a:blip>
                    <a:srcRect/>
                    <a:stretch>
                      <a:fillRect/>
                    </a:stretch>
                  </pic:blipFill>
                  <pic:spPr bwMode="auto">
                    <a:xfrm>
                      <a:off x="0" y="0"/>
                      <a:ext cx="7293610" cy="37465"/>
                    </a:xfrm>
                    <a:prstGeom prst="rect">
                      <a:avLst/>
                    </a:prstGeom>
                    <a:noFill/>
                  </pic:spPr>
                </pic:pic>
              </a:graphicData>
            </a:graphic>
          </wp:anchor>
        </w:drawing>
        <w:t xml:space="preserve">NOTES TO FINANCIAL STATEMENTS </w:t>
      </w:r>
      <w:r>
        <w:rPr>
          <w:rFonts w:ascii="Arial" w:cs="Arial" w:eastAsia="Arial" w:hAnsi="Arial"/>
          <w:sz w:val="15"/>
          <w:szCs w:val="15"/>
          <w:color w:val="0085CD"/>
        </w:rPr>
        <w:t>(continued)</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the changes in accumulated other comprehensive loss and related cumulative noncurrent deferred tax assets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jc w:val="center"/>
              <w:ind w:right="191"/>
              <w:spacing w:after="0"/>
              <w:rPr>
                <w:sz w:val="20"/>
                <w:szCs w:val="20"/>
                <w:color w:val="auto"/>
              </w:rPr>
            </w:pPr>
            <w:r>
              <w:rPr>
                <w:rFonts w:ascii="Arial" w:cs="Arial" w:eastAsia="Arial" w:hAnsi="Arial"/>
                <w:sz w:val="14"/>
                <w:szCs w:val="14"/>
                <w:b w:val="1"/>
                <w:bCs w:val="1"/>
                <w:color w:val="auto"/>
                <w:w w:val="99"/>
              </w:rPr>
              <w:t>Unamortized</w:t>
            </w: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40" w:type="dxa"/>
            <w:vAlign w:val="bottom"/>
          </w:tcPr>
          <w:p>
            <w:pPr>
              <w:jc w:val="center"/>
              <w:ind w:right="191"/>
              <w:spacing w:after="0" w:line="156" w:lineRule="exact"/>
              <w:rPr>
                <w:sz w:val="20"/>
                <w:szCs w:val="20"/>
                <w:color w:val="auto"/>
              </w:rPr>
            </w:pPr>
            <w:r>
              <w:rPr>
                <w:rFonts w:ascii="Arial" w:cs="Arial" w:eastAsia="Arial" w:hAnsi="Arial"/>
                <w:sz w:val="14"/>
                <w:szCs w:val="14"/>
                <w:b w:val="1"/>
                <w:bCs w:val="1"/>
                <w:color w:val="auto"/>
                <w:w w:val="95"/>
              </w:rPr>
              <w:t>Value of</w:t>
            </w: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40" w:type="dxa"/>
            <w:vAlign w:val="bottom"/>
          </w:tcPr>
          <w:p>
            <w:pPr>
              <w:jc w:val="center"/>
              <w:ind w:right="191"/>
              <w:spacing w:after="0" w:line="156" w:lineRule="exact"/>
              <w:rPr>
                <w:sz w:val="20"/>
                <w:szCs w:val="20"/>
                <w:color w:val="auto"/>
              </w:rPr>
            </w:pPr>
            <w:r>
              <w:rPr>
                <w:rFonts w:ascii="Arial" w:cs="Arial" w:eastAsia="Arial" w:hAnsi="Arial"/>
                <w:sz w:val="14"/>
                <w:szCs w:val="14"/>
                <w:b w:val="1"/>
                <w:bCs w:val="1"/>
                <w:color w:val="auto"/>
                <w:w w:val="95"/>
              </w:rPr>
              <w:t>Terminated</w:t>
            </w: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460" w:type="dxa"/>
            <w:vAlign w:val="bottom"/>
          </w:tcPr>
          <w:p>
            <w:pPr>
              <w:spacing w:after="0"/>
              <w:rPr>
                <w:sz w:val="13"/>
                <w:szCs w:val="13"/>
                <w:color w:val="auto"/>
              </w:rPr>
            </w:pPr>
          </w:p>
        </w:tc>
        <w:tc>
          <w:tcPr>
            <w:tcW w:w="1400" w:type="dxa"/>
            <w:vAlign w:val="bottom"/>
            <w:gridSpan w:val="3"/>
          </w:tcPr>
          <w:p>
            <w:pPr>
              <w:jc w:val="center"/>
              <w:ind w:right="111"/>
              <w:spacing w:after="0" w:line="156" w:lineRule="exact"/>
              <w:rPr>
                <w:sz w:val="20"/>
                <w:szCs w:val="20"/>
                <w:color w:val="auto"/>
              </w:rPr>
            </w:pPr>
            <w:r>
              <w:rPr>
                <w:rFonts w:ascii="Arial" w:cs="Arial" w:eastAsia="Arial" w:hAnsi="Arial"/>
                <w:sz w:val="14"/>
                <w:szCs w:val="14"/>
                <w:b w:val="1"/>
                <w:bCs w:val="1"/>
                <w:color w:val="auto"/>
                <w:w w:val="98"/>
              </w:rPr>
              <w:t>Pension and</w:t>
            </w: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40" w:type="dxa"/>
            <w:vAlign w:val="bottom"/>
          </w:tcPr>
          <w:p>
            <w:pPr>
              <w:jc w:val="center"/>
              <w:ind w:right="191"/>
              <w:spacing w:after="0" w:line="156" w:lineRule="exact"/>
              <w:rPr>
                <w:sz w:val="20"/>
                <w:szCs w:val="20"/>
                <w:color w:val="auto"/>
              </w:rPr>
            </w:pPr>
            <w:r>
              <w:rPr>
                <w:rFonts w:ascii="Arial" w:cs="Arial" w:eastAsia="Arial" w:hAnsi="Arial"/>
                <w:sz w:val="14"/>
                <w:szCs w:val="14"/>
                <w:b w:val="1"/>
                <w:bCs w:val="1"/>
                <w:color w:val="auto"/>
              </w:rPr>
              <w:t>Forward</w:t>
            </w: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460" w:type="dxa"/>
            <w:vAlign w:val="bottom"/>
          </w:tcPr>
          <w:p>
            <w:pPr>
              <w:spacing w:after="0"/>
              <w:rPr>
                <w:sz w:val="13"/>
                <w:szCs w:val="13"/>
                <w:color w:val="auto"/>
              </w:rPr>
            </w:pPr>
          </w:p>
        </w:tc>
        <w:tc>
          <w:tcPr>
            <w:tcW w:w="1400" w:type="dxa"/>
            <w:vAlign w:val="bottom"/>
            <w:gridSpan w:val="3"/>
          </w:tcPr>
          <w:p>
            <w:pPr>
              <w:jc w:val="center"/>
              <w:ind w:right="111"/>
              <w:spacing w:after="0" w:line="156" w:lineRule="exact"/>
              <w:rPr>
                <w:sz w:val="20"/>
                <w:szCs w:val="20"/>
                <w:color w:val="auto"/>
              </w:rPr>
            </w:pPr>
            <w:r>
              <w:rPr>
                <w:rFonts w:ascii="Arial" w:cs="Arial" w:eastAsia="Arial" w:hAnsi="Arial"/>
                <w:sz w:val="14"/>
                <w:szCs w:val="14"/>
                <w:b w:val="1"/>
                <w:bCs w:val="1"/>
                <w:color w:val="auto"/>
                <w:w w:val="99"/>
              </w:rPr>
              <w:t>Postretirement</w:t>
            </w:r>
          </w:p>
        </w:tc>
        <w:tc>
          <w:tcPr>
            <w:tcW w:w="260" w:type="dxa"/>
            <w:vAlign w:val="bottom"/>
          </w:tcPr>
          <w:p>
            <w:pPr>
              <w:spacing w:after="0"/>
              <w:rPr>
                <w:sz w:val="13"/>
                <w:szCs w:val="13"/>
                <w:color w:val="auto"/>
              </w:rPr>
            </w:pPr>
          </w:p>
        </w:tc>
        <w:tc>
          <w:tcPr>
            <w:tcW w:w="700" w:type="dxa"/>
            <w:vAlign w:val="bottom"/>
          </w:tcPr>
          <w:p>
            <w:pPr>
              <w:jc w:val="right"/>
              <w:ind w:right="71"/>
              <w:spacing w:after="0" w:line="156" w:lineRule="exact"/>
              <w:rPr>
                <w:sz w:val="20"/>
                <w:szCs w:val="20"/>
                <w:color w:val="auto"/>
              </w:rPr>
            </w:pPr>
            <w:r>
              <w:rPr>
                <w:rFonts w:ascii="Arial" w:cs="Arial" w:eastAsia="Arial" w:hAnsi="Arial"/>
                <w:sz w:val="14"/>
                <w:szCs w:val="14"/>
                <w:b w:val="1"/>
                <w:bCs w:val="1"/>
                <w:color w:val="auto"/>
              </w:rPr>
              <w:t>Foreign</w:t>
            </w:r>
          </w:p>
        </w:tc>
        <w:tc>
          <w:tcPr>
            <w:tcW w:w="1540" w:type="dxa"/>
            <w:vAlign w:val="bottom"/>
            <w:gridSpan w:val="2"/>
          </w:tcPr>
          <w:p>
            <w:pPr>
              <w:jc w:val="center"/>
              <w:ind w:left="50"/>
              <w:spacing w:after="0" w:line="156" w:lineRule="exact"/>
              <w:rPr>
                <w:sz w:val="20"/>
                <w:szCs w:val="20"/>
                <w:color w:val="auto"/>
              </w:rPr>
            </w:pPr>
            <w:r>
              <w:rPr>
                <w:rFonts w:ascii="Arial" w:cs="Arial" w:eastAsia="Arial" w:hAnsi="Arial"/>
                <w:sz w:val="14"/>
                <w:szCs w:val="14"/>
                <w:b w:val="1"/>
                <w:bCs w:val="1"/>
                <w:color w:val="auto"/>
                <w:w w:val="98"/>
              </w:rPr>
              <w:t>Starting Interest</w:t>
            </w: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6460" w:type="dxa"/>
            <w:vAlign w:val="bottom"/>
            <w:vMerge w:val="restart"/>
          </w:tcPr>
          <w:p>
            <w:pPr>
              <w:spacing w:after="0"/>
              <w:rPr>
                <w:sz w:val="20"/>
                <w:szCs w:val="20"/>
                <w:color w:val="auto"/>
              </w:rPr>
            </w:pPr>
            <w:r>
              <w:rPr>
                <w:rFonts w:ascii="Arial" w:cs="Arial" w:eastAsia="Arial" w:hAnsi="Arial"/>
                <w:sz w:val="14"/>
                <w:szCs w:val="14"/>
                <w:i w:val="1"/>
                <w:iCs w:val="1"/>
                <w:color w:val="auto"/>
              </w:rPr>
              <w:t>years ended December 31</w:t>
            </w:r>
          </w:p>
        </w:tc>
        <w:tc>
          <w:tcPr>
            <w:tcW w:w="1400" w:type="dxa"/>
            <w:vAlign w:val="bottom"/>
            <w:gridSpan w:val="3"/>
          </w:tcPr>
          <w:p>
            <w:pPr>
              <w:jc w:val="center"/>
              <w:ind w:right="111"/>
              <w:spacing w:after="0"/>
              <w:rPr>
                <w:sz w:val="20"/>
                <w:szCs w:val="20"/>
                <w:color w:val="auto"/>
              </w:rPr>
            </w:pPr>
            <w:r>
              <w:rPr>
                <w:rFonts w:ascii="Arial" w:cs="Arial" w:eastAsia="Arial" w:hAnsi="Arial"/>
                <w:sz w:val="14"/>
                <w:szCs w:val="14"/>
                <w:b w:val="1"/>
                <w:bCs w:val="1"/>
                <w:color w:val="auto"/>
                <w:w w:val="96"/>
              </w:rPr>
              <w:t>Benefit Plans</w:t>
            </w:r>
          </w:p>
        </w:tc>
        <w:tc>
          <w:tcPr>
            <w:tcW w:w="260" w:type="dxa"/>
            <w:vAlign w:val="bottom"/>
          </w:tcPr>
          <w:p>
            <w:pPr>
              <w:spacing w:after="0"/>
              <w:rPr>
                <w:sz w:val="15"/>
                <w:szCs w:val="15"/>
                <w:color w:val="auto"/>
              </w:rPr>
            </w:pPr>
          </w:p>
        </w:tc>
        <w:tc>
          <w:tcPr>
            <w:tcW w:w="700" w:type="dxa"/>
            <w:vAlign w:val="bottom"/>
          </w:tcPr>
          <w:p>
            <w:pPr>
              <w:jc w:val="right"/>
              <w:ind w:right="31"/>
              <w:spacing w:after="0"/>
              <w:rPr>
                <w:sz w:val="20"/>
                <w:szCs w:val="20"/>
                <w:color w:val="auto"/>
              </w:rPr>
            </w:pPr>
            <w:r>
              <w:rPr>
                <w:rFonts w:ascii="Arial" w:cs="Arial" w:eastAsia="Arial" w:hAnsi="Arial"/>
                <w:sz w:val="14"/>
                <w:szCs w:val="14"/>
                <w:b w:val="1"/>
                <w:bCs w:val="1"/>
                <w:color w:val="auto"/>
                <w:w w:val="94"/>
              </w:rPr>
              <w:t>Currency</w:t>
            </w:r>
          </w:p>
        </w:tc>
        <w:tc>
          <w:tcPr>
            <w:tcW w:w="400" w:type="dxa"/>
            <w:vAlign w:val="bottom"/>
          </w:tcPr>
          <w:p>
            <w:pPr>
              <w:spacing w:after="0"/>
              <w:rPr>
                <w:sz w:val="15"/>
                <w:szCs w:val="15"/>
                <w:color w:val="auto"/>
              </w:rPr>
            </w:pPr>
          </w:p>
        </w:tc>
        <w:tc>
          <w:tcPr>
            <w:tcW w:w="1140" w:type="dxa"/>
            <w:vAlign w:val="bottom"/>
          </w:tcPr>
          <w:p>
            <w:pPr>
              <w:jc w:val="center"/>
              <w:ind w:right="211"/>
              <w:spacing w:after="0"/>
              <w:rPr>
                <w:sz w:val="20"/>
                <w:szCs w:val="20"/>
                <w:color w:val="auto"/>
              </w:rPr>
            </w:pPr>
            <w:r>
              <w:rPr>
                <w:rFonts w:ascii="Arial" w:cs="Arial" w:eastAsia="Arial" w:hAnsi="Arial"/>
                <w:sz w:val="14"/>
                <w:szCs w:val="14"/>
                <w:b w:val="1"/>
                <w:bCs w:val="1"/>
                <w:color w:val="auto"/>
                <w:w w:val="98"/>
              </w:rPr>
              <w:t>Rate Swap</w:t>
            </w:r>
          </w:p>
        </w:tc>
        <w:tc>
          <w:tcPr>
            <w:tcW w:w="340" w:type="dxa"/>
            <w:vAlign w:val="bottom"/>
          </w:tcPr>
          <w:p>
            <w:pPr>
              <w:spacing w:after="0"/>
              <w:rPr>
                <w:sz w:val="15"/>
                <w:szCs w:val="15"/>
                <w:color w:val="auto"/>
              </w:rPr>
            </w:pPr>
          </w:p>
        </w:tc>
        <w:tc>
          <w:tcPr>
            <w:tcW w:w="72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38"/>
        </w:trPr>
        <w:tc>
          <w:tcPr>
            <w:tcW w:w="6460" w:type="dxa"/>
            <w:vAlign w:val="bottom"/>
            <w:vMerge w:val="continue"/>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646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0" w:type="dxa"/>
            <w:vAlign w:val="bottom"/>
            <w:vMerge w:val="restart"/>
          </w:tcPr>
          <w:p>
            <w:pPr>
              <w:jc w:val="right"/>
              <w:spacing w:after="0"/>
              <w:rPr>
                <w:sz w:val="20"/>
                <w:szCs w:val="20"/>
                <w:color w:val="auto"/>
              </w:rPr>
            </w:pPr>
            <w:r>
              <w:rPr>
                <w:rFonts w:ascii="Arial" w:cs="Arial" w:eastAsia="Arial" w:hAnsi="Arial"/>
                <w:sz w:val="15"/>
                <w:szCs w:val="15"/>
                <w:b w:val="1"/>
                <w:bCs w:val="1"/>
                <w:color w:val="0085CD"/>
              </w:rPr>
              <w:t>2017</w:t>
            </w:r>
          </w:p>
        </w:tc>
        <w:tc>
          <w:tcPr>
            <w:tcW w:w="1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6460" w:type="dxa"/>
            <w:vAlign w:val="bottom"/>
          </w:tcPr>
          <w:p>
            <w:pPr>
              <w:spacing w:after="0"/>
              <w:rPr>
                <w:sz w:val="20"/>
                <w:szCs w:val="20"/>
                <w:color w:val="auto"/>
              </w:rPr>
            </w:pPr>
            <w:r>
              <w:rPr>
                <w:rFonts w:ascii="Arial" w:cs="Arial" w:eastAsia="Arial" w:hAnsi="Arial"/>
                <w:sz w:val="14"/>
                <w:szCs w:val="14"/>
                <w:color w:val="auto"/>
              </w:rPr>
              <w:t>(add 000)</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64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646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Accumulated other comprehensive loss at beginning of period</w:t>
            </w:r>
          </w:p>
        </w:tc>
        <w:tc>
          <w:tcPr>
            <w:tcW w:w="34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31"/>
              <w:spacing w:after="0" w:line="156" w:lineRule="exact"/>
              <w:rPr>
                <w:sz w:val="20"/>
                <w:szCs w:val="20"/>
                <w:color w:val="auto"/>
              </w:rPr>
            </w:pPr>
            <w:r>
              <w:rPr>
                <w:rFonts w:ascii="Arial" w:cs="Arial" w:eastAsia="Arial" w:hAnsi="Arial"/>
                <w:sz w:val="14"/>
                <w:szCs w:val="14"/>
                <w:b w:val="1"/>
                <w:bCs w:val="1"/>
                <w:color w:val="auto"/>
                <w:w w:val="76"/>
              </w:rPr>
              <w:t>$</w:t>
            </w:r>
          </w:p>
        </w:tc>
        <w:tc>
          <w:tcPr>
            <w:tcW w:w="880" w:type="dxa"/>
            <w:vAlign w:val="bottom"/>
            <w:tcBorders>
              <w:bottom w:val="single" w:sz="8" w:color="auto"/>
            </w:tcBorders>
            <w:shd w:val="clear" w:color="auto" w:fill="CCEEFF"/>
          </w:tcPr>
          <w:p>
            <w:pPr>
              <w:jc w:val="right"/>
              <w:ind w:right="111"/>
              <w:spacing w:after="0" w:line="156" w:lineRule="exact"/>
              <w:rPr>
                <w:sz w:val="20"/>
                <w:szCs w:val="20"/>
                <w:color w:val="auto"/>
              </w:rPr>
            </w:pPr>
            <w:r>
              <w:rPr>
                <w:rFonts w:ascii="Arial" w:cs="Arial" w:eastAsia="Arial" w:hAnsi="Arial"/>
                <w:sz w:val="14"/>
                <w:szCs w:val="14"/>
                <w:b w:val="1"/>
                <w:bCs w:val="1"/>
                <w:color w:val="auto"/>
              </w:rPr>
              <w:t>(128,373)</w:t>
            </w:r>
          </w:p>
        </w:tc>
        <w:tc>
          <w:tcPr>
            <w:tcW w:w="2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b w:val="1"/>
                <w:bCs w:val="1"/>
                <w:color w:val="auto"/>
              </w:rPr>
              <w:t>(1,162)</w:t>
            </w:r>
          </w:p>
        </w:tc>
        <w:tc>
          <w:tcPr>
            <w:tcW w:w="40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shd w:val="clear" w:color="auto" w:fill="CCEEFF"/>
          </w:tcPr>
          <w:p>
            <w:pPr>
              <w:jc w:val="right"/>
              <w:ind w:right="91"/>
              <w:spacing w:after="0" w:line="156" w:lineRule="exact"/>
              <w:rPr>
                <w:sz w:val="20"/>
                <w:szCs w:val="20"/>
                <w:color w:val="auto"/>
              </w:rPr>
            </w:pPr>
            <w:r>
              <w:rPr>
                <w:rFonts w:ascii="Arial" w:cs="Arial" w:eastAsia="Arial" w:hAnsi="Arial"/>
                <w:sz w:val="14"/>
                <w:szCs w:val="14"/>
                <w:b w:val="1"/>
                <w:bCs w:val="1"/>
                <w:color w:val="auto"/>
              </w:rPr>
              <w:t>(1,152)</w:t>
            </w:r>
          </w:p>
        </w:tc>
        <w:tc>
          <w:tcPr>
            <w:tcW w:w="340" w:type="dxa"/>
            <w:vAlign w:val="bottom"/>
            <w:tcBorders>
              <w:bottom w:val="single" w:sz="8" w:color="auto"/>
            </w:tcBorders>
            <w:shd w:val="clear" w:color="auto" w:fill="CCEEFF"/>
          </w:tcPr>
          <w:p>
            <w:pPr>
              <w:jc w:val="right"/>
              <w:ind w:right="11"/>
              <w:spacing w:after="0" w:line="156" w:lineRule="exact"/>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b w:val="1"/>
                <w:bCs w:val="1"/>
                <w:color w:val="auto"/>
              </w:rPr>
              <w:t>(130,687)</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460" w:type="dxa"/>
            <w:vAlign w:val="bottom"/>
          </w:tcPr>
          <w:p>
            <w:pPr>
              <w:spacing w:after="0"/>
              <w:rPr>
                <w:sz w:val="20"/>
                <w:szCs w:val="20"/>
                <w:color w:val="auto"/>
              </w:rPr>
            </w:pPr>
            <w:r>
              <w:rPr>
                <w:rFonts w:ascii="Arial" w:cs="Arial" w:eastAsia="Arial" w:hAnsi="Arial"/>
                <w:sz w:val="14"/>
                <w:szCs w:val="14"/>
                <w:color w:val="auto"/>
              </w:rPr>
              <w:t>Other comprehensive (loss) earnings before reclassifications, net of tax</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111"/>
              <w:spacing w:after="0"/>
              <w:rPr>
                <w:sz w:val="20"/>
                <w:szCs w:val="20"/>
                <w:color w:val="auto"/>
              </w:rPr>
            </w:pPr>
            <w:r>
              <w:rPr>
                <w:rFonts w:ascii="Arial" w:cs="Arial" w:eastAsia="Arial" w:hAnsi="Arial"/>
                <w:sz w:val="14"/>
                <w:szCs w:val="14"/>
                <w:b w:val="1"/>
                <w:bCs w:val="1"/>
                <w:color w:val="auto"/>
              </w:rPr>
              <w:t>(8,062)</w:t>
            </w:r>
          </w:p>
        </w:tc>
        <w:tc>
          <w:tcPr>
            <w:tcW w:w="260" w:type="dxa"/>
            <w:vAlign w:val="bottom"/>
          </w:tcPr>
          <w:p>
            <w:pPr>
              <w:spacing w:after="0"/>
              <w:rPr>
                <w:sz w:val="14"/>
                <w:szCs w:val="14"/>
                <w:color w:val="auto"/>
              </w:rPr>
            </w:pPr>
          </w:p>
        </w:tc>
        <w:tc>
          <w:tcPr>
            <w:tcW w:w="700" w:type="dxa"/>
            <w:vAlign w:val="bottom"/>
          </w:tcPr>
          <w:p>
            <w:pPr>
              <w:jc w:val="right"/>
              <w:ind w:right="31"/>
              <w:spacing w:after="0"/>
              <w:rPr>
                <w:sz w:val="20"/>
                <w:szCs w:val="20"/>
                <w:color w:val="auto"/>
              </w:rPr>
            </w:pPr>
            <w:r>
              <w:rPr>
                <w:rFonts w:ascii="Arial" w:cs="Arial" w:eastAsia="Arial" w:hAnsi="Arial"/>
                <w:sz w:val="14"/>
                <w:szCs w:val="14"/>
                <w:b w:val="1"/>
                <w:bCs w:val="1"/>
                <w:color w:val="auto"/>
              </w:rPr>
              <w:t>1,140</w:t>
            </w:r>
          </w:p>
        </w:tc>
        <w:tc>
          <w:tcPr>
            <w:tcW w:w="400" w:type="dxa"/>
            <w:vAlign w:val="bottom"/>
          </w:tcPr>
          <w:p>
            <w:pPr>
              <w:spacing w:after="0"/>
              <w:rPr>
                <w:sz w:val="14"/>
                <w:szCs w:val="14"/>
                <w:color w:val="auto"/>
              </w:rPr>
            </w:pPr>
          </w:p>
        </w:tc>
        <w:tc>
          <w:tcPr>
            <w:tcW w:w="1140" w:type="dxa"/>
            <w:vAlign w:val="bottom"/>
          </w:tcPr>
          <w:p>
            <w:pPr>
              <w:jc w:val="right"/>
              <w:ind w:right="131"/>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(6,922)</w:t>
            </w:r>
          </w:p>
        </w:tc>
        <w:tc>
          <w:tcPr>
            <w:tcW w:w="0" w:type="dxa"/>
            <w:vAlign w:val="bottom"/>
          </w:tcPr>
          <w:p>
            <w:pPr>
              <w:spacing w:after="0"/>
              <w:rPr>
                <w:sz w:val="1"/>
                <w:szCs w:val="1"/>
                <w:color w:val="auto"/>
              </w:rPr>
            </w:pPr>
          </w:p>
        </w:tc>
      </w:tr>
      <w:tr>
        <w:trPr>
          <w:trHeight w:val="156"/>
        </w:trPr>
        <w:tc>
          <w:tcPr>
            <w:tcW w:w="646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Amounts reclassified from accumulated other comprehensive loss, net of tax</w:t>
            </w:r>
          </w:p>
        </w:tc>
        <w:tc>
          <w:tcPr>
            <w:tcW w:w="34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151"/>
              <w:spacing w:after="0" w:line="156" w:lineRule="exact"/>
              <w:rPr>
                <w:sz w:val="20"/>
                <w:szCs w:val="20"/>
                <w:color w:val="auto"/>
              </w:rPr>
            </w:pPr>
            <w:r>
              <w:rPr>
                <w:rFonts w:ascii="Arial" w:cs="Arial" w:eastAsia="Arial" w:hAnsi="Arial"/>
                <w:sz w:val="14"/>
                <w:szCs w:val="14"/>
                <w:b w:val="1"/>
                <w:bCs w:val="1"/>
                <w:color w:val="auto"/>
              </w:rPr>
              <w:t>7,633</w:t>
            </w:r>
          </w:p>
        </w:tc>
        <w:tc>
          <w:tcPr>
            <w:tcW w:w="26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31"/>
              <w:spacing w:after="0" w:line="156" w:lineRule="exact"/>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ind w:right="131"/>
              <w:spacing w:after="0" w:line="156" w:lineRule="exact"/>
              <w:rPr>
                <w:sz w:val="20"/>
                <w:szCs w:val="20"/>
                <w:color w:val="auto"/>
              </w:rPr>
            </w:pPr>
            <w:r>
              <w:rPr>
                <w:rFonts w:ascii="Arial" w:cs="Arial" w:eastAsia="Arial" w:hAnsi="Arial"/>
                <w:sz w:val="14"/>
                <w:szCs w:val="14"/>
                <w:b w:val="1"/>
                <w:bCs w:val="1"/>
                <w:color w:val="auto"/>
              </w:rPr>
              <w:t>872</w:t>
            </w:r>
          </w:p>
        </w:tc>
        <w:tc>
          <w:tcPr>
            <w:tcW w:w="3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b w:val="1"/>
                <w:bCs w:val="1"/>
                <w:color w:val="auto"/>
              </w:rPr>
              <w:t>8,505</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6460" w:type="dxa"/>
            <w:vAlign w:val="bottom"/>
          </w:tcPr>
          <w:p>
            <w:pPr>
              <w:spacing w:after="0"/>
              <w:rPr>
                <w:sz w:val="20"/>
                <w:szCs w:val="20"/>
                <w:color w:val="auto"/>
              </w:rPr>
            </w:pPr>
            <w:r>
              <w:rPr>
                <w:rFonts w:ascii="Arial" w:cs="Arial" w:eastAsia="Arial" w:hAnsi="Arial"/>
                <w:sz w:val="14"/>
                <w:szCs w:val="14"/>
                <w:color w:val="auto"/>
              </w:rPr>
              <w:t>Other comprehensive (loss) earnings, net of tax</w:t>
            </w:r>
          </w:p>
        </w:tc>
        <w:tc>
          <w:tcPr>
            <w:tcW w:w="3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(429)</w:t>
            </w:r>
          </w:p>
        </w:tc>
        <w:tc>
          <w:tcPr>
            <w:tcW w:w="2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1,140</w:t>
            </w:r>
          </w:p>
        </w:tc>
        <w:tc>
          <w:tcPr>
            <w:tcW w:w="4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872</w:t>
            </w:r>
          </w:p>
        </w:tc>
        <w:tc>
          <w:tcPr>
            <w:tcW w:w="3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1,583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46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Accumulated other comprehensive loss at end of period</w:t>
            </w:r>
          </w:p>
        </w:tc>
        <w:tc>
          <w:tcPr>
            <w:tcW w:w="34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31"/>
              <w:spacing w:after="0" w:line="156" w:lineRule="exact"/>
              <w:rPr>
                <w:sz w:val="20"/>
                <w:szCs w:val="20"/>
                <w:color w:val="auto"/>
              </w:rPr>
            </w:pPr>
            <w:r>
              <w:rPr>
                <w:rFonts w:ascii="Arial" w:cs="Arial" w:eastAsia="Arial" w:hAnsi="Arial"/>
                <w:sz w:val="14"/>
                <w:szCs w:val="14"/>
                <w:b w:val="1"/>
                <w:bCs w:val="1"/>
                <w:color w:val="auto"/>
                <w:w w:val="76"/>
              </w:rPr>
              <w:t>$</w:t>
            </w:r>
          </w:p>
        </w:tc>
        <w:tc>
          <w:tcPr>
            <w:tcW w:w="880" w:type="dxa"/>
            <w:vAlign w:val="bottom"/>
            <w:tcBorders>
              <w:bottom w:val="single" w:sz="8" w:color="auto"/>
            </w:tcBorders>
            <w:shd w:val="clear" w:color="auto" w:fill="CCEEFF"/>
          </w:tcPr>
          <w:p>
            <w:pPr>
              <w:jc w:val="right"/>
              <w:ind w:right="111"/>
              <w:spacing w:after="0" w:line="156" w:lineRule="exact"/>
              <w:rPr>
                <w:sz w:val="20"/>
                <w:szCs w:val="20"/>
                <w:color w:val="auto"/>
              </w:rPr>
            </w:pPr>
            <w:r>
              <w:rPr>
                <w:rFonts w:ascii="Arial" w:cs="Arial" w:eastAsia="Arial" w:hAnsi="Arial"/>
                <w:sz w:val="14"/>
                <w:szCs w:val="14"/>
                <w:b w:val="1"/>
                <w:bCs w:val="1"/>
                <w:color w:val="auto"/>
              </w:rPr>
              <w:t>(128,802)</w:t>
            </w:r>
          </w:p>
        </w:tc>
        <w:tc>
          <w:tcPr>
            <w:tcW w:w="2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b w:val="1"/>
                <w:bCs w:val="1"/>
                <w:color w:val="auto"/>
              </w:rPr>
              <w:t>(22)</w:t>
            </w:r>
          </w:p>
        </w:tc>
        <w:tc>
          <w:tcPr>
            <w:tcW w:w="40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shd w:val="clear" w:color="auto" w:fill="CCEEFF"/>
          </w:tcPr>
          <w:p>
            <w:pPr>
              <w:jc w:val="right"/>
              <w:ind w:right="91"/>
              <w:spacing w:after="0" w:line="156" w:lineRule="exact"/>
              <w:rPr>
                <w:sz w:val="20"/>
                <w:szCs w:val="20"/>
                <w:color w:val="auto"/>
              </w:rPr>
            </w:pPr>
            <w:r>
              <w:rPr>
                <w:rFonts w:ascii="Arial" w:cs="Arial" w:eastAsia="Arial" w:hAnsi="Arial"/>
                <w:sz w:val="14"/>
                <w:szCs w:val="14"/>
                <w:b w:val="1"/>
                <w:bCs w:val="1"/>
                <w:color w:val="auto"/>
              </w:rPr>
              <w:t>(280)</w:t>
            </w:r>
          </w:p>
        </w:tc>
        <w:tc>
          <w:tcPr>
            <w:tcW w:w="340" w:type="dxa"/>
            <w:vAlign w:val="bottom"/>
            <w:tcBorders>
              <w:bottom w:val="single" w:sz="8" w:color="auto"/>
            </w:tcBorders>
            <w:shd w:val="clear" w:color="auto" w:fill="CCEEFF"/>
          </w:tcPr>
          <w:p>
            <w:pPr>
              <w:jc w:val="right"/>
              <w:ind w:right="11"/>
              <w:spacing w:after="0" w:line="156" w:lineRule="exact"/>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b w:val="1"/>
                <w:bCs w:val="1"/>
                <w:color w:val="auto"/>
              </w:rPr>
              <w:t>(129,104)</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56"/>
        </w:trPr>
        <w:tc>
          <w:tcPr>
            <w:tcW w:w="6460" w:type="dxa"/>
            <w:vAlign w:val="bottom"/>
          </w:tcPr>
          <w:p>
            <w:pPr>
              <w:spacing w:after="0"/>
              <w:rPr>
                <w:sz w:val="20"/>
                <w:szCs w:val="20"/>
                <w:color w:val="auto"/>
              </w:rPr>
            </w:pPr>
            <w:r>
              <w:rPr>
                <w:rFonts w:ascii="Arial" w:cs="Arial" w:eastAsia="Arial" w:hAnsi="Arial"/>
                <w:sz w:val="14"/>
                <w:szCs w:val="14"/>
                <w:color w:val="auto"/>
              </w:rPr>
              <w:t>Cumulative noncurrent deferred tax assets at end of period</w:t>
            </w:r>
          </w:p>
        </w:tc>
        <w:tc>
          <w:tcPr>
            <w:tcW w:w="520" w:type="dxa"/>
            <w:vAlign w:val="bottom"/>
            <w:gridSpan w:val="2"/>
          </w:tcPr>
          <w:p>
            <w:pPr>
              <w:jc w:val="right"/>
              <w:ind w:right="31"/>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151"/>
              <w:spacing w:after="0"/>
              <w:rPr>
                <w:sz w:val="20"/>
                <w:szCs w:val="20"/>
                <w:color w:val="auto"/>
              </w:rPr>
            </w:pPr>
            <w:r>
              <w:rPr>
                <w:rFonts w:ascii="Arial" w:cs="Arial" w:eastAsia="Arial" w:hAnsi="Arial"/>
                <w:sz w:val="14"/>
                <w:szCs w:val="14"/>
                <w:b w:val="1"/>
                <w:bCs w:val="1"/>
                <w:color w:val="auto"/>
              </w:rPr>
              <w:t>79,938</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31"/>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131"/>
              <w:spacing w:after="0"/>
              <w:rPr>
                <w:sz w:val="20"/>
                <w:szCs w:val="20"/>
                <w:color w:val="auto"/>
              </w:rPr>
            </w:pPr>
            <w:r>
              <w:rPr>
                <w:rFonts w:ascii="Arial" w:cs="Arial" w:eastAsia="Arial" w:hAnsi="Arial"/>
                <w:sz w:val="14"/>
                <w:szCs w:val="14"/>
                <w:b w:val="1"/>
                <w:bCs w:val="1"/>
                <w:color w:val="auto"/>
              </w:rPr>
              <w:t>178</w:t>
            </w:r>
          </w:p>
        </w:tc>
        <w:tc>
          <w:tcPr>
            <w:tcW w:w="340" w:type="dxa"/>
            <w:vAlign w:val="bottom"/>
          </w:tcPr>
          <w:p>
            <w:pPr>
              <w:jc w:val="right"/>
              <w:ind w:right="11"/>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80,116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2016</w:t>
            </w:r>
          </w:p>
        </w:tc>
        <w:tc>
          <w:tcPr>
            <w:tcW w:w="11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64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646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Accumulated other comprehensive loss at beginning of period</w:t>
            </w:r>
          </w:p>
        </w:tc>
        <w:tc>
          <w:tcPr>
            <w:tcW w:w="34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31"/>
              <w:spacing w:after="0" w:line="156" w:lineRule="exact"/>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ind w:right="111"/>
              <w:spacing w:after="0" w:line="156" w:lineRule="exact"/>
              <w:rPr>
                <w:sz w:val="20"/>
                <w:szCs w:val="20"/>
                <w:color w:val="auto"/>
              </w:rPr>
            </w:pPr>
            <w:r>
              <w:rPr>
                <w:rFonts w:ascii="Arial" w:cs="Arial" w:eastAsia="Arial" w:hAnsi="Arial"/>
                <w:sz w:val="14"/>
                <w:szCs w:val="14"/>
                <w:color w:val="auto"/>
              </w:rPr>
              <w:t>(103,380)</w:t>
            </w:r>
          </w:p>
        </w:tc>
        <w:tc>
          <w:tcPr>
            <w:tcW w:w="2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(264)</w:t>
            </w:r>
          </w:p>
        </w:tc>
        <w:tc>
          <w:tcPr>
            <w:tcW w:w="40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91"/>
              <w:spacing w:after="0" w:line="156" w:lineRule="exact"/>
              <w:rPr>
                <w:sz w:val="20"/>
                <w:szCs w:val="20"/>
                <w:color w:val="auto"/>
              </w:rPr>
            </w:pPr>
            <w:r>
              <w:rPr>
                <w:rFonts w:ascii="Arial" w:cs="Arial" w:eastAsia="Arial" w:hAnsi="Arial"/>
                <w:sz w:val="14"/>
                <w:szCs w:val="14"/>
                <w:color w:val="auto"/>
              </w:rPr>
              <w:t>(1,978)</w:t>
            </w:r>
          </w:p>
        </w:tc>
        <w:tc>
          <w:tcPr>
            <w:tcW w:w="340" w:type="dxa"/>
            <w:vAlign w:val="bottom"/>
            <w:tcBorders>
              <w:bottom w:val="single" w:sz="8" w:color="auto"/>
            </w:tcBorders>
            <w:shd w:val="clear" w:color="auto" w:fill="CCEEFF"/>
          </w:tcPr>
          <w:p>
            <w:pPr>
              <w:jc w:val="right"/>
              <w:ind w:right="11"/>
              <w:spacing w:after="0" w:line="156"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(105,622)</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460" w:type="dxa"/>
            <w:vAlign w:val="bottom"/>
          </w:tcPr>
          <w:p>
            <w:pPr>
              <w:spacing w:after="0"/>
              <w:rPr>
                <w:sz w:val="20"/>
                <w:szCs w:val="20"/>
                <w:color w:val="auto"/>
              </w:rPr>
            </w:pPr>
            <w:r>
              <w:rPr>
                <w:rFonts w:ascii="Arial" w:cs="Arial" w:eastAsia="Arial" w:hAnsi="Arial"/>
                <w:sz w:val="14"/>
                <w:szCs w:val="14"/>
                <w:color w:val="auto"/>
              </w:rPr>
              <w:t>Other comprehensive loss before reclassifications, net of tax</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111"/>
              <w:spacing w:after="0"/>
              <w:rPr>
                <w:sz w:val="20"/>
                <w:szCs w:val="20"/>
                <w:color w:val="auto"/>
              </w:rPr>
            </w:pPr>
            <w:r>
              <w:rPr>
                <w:rFonts w:ascii="Arial" w:cs="Arial" w:eastAsia="Arial" w:hAnsi="Arial"/>
                <w:sz w:val="14"/>
                <w:szCs w:val="14"/>
                <w:color w:val="auto"/>
              </w:rPr>
              <w:t>(31,678)</w:t>
            </w:r>
          </w:p>
        </w:tc>
        <w:tc>
          <w:tcPr>
            <w:tcW w:w="2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(898)</w:t>
            </w:r>
          </w:p>
        </w:tc>
        <w:tc>
          <w:tcPr>
            <w:tcW w:w="400" w:type="dxa"/>
            <w:vAlign w:val="bottom"/>
          </w:tcPr>
          <w:p>
            <w:pPr>
              <w:spacing w:after="0"/>
              <w:rPr>
                <w:sz w:val="14"/>
                <w:szCs w:val="14"/>
                <w:color w:val="auto"/>
              </w:rPr>
            </w:pPr>
          </w:p>
        </w:tc>
        <w:tc>
          <w:tcPr>
            <w:tcW w:w="114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(32,576)</w:t>
            </w:r>
          </w:p>
        </w:tc>
        <w:tc>
          <w:tcPr>
            <w:tcW w:w="0" w:type="dxa"/>
            <w:vAlign w:val="bottom"/>
          </w:tcPr>
          <w:p>
            <w:pPr>
              <w:spacing w:after="0"/>
              <w:rPr>
                <w:sz w:val="1"/>
                <w:szCs w:val="1"/>
                <w:color w:val="auto"/>
              </w:rPr>
            </w:pPr>
          </w:p>
        </w:tc>
      </w:tr>
      <w:tr>
        <w:trPr>
          <w:trHeight w:val="156"/>
        </w:trPr>
        <w:tc>
          <w:tcPr>
            <w:tcW w:w="646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Amounts reclassified from accumulated other comprehensive loss, net of tax</w:t>
            </w:r>
          </w:p>
        </w:tc>
        <w:tc>
          <w:tcPr>
            <w:tcW w:w="34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151"/>
              <w:spacing w:after="0" w:line="156" w:lineRule="exact"/>
              <w:rPr>
                <w:sz w:val="20"/>
                <w:szCs w:val="20"/>
                <w:color w:val="auto"/>
              </w:rPr>
            </w:pPr>
            <w:r>
              <w:rPr>
                <w:rFonts w:ascii="Arial" w:cs="Arial" w:eastAsia="Arial" w:hAnsi="Arial"/>
                <w:sz w:val="14"/>
                <w:szCs w:val="14"/>
                <w:color w:val="auto"/>
              </w:rPr>
              <w:t>6,685</w:t>
            </w:r>
          </w:p>
        </w:tc>
        <w:tc>
          <w:tcPr>
            <w:tcW w:w="26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31"/>
              <w:spacing w:after="0" w:line="156" w:lineRule="exact"/>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ind w:right="131"/>
              <w:spacing w:after="0" w:line="156" w:lineRule="exact"/>
              <w:rPr>
                <w:sz w:val="20"/>
                <w:szCs w:val="20"/>
                <w:color w:val="auto"/>
              </w:rPr>
            </w:pPr>
            <w:r>
              <w:rPr>
                <w:rFonts w:ascii="Arial" w:cs="Arial" w:eastAsia="Arial" w:hAnsi="Arial"/>
                <w:sz w:val="14"/>
                <w:szCs w:val="14"/>
                <w:color w:val="auto"/>
              </w:rPr>
              <w:t>826</w:t>
            </w:r>
          </w:p>
        </w:tc>
        <w:tc>
          <w:tcPr>
            <w:tcW w:w="3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7,511</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6460" w:type="dxa"/>
            <w:vAlign w:val="bottom"/>
          </w:tcPr>
          <w:p>
            <w:pPr>
              <w:spacing w:after="0"/>
              <w:rPr>
                <w:sz w:val="20"/>
                <w:szCs w:val="20"/>
                <w:color w:val="auto"/>
              </w:rPr>
            </w:pPr>
            <w:r>
              <w:rPr>
                <w:rFonts w:ascii="Arial" w:cs="Arial" w:eastAsia="Arial" w:hAnsi="Arial"/>
                <w:sz w:val="14"/>
                <w:szCs w:val="14"/>
                <w:color w:val="auto"/>
              </w:rPr>
              <w:t>Other comprehensive (loss) earnings, net of tax</w:t>
            </w:r>
          </w:p>
        </w:tc>
        <w:tc>
          <w:tcPr>
            <w:tcW w:w="3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(24,993)</w:t>
            </w:r>
          </w:p>
        </w:tc>
        <w:tc>
          <w:tcPr>
            <w:tcW w:w="2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(898)</w:t>
            </w:r>
          </w:p>
        </w:tc>
        <w:tc>
          <w:tcPr>
            <w:tcW w:w="4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826</w:t>
            </w:r>
          </w:p>
        </w:tc>
        <w:tc>
          <w:tcPr>
            <w:tcW w:w="3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(25,065)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46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Accumulated other comprehensive loss at end of period</w:t>
            </w:r>
          </w:p>
        </w:tc>
        <w:tc>
          <w:tcPr>
            <w:tcW w:w="34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31"/>
              <w:spacing w:after="0" w:line="156" w:lineRule="exact"/>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ind w:right="111"/>
              <w:spacing w:after="0" w:line="156" w:lineRule="exact"/>
              <w:rPr>
                <w:sz w:val="20"/>
                <w:szCs w:val="20"/>
                <w:color w:val="auto"/>
              </w:rPr>
            </w:pPr>
            <w:r>
              <w:rPr>
                <w:rFonts w:ascii="Arial" w:cs="Arial" w:eastAsia="Arial" w:hAnsi="Arial"/>
                <w:sz w:val="14"/>
                <w:szCs w:val="14"/>
                <w:color w:val="auto"/>
              </w:rPr>
              <w:t>(128,373)</w:t>
            </w:r>
          </w:p>
        </w:tc>
        <w:tc>
          <w:tcPr>
            <w:tcW w:w="2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(1,162)</w:t>
            </w:r>
          </w:p>
        </w:tc>
        <w:tc>
          <w:tcPr>
            <w:tcW w:w="40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91"/>
              <w:spacing w:after="0" w:line="156" w:lineRule="exact"/>
              <w:rPr>
                <w:sz w:val="20"/>
                <w:szCs w:val="20"/>
                <w:color w:val="auto"/>
              </w:rPr>
            </w:pPr>
            <w:r>
              <w:rPr>
                <w:rFonts w:ascii="Arial" w:cs="Arial" w:eastAsia="Arial" w:hAnsi="Arial"/>
                <w:sz w:val="14"/>
                <w:szCs w:val="14"/>
                <w:color w:val="auto"/>
              </w:rPr>
              <w:t>(1,152)</w:t>
            </w:r>
          </w:p>
        </w:tc>
        <w:tc>
          <w:tcPr>
            <w:tcW w:w="340" w:type="dxa"/>
            <w:vAlign w:val="bottom"/>
            <w:tcBorders>
              <w:bottom w:val="single" w:sz="8" w:color="auto"/>
            </w:tcBorders>
            <w:shd w:val="clear" w:color="auto" w:fill="CCEEFF"/>
          </w:tcPr>
          <w:p>
            <w:pPr>
              <w:jc w:val="right"/>
              <w:ind w:right="11"/>
              <w:spacing w:after="0" w:line="156"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(130,687)</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56"/>
        </w:trPr>
        <w:tc>
          <w:tcPr>
            <w:tcW w:w="6460" w:type="dxa"/>
            <w:vAlign w:val="bottom"/>
          </w:tcPr>
          <w:p>
            <w:pPr>
              <w:spacing w:after="0"/>
              <w:rPr>
                <w:sz w:val="20"/>
                <w:szCs w:val="20"/>
                <w:color w:val="auto"/>
              </w:rPr>
            </w:pPr>
            <w:r>
              <w:rPr>
                <w:rFonts w:ascii="Arial" w:cs="Arial" w:eastAsia="Arial" w:hAnsi="Arial"/>
                <w:sz w:val="14"/>
                <w:szCs w:val="14"/>
                <w:color w:val="auto"/>
              </w:rPr>
              <w:t>Cumulative noncurrent deferred tax assets at end of period</w:t>
            </w:r>
          </w:p>
        </w:tc>
        <w:tc>
          <w:tcPr>
            <w:tcW w:w="520" w:type="dxa"/>
            <w:vAlign w:val="bottom"/>
            <w:gridSpan w:val="2"/>
          </w:tcPr>
          <w:p>
            <w:pPr>
              <w:jc w:val="right"/>
              <w:ind w:right="31"/>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51"/>
              <w:spacing w:after="0"/>
              <w:rPr>
                <w:sz w:val="20"/>
                <w:szCs w:val="20"/>
                <w:color w:val="auto"/>
              </w:rPr>
            </w:pPr>
            <w:r>
              <w:rPr>
                <w:rFonts w:ascii="Arial" w:cs="Arial" w:eastAsia="Arial" w:hAnsi="Arial"/>
                <w:sz w:val="14"/>
                <w:szCs w:val="14"/>
                <w:color w:val="auto"/>
              </w:rPr>
              <w:t>82,044</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31"/>
              <w:spacing w:after="0"/>
              <w:rPr>
                <w:sz w:val="20"/>
                <w:szCs w:val="20"/>
                <w:color w:val="auto"/>
              </w:rPr>
            </w:pPr>
            <w:r>
              <w:rPr>
                <w:rFonts w:ascii="Arial" w:cs="Arial" w:eastAsia="Arial" w:hAnsi="Arial"/>
                <w:sz w:val="14"/>
                <w:szCs w:val="14"/>
                <w:color w:val="auto"/>
              </w:rPr>
              <w:t>749</w:t>
            </w:r>
          </w:p>
        </w:tc>
        <w:tc>
          <w:tcPr>
            <w:tcW w:w="34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82,793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2015</w:t>
            </w:r>
          </w:p>
        </w:tc>
        <w:tc>
          <w:tcPr>
            <w:tcW w:w="11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64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646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Accumulated other comprehensive (loss) earnings at beginning of period</w:t>
            </w:r>
          </w:p>
        </w:tc>
        <w:tc>
          <w:tcPr>
            <w:tcW w:w="34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31"/>
              <w:spacing w:after="0" w:line="156" w:lineRule="exact"/>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ind w:right="111"/>
              <w:spacing w:after="0" w:line="156" w:lineRule="exact"/>
              <w:rPr>
                <w:sz w:val="20"/>
                <w:szCs w:val="20"/>
                <w:color w:val="auto"/>
              </w:rPr>
            </w:pPr>
            <w:r>
              <w:rPr>
                <w:rFonts w:ascii="Arial" w:cs="Arial" w:eastAsia="Arial" w:hAnsi="Arial"/>
                <w:sz w:val="14"/>
                <w:szCs w:val="14"/>
                <w:color w:val="auto"/>
              </w:rPr>
              <w:t>(106,688)</w:t>
            </w:r>
          </w:p>
        </w:tc>
        <w:tc>
          <w:tcPr>
            <w:tcW w:w="2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31"/>
              <w:spacing w:after="0" w:line="156" w:lineRule="exact"/>
              <w:rPr>
                <w:sz w:val="20"/>
                <w:szCs w:val="20"/>
                <w:color w:val="auto"/>
              </w:rPr>
            </w:pPr>
            <w:r>
              <w:rPr>
                <w:rFonts w:ascii="Arial" w:cs="Arial" w:eastAsia="Arial" w:hAnsi="Arial"/>
                <w:sz w:val="14"/>
                <w:szCs w:val="14"/>
                <w:color w:val="auto"/>
              </w:rPr>
              <w:t>3,278</w:t>
            </w:r>
          </w:p>
        </w:tc>
        <w:tc>
          <w:tcPr>
            <w:tcW w:w="40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91"/>
              <w:spacing w:after="0" w:line="156" w:lineRule="exact"/>
              <w:rPr>
                <w:sz w:val="20"/>
                <w:szCs w:val="20"/>
                <w:color w:val="auto"/>
              </w:rPr>
            </w:pPr>
            <w:r>
              <w:rPr>
                <w:rFonts w:ascii="Arial" w:cs="Arial" w:eastAsia="Arial" w:hAnsi="Arial"/>
                <w:sz w:val="14"/>
                <w:szCs w:val="14"/>
                <w:color w:val="auto"/>
              </w:rPr>
              <w:t>(2,749)</w:t>
            </w:r>
          </w:p>
        </w:tc>
        <w:tc>
          <w:tcPr>
            <w:tcW w:w="340" w:type="dxa"/>
            <w:vAlign w:val="bottom"/>
            <w:tcBorders>
              <w:bottom w:val="single" w:sz="8" w:color="auto"/>
            </w:tcBorders>
            <w:shd w:val="clear" w:color="auto" w:fill="CCEEFF"/>
          </w:tcPr>
          <w:p>
            <w:pPr>
              <w:jc w:val="right"/>
              <w:ind w:right="11"/>
              <w:spacing w:after="0" w:line="156"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(106,159)</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460" w:type="dxa"/>
            <w:vAlign w:val="bottom"/>
          </w:tcPr>
          <w:p>
            <w:pPr>
              <w:spacing w:after="0"/>
              <w:rPr>
                <w:sz w:val="20"/>
                <w:szCs w:val="20"/>
                <w:color w:val="auto"/>
              </w:rPr>
            </w:pPr>
            <w:r>
              <w:rPr>
                <w:rFonts w:ascii="Arial" w:cs="Arial" w:eastAsia="Arial" w:hAnsi="Arial"/>
                <w:sz w:val="14"/>
                <w:szCs w:val="14"/>
                <w:color w:val="auto"/>
              </w:rPr>
              <w:t>Other comprehensive loss before reclassifications, net of tax</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111"/>
              <w:spacing w:after="0"/>
              <w:rPr>
                <w:sz w:val="20"/>
                <w:szCs w:val="20"/>
                <w:color w:val="auto"/>
              </w:rPr>
            </w:pPr>
            <w:r>
              <w:rPr>
                <w:rFonts w:ascii="Arial" w:cs="Arial" w:eastAsia="Arial" w:hAnsi="Arial"/>
                <w:sz w:val="14"/>
                <w:szCs w:val="14"/>
                <w:color w:val="auto"/>
              </w:rPr>
              <w:t>(7,116)</w:t>
            </w:r>
          </w:p>
        </w:tc>
        <w:tc>
          <w:tcPr>
            <w:tcW w:w="2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(3,542)</w:t>
            </w:r>
          </w:p>
        </w:tc>
        <w:tc>
          <w:tcPr>
            <w:tcW w:w="400" w:type="dxa"/>
            <w:vAlign w:val="bottom"/>
          </w:tcPr>
          <w:p>
            <w:pPr>
              <w:spacing w:after="0"/>
              <w:rPr>
                <w:sz w:val="14"/>
                <w:szCs w:val="14"/>
                <w:color w:val="auto"/>
              </w:rPr>
            </w:pPr>
          </w:p>
        </w:tc>
        <w:tc>
          <w:tcPr>
            <w:tcW w:w="114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(10,658)</w:t>
            </w:r>
          </w:p>
        </w:tc>
        <w:tc>
          <w:tcPr>
            <w:tcW w:w="0" w:type="dxa"/>
            <w:vAlign w:val="bottom"/>
          </w:tcPr>
          <w:p>
            <w:pPr>
              <w:spacing w:after="0"/>
              <w:rPr>
                <w:sz w:val="1"/>
                <w:szCs w:val="1"/>
                <w:color w:val="auto"/>
              </w:rPr>
            </w:pPr>
          </w:p>
        </w:tc>
      </w:tr>
      <w:tr>
        <w:trPr>
          <w:trHeight w:val="156"/>
        </w:trPr>
        <w:tc>
          <w:tcPr>
            <w:tcW w:w="646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Amounts reclassified from accumulated other comprehensive loss, net of tax</w:t>
            </w:r>
          </w:p>
        </w:tc>
        <w:tc>
          <w:tcPr>
            <w:tcW w:w="34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151"/>
              <w:spacing w:after="0" w:line="156" w:lineRule="exact"/>
              <w:rPr>
                <w:sz w:val="20"/>
                <w:szCs w:val="20"/>
                <w:color w:val="auto"/>
              </w:rPr>
            </w:pPr>
            <w:r>
              <w:rPr>
                <w:rFonts w:ascii="Arial" w:cs="Arial" w:eastAsia="Arial" w:hAnsi="Arial"/>
                <w:sz w:val="14"/>
                <w:szCs w:val="14"/>
                <w:color w:val="auto"/>
              </w:rPr>
              <w:t>10,424</w:t>
            </w:r>
          </w:p>
        </w:tc>
        <w:tc>
          <w:tcPr>
            <w:tcW w:w="26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31"/>
              <w:spacing w:after="0" w:line="156" w:lineRule="exact"/>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ind w:right="131"/>
              <w:spacing w:after="0" w:line="156" w:lineRule="exact"/>
              <w:rPr>
                <w:sz w:val="20"/>
                <w:szCs w:val="20"/>
                <w:color w:val="auto"/>
              </w:rPr>
            </w:pPr>
            <w:r>
              <w:rPr>
                <w:rFonts w:ascii="Arial" w:cs="Arial" w:eastAsia="Arial" w:hAnsi="Arial"/>
                <w:sz w:val="14"/>
                <w:szCs w:val="14"/>
                <w:color w:val="auto"/>
              </w:rPr>
              <w:t>771</w:t>
            </w:r>
          </w:p>
        </w:tc>
        <w:tc>
          <w:tcPr>
            <w:tcW w:w="3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11,195</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6460" w:type="dxa"/>
            <w:vAlign w:val="bottom"/>
          </w:tcPr>
          <w:p>
            <w:pPr>
              <w:spacing w:after="0"/>
              <w:rPr>
                <w:sz w:val="20"/>
                <w:szCs w:val="20"/>
                <w:color w:val="auto"/>
              </w:rPr>
            </w:pPr>
            <w:r>
              <w:rPr>
                <w:rFonts w:ascii="Arial" w:cs="Arial" w:eastAsia="Arial" w:hAnsi="Arial"/>
                <w:sz w:val="14"/>
                <w:szCs w:val="14"/>
                <w:color w:val="auto"/>
              </w:rPr>
              <w:t>Other comprehensive earnings (loss), net of tax</w:t>
            </w:r>
          </w:p>
        </w:tc>
        <w:tc>
          <w:tcPr>
            <w:tcW w:w="3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rPr>
              <w:t>3,308</w:t>
            </w:r>
          </w:p>
        </w:tc>
        <w:tc>
          <w:tcPr>
            <w:tcW w:w="2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(3,542)</w:t>
            </w:r>
          </w:p>
        </w:tc>
        <w:tc>
          <w:tcPr>
            <w:tcW w:w="4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771</w:t>
            </w:r>
          </w:p>
        </w:tc>
        <w:tc>
          <w:tcPr>
            <w:tcW w:w="3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46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Accumulated other comprehensive loss at end of period</w:t>
            </w:r>
          </w:p>
        </w:tc>
        <w:tc>
          <w:tcPr>
            <w:tcW w:w="34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31"/>
              <w:spacing w:after="0" w:line="156" w:lineRule="exact"/>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ind w:right="111"/>
              <w:spacing w:after="0" w:line="156" w:lineRule="exact"/>
              <w:rPr>
                <w:sz w:val="20"/>
                <w:szCs w:val="20"/>
                <w:color w:val="auto"/>
              </w:rPr>
            </w:pPr>
            <w:r>
              <w:rPr>
                <w:rFonts w:ascii="Arial" w:cs="Arial" w:eastAsia="Arial" w:hAnsi="Arial"/>
                <w:sz w:val="14"/>
                <w:szCs w:val="14"/>
                <w:color w:val="auto"/>
              </w:rPr>
              <w:t>(103,380)</w:t>
            </w:r>
          </w:p>
        </w:tc>
        <w:tc>
          <w:tcPr>
            <w:tcW w:w="2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(264)</w:t>
            </w:r>
          </w:p>
        </w:tc>
        <w:tc>
          <w:tcPr>
            <w:tcW w:w="40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91"/>
              <w:spacing w:after="0" w:line="156" w:lineRule="exact"/>
              <w:rPr>
                <w:sz w:val="20"/>
                <w:szCs w:val="20"/>
                <w:color w:val="auto"/>
              </w:rPr>
            </w:pPr>
            <w:r>
              <w:rPr>
                <w:rFonts w:ascii="Arial" w:cs="Arial" w:eastAsia="Arial" w:hAnsi="Arial"/>
                <w:sz w:val="14"/>
                <w:szCs w:val="14"/>
                <w:color w:val="auto"/>
              </w:rPr>
              <w:t>(1,978)</w:t>
            </w:r>
          </w:p>
        </w:tc>
        <w:tc>
          <w:tcPr>
            <w:tcW w:w="340" w:type="dxa"/>
            <w:vAlign w:val="bottom"/>
            <w:tcBorders>
              <w:bottom w:val="single" w:sz="8" w:color="auto"/>
            </w:tcBorders>
            <w:shd w:val="clear" w:color="auto" w:fill="CCEEFF"/>
          </w:tcPr>
          <w:p>
            <w:pPr>
              <w:jc w:val="right"/>
              <w:ind w:right="11"/>
              <w:spacing w:after="0" w:line="156"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(105,622)</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56"/>
        </w:trPr>
        <w:tc>
          <w:tcPr>
            <w:tcW w:w="6460" w:type="dxa"/>
            <w:vAlign w:val="bottom"/>
          </w:tcPr>
          <w:p>
            <w:pPr>
              <w:spacing w:after="0"/>
              <w:rPr>
                <w:sz w:val="20"/>
                <w:szCs w:val="20"/>
                <w:color w:val="auto"/>
              </w:rPr>
            </w:pPr>
            <w:r>
              <w:rPr>
                <w:rFonts w:ascii="Arial" w:cs="Arial" w:eastAsia="Arial" w:hAnsi="Arial"/>
                <w:sz w:val="14"/>
                <w:szCs w:val="14"/>
                <w:color w:val="auto"/>
              </w:rPr>
              <w:t>Cumulative noncurrent deferred tax assets at end of period</w:t>
            </w:r>
          </w:p>
        </w:tc>
        <w:tc>
          <w:tcPr>
            <w:tcW w:w="340" w:type="dxa"/>
            <w:vAlign w:val="bottom"/>
          </w:tcPr>
          <w:p>
            <w:pPr>
              <w:spacing w:after="0"/>
              <w:rPr>
                <w:sz w:val="24"/>
                <w:szCs w:val="24"/>
                <w:color w:val="auto"/>
              </w:rPr>
            </w:pPr>
          </w:p>
        </w:tc>
        <w:tc>
          <w:tcPr>
            <w:tcW w:w="1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rPr>
              <w:t>66,467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1,290</w:t>
            </w:r>
          </w:p>
        </w:tc>
        <w:tc>
          <w:tcPr>
            <w:tcW w:w="34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67,757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6"/>
          <w:szCs w:val="16"/>
          <w:color w:val="auto"/>
        </w:rPr>
        <w:t>Reclassifications out of accumulated other comprehensive loss are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800" w:type="dxa"/>
            <w:vAlign w:val="bottom"/>
          </w:tcPr>
          <w:p>
            <w:pPr>
              <w:spacing w:after="0"/>
              <w:rPr>
                <w:sz w:val="20"/>
                <w:szCs w:val="20"/>
                <w:color w:val="auto"/>
              </w:rPr>
            </w:pPr>
            <w:r>
              <w:rPr>
                <w:rFonts w:ascii="Arial" w:cs="Arial" w:eastAsia="Arial" w:hAnsi="Arial"/>
                <w:sz w:val="14"/>
                <w:szCs w:val="14"/>
                <w:i w:val="1"/>
                <w:iCs w:val="1"/>
                <w:color w:val="auto"/>
              </w:rPr>
              <w:t>years ended December 31</w:t>
            </w:r>
          </w:p>
        </w:tc>
        <w:tc>
          <w:tcPr>
            <w:tcW w:w="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320" w:type="dxa"/>
            <w:vAlign w:val="bottom"/>
          </w:tcPr>
          <w:p>
            <w:pPr>
              <w:ind w:left="2440"/>
              <w:spacing w:after="0"/>
              <w:rPr>
                <w:sz w:val="20"/>
                <w:szCs w:val="20"/>
                <w:color w:val="auto"/>
              </w:rPr>
            </w:pPr>
            <w:r>
              <w:rPr>
                <w:rFonts w:ascii="Arial" w:cs="Arial" w:eastAsia="Arial" w:hAnsi="Arial"/>
                <w:sz w:val="14"/>
                <w:szCs w:val="14"/>
                <w:b w:val="1"/>
                <w:bCs w:val="1"/>
                <w:color w:val="auto"/>
              </w:rPr>
              <w:t>Affected line items in the</w:t>
            </w:r>
          </w:p>
        </w:tc>
        <w:tc>
          <w:tcPr>
            <w:tcW w:w="0" w:type="dxa"/>
            <w:vAlign w:val="bottom"/>
          </w:tcPr>
          <w:p>
            <w:pPr>
              <w:spacing w:after="0"/>
              <w:rPr>
                <w:sz w:val="1"/>
                <w:szCs w:val="1"/>
                <w:color w:val="auto"/>
              </w:rPr>
            </w:pPr>
          </w:p>
        </w:tc>
      </w:tr>
      <w:tr>
        <w:trPr>
          <w:trHeight w:val="169"/>
        </w:trPr>
        <w:tc>
          <w:tcPr>
            <w:tcW w:w="2800" w:type="dxa"/>
            <w:vAlign w:val="bottom"/>
            <w:vMerge w:val="restart"/>
          </w:tcPr>
          <w:p>
            <w:pPr>
              <w:spacing w:after="0"/>
              <w:rPr>
                <w:sz w:val="20"/>
                <w:szCs w:val="20"/>
                <w:color w:val="auto"/>
              </w:rPr>
            </w:pPr>
            <w:r>
              <w:rPr>
                <w:rFonts w:ascii="Arial" w:cs="Arial" w:eastAsia="Arial" w:hAnsi="Arial"/>
                <w:sz w:val="14"/>
                <w:szCs w:val="14"/>
                <w:color w:val="auto"/>
              </w:rPr>
              <w:t>(add 000)</w:t>
            </w:r>
          </w:p>
        </w:tc>
        <w:tc>
          <w:tcPr>
            <w:tcW w:w="380" w:type="dxa"/>
            <w:vAlign w:val="bottom"/>
          </w:tcPr>
          <w:p>
            <w:pPr>
              <w:spacing w:after="0"/>
              <w:rPr>
                <w:sz w:val="14"/>
                <w:szCs w:val="14"/>
                <w:color w:val="auto"/>
              </w:rPr>
            </w:pPr>
          </w:p>
        </w:tc>
        <w:tc>
          <w:tcPr>
            <w:tcW w:w="54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0085CD"/>
              </w:rPr>
              <w:t>2017</w:t>
            </w:r>
          </w:p>
        </w:tc>
        <w:tc>
          <w:tcPr>
            <w:tcW w:w="160" w:type="dxa"/>
            <w:vAlign w:val="bottom"/>
          </w:tcPr>
          <w:p>
            <w:pPr>
              <w:spacing w:after="0"/>
              <w:rPr>
                <w:sz w:val="14"/>
                <w:szCs w:val="14"/>
                <w:color w:val="auto"/>
              </w:rPr>
            </w:pPr>
          </w:p>
        </w:tc>
        <w:tc>
          <w:tcPr>
            <w:tcW w:w="540" w:type="dxa"/>
            <w:vAlign w:val="bottom"/>
            <w:vMerge w:val="restart"/>
          </w:tcPr>
          <w:p>
            <w:pPr>
              <w:jc w:val="right"/>
              <w:ind w:right="91"/>
              <w:spacing w:after="0"/>
              <w:rPr>
                <w:sz w:val="20"/>
                <w:szCs w:val="20"/>
                <w:color w:val="auto"/>
              </w:rPr>
            </w:pPr>
            <w:r>
              <w:rPr>
                <w:rFonts w:ascii="Arial" w:cs="Arial" w:eastAsia="Arial" w:hAnsi="Arial"/>
                <w:sz w:val="14"/>
                <w:szCs w:val="14"/>
                <w:color w:val="auto"/>
              </w:rPr>
              <w:t>2016</w:t>
            </w:r>
          </w:p>
        </w:tc>
        <w:tc>
          <w:tcPr>
            <w:tcW w:w="160" w:type="dxa"/>
            <w:vAlign w:val="bottom"/>
          </w:tcPr>
          <w:p>
            <w:pPr>
              <w:spacing w:after="0"/>
              <w:rPr>
                <w:sz w:val="14"/>
                <w:szCs w:val="14"/>
                <w:color w:val="auto"/>
              </w:rPr>
            </w:pPr>
          </w:p>
        </w:tc>
        <w:tc>
          <w:tcPr>
            <w:tcW w:w="520" w:type="dxa"/>
            <w:vAlign w:val="bottom"/>
            <w:vMerge w:val="restart"/>
          </w:tcPr>
          <w:p>
            <w:pPr>
              <w:jc w:val="right"/>
              <w:ind w:right="71"/>
              <w:spacing w:after="0"/>
              <w:rPr>
                <w:sz w:val="20"/>
                <w:szCs w:val="20"/>
                <w:color w:val="auto"/>
              </w:rPr>
            </w:pPr>
            <w:r>
              <w:rPr>
                <w:rFonts w:ascii="Arial" w:cs="Arial" w:eastAsia="Arial" w:hAnsi="Arial"/>
                <w:sz w:val="14"/>
                <w:szCs w:val="14"/>
                <w:color w:val="auto"/>
              </w:rPr>
              <w:t>2015</w:t>
            </w:r>
          </w:p>
        </w:tc>
        <w:tc>
          <w:tcPr>
            <w:tcW w:w="6320" w:type="dxa"/>
            <w:vAlign w:val="bottom"/>
          </w:tcPr>
          <w:p>
            <w:pPr>
              <w:ind w:left="2060"/>
              <w:spacing w:after="0"/>
              <w:rPr>
                <w:sz w:val="20"/>
                <w:szCs w:val="20"/>
                <w:color w:val="auto"/>
              </w:rPr>
            </w:pPr>
            <w:r>
              <w:rPr>
                <w:rFonts w:ascii="Arial" w:cs="Arial" w:eastAsia="Arial" w:hAnsi="Arial"/>
                <w:sz w:val="14"/>
                <w:szCs w:val="14"/>
                <w:b w:val="1"/>
                <w:bCs w:val="1"/>
                <w:color w:val="auto"/>
              </w:rPr>
              <w:t>consolidated statements of earnings</w:t>
            </w:r>
          </w:p>
        </w:tc>
        <w:tc>
          <w:tcPr>
            <w:tcW w:w="0" w:type="dxa"/>
            <w:vAlign w:val="bottom"/>
          </w:tcPr>
          <w:p>
            <w:pPr>
              <w:spacing w:after="0"/>
              <w:rPr>
                <w:sz w:val="1"/>
                <w:szCs w:val="1"/>
                <w:color w:val="auto"/>
              </w:rPr>
            </w:pPr>
          </w:p>
        </w:tc>
      </w:tr>
      <w:tr>
        <w:trPr>
          <w:trHeight w:val="26"/>
        </w:trPr>
        <w:tc>
          <w:tcPr>
            <w:tcW w:w="2800" w:type="dxa"/>
            <w:vAlign w:val="bottom"/>
            <w:tcBorders>
              <w:bottom w:val="single" w:sz="8" w:color="auto"/>
            </w:tcBorders>
            <w:vMerge w:val="continue"/>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vMerge w:val="continue"/>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vMerge w:val="continue"/>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vMerge w:val="continue"/>
          </w:tcPr>
          <w:p>
            <w:pPr>
              <w:spacing w:after="0"/>
              <w:rPr>
                <w:sz w:val="2"/>
                <w:szCs w:val="2"/>
                <w:color w:val="auto"/>
              </w:rPr>
            </w:pPr>
          </w:p>
        </w:tc>
        <w:tc>
          <w:tcPr>
            <w:tcW w:w="6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2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Pension and postretirement benefit plans</w:t>
            </w:r>
          </w:p>
        </w:tc>
        <w:tc>
          <w:tcPr>
            <w:tcW w:w="3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800" w:type="dxa"/>
            <w:vAlign w:val="bottom"/>
          </w:tcPr>
          <w:p>
            <w:pPr>
              <w:ind w:left="280"/>
              <w:spacing w:after="0" w:line="156" w:lineRule="exact"/>
              <w:rPr>
                <w:sz w:val="20"/>
                <w:szCs w:val="20"/>
                <w:color w:val="auto"/>
              </w:rPr>
            </w:pPr>
            <w:r>
              <w:rPr>
                <w:rFonts w:ascii="Arial" w:cs="Arial" w:eastAsia="Arial" w:hAnsi="Arial"/>
                <w:sz w:val="14"/>
                <w:szCs w:val="14"/>
                <w:color w:val="auto"/>
              </w:rPr>
              <w:t>Special plan termination benefit</w:t>
            </w:r>
          </w:p>
        </w:tc>
        <w:tc>
          <w:tcPr>
            <w:tcW w:w="380" w:type="dxa"/>
            <w:vAlign w:val="bottom"/>
          </w:tcPr>
          <w:p>
            <w:pPr>
              <w:jc w:val="right"/>
              <w:spacing w:after="0" w:line="156" w:lineRule="exact"/>
              <w:rPr>
                <w:sz w:val="20"/>
                <w:szCs w:val="20"/>
                <w:color w:val="auto"/>
              </w:rPr>
            </w:pPr>
            <w:r>
              <w:rPr>
                <w:rFonts w:ascii="Arial" w:cs="Arial" w:eastAsia="Arial" w:hAnsi="Arial"/>
                <w:sz w:val="14"/>
                <w:szCs w:val="14"/>
                <w:b w:val="1"/>
                <w:bCs w:val="1"/>
                <w:color w:val="auto"/>
              </w:rPr>
              <w:t>$</w:t>
            </w:r>
          </w:p>
        </w:tc>
        <w:tc>
          <w:tcPr>
            <w:tcW w:w="540" w:type="dxa"/>
            <w:vAlign w:val="bottom"/>
          </w:tcPr>
          <w:p>
            <w:pPr>
              <w:jc w:val="right"/>
              <w:ind w:right="51"/>
              <w:spacing w:after="0" w:line="156" w:lineRule="exact"/>
              <w:rPr>
                <w:sz w:val="20"/>
                <w:szCs w:val="20"/>
                <w:color w:val="auto"/>
              </w:rPr>
            </w:pPr>
            <w:r>
              <w:rPr>
                <w:rFonts w:ascii="Arial" w:cs="Arial" w:eastAsia="Arial" w:hAnsi="Arial"/>
                <w:sz w:val="14"/>
                <w:szCs w:val="14"/>
                <w:b w:val="1"/>
                <w:bCs w:val="1"/>
                <w:color w:val="auto"/>
              </w:rPr>
              <w:t>–</w:t>
            </w:r>
          </w:p>
        </w:tc>
        <w:tc>
          <w:tcPr>
            <w:tcW w:w="16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51"/>
              <w:spacing w:after="0" w:line="156" w:lineRule="exact"/>
              <w:rPr>
                <w:sz w:val="20"/>
                <w:szCs w:val="20"/>
                <w:color w:val="auto"/>
              </w:rPr>
            </w:pPr>
            <w:r>
              <w:rPr>
                <w:rFonts w:ascii="Arial" w:cs="Arial" w:eastAsia="Arial" w:hAnsi="Arial"/>
                <w:sz w:val="14"/>
                <w:szCs w:val="14"/>
                <w:color w:val="auto"/>
              </w:rPr>
              <w:t>764</w:t>
            </w:r>
          </w:p>
        </w:tc>
        <w:tc>
          <w:tcPr>
            <w:tcW w:w="16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520" w:type="dxa"/>
            <w:vAlign w:val="bottom"/>
          </w:tcPr>
          <w:p>
            <w:pPr>
              <w:jc w:val="right"/>
              <w:ind w:right="31"/>
              <w:spacing w:after="0" w:line="156" w:lineRule="exact"/>
              <w:rPr>
                <w:sz w:val="20"/>
                <w:szCs w:val="20"/>
                <w:color w:val="auto"/>
              </w:rPr>
            </w:pPr>
            <w:r>
              <w:rPr>
                <w:rFonts w:ascii="Arial" w:cs="Arial" w:eastAsia="Arial" w:hAnsi="Arial"/>
                <w:sz w:val="14"/>
                <w:szCs w:val="14"/>
                <w:color w:val="auto"/>
              </w:rPr>
              <w:t>2,085</w:t>
            </w:r>
          </w:p>
        </w:tc>
        <w:tc>
          <w:tcPr>
            <w:tcW w:w="6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00" w:type="dxa"/>
            <w:vAlign w:val="bottom"/>
            <w:shd w:val="clear" w:color="auto" w:fill="CCEEFF"/>
          </w:tcPr>
          <w:p>
            <w:pPr>
              <w:ind w:left="280"/>
              <w:spacing w:after="0" w:line="156" w:lineRule="exact"/>
              <w:rPr>
                <w:sz w:val="20"/>
                <w:szCs w:val="20"/>
                <w:color w:val="auto"/>
              </w:rPr>
            </w:pPr>
            <w:r>
              <w:rPr>
                <w:rFonts w:ascii="Arial" w:cs="Arial" w:eastAsia="Arial" w:hAnsi="Arial"/>
                <w:sz w:val="14"/>
                <w:szCs w:val="14"/>
                <w:color w:val="auto"/>
              </w:rPr>
              <w:t>Settlement charge</w:t>
            </w:r>
          </w:p>
        </w:tc>
        <w:tc>
          <w:tcPr>
            <w:tcW w:w="38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51"/>
              <w:spacing w:after="0" w:line="156" w:lineRule="exact"/>
              <w:rPr>
                <w:sz w:val="20"/>
                <w:szCs w:val="20"/>
                <w:color w:val="auto"/>
              </w:rPr>
            </w:pPr>
            <w:r>
              <w:rPr>
                <w:rFonts w:ascii="Arial" w:cs="Arial" w:eastAsia="Arial" w:hAnsi="Arial"/>
                <w:sz w:val="14"/>
                <w:szCs w:val="14"/>
                <w:b w:val="1"/>
                <w:bCs w:val="1"/>
                <w:color w:val="auto"/>
              </w:rPr>
              <w:t>21</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51"/>
              <w:spacing w:after="0" w:line="156" w:lineRule="exact"/>
              <w:rPr>
                <w:sz w:val="20"/>
                <w:szCs w:val="20"/>
                <w:color w:val="auto"/>
              </w:rPr>
            </w:pPr>
            <w:r>
              <w:rPr>
                <w:rFonts w:ascii="Arial" w:cs="Arial" w:eastAsia="Arial" w:hAnsi="Arial"/>
                <w:sz w:val="14"/>
                <w:szCs w:val="14"/>
                <w:color w:val="auto"/>
              </w:rPr>
              <w:t>115</w:t>
            </w: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31"/>
              <w:spacing w:after="0" w:line="156" w:lineRule="exact"/>
              <w:rPr>
                <w:sz w:val="20"/>
                <w:szCs w:val="20"/>
                <w:color w:val="auto"/>
              </w:rPr>
            </w:pPr>
            <w:r>
              <w:rPr>
                <w:rFonts w:ascii="Arial" w:cs="Arial" w:eastAsia="Arial" w:hAnsi="Arial"/>
                <w:sz w:val="14"/>
                <w:szCs w:val="14"/>
                <w:color w:val="auto"/>
              </w:rPr>
              <w:t>–</w:t>
            </w:r>
          </w:p>
        </w:tc>
        <w:tc>
          <w:tcPr>
            <w:tcW w:w="6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00" w:type="dxa"/>
            <w:vAlign w:val="bottom"/>
          </w:tcPr>
          <w:p>
            <w:pPr>
              <w:ind w:left="280"/>
              <w:spacing w:after="0" w:line="156" w:lineRule="exact"/>
              <w:rPr>
                <w:sz w:val="20"/>
                <w:szCs w:val="20"/>
                <w:color w:val="auto"/>
              </w:rPr>
            </w:pPr>
            <w:r>
              <w:rPr>
                <w:rFonts w:ascii="Arial" w:cs="Arial" w:eastAsia="Arial" w:hAnsi="Arial"/>
                <w:sz w:val="14"/>
                <w:szCs w:val="14"/>
                <w:color w:val="auto"/>
              </w:rPr>
              <w:t>Amortization of:</w:t>
            </w: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00" w:type="dxa"/>
            <w:vAlign w:val="bottom"/>
            <w:shd w:val="clear" w:color="auto" w:fill="CCEEFF"/>
          </w:tcPr>
          <w:p>
            <w:pPr>
              <w:ind w:left="420"/>
              <w:spacing w:after="0" w:line="156" w:lineRule="exact"/>
              <w:rPr>
                <w:sz w:val="20"/>
                <w:szCs w:val="20"/>
                <w:color w:val="auto"/>
              </w:rPr>
            </w:pPr>
            <w:r>
              <w:rPr>
                <w:rFonts w:ascii="Arial" w:cs="Arial" w:eastAsia="Arial" w:hAnsi="Arial"/>
                <w:sz w:val="14"/>
                <w:szCs w:val="14"/>
                <w:color w:val="auto"/>
              </w:rPr>
              <w:t>Prior service credit</w:t>
            </w:r>
          </w:p>
        </w:tc>
        <w:tc>
          <w:tcPr>
            <w:tcW w:w="38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11"/>
              <w:spacing w:after="0" w:line="156" w:lineRule="exact"/>
              <w:rPr>
                <w:sz w:val="20"/>
                <w:szCs w:val="20"/>
                <w:color w:val="auto"/>
              </w:rPr>
            </w:pPr>
            <w:r>
              <w:rPr>
                <w:rFonts w:ascii="Arial" w:cs="Arial" w:eastAsia="Arial" w:hAnsi="Arial"/>
                <w:sz w:val="14"/>
                <w:szCs w:val="14"/>
                <w:b w:val="1"/>
                <w:bCs w:val="1"/>
                <w:color w:val="auto"/>
                <w:w w:val="99"/>
              </w:rPr>
              <w:t>(1,430)</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11"/>
              <w:spacing w:after="0" w:line="156" w:lineRule="exact"/>
              <w:rPr>
                <w:sz w:val="20"/>
                <w:szCs w:val="20"/>
                <w:color w:val="auto"/>
              </w:rPr>
            </w:pPr>
            <w:r>
              <w:rPr>
                <w:rFonts w:ascii="Arial" w:cs="Arial" w:eastAsia="Arial" w:hAnsi="Arial"/>
                <w:sz w:val="14"/>
                <w:szCs w:val="14"/>
                <w:color w:val="auto"/>
                <w:w w:val="99"/>
              </w:rPr>
              <w:t>(1,609)</w:t>
            </w: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w w:val="99"/>
              </w:rPr>
              <w:t>(1,880)</w:t>
            </w:r>
          </w:p>
        </w:tc>
        <w:tc>
          <w:tcPr>
            <w:tcW w:w="6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00" w:type="dxa"/>
            <w:vAlign w:val="bottom"/>
            <w:tcBorders>
              <w:bottom w:val="single" w:sz="8" w:color="auto"/>
            </w:tcBorders>
          </w:tcPr>
          <w:p>
            <w:pPr>
              <w:ind w:left="420"/>
              <w:spacing w:after="0" w:line="156" w:lineRule="exact"/>
              <w:rPr>
                <w:sz w:val="20"/>
                <w:szCs w:val="20"/>
                <w:color w:val="auto"/>
              </w:rPr>
            </w:pPr>
            <w:r>
              <w:rPr>
                <w:rFonts w:ascii="Arial" w:cs="Arial" w:eastAsia="Arial" w:hAnsi="Arial"/>
                <w:sz w:val="14"/>
                <w:szCs w:val="14"/>
                <w:color w:val="auto"/>
              </w:rPr>
              <w:t>Actuarial loss</w:t>
            </w:r>
          </w:p>
        </w:tc>
        <w:tc>
          <w:tcPr>
            <w:tcW w:w="3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51"/>
              <w:spacing w:after="0" w:line="156" w:lineRule="exact"/>
              <w:rPr>
                <w:sz w:val="20"/>
                <w:szCs w:val="20"/>
                <w:color w:val="auto"/>
              </w:rPr>
            </w:pPr>
            <w:r>
              <w:rPr>
                <w:rFonts w:ascii="Arial" w:cs="Arial" w:eastAsia="Arial" w:hAnsi="Arial"/>
                <w:sz w:val="14"/>
                <w:szCs w:val="14"/>
                <w:b w:val="1"/>
                <w:bCs w:val="1"/>
                <w:color w:val="auto"/>
                <w:w w:val="93"/>
              </w:rPr>
              <w:t>13,774</w:t>
            </w: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51"/>
              <w:spacing w:after="0" w:line="156" w:lineRule="exact"/>
              <w:rPr>
                <w:sz w:val="20"/>
                <w:szCs w:val="20"/>
                <w:color w:val="auto"/>
              </w:rPr>
            </w:pPr>
            <w:r>
              <w:rPr>
                <w:rFonts w:ascii="Arial" w:cs="Arial" w:eastAsia="Arial" w:hAnsi="Arial"/>
                <w:sz w:val="14"/>
                <w:szCs w:val="14"/>
                <w:color w:val="auto"/>
                <w:w w:val="93"/>
              </w:rPr>
              <w:t>11,575</w:t>
            </w: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31"/>
              <w:spacing w:after="0" w:line="156" w:lineRule="exact"/>
              <w:rPr>
                <w:sz w:val="20"/>
                <w:szCs w:val="20"/>
                <w:color w:val="auto"/>
              </w:rPr>
            </w:pPr>
            <w:r>
              <w:rPr>
                <w:rFonts w:ascii="Arial" w:cs="Arial" w:eastAsia="Arial" w:hAnsi="Arial"/>
                <w:sz w:val="14"/>
                <w:szCs w:val="14"/>
                <w:color w:val="auto"/>
                <w:w w:val="93"/>
              </w:rPr>
              <w:t>16,850</w:t>
            </w:r>
          </w:p>
        </w:tc>
        <w:tc>
          <w:tcPr>
            <w:tcW w:w="63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8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51"/>
              <w:spacing w:after="0" w:line="149" w:lineRule="exact"/>
              <w:rPr>
                <w:sz w:val="20"/>
                <w:szCs w:val="20"/>
                <w:color w:val="auto"/>
              </w:rPr>
            </w:pPr>
            <w:r>
              <w:rPr>
                <w:rFonts w:ascii="Arial" w:cs="Arial" w:eastAsia="Arial" w:hAnsi="Arial"/>
                <w:sz w:val="14"/>
                <w:szCs w:val="14"/>
                <w:b w:val="1"/>
                <w:bCs w:val="1"/>
                <w:color w:val="auto"/>
                <w:w w:val="93"/>
              </w:rPr>
              <w:t>12,365</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51"/>
              <w:spacing w:after="0" w:line="149" w:lineRule="exact"/>
              <w:rPr>
                <w:sz w:val="20"/>
                <w:szCs w:val="20"/>
                <w:color w:val="auto"/>
              </w:rPr>
            </w:pPr>
            <w:r>
              <w:rPr>
                <w:rFonts w:ascii="Arial" w:cs="Arial" w:eastAsia="Arial" w:hAnsi="Arial"/>
                <w:sz w:val="14"/>
                <w:szCs w:val="14"/>
                <w:color w:val="auto"/>
                <w:w w:val="93"/>
              </w:rPr>
              <w:t>10,845</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31"/>
              <w:spacing w:after="0" w:line="149" w:lineRule="exact"/>
              <w:rPr>
                <w:sz w:val="20"/>
                <w:szCs w:val="20"/>
                <w:color w:val="auto"/>
              </w:rPr>
            </w:pPr>
            <w:r>
              <w:rPr>
                <w:rFonts w:ascii="Arial" w:cs="Arial" w:eastAsia="Arial" w:hAnsi="Arial"/>
                <w:sz w:val="14"/>
                <w:szCs w:val="14"/>
                <w:color w:val="auto"/>
                <w:w w:val="93"/>
              </w:rPr>
              <w:t>17,055</w:t>
            </w:r>
          </w:p>
        </w:tc>
        <w:tc>
          <w:tcPr>
            <w:tcW w:w="63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Other nonoperating (income) and expenses, net</w:t>
            </w:r>
          </w:p>
        </w:tc>
        <w:tc>
          <w:tcPr>
            <w:tcW w:w="0" w:type="dxa"/>
            <w:vAlign w:val="bottom"/>
          </w:tcPr>
          <w:p>
            <w:pPr>
              <w:spacing w:after="0"/>
              <w:rPr>
                <w:sz w:val="1"/>
                <w:szCs w:val="1"/>
                <w:color w:val="auto"/>
              </w:rPr>
            </w:pPr>
          </w:p>
        </w:tc>
      </w:tr>
      <w:tr>
        <w:trPr>
          <w:trHeight w:val="156"/>
        </w:trPr>
        <w:tc>
          <w:tcPr>
            <w:tcW w:w="2800" w:type="dxa"/>
            <w:vAlign w:val="bottom"/>
            <w:tcBorders>
              <w:bottom w:val="single" w:sz="8" w:color="auto"/>
            </w:tcBorders>
          </w:tcPr>
          <w:p>
            <w:pPr>
              <w:ind w:left="280"/>
              <w:spacing w:after="0" w:line="156" w:lineRule="exact"/>
              <w:rPr>
                <w:sz w:val="20"/>
                <w:szCs w:val="20"/>
                <w:color w:val="auto"/>
              </w:rPr>
            </w:pPr>
            <w:r>
              <w:rPr>
                <w:rFonts w:ascii="Arial" w:cs="Arial" w:eastAsia="Arial" w:hAnsi="Arial"/>
                <w:sz w:val="14"/>
                <w:szCs w:val="14"/>
                <w:color w:val="auto"/>
              </w:rPr>
              <w:t>Tax effect</w:t>
            </w:r>
          </w:p>
        </w:tc>
        <w:tc>
          <w:tcPr>
            <w:tcW w:w="3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1"/>
              <w:spacing w:after="0" w:line="156" w:lineRule="exact"/>
              <w:rPr>
                <w:sz w:val="20"/>
                <w:szCs w:val="20"/>
                <w:color w:val="auto"/>
              </w:rPr>
            </w:pPr>
            <w:r>
              <w:rPr>
                <w:rFonts w:ascii="Arial" w:cs="Arial" w:eastAsia="Arial" w:hAnsi="Arial"/>
                <w:sz w:val="14"/>
                <w:szCs w:val="14"/>
                <w:b w:val="1"/>
                <w:bCs w:val="1"/>
                <w:color w:val="auto"/>
                <w:w w:val="99"/>
              </w:rPr>
              <w:t>(4,732)</w:t>
            </w: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1"/>
              <w:spacing w:after="0" w:line="156" w:lineRule="exact"/>
              <w:rPr>
                <w:sz w:val="20"/>
                <w:szCs w:val="20"/>
                <w:color w:val="auto"/>
              </w:rPr>
            </w:pPr>
            <w:r>
              <w:rPr>
                <w:rFonts w:ascii="Arial" w:cs="Arial" w:eastAsia="Arial" w:hAnsi="Arial"/>
                <w:sz w:val="14"/>
                <w:szCs w:val="14"/>
                <w:color w:val="auto"/>
                <w:w w:val="99"/>
              </w:rPr>
              <w:t>(4,160)</w:t>
            </w: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w w:val="99"/>
              </w:rPr>
              <w:t>(6,631)</w:t>
            </w:r>
          </w:p>
        </w:tc>
        <w:tc>
          <w:tcPr>
            <w:tcW w:w="6320" w:type="dxa"/>
            <w:vAlign w:val="bottom"/>
            <w:tcBorders>
              <w:bottom w:val="single" w:sz="8" w:color="CCEEFF"/>
            </w:tcBorders>
          </w:tcPr>
          <w:p>
            <w:pPr>
              <w:ind w:left="220"/>
              <w:spacing w:after="0" w:line="156" w:lineRule="exact"/>
              <w:rPr>
                <w:sz w:val="20"/>
                <w:szCs w:val="20"/>
                <w:color w:val="auto"/>
              </w:rPr>
            </w:pPr>
            <w:r>
              <w:rPr>
                <w:rFonts w:ascii="Arial" w:cs="Arial" w:eastAsia="Arial" w:hAnsi="Arial"/>
                <w:sz w:val="14"/>
                <w:szCs w:val="14"/>
                <w:color w:val="auto"/>
              </w:rPr>
              <w:t>Income tax (benefit) expense</w:t>
            </w:r>
          </w:p>
        </w:tc>
        <w:tc>
          <w:tcPr>
            <w:tcW w:w="0" w:type="dxa"/>
            <w:vAlign w:val="bottom"/>
          </w:tcPr>
          <w:p>
            <w:pPr>
              <w:spacing w:after="0"/>
              <w:rPr>
                <w:sz w:val="1"/>
                <w:szCs w:val="1"/>
                <w:color w:val="auto"/>
              </w:rPr>
            </w:pPr>
          </w:p>
        </w:tc>
      </w:tr>
      <w:tr>
        <w:trPr>
          <w:trHeight w:val="155"/>
        </w:trPr>
        <w:tc>
          <w:tcPr>
            <w:tcW w:w="280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3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shd w:val="clear" w:color="auto" w:fill="CCEEFF"/>
          </w:tcPr>
          <w:p>
            <w:pPr>
              <w:jc w:val="right"/>
              <w:ind w:right="51"/>
              <w:spacing w:after="0" w:line="149" w:lineRule="exact"/>
              <w:rPr>
                <w:sz w:val="20"/>
                <w:szCs w:val="20"/>
                <w:color w:val="auto"/>
              </w:rPr>
            </w:pPr>
            <w:r>
              <w:rPr>
                <w:rFonts w:ascii="Arial" w:cs="Arial" w:eastAsia="Arial" w:hAnsi="Arial"/>
                <w:sz w:val="14"/>
                <w:szCs w:val="14"/>
                <w:b w:val="1"/>
                <w:bCs w:val="1"/>
                <w:color w:val="auto"/>
              </w:rPr>
              <w:t>7,633</w:t>
            </w:r>
          </w:p>
        </w:tc>
        <w:tc>
          <w:tcPr>
            <w:tcW w:w="1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ind w:right="51"/>
              <w:spacing w:after="0" w:line="149" w:lineRule="exact"/>
              <w:rPr>
                <w:sz w:val="20"/>
                <w:szCs w:val="20"/>
                <w:color w:val="auto"/>
              </w:rPr>
            </w:pPr>
            <w:r>
              <w:rPr>
                <w:rFonts w:ascii="Arial" w:cs="Arial" w:eastAsia="Arial" w:hAnsi="Arial"/>
                <w:sz w:val="14"/>
                <w:szCs w:val="14"/>
                <w:color w:val="auto"/>
              </w:rPr>
              <w:t>6,685</w:t>
            </w:r>
          </w:p>
        </w:tc>
        <w:tc>
          <w:tcPr>
            <w:tcW w:w="1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ind w:right="31"/>
              <w:spacing w:after="0" w:line="149" w:lineRule="exact"/>
              <w:rPr>
                <w:sz w:val="20"/>
                <w:szCs w:val="20"/>
                <w:color w:val="auto"/>
              </w:rPr>
            </w:pPr>
            <w:r>
              <w:rPr>
                <w:rFonts w:ascii="Arial" w:cs="Arial" w:eastAsia="Arial" w:hAnsi="Arial"/>
                <w:sz w:val="14"/>
                <w:szCs w:val="14"/>
                <w:color w:val="auto"/>
                <w:w w:val="93"/>
              </w:rPr>
              <w:t>10,424</w:t>
            </w:r>
          </w:p>
        </w:tc>
        <w:tc>
          <w:tcPr>
            <w:tcW w:w="63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459"/>
        </w:trPr>
        <w:tc>
          <w:tcPr>
            <w:tcW w:w="2800" w:type="dxa"/>
            <w:vAlign w:val="bottom"/>
          </w:tcPr>
          <w:p>
            <w:pPr>
              <w:spacing w:after="0"/>
              <w:rPr>
                <w:sz w:val="20"/>
                <w:szCs w:val="20"/>
                <w:color w:val="auto"/>
              </w:rPr>
            </w:pPr>
            <w:r>
              <w:rPr>
                <w:rFonts w:ascii="Arial" w:cs="Arial" w:eastAsia="Arial" w:hAnsi="Arial"/>
                <w:sz w:val="14"/>
                <w:szCs w:val="14"/>
                <w:color w:val="auto"/>
              </w:rPr>
              <w:t>Unamortized value of terminated forward</w:t>
            </w: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800" w:type="dxa"/>
            <w:vAlign w:val="bottom"/>
          </w:tcPr>
          <w:p>
            <w:pPr>
              <w:ind w:left="140"/>
              <w:spacing w:after="0" w:line="151" w:lineRule="exact"/>
              <w:rPr>
                <w:sz w:val="20"/>
                <w:szCs w:val="20"/>
                <w:color w:val="auto"/>
              </w:rPr>
            </w:pPr>
            <w:r>
              <w:rPr>
                <w:rFonts w:ascii="Arial" w:cs="Arial" w:eastAsia="Arial" w:hAnsi="Arial"/>
                <w:sz w:val="14"/>
                <w:szCs w:val="14"/>
                <w:color w:val="auto"/>
              </w:rPr>
              <w:t>starting interest rate swap</w:t>
            </w: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00" w:type="dxa"/>
            <w:vAlign w:val="bottom"/>
            <w:shd w:val="clear" w:color="auto" w:fill="CCEEFF"/>
          </w:tcPr>
          <w:p>
            <w:pPr>
              <w:ind w:left="280"/>
              <w:spacing w:after="0" w:line="156" w:lineRule="exact"/>
              <w:rPr>
                <w:sz w:val="20"/>
                <w:szCs w:val="20"/>
                <w:color w:val="auto"/>
              </w:rPr>
            </w:pPr>
            <w:r>
              <w:rPr>
                <w:rFonts w:ascii="Arial" w:cs="Arial" w:eastAsia="Arial" w:hAnsi="Arial"/>
                <w:sz w:val="14"/>
                <w:szCs w:val="14"/>
                <w:color w:val="auto"/>
              </w:rPr>
              <w:t>Additional interest expense</w:t>
            </w:r>
          </w:p>
        </w:tc>
        <w:tc>
          <w:tcPr>
            <w:tcW w:w="38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CCEEFF"/>
          </w:tcPr>
          <w:p>
            <w:pPr>
              <w:jc w:val="right"/>
              <w:ind w:right="51"/>
              <w:spacing w:after="0" w:line="156" w:lineRule="exact"/>
              <w:rPr>
                <w:sz w:val="20"/>
                <w:szCs w:val="20"/>
                <w:color w:val="auto"/>
              </w:rPr>
            </w:pPr>
            <w:r>
              <w:rPr>
                <w:rFonts w:ascii="Arial" w:cs="Arial" w:eastAsia="Arial" w:hAnsi="Arial"/>
                <w:sz w:val="14"/>
                <w:szCs w:val="14"/>
                <w:b w:val="1"/>
                <w:bCs w:val="1"/>
                <w:color w:val="auto"/>
              </w:rPr>
              <w:t>1,443</w:t>
            </w:r>
          </w:p>
        </w:tc>
        <w:tc>
          <w:tcPr>
            <w:tcW w:w="16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51"/>
              <w:spacing w:after="0" w:line="156" w:lineRule="exact"/>
              <w:rPr>
                <w:sz w:val="20"/>
                <w:szCs w:val="20"/>
                <w:color w:val="auto"/>
              </w:rPr>
            </w:pPr>
            <w:r>
              <w:rPr>
                <w:rFonts w:ascii="Arial" w:cs="Arial" w:eastAsia="Arial" w:hAnsi="Arial"/>
                <w:sz w:val="14"/>
                <w:szCs w:val="14"/>
                <w:color w:val="auto"/>
              </w:rPr>
              <w:t>1,367</w:t>
            </w:r>
          </w:p>
        </w:tc>
        <w:tc>
          <w:tcPr>
            <w:tcW w:w="16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31"/>
              <w:spacing w:after="0" w:line="156" w:lineRule="exact"/>
              <w:rPr>
                <w:sz w:val="20"/>
                <w:szCs w:val="20"/>
                <w:color w:val="auto"/>
              </w:rPr>
            </w:pPr>
            <w:r>
              <w:rPr>
                <w:rFonts w:ascii="Arial" w:cs="Arial" w:eastAsia="Arial" w:hAnsi="Arial"/>
                <w:sz w:val="14"/>
                <w:szCs w:val="14"/>
                <w:color w:val="auto"/>
              </w:rPr>
              <w:t>1,280</w:t>
            </w:r>
          </w:p>
        </w:tc>
        <w:tc>
          <w:tcPr>
            <w:tcW w:w="6320" w:type="dxa"/>
            <w:vAlign w:val="bottom"/>
            <w:shd w:val="clear" w:color="auto" w:fill="CCEEFF"/>
          </w:tcPr>
          <w:p>
            <w:pPr>
              <w:ind w:left="220"/>
              <w:spacing w:after="0" w:line="156" w:lineRule="exact"/>
              <w:rPr>
                <w:sz w:val="20"/>
                <w:szCs w:val="20"/>
                <w:color w:val="auto"/>
              </w:rPr>
            </w:pPr>
            <w:r>
              <w:rPr>
                <w:rFonts w:ascii="Arial" w:cs="Arial" w:eastAsia="Arial" w:hAnsi="Arial"/>
                <w:sz w:val="14"/>
                <w:szCs w:val="14"/>
                <w:color w:val="auto"/>
              </w:rPr>
              <w:t>Interest expense</w:t>
            </w:r>
          </w:p>
        </w:tc>
        <w:tc>
          <w:tcPr>
            <w:tcW w:w="0" w:type="dxa"/>
            <w:vAlign w:val="bottom"/>
          </w:tcPr>
          <w:p>
            <w:pPr>
              <w:spacing w:after="0"/>
              <w:rPr>
                <w:sz w:val="1"/>
                <w:szCs w:val="1"/>
                <w:color w:val="auto"/>
              </w:rPr>
            </w:pPr>
          </w:p>
        </w:tc>
      </w:tr>
      <w:tr>
        <w:trPr>
          <w:trHeight w:val="156"/>
        </w:trPr>
        <w:tc>
          <w:tcPr>
            <w:tcW w:w="2800" w:type="dxa"/>
            <w:vAlign w:val="bottom"/>
            <w:tcBorders>
              <w:bottom w:val="single" w:sz="8" w:color="auto"/>
            </w:tcBorders>
          </w:tcPr>
          <w:p>
            <w:pPr>
              <w:ind w:left="280"/>
              <w:spacing w:after="0" w:line="156" w:lineRule="exact"/>
              <w:rPr>
                <w:sz w:val="20"/>
                <w:szCs w:val="20"/>
                <w:color w:val="auto"/>
              </w:rPr>
            </w:pPr>
            <w:r>
              <w:rPr>
                <w:rFonts w:ascii="Arial" w:cs="Arial" w:eastAsia="Arial" w:hAnsi="Arial"/>
                <w:sz w:val="14"/>
                <w:szCs w:val="14"/>
                <w:color w:val="auto"/>
              </w:rPr>
              <w:t>Tax effect</w:t>
            </w:r>
          </w:p>
        </w:tc>
        <w:tc>
          <w:tcPr>
            <w:tcW w:w="3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1"/>
              <w:spacing w:after="0" w:line="156" w:lineRule="exact"/>
              <w:rPr>
                <w:sz w:val="20"/>
                <w:szCs w:val="20"/>
                <w:color w:val="auto"/>
              </w:rPr>
            </w:pPr>
            <w:r>
              <w:rPr>
                <w:rFonts w:ascii="Arial" w:cs="Arial" w:eastAsia="Arial" w:hAnsi="Arial"/>
                <w:sz w:val="14"/>
                <w:szCs w:val="14"/>
                <w:b w:val="1"/>
                <w:bCs w:val="1"/>
                <w:color w:val="auto"/>
              </w:rPr>
              <w:t>(571)</w:t>
            </w: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1"/>
              <w:spacing w:after="0" w:line="156" w:lineRule="exact"/>
              <w:rPr>
                <w:sz w:val="20"/>
                <w:szCs w:val="20"/>
                <w:color w:val="auto"/>
              </w:rPr>
            </w:pPr>
            <w:r>
              <w:rPr>
                <w:rFonts w:ascii="Arial" w:cs="Arial" w:eastAsia="Arial" w:hAnsi="Arial"/>
                <w:sz w:val="14"/>
                <w:szCs w:val="14"/>
                <w:color w:val="auto"/>
              </w:rPr>
              <w:t>(541)</w:t>
            </w: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(509)</w:t>
            </w:r>
          </w:p>
        </w:tc>
        <w:tc>
          <w:tcPr>
            <w:tcW w:w="6320" w:type="dxa"/>
            <w:vAlign w:val="bottom"/>
            <w:tcBorders>
              <w:bottom w:val="single" w:sz="8" w:color="CCEEFF"/>
            </w:tcBorders>
          </w:tcPr>
          <w:p>
            <w:pPr>
              <w:ind w:left="220"/>
              <w:spacing w:after="0" w:line="156" w:lineRule="exact"/>
              <w:rPr>
                <w:sz w:val="20"/>
                <w:szCs w:val="20"/>
                <w:color w:val="auto"/>
              </w:rPr>
            </w:pPr>
            <w:r>
              <w:rPr>
                <w:rFonts w:ascii="Arial" w:cs="Arial" w:eastAsia="Arial" w:hAnsi="Arial"/>
                <w:sz w:val="14"/>
                <w:szCs w:val="14"/>
                <w:color w:val="auto"/>
              </w:rPr>
              <w:t>Income tax (benefit) expense</w:t>
            </w:r>
          </w:p>
        </w:tc>
        <w:tc>
          <w:tcPr>
            <w:tcW w:w="0" w:type="dxa"/>
            <w:vAlign w:val="bottom"/>
          </w:tcPr>
          <w:p>
            <w:pPr>
              <w:spacing w:after="0"/>
              <w:rPr>
                <w:sz w:val="1"/>
                <w:szCs w:val="1"/>
                <w:color w:val="auto"/>
              </w:rPr>
            </w:pPr>
          </w:p>
        </w:tc>
      </w:tr>
      <w:tr>
        <w:trPr>
          <w:trHeight w:val="155"/>
        </w:trPr>
        <w:tc>
          <w:tcPr>
            <w:tcW w:w="280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3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shd w:val="clear" w:color="auto" w:fill="CCEEFF"/>
          </w:tcPr>
          <w:p>
            <w:pPr>
              <w:jc w:val="right"/>
              <w:ind w:right="51"/>
              <w:spacing w:after="0" w:line="149" w:lineRule="exact"/>
              <w:rPr>
                <w:sz w:val="20"/>
                <w:szCs w:val="20"/>
                <w:color w:val="auto"/>
              </w:rPr>
            </w:pPr>
            <w:r>
              <w:rPr>
                <w:rFonts w:ascii="Arial" w:cs="Arial" w:eastAsia="Arial" w:hAnsi="Arial"/>
                <w:sz w:val="14"/>
                <w:szCs w:val="14"/>
                <w:b w:val="1"/>
                <w:bCs w:val="1"/>
                <w:color w:val="auto"/>
              </w:rPr>
              <w:t>872</w:t>
            </w:r>
          </w:p>
        </w:tc>
        <w:tc>
          <w:tcPr>
            <w:tcW w:w="1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ind w:right="51"/>
              <w:spacing w:after="0" w:line="149" w:lineRule="exact"/>
              <w:rPr>
                <w:sz w:val="20"/>
                <w:szCs w:val="20"/>
                <w:color w:val="auto"/>
              </w:rPr>
            </w:pPr>
            <w:r>
              <w:rPr>
                <w:rFonts w:ascii="Arial" w:cs="Arial" w:eastAsia="Arial" w:hAnsi="Arial"/>
                <w:sz w:val="14"/>
                <w:szCs w:val="14"/>
                <w:color w:val="auto"/>
              </w:rPr>
              <w:t>826</w:t>
            </w:r>
          </w:p>
        </w:tc>
        <w:tc>
          <w:tcPr>
            <w:tcW w:w="1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ind w:right="31"/>
              <w:spacing w:after="0" w:line="149" w:lineRule="exact"/>
              <w:rPr>
                <w:sz w:val="20"/>
                <w:szCs w:val="20"/>
                <w:color w:val="auto"/>
              </w:rPr>
            </w:pPr>
            <w:r>
              <w:rPr>
                <w:rFonts w:ascii="Arial" w:cs="Arial" w:eastAsia="Arial" w:hAnsi="Arial"/>
                <w:sz w:val="14"/>
                <w:szCs w:val="14"/>
                <w:color w:val="auto"/>
              </w:rPr>
              <w:t>771</w:t>
            </w:r>
          </w:p>
        </w:tc>
        <w:tc>
          <w:tcPr>
            <w:tcW w:w="63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3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19</w:t>
      </w:r>
    </w:p>
    <w:p>
      <w:pPr>
        <w:sectPr>
          <w:pgSz w:w="11900" w:h="16838" w:orient="portrait"/>
          <w:cols w:equalWidth="0" w:num="1">
            <w:col w:w="11420"/>
          </w:cols>
          <w:pgMar w:left="240" w:top="259" w:right="239" w:bottom="1440" w:gutter="0" w:footer="0" w:header="0"/>
        </w:sectPr>
      </w:pPr>
    </w:p>
    <w:bookmarkStart w:id="72" w:name="page73"/>
    <w:bookmarkEnd w:id="72"/>
    <w:p>
      <w:pPr>
        <w:jc w:val="center"/>
        <w:ind w:right="-19"/>
        <w:spacing w:after="0"/>
        <w:rPr>
          <w:sz w:val="20"/>
          <w:szCs w:val="20"/>
          <w:color w:val="auto"/>
        </w:rPr>
      </w:pPr>
      <w:r>
        <w:rPr>
          <w:rFonts w:ascii="Arial" w:cs="Arial" w:eastAsia="Arial" w:hAnsi="Arial"/>
          <w:sz w:val="17"/>
          <w:szCs w:val="17"/>
          <w:b w:val="1"/>
          <w:bCs w:val="1"/>
          <w:color w:val="0085CD"/>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8">
                      <a:extLst>
                        <a:ext uri="{28A0092B-C50C-407E-A947-70E740481C1C}"/>
                      </a:extLst>
                    </a:blip>
                    <a:srcRect/>
                    <a:stretch>
                      <a:fillRect/>
                    </a:stretch>
                  </pic:blipFill>
                  <pic:spPr bwMode="auto">
                    <a:xfrm>
                      <a:off x="0" y="0"/>
                      <a:ext cx="7293610" cy="37465"/>
                    </a:xfrm>
                    <a:prstGeom prst="rect">
                      <a:avLst/>
                    </a:prstGeom>
                    <a:noFill/>
                  </pic:spPr>
                </pic:pic>
              </a:graphicData>
            </a:graphic>
          </wp:anchor>
        </w:drawing>
        <w:t xml:space="preserve">NOTES TO FINANCIAL STATEMENTS </w:t>
      </w:r>
      <w:r>
        <w:rPr>
          <w:rFonts w:ascii="Arial" w:cs="Arial" w:eastAsia="Arial" w:hAnsi="Arial"/>
          <w:sz w:val="15"/>
          <w:szCs w:val="15"/>
          <w:color w:val="0085CD"/>
        </w:rPr>
        <w:t>(continued)</w:t>
      </w:r>
    </w:p>
    <w:p>
      <w:pPr>
        <w:sectPr>
          <w:pgSz w:w="11900" w:h="16838" w:orient="portrait"/>
          <w:cols w:equalWidth="0" w:num="1">
            <w:col w:w="11420"/>
          </w:cols>
          <w:pgMar w:left="240" w:top="2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43" w:lineRule="auto"/>
        <w:rPr>
          <w:sz w:val="20"/>
          <w:szCs w:val="20"/>
          <w:color w:val="auto"/>
        </w:rPr>
      </w:pPr>
      <w:r>
        <w:rPr>
          <w:rFonts w:ascii="Arial" w:cs="Arial" w:eastAsia="Arial" w:hAnsi="Arial"/>
          <w:sz w:val="16"/>
          <w:szCs w:val="16"/>
          <w:b w:val="1"/>
          <w:bCs w:val="1"/>
          <w:i w:val="1"/>
          <w:iCs w:val="1"/>
          <w:color w:val="49B28F"/>
        </w:rPr>
        <w:t xml:space="preserve">Earnings Per Common Share. </w:t>
      </w:r>
      <w:r>
        <w:rPr>
          <w:rFonts w:ascii="Arial" w:cs="Arial" w:eastAsia="Arial" w:hAnsi="Arial"/>
          <w:sz w:val="16"/>
          <w:szCs w:val="16"/>
          <w:color w:val="000000"/>
        </w:rPr>
        <w:t>The Company computes earnings per</w:t>
      </w:r>
      <w:r>
        <w:rPr>
          <w:rFonts w:ascii="Arial" w:cs="Arial" w:eastAsia="Arial" w:hAnsi="Arial"/>
          <w:sz w:val="16"/>
          <w:szCs w:val="16"/>
          <w:b w:val="1"/>
          <w:bCs w:val="1"/>
          <w:i w:val="1"/>
          <w:iCs w:val="1"/>
          <w:color w:val="49B28F"/>
        </w:rPr>
        <w:t xml:space="preserve"> </w:t>
      </w:r>
      <w:r>
        <w:rPr>
          <w:rFonts w:ascii="Arial" w:cs="Arial" w:eastAsia="Arial" w:hAnsi="Arial"/>
          <w:sz w:val="16"/>
          <w:szCs w:val="16"/>
          <w:color w:val="000000"/>
        </w:rPr>
        <w:t>share (EPS) pursuant to the two-class method. The two-class method determines EPS for each class of common stock and participating securities according to dividends or dividend equivalents and their respective participation rights in undistributed earnings. The Company pays nonforfeitable dividend equivalents during the vesting period on its restricted stock awards and incentive stock awards made prior to 2016, which results in these being considered participating securities.</w:t>
      </w:r>
    </w:p>
    <w:p>
      <w:pPr>
        <w:spacing w:after="0" w:line="191"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The numerator for basic and diluted earnings per common share is net earnings attributable to Martin Marietta, reduced by dividends and undistributed earnings attributable to the Company’s unvested restricted stock awards and incentive stock awards issued prior to 2016. The denominator for basic earnings per common share is the weighted-average number of common shares outstanding during the period. Diluted earnings per common share are computed assuming that the weighted-average number of common shares is increased by the conversion, using the treasury stock method, of awards issued to employees and nonemployee members of the Company’s Board of Directors under certain stock-based compensation arrangements if the conversion is dilutive.</w:t>
      </w:r>
    </w:p>
    <w:p>
      <w:pPr>
        <w:spacing w:after="0" w:line="19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following table reconciles the numerator and denominator for basic and diluted earnings per common share:</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00" w:type="dxa"/>
            <w:vAlign w:val="bottom"/>
          </w:tcPr>
          <w:p>
            <w:pPr>
              <w:spacing w:after="0"/>
              <w:rPr>
                <w:sz w:val="20"/>
                <w:szCs w:val="20"/>
                <w:color w:val="auto"/>
              </w:rPr>
            </w:pPr>
            <w:r>
              <w:rPr>
                <w:rFonts w:ascii="Arial" w:cs="Arial" w:eastAsia="Arial" w:hAnsi="Arial"/>
                <w:sz w:val="14"/>
                <w:szCs w:val="14"/>
                <w:i w:val="1"/>
                <w:iCs w:val="1"/>
                <w:color w:val="auto"/>
              </w:rPr>
              <w:t>years ended December 31</w:t>
            </w:r>
          </w:p>
        </w:tc>
        <w:tc>
          <w:tcPr>
            <w:tcW w:w="92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0085CD"/>
              </w:rPr>
              <w:t>2017</w:t>
            </w: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900" w:type="dxa"/>
            <w:vAlign w:val="bottom"/>
          </w:tcPr>
          <w:p>
            <w:pPr>
              <w:spacing w:after="0" w:line="151" w:lineRule="exact"/>
              <w:rPr>
                <w:sz w:val="20"/>
                <w:szCs w:val="20"/>
                <w:color w:val="auto"/>
              </w:rPr>
            </w:pPr>
            <w:r>
              <w:rPr>
                <w:rFonts w:ascii="Arial" w:cs="Arial" w:eastAsia="Arial" w:hAnsi="Arial"/>
                <w:sz w:val="14"/>
                <w:szCs w:val="14"/>
                <w:color w:val="auto"/>
              </w:rPr>
              <w:t>(add 000)</w:t>
            </w:r>
          </w:p>
        </w:tc>
        <w:tc>
          <w:tcPr>
            <w:tcW w:w="920" w:type="dxa"/>
            <w:vAlign w:val="bottom"/>
            <w:vMerge w:val="continue"/>
          </w:tcPr>
          <w:p>
            <w:pPr>
              <w:spacing w:after="0"/>
              <w:rPr>
                <w:sz w:val="13"/>
                <w:szCs w:val="13"/>
                <w:color w:val="auto"/>
              </w:rPr>
            </w:pPr>
          </w:p>
        </w:tc>
        <w:tc>
          <w:tcPr>
            <w:tcW w:w="900" w:type="dxa"/>
            <w:vAlign w:val="bottom"/>
          </w:tcPr>
          <w:p>
            <w:pPr>
              <w:jc w:val="right"/>
              <w:ind w:right="91"/>
              <w:spacing w:after="0" w:line="151" w:lineRule="exact"/>
              <w:rPr>
                <w:sz w:val="20"/>
                <w:szCs w:val="20"/>
                <w:color w:val="auto"/>
              </w:rPr>
            </w:pPr>
            <w:r>
              <w:rPr>
                <w:rFonts w:ascii="Arial" w:cs="Arial" w:eastAsia="Arial" w:hAnsi="Arial"/>
                <w:sz w:val="14"/>
                <w:szCs w:val="14"/>
                <w:color w:val="auto"/>
              </w:rPr>
              <w:t>2016</w:t>
            </w:r>
          </w:p>
        </w:tc>
        <w:tc>
          <w:tcPr>
            <w:tcW w:w="760" w:type="dxa"/>
            <w:vAlign w:val="bottom"/>
            <w:gridSpan w:val="2"/>
          </w:tcPr>
          <w:p>
            <w:pPr>
              <w:jc w:val="right"/>
              <w:ind w:right="40"/>
              <w:spacing w:after="0" w:line="151" w:lineRule="exact"/>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26"/>
        </w:trPr>
        <w:tc>
          <w:tcPr>
            <w:tcW w:w="29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90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Net earnings attributable to Martin Marietta</w:t>
            </w:r>
          </w:p>
        </w:tc>
        <w:tc>
          <w:tcPr>
            <w:tcW w:w="920" w:type="dxa"/>
            <w:vAlign w:val="bottom"/>
            <w:shd w:val="clear" w:color="auto" w:fill="CCEEFF"/>
          </w:tcPr>
          <w:p>
            <w:pPr>
              <w:jc w:val="right"/>
              <w:ind w:right="71"/>
              <w:spacing w:after="0" w:line="156" w:lineRule="exact"/>
              <w:rPr>
                <w:sz w:val="20"/>
                <w:szCs w:val="20"/>
                <w:color w:val="auto"/>
              </w:rPr>
            </w:pPr>
            <w:r>
              <w:rPr>
                <w:rFonts w:ascii="Arial" w:cs="Arial" w:eastAsia="Arial" w:hAnsi="Arial"/>
                <w:sz w:val="14"/>
                <w:szCs w:val="14"/>
                <w:b w:val="1"/>
                <w:bCs w:val="1"/>
                <w:color w:val="auto"/>
              </w:rPr>
              <w:t>$ 713,342</w:t>
            </w:r>
          </w:p>
        </w:tc>
        <w:tc>
          <w:tcPr>
            <w:tcW w:w="900" w:type="dxa"/>
            <w:vAlign w:val="bottom"/>
            <w:shd w:val="clear" w:color="auto" w:fill="CCEEFF"/>
          </w:tcPr>
          <w:p>
            <w:pPr>
              <w:jc w:val="right"/>
              <w:ind w:right="91"/>
              <w:spacing w:after="0" w:line="156" w:lineRule="exact"/>
              <w:rPr>
                <w:sz w:val="20"/>
                <w:szCs w:val="20"/>
                <w:color w:val="auto"/>
              </w:rPr>
            </w:pPr>
            <w:r>
              <w:rPr>
                <w:rFonts w:ascii="Arial" w:cs="Arial" w:eastAsia="Arial" w:hAnsi="Arial"/>
                <w:sz w:val="14"/>
                <w:szCs w:val="14"/>
                <w:color w:val="auto"/>
              </w:rPr>
              <w:t>$425,386</w:t>
            </w:r>
          </w:p>
        </w:tc>
        <w:tc>
          <w:tcPr>
            <w:tcW w:w="760" w:type="dxa"/>
            <w:vAlign w:val="bottom"/>
            <w:gridSpan w:val="2"/>
            <w:shd w:val="clear" w:color="auto" w:fill="CCEEFF"/>
          </w:tcPr>
          <w:p>
            <w:pPr>
              <w:jc w:val="right"/>
              <w:ind w:right="40"/>
              <w:spacing w:after="0" w:line="156" w:lineRule="exact"/>
              <w:rPr>
                <w:sz w:val="20"/>
                <w:szCs w:val="20"/>
                <w:color w:val="auto"/>
              </w:rPr>
            </w:pPr>
            <w:r>
              <w:rPr>
                <w:rFonts w:ascii="Arial" w:cs="Arial" w:eastAsia="Arial" w:hAnsi="Arial"/>
                <w:sz w:val="14"/>
                <w:szCs w:val="14"/>
                <w:color w:val="auto"/>
              </w:rPr>
              <w:t>$288,792</w:t>
            </w:r>
          </w:p>
        </w:tc>
        <w:tc>
          <w:tcPr>
            <w:tcW w:w="0" w:type="dxa"/>
            <w:vAlign w:val="bottom"/>
          </w:tcPr>
          <w:p>
            <w:pPr>
              <w:spacing w:after="0"/>
              <w:rPr>
                <w:sz w:val="1"/>
                <w:szCs w:val="1"/>
                <w:color w:val="auto"/>
              </w:rPr>
            </w:pPr>
          </w:p>
        </w:tc>
      </w:tr>
      <w:tr>
        <w:trPr>
          <w:trHeight w:val="160"/>
        </w:trPr>
        <w:tc>
          <w:tcPr>
            <w:tcW w:w="2900" w:type="dxa"/>
            <w:vAlign w:val="bottom"/>
          </w:tcPr>
          <w:p>
            <w:pPr>
              <w:spacing w:after="0"/>
              <w:rPr>
                <w:sz w:val="20"/>
                <w:szCs w:val="20"/>
                <w:color w:val="auto"/>
              </w:rPr>
            </w:pPr>
            <w:r>
              <w:rPr>
                <w:rFonts w:ascii="Arial" w:cs="Arial" w:eastAsia="Arial" w:hAnsi="Arial"/>
                <w:sz w:val="14"/>
                <w:szCs w:val="14"/>
                <w:color w:val="auto"/>
              </w:rPr>
              <w:t>Less: Distributed and undistributed earnings</w:t>
            </w:r>
          </w:p>
        </w:tc>
        <w:tc>
          <w:tcPr>
            <w:tcW w:w="92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rPr>
              <w:t>2,029</w:t>
            </w: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900" w:type="dxa"/>
            <w:vAlign w:val="bottom"/>
            <w:tcBorders>
              <w:bottom w:val="single" w:sz="8" w:color="auto"/>
            </w:tcBorders>
          </w:tcPr>
          <w:p>
            <w:pPr>
              <w:ind w:left="140"/>
              <w:spacing w:after="0" w:line="151" w:lineRule="exact"/>
              <w:rPr>
                <w:sz w:val="20"/>
                <w:szCs w:val="20"/>
                <w:color w:val="auto"/>
              </w:rPr>
            </w:pPr>
            <w:r>
              <w:rPr>
                <w:rFonts w:ascii="Arial" w:cs="Arial" w:eastAsia="Arial" w:hAnsi="Arial"/>
                <w:sz w:val="14"/>
                <w:szCs w:val="14"/>
                <w:color w:val="auto"/>
              </w:rPr>
              <w:t>attributable to unvested awards</w:t>
            </w:r>
          </w:p>
        </w:tc>
        <w:tc>
          <w:tcPr>
            <w:tcW w:w="920" w:type="dxa"/>
            <w:vAlign w:val="bottom"/>
            <w:tcBorders>
              <w:bottom w:val="single" w:sz="8" w:color="auto"/>
            </w:tcBorders>
            <w:vMerge w:val="continue"/>
          </w:tcPr>
          <w:p>
            <w:pPr>
              <w:spacing w:after="0"/>
              <w:rPr>
                <w:sz w:val="13"/>
                <w:szCs w:val="13"/>
                <w:color w:val="auto"/>
              </w:rPr>
            </w:pPr>
          </w:p>
        </w:tc>
        <w:tc>
          <w:tcPr>
            <w:tcW w:w="900" w:type="dxa"/>
            <w:vAlign w:val="bottom"/>
            <w:tcBorders>
              <w:bottom w:val="single" w:sz="8" w:color="auto"/>
            </w:tcBorders>
          </w:tcPr>
          <w:p>
            <w:pPr>
              <w:jc w:val="right"/>
              <w:ind w:right="91"/>
              <w:spacing w:after="0" w:line="151" w:lineRule="exact"/>
              <w:rPr>
                <w:sz w:val="20"/>
                <w:szCs w:val="20"/>
                <w:color w:val="auto"/>
              </w:rPr>
            </w:pPr>
            <w:r>
              <w:rPr>
                <w:rFonts w:ascii="Arial" w:cs="Arial" w:eastAsia="Arial" w:hAnsi="Arial"/>
                <w:sz w:val="14"/>
                <w:szCs w:val="14"/>
                <w:color w:val="auto"/>
              </w:rPr>
              <w:t>1,775</w:t>
            </w:r>
          </w:p>
        </w:tc>
        <w:tc>
          <w:tcPr>
            <w:tcW w:w="760" w:type="dxa"/>
            <w:vAlign w:val="bottom"/>
            <w:tcBorders>
              <w:bottom w:val="single" w:sz="8" w:color="auto"/>
            </w:tcBorders>
            <w:gridSpan w:val="2"/>
          </w:tcPr>
          <w:p>
            <w:pPr>
              <w:jc w:val="right"/>
              <w:ind w:right="40"/>
              <w:spacing w:after="0" w:line="151" w:lineRule="exact"/>
              <w:rPr>
                <w:sz w:val="20"/>
                <w:szCs w:val="20"/>
                <w:color w:val="auto"/>
              </w:rPr>
            </w:pPr>
            <w:r>
              <w:rPr>
                <w:rFonts w:ascii="Arial" w:cs="Arial" w:eastAsia="Arial" w:hAnsi="Arial"/>
                <w:sz w:val="14"/>
                <w:szCs w:val="14"/>
                <w:color w:val="auto"/>
              </w:rPr>
              <w:t>1,252</w:t>
            </w:r>
          </w:p>
        </w:tc>
        <w:tc>
          <w:tcPr>
            <w:tcW w:w="0" w:type="dxa"/>
            <w:vAlign w:val="bottom"/>
          </w:tcPr>
          <w:p>
            <w:pPr>
              <w:spacing w:after="0"/>
              <w:rPr>
                <w:sz w:val="1"/>
                <w:szCs w:val="1"/>
                <w:color w:val="auto"/>
              </w:rPr>
            </w:pPr>
          </w:p>
        </w:tc>
      </w:tr>
      <w:tr>
        <w:trPr>
          <w:trHeight w:val="153"/>
        </w:trPr>
        <w:tc>
          <w:tcPr>
            <w:tcW w:w="290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Basic and diluted net earnings attributable to</w:t>
            </w:r>
          </w:p>
        </w:tc>
        <w:tc>
          <w:tcPr>
            <w:tcW w:w="9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900" w:type="dxa"/>
            <w:vAlign w:val="bottom"/>
            <w:shd w:val="clear" w:color="auto" w:fill="CCEEFF"/>
          </w:tcPr>
          <w:p>
            <w:pPr>
              <w:ind w:left="140"/>
              <w:spacing w:after="0" w:line="156" w:lineRule="exact"/>
              <w:rPr>
                <w:sz w:val="20"/>
                <w:szCs w:val="20"/>
                <w:color w:val="auto"/>
              </w:rPr>
            </w:pPr>
            <w:r>
              <w:rPr>
                <w:rFonts w:ascii="Arial" w:cs="Arial" w:eastAsia="Arial" w:hAnsi="Arial"/>
                <w:sz w:val="14"/>
                <w:szCs w:val="14"/>
                <w:color w:val="auto"/>
              </w:rPr>
              <w:t>common shareholders attributable to</w:t>
            </w:r>
          </w:p>
        </w:tc>
        <w:tc>
          <w:tcPr>
            <w:tcW w:w="920" w:type="dxa"/>
            <w:vAlign w:val="bottom"/>
            <w:vMerge w:val="restart"/>
            <w:shd w:val="clear" w:color="auto" w:fill="CCEEFF"/>
          </w:tcPr>
          <w:p>
            <w:pPr>
              <w:jc w:val="right"/>
              <w:ind w:right="71"/>
              <w:spacing w:after="0"/>
              <w:rPr>
                <w:sz w:val="20"/>
                <w:szCs w:val="20"/>
                <w:color w:val="auto"/>
              </w:rPr>
            </w:pPr>
            <w:r>
              <w:rPr>
                <w:rFonts w:ascii="Arial" w:cs="Arial" w:eastAsia="Arial" w:hAnsi="Arial"/>
                <w:sz w:val="14"/>
                <w:szCs w:val="14"/>
                <w:b w:val="1"/>
                <w:bCs w:val="1"/>
                <w:color w:val="auto"/>
              </w:rPr>
              <w:t>$ 711,313</w:t>
            </w:r>
          </w:p>
        </w:tc>
        <w:tc>
          <w:tcPr>
            <w:tcW w:w="9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900" w:type="dxa"/>
            <w:vAlign w:val="bottom"/>
            <w:tcBorders>
              <w:bottom w:val="single" w:sz="8" w:color="auto"/>
            </w:tcBorders>
            <w:shd w:val="clear" w:color="auto" w:fill="CCEEFF"/>
          </w:tcPr>
          <w:p>
            <w:pPr>
              <w:ind w:left="140"/>
              <w:spacing w:after="0" w:line="151" w:lineRule="exact"/>
              <w:rPr>
                <w:sz w:val="20"/>
                <w:szCs w:val="20"/>
                <w:color w:val="auto"/>
              </w:rPr>
            </w:pPr>
            <w:r>
              <w:rPr>
                <w:rFonts w:ascii="Arial" w:cs="Arial" w:eastAsia="Arial" w:hAnsi="Arial"/>
                <w:sz w:val="14"/>
                <w:szCs w:val="14"/>
                <w:color w:val="auto"/>
              </w:rPr>
              <w:t>Martin Marietta</w:t>
            </w:r>
          </w:p>
        </w:tc>
        <w:tc>
          <w:tcPr>
            <w:tcW w:w="920" w:type="dxa"/>
            <w:vAlign w:val="bottom"/>
            <w:tcBorders>
              <w:bottom w:val="single" w:sz="8" w:color="auto"/>
            </w:tcBorders>
            <w:vMerge w:val="continue"/>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91"/>
              <w:spacing w:after="0" w:line="151" w:lineRule="exact"/>
              <w:rPr>
                <w:sz w:val="20"/>
                <w:szCs w:val="20"/>
                <w:color w:val="auto"/>
              </w:rPr>
            </w:pPr>
            <w:r>
              <w:rPr>
                <w:rFonts w:ascii="Arial" w:cs="Arial" w:eastAsia="Arial" w:hAnsi="Arial"/>
                <w:sz w:val="14"/>
                <w:szCs w:val="14"/>
                <w:color w:val="auto"/>
              </w:rPr>
              <w:t>$423,611</w:t>
            </w:r>
          </w:p>
        </w:tc>
        <w:tc>
          <w:tcPr>
            <w:tcW w:w="760" w:type="dxa"/>
            <w:vAlign w:val="bottom"/>
            <w:tcBorders>
              <w:bottom w:val="single" w:sz="8" w:color="auto"/>
            </w:tcBorders>
            <w:gridSpan w:val="2"/>
            <w:shd w:val="clear" w:color="auto" w:fill="CCEEFF"/>
          </w:tcPr>
          <w:p>
            <w:pPr>
              <w:jc w:val="right"/>
              <w:ind w:right="40"/>
              <w:spacing w:after="0" w:line="151" w:lineRule="exact"/>
              <w:rPr>
                <w:sz w:val="20"/>
                <w:szCs w:val="20"/>
                <w:color w:val="auto"/>
              </w:rPr>
            </w:pPr>
            <w:r>
              <w:rPr>
                <w:rFonts w:ascii="Arial" w:cs="Arial" w:eastAsia="Arial" w:hAnsi="Arial"/>
                <w:sz w:val="14"/>
                <w:szCs w:val="14"/>
                <w:color w:val="auto"/>
              </w:rPr>
              <w:t>$287,540</w:t>
            </w:r>
          </w:p>
        </w:tc>
        <w:tc>
          <w:tcPr>
            <w:tcW w:w="0" w:type="dxa"/>
            <w:vAlign w:val="bottom"/>
          </w:tcPr>
          <w:p>
            <w:pPr>
              <w:spacing w:after="0"/>
              <w:rPr>
                <w:sz w:val="1"/>
                <w:szCs w:val="1"/>
                <w:color w:val="auto"/>
              </w:rPr>
            </w:pPr>
          </w:p>
        </w:tc>
      </w:tr>
      <w:tr>
        <w:trPr>
          <w:trHeight w:val="212"/>
        </w:trPr>
        <w:tc>
          <w:tcPr>
            <w:tcW w:w="2900" w:type="dxa"/>
            <w:vAlign w:val="bottom"/>
          </w:tcPr>
          <w:p>
            <w:pPr>
              <w:spacing w:after="0"/>
              <w:rPr>
                <w:sz w:val="20"/>
                <w:szCs w:val="20"/>
                <w:color w:val="auto"/>
              </w:rPr>
            </w:pPr>
            <w:r>
              <w:rPr>
                <w:rFonts w:ascii="Arial" w:cs="Arial" w:eastAsia="Arial" w:hAnsi="Arial"/>
                <w:sz w:val="14"/>
                <w:szCs w:val="14"/>
                <w:color w:val="auto"/>
              </w:rPr>
              <w:t>Basic weighted-average common shares</w:t>
            </w:r>
          </w:p>
        </w:tc>
        <w:tc>
          <w:tcPr>
            <w:tcW w:w="92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rPr>
              <w:t>62,932</w:t>
            </w: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2900" w:type="dxa"/>
            <w:vAlign w:val="bottom"/>
          </w:tcPr>
          <w:p>
            <w:pPr>
              <w:ind w:left="140"/>
              <w:spacing w:after="0" w:line="151" w:lineRule="exact"/>
              <w:rPr>
                <w:sz w:val="20"/>
                <w:szCs w:val="20"/>
                <w:color w:val="auto"/>
              </w:rPr>
            </w:pPr>
            <w:r>
              <w:rPr>
                <w:rFonts w:ascii="Arial" w:cs="Arial" w:eastAsia="Arial" w:hAnsi="Arial"/>
                <w:sz w:val="14"/>
                <w:szCs w:val="14"/>
                <w:color w:val="auto"/>
              </w:rPr>
              <w:t>outstanding</w:t>
            </w:r>
          </w:p>
        </w:tc>
        <w:tc>
          <w:tcPr>
            <w:tcW w:w="920" w:type="dxa"/>
            <w:vAlign w:val="bottom"/>
            <w:vMerge w:val="continue"/>
          </w:tcPr>
          <w:p>
            <w:pPr>
              <w:spacing w:after="0"/>
              <w:rPr>
                <w:sz w:val="13"/>
                <w:szCs w:val="13"/>
                <w:color w:val="auto"/>
              </w:rPr>
            </w:pPr>
          </w:p>
        </w:tc>
        <w:tc>
          <w:tcPr>
            <w:tcW w:w="900" w:type="dxa"/>
            <w:vAlign w:val="bottom"/>
          </w:tcPr>
          <w:p>
            <w:pPr>
              <w:jc w:val="right"/>
              <w:ind w:right="91"/>
              <w:spacing w:after="0" w:line="151" w:lineRule="exact"/>
              <w:rPr>
                <w:sz w:val="20"/>
                <w:szCs w:val="20"/>
                <w:color w:val="auto"/>
              </w:rPr>
            </w:pPr>
            <w:r>
              <w:rPr>
                <w:rFonts w:ascii="Arial" w:cs="Arial" w:eastAsia="Arial" w:hAnsi="Arial"/>
                <w:sz w:val="14"/>
                <w:szCs w:val="14"/>
                <w:color w:val="auto"/>
              </w:rPr>
              <w:t>63,610</w:t>
            </w:r>
          </w:p>
        </w:tc>
        <w:tc>
          <w:tcPr>
            <w:tcW w:w="760" w:type="dxa"/>
            <w:vAlign w:val="bottom"/>
            <w:gridSpan w:val="2"/>
          </w:tcPr>
          <w:p>
            <w:pPr>
              <w:jc w:val="right"/>
              <w:ind w:right="40"/>
              <w:spacing w:after="0" w:line="151" w:lineRule="exact"/>
              <w:rPr>
                <w:sz w:val="20"/>
                <w:szCs w:val="20"/>
                <w:color w:val="auto"/>
              </w:rPr>
            </w:pPr>
            <w:r>
              <w:rPr>
                <w:rFonts w:ascii="Arial" w:cs="Arial" w:eastAsia="Arial" w:hAnsi="Arial"/>
                <w:sz w:val="14"/>
                <w:szCs w:val="14"/>
                <w:color w:val="auto"/>
              </w:rPr>
              <w:t>66,770</w:t>
            </w:r>
          </w:p>
        </w:tc>
        <w:tc>
          <w:tcPr>
            <w:tcW w:w="0" w:type="dxa"/>
            <w:vAlign w:val="bottom"/>
          </w:tcPr>
          <w:p>
            <w:pPr>
              <w:spacing w:after="0"/>
              <w:rPr>
                <w:sz w:val="1"/>
                <w:szCs w:val="1"/>
                <w:color w:val="auto"/>
              </w:rPr>
            </w:pPr>
          </w:p>
        </w:tc>
      </w:tr>
      <w:tr>
        <w:trPr>
          <w:trHeight w:val="160"/>
        </w:trPr>
        <w:tc>
          <w:tcPr>
            <w:tcW w:w="2900" w:type="dxa"/>
            <w:vAlign w:val="bottom"/>
            <w:shd w:val="clear" w:color="auto" w:fill="CCEEFF"/>
          </w:tcPr>
          <w:p>
            <w:pPr>
              <w:spacing w:after="0"/>
              <w:rPr>
                <w:sz w:val="20"/>
                <w:szCs w:val="20"/>
                <w:color w:val="auto"/>
              </w:rPr>
            </w:pPr>
            <w:r>
              <w:rPr>
                <w:rFonts w:ascii="Arial" w:cs="Arial" w:eastAsia="Arial" w:hAnsi="Arial"/>
                <w:sz w:val="14"/>
                <w:szCs w:val="14"/>
                <w:color w:val="auto"/>
              </w:rPr>
              <w:t>Effect of dilutive employee and director</w:t>
            </w:r>
          </w:p>
        </w:tc>
        <w:tc>
          <w:tcPr>
            <w:tcW w:w="920" w:type="dxa"/>
            <w:vAlign w:val="bottom"/>
            <w:vMerge w:val="restart"/>
            <w:shd w:val="clear" w:color="auto" w:fill="CCEEFF"/>
          </w:tcPr>
          <w:p>
            <w:pPr>
              <w:jc w:val="right"/>
              <w:ind w:right="71"/>
              <w:spacing w:after="0"/>
              <w:rPr>
                <w:sz w:val="20"/>
                <w:szCs w:val="20"/>
                <w:color w:val="auto"/>
              </w:rPr>
            </w:pPr>
            <w:r>
              <w:rPr>
                <w:rFonts w:ascii="Arial" w:cs="Arial" w:eastAsia="Arial" w:hAnsi="Arial"/>
                <w:sz w:val="14"/>
                <w:szCs w:val="14"/>
                <w:b w:val="1"/>
                <w:bCs w:val="1"/>
                <w:color w:val="auto"/>
              </w:rPr>
              <w:t>285</w:t>
            </w:r>
          </w:p>
        </w:tc>
        <w:tc>
          <w:tcPr>
            <w:tcW w:w="9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900" w:type="dxa"/>
            <w:vAlign w:val="bottom"/>
            <w:tcBorders>
              <w:bottom w:val="single" w:sz="8" w:color="auto"/>
            </w:tcBorders>
            <w:shd w:val="clear" w:color="auto" w:fill="CCEEFF"/>
          </w:tcPr>
          <w:p>
            <w:pPr>
              <w:ind w:left="140"/>
              <w:spacing w:after="0" w:line="151" w:lineRule="exact"/>
              <w:rPr>
                <w:sz w:val="20"/>
                <w:szCs w:val="20"/>
                <w:color w:val="auto"/>
              </w:rPr>
            </w:pPr>
            <w:r>
              <w:rPr>
                <w:rFonts w:ascii="Arial" w:cs="Arial" w:eastAsia="Arial" w:hAnsi="Arial"/>
                <w:sz w:val="14"/>
                <w:szCs w:val="14"/>
                <w:color w:val="auto"/>
              </w:rPr>
              <w:t>awards</w:t>
            </w:r>
          </w:p>
        </w:tc>
        <w:tc>
          <w:tcPr>
            <w:tcW w:w="920" w:type="dxa"/>
            <w:vAlign w:val="bottom"/>
            <w:tcBorders>
              <w:bottom w:val="single" w:sz="8" w:color="auto"/>
            </w:tcBorders>
            <w:vMerge w:val="continue"/>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91"/>
              <w:spacing w:after="0" w:line="151" w:lineRule="exact"/>
              <w:rPr>
                <w:sz w:val="20"/>
                <w:szCs w:val="20"/>
                <w:color w:val="auto"/>
              </w:rPr>
            </w:pPr>
            <w:r>
              <w:rPr>
                <w:rFonts w:ascii="Arial" w:cs="Arial" w:eastAsia="Arial" w:hAnsi="Arial"/>
                <w:sz w:val="14"/>
                <w:szCs w:val="14"/>
                <w:color w:val="auto"/>
              </w:rPr>
              <w:t>251</w:t>
            </w:r>
          </w:p>
        </w:tc>
        <w:tc>
          <w:tcPr>
            <w:tcW w:w="760" w:type="dxa"/>
            <w:vAlign w:val="bottom"/>
            <w:tcBorders>
              <w:bottom w:val="single" w:sz="8" w:color="auto"/>
            </w:tcBorders>
            <w:gridSpan w:val="2"/>
            <w:shd w:val="clear" w:color="auto" w:fill="CCEEFF"/>
          </w:tcPr>
          <w:p>
            <w:pPr>
              <w:jc w:val="right"/>
              <w:ind w:right="40"/>
              <w:spacing w:after="0" w:line="151" w:lineRule="exact"/>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153"/>
        </w:trPr>
        <w:tc>
          <w:tcPr>
            <w:tcW w:w="2900" w:type="dxa"/>
            <w:vAlign w:val="bottom"/>
          </w:tcPr>
          <w:p>
            <w:pPr>
              <w:spacing w:after="0" w:line="153" w:lineRule="exact"/>
              <w:rPr>
                <w:sz w:val="20"/>
                <w:szCs w:val="20"/>
                <w:color w:val="auto"/>
              </w:rPr>
            </w:pPr>
            <w:r>
              <w:rPr>
                <w:rFonts w:ascii="Arial" w:cs="Arial" w:eastAsia="Arial" w:hAnsi="Arial"/>
                <w:sz w:val="14"/>
                <w:szCs w:val="14"/>
                <w:color w:val="auto"/>
              </w:rPr>
              <w:t>Diluted common weighted-average shares</w:t>
            </w:r>
          </w:p>
        </w:tc>
        <w:tc>
          <w:tcPr>
            <w:tcW w:w="92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rPr>
              <w:t>63,217</w:t>
            </w: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900" w:type="dxa"/>
            <w:vAlign w:val="bottom"/>
            <w:tcBorders>
              <w:bottom w:val="single" w:sz="8" w:color="auto"/>
            </w:tcBorders>
          </w:tcPr>
          <w:p>
            <w:pPr>
              <w:ind w:left="140"/>
              <w:spacing w:after="0" w:line="151" w:lineRule="exact"/>
              <w:rPr>
                <w:sz w:val="20"/>
                <w:szCs w:val="20"/>
                <w:color w:val="auto"/>
              </w:rPr>
            </w:pPr>
            <w:r>
              <w:rPr>
                <w:rFonts w:ascii="Arial" w:cs="Arial" w:eastAsia="Arial" w:hAnsi="Arial"/>
                <w:sz w:val="14"/>
                <w:szCs w:val="14"/>
                <w:color w:val="auto"/>
              </w:rPr>
              <w:t>outstanding</w:t>
            </w:r>
          </w:p>
        </w:tc>
        <w:tc>
          <w:tcPr>
            <w:tcW w:w="920" w:type="dxa"/>
            <w:vAlign w:val="bottom"/>
            <w:tcBorders>
              <w:bottom w:val="single" w:sz="8" w:color="auto"/>
            </w:tcBorders>
            <w:vMerge w:val="continue"/>
          </w:tcPr>
          <w:p>
            <w:pPr>
              <w:spacing w:after="0"/>
              <w:rPr>
                <w:sz w:val="13"/>
                <w:szCs w:val="13"/>
                <w:color w:val="auto"/>
              </w:rPr>
            </w:pPr>
          </w:p>
        </w:tc>
        <w:tc>
          <w:tcPr>
            <w:tcW w:w="900" w:type="dxa"/>
            <w:vAlign w:val="bottom"/>
            <w:tcBorders>
              <w:bottom w:val="single" w:sz="8" w:color="auto"/>
            </w:tcBorders>
          </w:tcPr>
          <w:p>
            <w:pPr>
              <w:jc w:val="right"/>
              <w:ind w:right="91"/>
              <w:spacing w:after="0" w:line="151" w:lineRule="exact"/>
              <w:rPr>
                <w:sz w:val="20"/>
                <w:szCs w:val="20"/>
                <w:color w:val="auto"/>
              </w:rPr>
            </w:pPr>
            <w:r>
              <w:rPr>
                <w:rFonts w:ascii="Arial" w:cs="Arial" w:eastAsia="Arial" w:hAnsi="Arial"/>
                <w:sz w:val="14"/>
                <w:szCs w:val="14"/>
                <w:color w:val="auto"/>
              </w:rPr>
              <w:t>63,861</w:t>
            </w:r>
          </w:p>
        </w:tc>
        <w:tc>
          <w:tcPr>
            <w:tcW w:w="760" w:type="dxa"/>
            <w:vAlign w:val="bottom"/>
            <w:tcBorders>
              <w:bottom w:val="single" w:sz="8" w:color="auto"/>
            </w:tcBorders>
            <w:gridSpan w:val="2"/>
          </w:tcPr>
          <w:p>
            <w:pPr>
              <w:jc w:val="right"/>
              <w:ind w:right="40"/>
              <w:spacing w:after="0" w:line="151" w:lineRule="exact"/>
              <w:rPr>
                <w:sz w:val="20"/>
                <w:szCs w:val="20"/>
                <w:color w:val="auto"/>
              </w:rPr>
            </w:pPr>
            <w:r>
              <w:rPr>
                <w:rFonts w:ascii="Arial" w:cs="Arial" w:eastAsia="Arial" w:hAnsi="Arial"/>
                <w:sz w:val="14"/>
                <w:szCs w:val="14"/>
                <w:color w:val="auto"/>
              </w:rPr>
              <w:t>67,020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b w:val="1"/>
          <w:bCs w:val="1"/>
          <w:color w:val="8D5D6C"/>
        </w:rPr>
        <w:t>New Accounting Pronouncements</w:t>
      </w:r>
    </w:p>
    <w:p>
      <w:pPr>
        <w:spacing w:after="0" w:line="21" w:lineRule="exact"/>
        <w:rPr>
          <w:sz w:val="20"/>
          <w:szCs w:val="20"/>
          <w:color w:val="auto"/>
        </w:rPr>
      </w:pPr>
    </w:p>
    <w:p>
      <w:pPr>
        <w:ind w:right="120"/>
        <w:spacing w:after="0" w:line="239" w:lineRule="auto"/>
        <w:rPr>
          <w:sz w:val="20"/>
          <w:szCs w:val="20"/>
          <w:color w:val="auto"/>
        </w:rPr>
      </w:pPr>
      <w:r>
        <w:rPr>
          <w:rFonts w:ascii="Arial" w:cs="Arial" w:eastAsia="Arial" w:hAnsi="Arial"/>
          <w:sz w:val="17"/>
          <w:szCs w:val="17"/>
          <w:b w:val="1"/>
          <w:bCs w:val="1"/>
          <w:i w:val="1"/>
          <w:iCs w:val="1"/>
          <w:color w:val="49B28F"/>
        </w:rPr>
        <w:t>Net Periodic Pension Cost and Net Periodic Postretirement Benefit Cost</w:t>
      </w:r>
    </w:p>
    <w:p>
      <w:pPr>
        <w:jc w:val="both"/>
        <w:spacing w:after="0" w:line="239" w:lineRule="auto"/>
        <w:rPr>
          <w:sz w:val="20"/>
          <w:szCs w:val="20"/>
          <w:color w:val="auto"/>
        </w:rPr>
      </w:pPr>
      <w:r>
        <w:rPr>
          <w:rFonts w:ascii="Arial" w:cs="Arial" w:eastAsia="Arial" w:hAnsi="Arial"/>
          <w:sz w:val="17"/>
          <w:szCs w:val="17"/>
          <w:color w:val="auto"/>
        </w:rPr>
        <w:t xml:space="preserve">In March 2017, the Financial Accounting Standards Board (FASB) issued an accounting standards update (ASU), </w:t>
      </w:r>
      <w:r>
        <w:rPr>
          <w:rFonts w:ascii="Arial" w:cs="Arial" w:eastAsia="Arial" w:hAnsi="Arial"/>
          <w:sz w:val="17"/>
          <w:szCs w:val="17"/>
          <w:i w:val="1"/>
          <w:iCs w:val="1"/>
          <w:color w:val="auto"/>
        </w:rPr>
        <w:t>Improving the Presentation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Net Periodic Pension Cost and Net Periodic Postretirement Benefit Cost </w:t>
      </w:r>
      <w:r>
        <w:rPr>
          <w:rFonts w:ascii="Arial" w:cs="Arial" w:eastAsia="Arial" w:hAnsi="Arial"/>
          <w:sz w:val="17"/>
          <w:szCs w:val="17"/>
          <w:color w:val="auto"/>
        </w:rPr>
        <w:t>(ASU 2017-07), which revises the financial statement presentation for periodic pension and postretirement expense or credit, other than service cost. ASU 2017-07 requires net periodic benefit cost or credit, with the exception of service cost, to be presented retrospectively as nonoperating expense. As permitted by ASU 2017-07, the Company used the pension and other postretirement benefit plan disclosures for the comparative prior periods as a practical expedient to estimate amounts for retrospective application. Service cost remains a component of earnings from operations and represent the only cost of pension and postretirement expense eligible for capitalization, notably in the Company’s inventory standards. The Company early adopted this standard effective January 1, 2017. For the year ended December 31, 2016, the Company reclassified $2,772,000, $6,399,000 and $774,000 from cost of sales; selling, general and administrative expenses; and other operating income and expenses, respectively, to nonoperating expense. For the year ended December 31, 2015, the Company reclassified $5,153,000, $7,480,000 and $2,118,000 from cost of sales; selling, general and administrative expenses; and other operating income and expenses, respectively, to nonoperating expense.</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49B28F"/>
        </w:rPr>
        <w:t>Stock Compensation</w:t>
      </w:r>
    </w:p>
    <w:p>
      <w:pPr>
        <w:spacing w:after="0" w:line="18" w:lineRule="exact"/>
        <w:rPr>
          <w:sz w:val="20"/>
          <w:szCs w:val="20"/>
          <w:color w:val="auto"/>
        </w:rPr>
      </w:pPr>
    </w:p>
    <w:p>
      <w:pPr>
        <w:jc w:val="both"/>
        <w:spacing w:after="0"/>
        <w:rPr>
          <w:sz w:val="20"/>
          <w:szCs w:val="20"/>
          <w:color w:val="auto"/>
        </w:rPr>
      </w:pPr>
      <w:r>
        <w:rPr>
          <w:rFonts w:ascii="Arial" w:cs="Arial" w:eastAsia="Arial" w:hAnsi="Arial"/>
          <w:sz w:val="16"/>
          <w:szCs w:val="16"/>
          <w:color w:val="auto"/>
        </w:rPr>
        <w:t xml:space="preserve">The FASB issued ASU </w:t>
      </w:r>
      <w:r>
        <w:rPr>
          <w:rFonts w:ascii="Arial" w:cs="Arial" w:eastAsia="Arial" w:hAnsi="Arial"/>
          <w:sz w:val="16"/>
          <w:szCs w:val="16"/>
          <w:i w:val="1"/>
          <w:iCs w:val="1"/>
          <w:color w:val="auto"/>
        </w:rPr>
        <w:t>Compensation – Stock Compensation (Topic 718):</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Improvements to Employee Share-Based Payment Accounting </w:t>
      </w:r>
      <w:r>
        <w:rPr>
          <w:rFonts w:ascii="Arial" w:cs="Arial" w:eastAsia="Arial" w:hAnsi="Arial"/>
          <w:sz w:val="16"/>
          <w:szCs w:val="16"/>
          <w:color w:val="auto"/>
        </w:rPr>
        <w:t>(ASU</w:t>
      </w:r>
      <w:r>
        <w:rPr>
          <w:rFonts w:ascii="Arial" w:cs="Arial" w:eastAsia="Arial" w:hAnsi="Arial"/>
          <w:sz w:val="16"/>
          <w:szCs w:val="16"/>
          <w:i w:val="1"/>
          <w:iCs w:val="1"/>
          <w:color w:val="auto"/>
        </w:rPr>
        <w:t xml:space="preserve"> </w:t>
      </w:r>
      <w:r>
        <w:rPr>
          <w:rFonts w:ascii="Arial" w:cs="Arial" w:eastAsia="Arial" w:hAnsi="Arial"/>
          <w:sz w:val="16"/>
          <w:szCs w:val="16"/>
          <w:color w:val="auto"/>
        </w:rPr>
        <w:t>2016-09) on accounting for stock compensation. The new standard was effective January 1, 2017 and requires, prospectively, all excess tax benefits and tax deficiencies to be recorded as income tax benefit or expense in the income statement in the period the awards vest or are settled as a discrete item. Additionally, ASU 2016-09 requires any excess tax benefits be reflected as an operating activity in the statement of cash flows retrospectively. Further, any shares withheld for personal income taxes are classified as a financing activity in the statement of cash flows and retrospectively applied. As a result of the Company’s adoption of ASU 2016-09, for the years ended December 31, 2016 and 2015, shares withheld for employees’ income tax obligations reclassified from operating activities were $3,787,000 and</w:t>
      </w:r>
    </w:p>
    <w:p>
      <w:pPr>
        <w:spacing w:after="0" w:line="200" w:lineRule="exact"/>
        <w:rPr>
          <w:sz w:val="20"/>
          <w:szCs w:val="20"/>
          <w:color w:val="auto"/>
        </w:rPr>
      </w:pPr>
    </w:p>
    <w:p>
      <w:pPr>
        <w:sectPr>
          <w:pgSz w:w="11900" w:h="16838" w:orient="portrait"/>
          <w:cols w:equalWidth="0" w:num="2">
            <w:col w:w="5480" w:space="360"/>
            <w:col w:w="5580"/>
          </w:cols>
          <w:pgMar w:left="240" w:top="259" w:right="239" w:bottom="1440" w:gutter="0" w:footer="0" w:header="0"/>
          <w:type w:val="continuous"/>
        </w:sect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20</w:t>
      </w:r>
    </w:p>
    <w:p>
      <w:pPr>
        <w:sectPr>
          <w:pgSz w:w="11900" w:h="16838" w:orient="portrait"/>
          <w:cols w:equalWidth="0" w:num="1">
            <w:col w:w="11420"/>
          </w:cols>
          <w:pgMar w:left="240" w:top="259" w:right="239" w:bottom="1440" w:gutter="0" w:footer="0" w:header="0"/>
          <w:type w:val="continuous"/>
        </w:sectPr>
      </w:pPr>
    </w:p>
    <w:bookmarkStart w:id="73" w:name="page74"/>
    <w:bookmarkEnd w:id="73"/>
    <w:p>
      <w:pPr>
        <w:jc w:val="center"/>
        <w:ind w:right="-19"/>
        <w:spacing w:after="0"/>
        <w:rPr>
          <w:sz w:val="20"/>
          <w:szCs w:val="20"/>
          <w:color w:val="auto"/>
        </w:rPr>
      </w:pPr>
      <w:r>
        <w:rPr>
          <w:rFonts w:ascii="Arial" w:cs="Arial" w:eastAsia="Arial" w:hAnsi="Arial"/>
          <w:sz w:val="17"/>
          <w:szCs w:val="17"/>
          <w:b w:val="1"/>
          <w:bCs w:val="1"/>
          <w:color w:val="0085CD"/>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9">
                      <a:extLst>
                        <a:ext uri="{28A0092B-C50C-407E-A947-70E740481C1C}"/>
                      </a:extLst>
                    </a:blip>
                    <a:srcRect/>
                    <a:stretch>
                      <a:fillRect/>
                    </a:stretch>
                  </pic:blipFill>
                  <pic:spPr bwMode="auto">
                    <a:xfrm>
                      <a:off x="0" y="0"/>
                      <a:ext cx="7293610" cy="37465"/>
                    </a:xfrm>
                    <a:prstGeom prst="rect">
                      <a:avLst/>
                    </a:prstGeom>
                    <a:noFill/>
                  </pic:spPr>
                </pic:pic>
              </a:graphicData>
            </a:graphic>
          </wp:anchor>
        </w:drawing>
        <w:t xml:space="preserve">NOTES TO FINANCIAL STATEMENTS </w:t>
      </w:r>
      <w:r>
        <w:rPr>
          <w:rFonts w:ascii="Arial" w:cs="Arial" w:eastAsia="Arial" w:hAnsi="Arial"/>
          <w:sz w:val="15"/>
          <w:szCs w:val="15"/>
          <w:color w:val="0085CD"/>
        </w:rPr>
        <w:t>(continued)</w:t>
      </w:r>
    </w:p>
    <w:p>
      <w:pPr>
        <w:sectPr>
          <w:pgSz w:w="11900" w:h="16838" w:orient="portrait"/>
          <w:cols w:equalWidth="0" w:num="1">
            <w:col w:w="11420"/>
          </w:cols>
          <w:pgMar w:left="240" w:top="26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spacing w:after="0"/>
        <w:rPr>
          <w:sz w:val="20"/>
          <w:szCs w:val="20"/>
          <w:color w:val="auto"/>
        </w:rPr>
      </w:pPr>
      <w:r>
        <w:rPr>
          <w:rFonts w:ascii="Arial" w:cs="Arial" w:eastAsia="Arial" w:hAnsi="Arial"/>
          <w:sz w:val="16"/>
          <w:szCs w:val="16"/>
          <w:color w:val="auto"/>
        </w:rPr>
        <w:t>$7,449,000, respectively. The Company reclassified excess tax benefits from stock-based compensation of $6,792,000 for the year ended December 31, 2016, from financing activities to operating activities. There was no excess tax benefit from stock-based compensation for the year ended December 31, 2015. Although the adoption of the new standard did not have a cumulative effect, it creates volatility in the Company’s income tax rate in periods when share-based compensation awards either vest or are exercised.</w:t>
      </w:r>
    </w:p>
    <w:p>
      <w:pPr>
        <w:spacing w:after="0" w:line="356" w:lineRule="exact"/>
        <w:rPr>
          <w:sz w:val="20"/>
          <w:szCs w:val="20"/>
          <w:color w:val="auto"/>
        </w:rPr>
      </w:pPr>
    </w:p>
    <w:p>
      <w:pPr>
        <w:spacing w:after="0"/>
        <w:rPr>
          <w:sz w:val="20"/>
          <w:szCs w:val="20"/>
          <w:color w:val="auto"/>
        </w:rPr>
      </w:pPr>
      <w:r>
        <w:rPr>
          <w:rFonts w:ascii="Arial" w:cs="Arial" w:eastAsia="Arial" w:hAnsi="Arial"/>
          <w:sz w:val="17"/>
          <w:szCs w:val="17"/>
          <w:b w:val="1"/>
          <w:bCs w:val="1"/>
          <w:color w:val="8D5D6C"/>
        </w:rPr>
        <w:t>Pending Accounting Pronouncements</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49B28F"/>
        </w:rPr>
        <w:t>Revenue Recognition Standard</w:t>
      </w:r>
    </w:p>
    <w:p>
      <w:pPr>
        <w:jc w:val="both"/>
        <w:spacing w:after="0" w:line="239" w:lineRule="auto"/>
        <w:rPr>
          <w:sz w:val="20"/>
          <w:szCs w:val="20"/>
          <w:color w:val="auto"/>
        </w:rPr>
      </w:pPr>
      <w:r>
        <w:rPr>
          <w:rFonts w:ascii="Arial" w:cs="Arial" w:eastAsia="Arial" w:hAnsi="Arial"/>
          <w:sz w:val="16"/>
          <w:szCs w:val="16"/>
          <w:color w:val="auto"/>
        </w:rPr>
        <w:t xml:space="preserve">The FASB issued ASU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(ASU 2014-09), which amends the accounting guidance on revenue recognition. The new standard intends to provide a more robust framework for addressing revenue issues, improve comparability of revenue recognition practices and improve disclosure requirements. The new standard is effective January 1, 2018 and the Company expects to adopt using a full retrospective approach. The Company has completed its assessment of the provisions of the new standard and determined the impact of adoption will not be material to its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49B28F"/>
        </w:rPr>
        <w:t>Lease Standard</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 xml:space="preserve">In February 2016, the FASB issued a new accounting standard, </w:t>
      </w:r>
      <w:r>
        <w:rPr>
          <w:rFonts w:ascii="Arial" w:cs="Arial" w:eastAsia="Arial" w:hAnsi="Arial"/>
          <w:sz w:val="16"/>
          <w:szCs w:val="16"/>
          <w:i w:val="1"/>
          <w:iCs w:val="1"/>
          <w:color w:val="auto"/>
        </w:rPr>
        <w:t>Accounting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Codification Standard 842 – Leases, </w:t>
      </w:r>
      <w:r>
        <w:rPr>
          <w:rFonts w:ascii="Arial" w:cs="Arial" w:eastAsia="Arial" w:hAnsi="Arial"/>
          <w:sz w:val="16"/>
          <w:szCs w:val="16"/>
          <w:color w:val="auto"/>
        </w:rPr>
        <w:t>intending to improve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reporting of leases and to provide more transparency of off-balance sheet leasing obligations. The guidance requires virtually all leases, excluding mineral interest leases, to be recorded on the balance sheet and provides guidance on the recognition of lease expense and income. The new standard is effective January 1, 2019 and must be applied on a modified retrospective approach. However, the FASB is proposing an option for transition that would permit the application of the new standard at the adoption date instead of the earliest comparative period presented in the financial statements. The Company is currently assessing the impact of the new standard on its financial statements. The Company believes the new standard will have a material effect on its consolidated balance sheet but has not quantified the impact at this time.</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 xml:space="preserve">In January 2018, the FASB issued ASU </w:t>
      </w:r>
      <w:r>
        <w:rPr>
          <w:rFonts w:ascii="Arial" w:cs="Arial" w:eastAsia="Arial" w:hAnsi="Arial"/>
          <w:sz w:val="16"/>
          <w:szCs w:val="16"/>
          <w:i w:val="1"/>
          <w:iCs w:val="1"/>
          <w:color w:val="auto"/>
        </w:rPr>
        <w:t>Land Easement Practical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Expedient for Transition to Topic 842 </w:t>
      </w:r>
      <w:r>
        <w:rPr>
          <w:rFonts w:ascii="Arial" w:cs="Arial" w:eastAsia="Arial" w:hAnsi="Arial"/>
          <w:sz w:val="16"/>
          <w:szCs w:val="16"/>
          <w:color w:val="auto"/>
        </w:rPr>
        <w:t>(ASU 2018-01). ASU 2018-01 permits</w:t>
      </w:r>
      <w:r>
        <w:rPr>
          <w:rFonts w:ascii="Arial" w:cs="Arial" w:eastAsia="Arial" w:hAnsi="Arial"/>
          <w:sz w:val="16"/>
          <w:szCs w:val="16"/>
          <w:i w:val="1"/>
          <w:iCs w:val="1"/>
          <w:color w:val="auto"/>
        </w:rPr>
        <w:t xml:space="preserve"> </w:t>
      </w:r>
      <w:r>
        <w:rPr>
          <w:rFonts w:ascii="Arial" w:cs="Arial" w:eastAsia="Arial" w:hAnsi="Arial"/>
          <w:sz w:val="16"/>
          <w:szCs w:val="16"/>
          <w:color w:val="auto"/>
        </w:rPr>
        <w:t>the election to not evaluate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land easements under the new lease guidance that existed or expired before the adoption of the new standard and that were not previously accounted for as leases under current guidance. The Company will adopt ASU 2018-01 concurrently with the new lease standard.</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0085CD"/>
        </w:rPr>
        <w:t>Note B: Goodwill and Other Intangible Assets</w:t>
      </w:r>
    </w:p>
    <w:p>
      <w:pPr>
        <w:spacing w:after="0" w:line="1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following table shows the changes in goodwill by reportable segment and in total:</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940" w:type="dxa"/>
            <w:vAlign w:val="bottom"/>
          </w:tcPr>
          <w:p>
            <w:pPr>
              <w:jc w:val="center"/>
              <w:ind w:left="31"/>
              <w:spacing w:after="0"/>
              <w:rPr>
                <w:sz w:val="20"/>
                <w:szCs w:val="20"/>
                <w:color w:val="auto"/>
              </w:rPr>
            </w:pPr>
            <w:r>
              <w:rPr>
                <w:rFonts w:ascii="Arial" w:cs="Arial" w:eastAsia="Arial" w:hAnsi="Arial"/>
                <w:sz w:val="14"/>
                <w:szCs w:val="14"/>
                <w:b w:val="1"/>
                <w:bCs w:val="1"/>
                <w:color w:val="auto"/>
                <w:w w:val="97"/>
              </w:rPr>
              <w:t>Mid-</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80" w:type="dxa"/>
            <w:vAlign w:val="bottom"/>
          </w:tcPr>
          <w:p>
            <w:pPr>
              <w:spacing w:after="0"/>
              <w:rPr>
                <w:sz w:val="13"/>
                <w:szCs w:val="13"/>
                <w:color w:val="auto"/>
              </w:rPr>
            </w:pPr>
          </w:p>
        </w:tc>
        <w:tc>
          <w:tcPr>
            <w:tcW w:w="940" w:type="dxa"/>
            <w:vAlign w:val="bottom"/>
          </w:tcPr>
          <w:p>
            <w:pPr>
              <w:jc w:val="center"/>
              <w:ind w:left="11"/>
              <w:spacing w:after="0" w:line="156" w:lineRule="exact"/>
              <w:rPr>
                <w:sz w:val="20"/>
                <w:szCs w:val="20"/>
                <w:color w:val="auto"/>
              </w:rPr>
            </w:pPr>
            <w:r>
              <w:rPr>
                <w:rFonts w:ascii="Arial" w:cs="Arial" w:eastAsia="Arial" w:hAnsi="Arial"/>
                <w:sz w:val="14"/>
                <w:szCs w:val="14"/>
                <w:b w:val="1"/>
                <w:bCs w:val="1"/>
                <w:color w:val="auto"/>
                <w:w w:val="97"/>
              </w:rPr>
              <w:t>America</w:t>
            </w:r>
          </w:p>
        </w:tc>
        <w:tc>
          <w:tcPr>
            <w:tcW w:w="860" w:type="dxa"/>
            <w:vAlign w:val="bottom"/>
            <w:gridSpan w:val="2"/>
          </w:tcPr>
          <w:p>
            <w:pPr>
              <w:ind w:left="120"/>
              <w:spacing w:after="0" w:line="156" w:lineRule="exact"/>
              <w:rPr>
                <w:sz w:val="20"/>
                <w:szCs w:val="20"/>
                <w:color w:val="auto"/>
              </w:rPr>
            </w:pPr>
            <w:r>
              <w:rPr>
                <w:rFonts w:ascii="Arial" w:cs="Arial" w:eastAsia="Arial" w:hAnsi="Arial"/>
                <w:sz w:val="14"/>
                <w:szCs w:val="14"/>
                <w:b w:val="1"/>
                <w:bCs w:val="1"/>
                <w:color w:val="auto"/>
              </w:rPr>
              <w:t>Southeast</w:t>
            </w:r>
          </w:p>
        </w:tc>
        <w:tc>
          <w:tcPr>
            <w:tcW w:w="1080" w:type="dxa"/>
            <w:vAlign w:val="bottom"/>
          </w:tcPr>
          <w:p>
            <w:pPr>
              <w:jc w:val="right"/>
              <w:ind w:right="290"/>
              <w:spacing w:after="0" w:line="156" w:lineRule="exact"/>
              <w:rPr>
                <w:sz w:val="20"/>
                <w:szCs w:val="20"/>
                <w:color w:val="auto"/>
              </w:rPr>
            </w:pPr>
            <w:r>
              <w:rPr>
                <w:rFonts w:ascii="Arial" w:cs="Arial" w:eastAsia="Arial" w:hAnsi="Arial"/>
                <w:sz w:val="14"/>
                <w:szCs w:val="14"/>
                <w:b w:val="1"/>
                <w:bCs w:val="1"/>
                <w:color w:val="auto"/>
              </w:rPr>
              <w:t>West</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780" w:type="dxa"/>
            <w:vAlign w:val="bottom"/>
            <w:vMerge w:val="restart"/>
          </w:tcPr>
          <w:p>
            <w:pPr>
              <w:spacing w:after="0"/>
              <w:rPr>
                <w:sz w:val="20"/>
                <w:szCs w:val="20"/>
                <w:color w:val="auto"/>
              </w:rPr>
            </w:pPr>
            <w:r>
              <w:rPr>
                <w:rFonts w:ascii="Arial" w:cs="Arial" w:eastAsia="Arial" w:hAnsi="Arial"/>
                <w:sz w:val="14"/>
                <w:szCs w:val="14"/>
                <w:i w:val="1"/>
                <w:iCs w:val="1"/>
                <w:color w:val="auto"/>
              </w:rPr>
              <w:t>December 31</w:t>
            </w:r>
          </w:p>
        </w:tc>
        <w:tc>
          <w:tcPr>
            <w:tcW w:w="940" w:type="dxa"/>
            <w:vAlign w:val="bottom"/>
            <w:tcBorders>
              <w:bottom w:val="single" w:sz="8" w:color="auto"/>
            </w:tcBorders>
          </w:tcPr>
          <w:p>
            <w:pPr>
              <w:jc w:val="center"/>
              <w:ind w:left="11"/>
              <w:spacing w:after="0"/>
              <w:rPr>
                <w:sz w:val="20"/>
                <w:szCs w:val="20"/>
                <w:color w:val="auto"/>
              </w:rPr>
            </w:pPr>
            <w:r>
              <w:rPr>
                <w:rFonts w:ascii="Arial" w:cs="Arial" w:eastAsia="Arial" w:hAnsi="Arial"/>
                <w:sz w:val="14"/>
                <w:szCs w:val="14"/>
                <w:b w:val="1"/>
                <w:bCs w:val="1"/>
                <w:color w:val="auto"/>
                <w:w w:val="99"/>
              </w:rPr>
              <w:t>Group</w:t>
            </w: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w w:val="99"/>
              </w:rPr>
              <w:t>Group</w:t>
            </w:r>
          </w:p>
        </w:tc>
        <w:tc>
          <w:tcPr>
            <w:tcW w:w="108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b w:val="1"/>
                <w:bCs w:val="1"/>
                <w:color w:val="auto"/>
              </w:rPr>
              <w:t>Group</w:t>
            </w:r>
          </w:p>
        </w:tc>
        <w:tc>
          <w:tcPr>
            <w:tcW w:w="9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0"/>
        </w:trPr>
        <w:tc>
          <w:tcPr>
            <w:tcW w:w="1780" w:type="dxa"/>
            <w:vAlign w:val="bottom"/>
            <w:vMerge w:val="continue"/>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80" w:type="dxa"/>
            <w:vAlign w:val="bottom"/>
            <w:vMerge w:val="restart"/>
          </w:tcPr>
          <w:p>
            <w:pPr>
              <w:jc w:val="right"/>
              <w:ind w:right="650"/>
              <w:spacing w:after="0"/>
              <w:rPr>
                <w:sz w:val="20"/>
                <w:szCs w:val="20"/>
                <w:color w:val="auto"/>
              </w:rPr>
            </w:pPr>
            <w:r>
              <w:rPr>
                <w:rFonts w:ascii="Arial" w:cs="Arial" w:eastAsia="Arial" w:hAnsi="Arial"/>
                <w:sz w:val="15"/>
                <w:szCs w:val="15"/>
                <w:b w:val="1"/>
                <w:bCs w:val="1"/>
                <w:color w:val="0085CD"/>
              </w:rPr>
              <w:t>2017</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7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(add 000)</w:t>
            </w:r>
          </w:p>
        </w:tc>
        <w:tc>
          <w:tcPr>
            <w:tcW w:w="9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vMerge w:val="continue"/>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78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Balance at beginning of</w:t>
            </w:r>
          </w:p>
        </w:tc>
        <w:tc>
          <w:tcPr>
            <w:tcW w:w="940" w:type="dxa"/>
            <w:vAlign w:val="bottom"/>
            <w:vMerge w:val="restart"/>
            <w:shd w:val="clear" w:color="auto" w:fill="CCEEFF"/>
          </w:tcPr>
          <w:p>
            <w:pPr>
              <w:jc w:val="right"/>
              <w:ind w:right="71"/>
              <w:spacing w:after="0"/>
              <w:rPr>
                <w:sz w:val="20"/>
                <w:szCs w:val="20"/>
                <w:color w:val="auto"/>
              </w:rPr>
            </w:pPr>
            <w:r>
              <w:rPr>
                <w:rFonts w:ascii="Arial" w:cs="Arial" w:eastAsia="Arial" w:hAnsi="Arial"/>
                <w:sz w:val="14"/>
                <w:szCs w:val="14"/>
                <w:b w:val="1"/>
                <w:bCs w:val="1"/>
                <w:color w:val="auto"/>
              </w:rPr>
              <w:t>$281,403</w:t>
            </w:r>
          </w:p>
        </w:tc>
        <w:tc>
          <w:tcPr>
            <w:tcW w:w="220" w:type="dxa"/>
            <w:vAlign w:val="bottom"/>
            <w:vMerge w:val="restart"/>
            <w:shd w:val="clear" w:color="auto" w:fill="CCEEFF"/>
          </w:tcPr>
          <w:p>
            <w:pPr>
              <w:ind w:left="120"/>
              <w:spacing w:after="0"/>
              <w:rPr>
                <w:sz w:val="20"/>
                <w:szCs w:val="20"/>
                <w:color w:val="auto"/>
              </w:rPr>
            </w:pPr>
            <w:r>
              <w:rPr>
                <w:rFonts w:ascii="Arial" w:cs="Arial" w:eastAsia="Arial" w:hAnsi="Arial"/>
                <w:sz w:val="14"/>
                <w:szCs w:val="14"/>
                <w:b w:val="1"/>
                <w:bCs w:val="1"/>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50,346</w:t>
            </w:r>
          </w:p>
        </w:tc>
        <w:tc>
          <w:tcPr>
            <w:tcW w:w="1080" w:type="dxa"/>
            <w:vAlign w:val="bottom"/>
            <w:vMerge w:val="restart"/>
            <w:shd w:val="clear" w:color="auto" w:fill="CCEEFF"/>
          </w:tcPr>
          <w:p>
            <w:pPr>
              <w:jc w:val="right"/>
              <w:ind w:right="110"/>
              <w:spacing w:after="0"/>
              <w:rPr>
                <w:sz w:val="20"/>
                <w:szCs w:val="20"/>
                <w:color w:val="auto"/>
              </w:rPr>
            </w:pPr>
            <w:r>
              <w:rPr>
                <w:rFonts w:ascii="Arial" w:cs="Arial" w:eastAsia="Arial" w:hAnsi="Arial"/>
                <w:sz w:val="14"/>
                <w:szCs w:val="14"/>
                <w:b w:val="1"/>
                <w:bCs w:val="1"/>
                <w:color w:val="auto"/>
              </w:rPr>
              <w:t>$1,827,588</w:t>
            </w:r>
          </w:p>
        </w:tc>
        <w:tc>
          <w:tcPr>
            <w:tcW w:w="92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$2,159,337</w:t>
            </w:r>
          </w:p>
        </w:tc>
        <w:tc>
          <w:tcPr>
            <w:tcW w:w="0" w:type="dxa"/>
            <w:vAlign w:val="bottom"/>
          </w:tcPr>
          <w:p>
            <w:pPr>
              <w:spacing w:after="0"/>
              <w:rPr>
                <w:sz w:val="1"/>
                <w:szCs w:val="1"/>
                <w:color w:val="auto"/>
              </w:rPr>
            </w:pPr>
          </w:p>
        </w:tc>
      </w:tr>
      <w:tr>
        <w:trPr>
          <w:trHeight w:val="151"/>
        </w:trPr>
        <w:tc>
          <w:tcPr>
            <w:tcW w:w="1780" w:type="dxa"/>
            <w:vAlign w:val="bottom"/>
            <w:shd w:val="clear" w:color="auto" w:fill="CCEEFF"/>
          </w:tcPr>
          <w:p>
            <w:pPr>
              <w:ind w:left="120"/>
              <w:spacing w:after="0" w:line="151" w:lineRule="exact"/>
              <w:rPr>
                <w:sz w:val="20"/>
                <w:szCs w:val="20"/>
                <w:color w:val="auto"/>
              </w:rPr>
            </w:pPr>
            <w:r>
              <w:rPr>
                <w:rFonts w:ascii="Arial" w:cs="Arial" w:eastAsia="Arial" w:hAnsi="Arial"/>
                <w:sz w:val="14"/>
                <w:szCs w:val="14"/>
                <w:color w:val="auto"/>
              </w:rPr>
              <w:t>period</w:t>
            </w:r>
          </w:p>
        </w:tc>
        <w:tc>
          <w:tcPr>
            <w:tcW w:w="940" w:type="dxa"/>
            <w:vAlign w:val="bottom"/>
            <w:vMerge w:val="continue"/>
            <w:shd w:val="clear" w:color="auto" w:fill="CCEEFF"/>
          </w:tcPr>
          <w:p>
            <w:pPr>
              <w:spacing w:after="0"/>
              <w:rPr>
                <w:sz w:val="13"/>
                <w:szCs w:val="13"/>
                <w:color w:val="auto"/>
              </w:rPr>
            </w:pPr>
          </w:p>
        </w:tc>
        <w:tc>
          <w:tcPr>
            <w:tcW w:w="220" w:type="dxa"/>
            <w:vAlign w:val="bottom"/>
            <w:vMerge w:val="continue"/>
            <w:shd w:val="clear" w:color="auto" w:fill="CCEEFF"/>
          </w:tcPr>
          <w:p>
            <w:pPr>
              <w:spacing w:after="0"/>
              <w:rPr>
                <w:sz w:val="13"/>
                <w:szCs w:val="13"/>
                <w:color w:val="auto"/>
              </w:rPr>
            </w:pPr>
          </w:p>
        </w:tc>
        <w:tc>
          <w:tcPr>
            <w:tcW w:w="640" w:type="dxa"/>
            <w:vAlign w:val="bottom"/>
            <w:vMerge w:val="continue"/>
            <w:shd w:val="clear" w:color="auto" w:fill="CCEEFF"/>
          </w:tcPr>
          <w:p>
            <w:pPr>
              <w:spacing w:after="0"/>
              <w:rPr>
                <w:sz w:val="13"/>
                <w:szCs w:val="13"/>
                <w:color w:val="auto"/>
              </w:rPr>
            </w:pPr>
          </w:p>
        </w:tc>
        <w:tc>
          <w:tcPr>
            <w:tcW w:w="1080" w:type="dxa"/>
            <w:vAlign w:val="bottom"/>
            <w:vMerge w:val="continue"/>
            <w:shd w:val="clear" w:color="auto" w:fill="CCEEFF"/>
          </w:tcPr>
          <w:p>
            <w:pPr>
              <w:spacing w:after="0"/>
              <w:rPr>
                <w:sz w:val="13"/>
                <w:szCs w:val="13"/>
                <w:color w:val="auto"/>
              </w:rPr>
            </w:pPr>
          </w:p>
        </w:tc>
        <w:tc>
          <w:tcPr>
            <w:tcW w:w="9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80" w:type="dxa"/>
            <w:vAlign w:val="bottom"/>
          </w:tcPr>
          <w:p>
            <w:pPr>
              <w:spacing w:after="0" w:line="156" w:lineRule="exact"/>
              <w:rPr>
                <w:sz w:val="20"/>
                <w:szCs w:val="20"/>
                <w:color w:val="auto"/>
              </w:rPr>
            </w:pPr>
            <w:r>
              <w:rPr>
                <w:rFonts w:ascii="Arial" w:cs="Arial" w:eastAsia="Arial" w:hAnsi="Arial"/>
                <w:sz w:val="14"/>
                <w:szCs w:val="14"/>
                <w:color w:val="auto"/>
              </w:rPr>
              <w:t>Acquisitions</w:t>
            </w:r>
          </w:p>
        </w:tc>
        <w:tc>
          <w:tcPr>
            <w:tcW w:w="940" w:type="dxa"/>
            <w:vAlign w:val="bottom"/>
          </w:tcPr>
          <w:p>
            <w:pPr>
              <w:jc w:val="right"/>
              <w:ind w:right="71"/>
              <w:spacing w:after="0" w:line="156"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c>
          <w:tcPr>
            <w:tcW w:w="640" w:type="dxa"/>
            <w:vAlign w:val="bottom"/>
          </w:tcPr>
          <w:p>
            <w:pPr>
              <w:jc w:val="right"/>
              <w:spacing w:after="0" w:line="156" w:lineRule="exact"/>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110"/>
              <w:spacing w:after="0" w:line="156" w:lineRule="exact"/>
              <w:rPr>
                <w:sz w:val="20"/>
                <w:szCs w:val="20"/>
                <w:color w:val="auto"/>
              </w:rPr>
            </w:pPr>
            <w:r>
              <w:rPr>
                <w:rFonts w:ascii="Arial" w:cs="Arial" w:eastAsia="Arial" w:hAnsi="Arial"/>
                <w:sz w:val="14"/>
                <w:szCs w:val="14"/>
                <w:b w:val="1"/>
                <w:bCs w:val="1"/>
                <w:color w:val="auto"/>
              </w:rPr>
              <w:t>230</w:t>
            </w:r>
          </w:p>
        </w:tc>
        <w:tc>
          <w:tcPr>
            <w:tcW w:w="920" w:type="dxa"/>
            <w:vAlign w:val="bottom"/>
          </w:tcPr>
          <w:p>
            <w:pPr>
              <w:jc w:val="right"/>
              <w:ind w:right="11"/>
              <w:spacing w:after="0" w:line="156" w:lineRule="exact"/>
              <w:rPr>
                <w:sz w:val="20"/>
                <w:szCs w:val="20"/>
                <w:color w:val="auto"/>
              </w:rPr>
            </w:pPr>
            <w:r>
              <w:rPr>
                <w:rFonts w:ascii="Arial" w:cs="Arial" w:eastAsia="Arial" w:hAnsi="Arial"/>
                <w:sz w:val="14"/>
                <w:szCs w:val="14"/>
                <w:b w:val="1"/>
                <w:bCs w:val="1"/>
                <w:color w:val="auto"/>
              </w:rPr>
              <w:t>230</w:t>
            </w:r>
          </w:p>
        </w:tc>
        <w:tc>
          <w:tcPr>
            <w:tcW w:w="0" w:type="dxa"/>
            <w:vAlign w:val="bottom"/>
          </w:tcPr>
          <w:p>
            <w:pPr>
              <w:spacing w:after="0"/>
              <w:rPr>
                <w:sz w:val="1"/>
                <w:szCs w:val="1"/>
                <w:color w:val="auto"/>
              </w:rPr>
            </w:pPr>
          </w:p>
        </w:tc>
      </w:tr>
      <w:tr>
        <w:trPr>
          <w:trHeight w:val="156"/>
        </w:trPr>
        <w:tc>
          <w:tcPr>
            <w:tcW w:w="178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4"/>
                <w:szCs w:val="14"/>
                <w:color w:val="auto"/>
              </w:rPr>
              <w:t>Purchase price adjustments</w:t>
            </w:r>
          </w:p>
        </w:tc>
        <w:tc>
          <w:tcPr>
            <w:tcW w:w="940" w:type="dxa"/>
            <w:vAlign w:val="bottom"/>
            <w:tcBorders>
              <w:bottom w:val="single" w:sz="8" w:color="auto"/>
            </w:tcBorders>
            <w:shd w:val="clear" w:color="auto" w:fill="CCEEFF"/>
          </w:tcPr>
          <w:p>
            <w:pPr>
              <w:jc w:val="right"/>
              <w:ind w:right="71"/>
              <w:spacing w:after="0" w:line="156"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shd w:val="clear" w:color="auto" w:fill="CCEEFF"/>
          </w:tcPr>
          <w:p>
            <w:pPr>
              <w:jc w:val="right"/>
              <w:ind w:right="110"/>
              <w:spacing w:after="0" w:line="156" w:lineRule="exact"/>
              <w:rPr>
                <w:sz w:val="20"/>
                <w:szCs w:val="20"/>
                <w:color w:val="auto"/>
              </w:rPr>
            </w:pPr>
            <w:r>
              <w:rPr>
                <w:rFonts w:ascii="Arial" w:cs="Arial" w:eastAsia="Arial" w:hAnsi="Arial"/>
                <w:sz w:val="14"/>
                <w:szCs w:val="14"/>
                <w:b w:val="1"/>
                <w:bCs w:val="1"/>
                <w:color w:val="auto"/>
              </w:rPr>
              <w:t>723</w:t>
            </w:r>
          </w:p>
        </w:tc>
        <w:tc>
          <w:tcPr>
            <w:tcW w:w="920" w:type="dxa"/>
            <w:vAlign w:val="bottom"/>
            <w:tcBorders>
              <w:bottom w:val="single" w:sz="8" w:color="auto"/>
            </w:tcBorders>
            <w:shd w:val="clear" w:color="auto" w:fill="CCEEFF"/>
          </w:tcPr>
          <w:p>
            <w:pPr>
              <w:jc w:val="right"/>
              <w:ind w:right="11"/>
              <w:spacing w:after="0" w:line="156" w:lineRule="exact"/>
              <w:rPr>
                <w:sz w:val="20"/>
                <w:szCs w:val="20"/>
                <w:color w:val="auto"/>
              </w:rPr>
            </w:pPr>
            <w:r>
              <w:rPr>
                <w:rFonts w:ascii="Arial" w:cs="Arial" w:eastAsia="Arial" w:hAnsi="Arial"/>
                <w:sz w:val="14"/>
                <w:szCs w:val="14"/>
                <w:b w:val="1"/>
                <w:bCs w:val="1"/>
                <w:color w:val="auto"/>
              </w:rPr>
              <w:t>723</w:t>
            </w:r>
          </w:p>
        </w:tc>
        <w:tc>
          <w:tcPr>
            <w:tcW w:w="0" w:type="dxa"/>
            <w:vAlign w:val="bottom"/>
          </w:tcPr>
          <w:p>
            <w:pPr>
              <w:spacing w:after="0"/>
              <w:rPr>
                <w:sz w:val="1"/>
                <w:szCs w:val="1"/>
                <w:color w:val="auto"/>
              </w:rPr>
            </w:pPr>
          </w:p>
        </w:tc>
      </w:tr>
      <w:tr>
        <w:trPr>
          <w:trHeight w:val="155"/>
        </w:trPr>
        <w:tc>
          <w:tcPr>
            <w:tcW w:w="178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Balance at end of period</w:t>
            </w:r>
          </w:p>
        </w:tc>
        <w:tc>
          <w:tcPr>
            <w:tcW w:w="940" w:type="dxa"/>
            <w:vAlign w:val="bottom"/>
            <w:tcBorders>
              <w:bottom w:val="single" w:sz="8" w:color="auto"/>
            </w:tcBorders>
          </w:tcPr>
          <w:p>
            <w:pPr>
              <w:jc w:val="right"/>
              <w:ind w:right="71"/>
              <w:spacing w:after="0" w:line="149" w:lineRule="exact"/>
              <w:rPr>
                <w:sz w:val="20"/>
                <w:szCs w:val="20"/>
                <w:color w:val="auto"/>
              </w:rPr>
            </w:pPr>
            <w:r>
              <w:rPr>
                <w:rFonts w:ascii="Arial" w:cs="Arial" w:eastAsia="Arial" w:hAnsi="Arial"/>
                <w:sz w:val="14"/>
                <w:szCs w:val="14"/>
                <w:b w:val="1"/>
                <w:bCs w:val="1"/>
                <w:color w:val="auto"/>
              </w:rPr>
              <w:t>$281,403</w:t>
            </w:r>
          </w:p>
        </w:tc>
        <w:tc>
          <w:tcPr>
            <w:tcW w:w="220" w:type="dxa"/>
            <w:vAlign w:val="bottom"/>
            <w:tcBorders>
              <w:bottom w:val="single" w:sz="8" w:color="auto"/>
            </w:tcBorders>
          </w:tcPr>
          <w:p>
            <w:pPr>
              <w:ind w:left="120"/>
              <w:spacing w:after="0" w:line="149" w:lineRule="exact"/>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50,346</w:t>
            </w:r>
          </w:p>
        </w:tc>
        <w:tc>
          <w:tcPr>
            <w:tcW w:w="1080" w:type="dxa"/>
            <w:vAlign w:val="bottom"/>
            <w:tcBorders>
              <w:bottom w:val="single" w:sz="8" w:color="auto"/>
            </w:tcBorders>
          </w:tcPr>
          <w:p>
            <w:pPr>
              <w:jc w:val="right"/>
              <w:ind w:right="110"/>
              <w:spacing w:after="0" w:line="149" w:lineRule="exact"/>
              <w:rPr>
                <w:sz w:val="20"/>
                <w:szCs w:val="20"/>
                <w:color w:val="auto"/>
              </w:rPr>
            </w:pPr>
            <w:r>
              <w:rPr>
                <w:rFonts w:ascii="Arial" w:cs="Arial" w:eastAsia="Arial" w:hAnsi="Arial"/>
                <w:sz w:val="14"/>
                <w:szCs w:val="14"/>
                <w:b w:val="1"/>
                <w:bCs w:val="1"/>
                <w:color w:val="auto"/>
              </w:rPr>
              <w:t>$1,828,541</w:t>
            </w:r>
          </w:p>
        </w:tc>
        <w:tc>
          <w:tcPr>
            <w:tcW w:w="920" w:type="dxa"/>
            <w:vAlign w:val="bottom"/>
            <w:tcBorders>
              <w:bottom w:val="single" w:sz="8" w:color="auto"/>
            </w:tcBorders>
          </w:tcPr>
          <w:p>
            <w:pPr>
              <w:jc w:val="right"/>
              <w:ind w:right="11"/>
              <w:spacing w:after="0" w:line="149" w:lineRule="exact"/>
              <w:rPr>
                <w:sz w:val="20"/>
                <w:szCs w:val="20"/>
                <w:color w:val="auto"/>
              </w:rPr>
            </w:pPr>
            <w:r>
              <w:rPr>
                <w:rFonts w:ascii="Arial" w:cs="Arial" w:eastAsia="Arial" w:hAnsi="Arial"/>
                <w:sz w:val="14"/>
                <w:szCs w:val="14"/>
                <w:b w:val="1"/>
                <w:bCs w:val="1"/>
                <w:color w:val="auto"/>
              </w:rPr>
              <w:t>$2,160,290</w:t>
            </w:r>
          </w:p>
        </w:tc>
        <w:tc>
          <w:tcPr>
            <w:tcW w:w="0" w:type="dxa"/>
            <w:vAlign w:val="bottom"/>
          </w:tcPr>
          <w:p>
            <w:pPr>
              <w:spacing w:after="0"/>
              <w:rPr>
                <w:sz w:val="1"/>
                <w:szCs w:val="1"/>
                <w:color w:val="auto"/>
              </w:rPr>
            </w:pPr>
          </w:p>
        </w:tc>
      </w:tr>
      <w:tr>
        <w:trPr>
          <w:trHeight w:val="247"/>
        </w:trPr>
        <w:tc>
          <w:tcPr>
            <w:tcW w:w="17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650"/>
              <w:spacing w:after="0"/>
              <w:rPr>
                <w:sz w:val="20"/>
                <w:szCs w:val="20"/>
                <w:color w:val="auto"/>
              </w:rPr>
            </w:pPr>
            <w:r>
              <w:rPr>
                <w:rFonts w:ascii="Arial" w:cs="Arial" w:eastAsia="Arial" w:hAnsi="Arial"/>
                <w:sz w:val="15"/>
                <w:szCs w:val="15"/>
                <w:color w:val="auto"/>
              </w:rPr>
              <w:t>2016</w:t>
            </w:r>
          </w:p>
        </w:tc>
        <w:tc>
          <w:tcPr>
            <w:tcW w:w="9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178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Balance at beginning of</w:t>
            </w:r>
          </w:p>
        </w:tc>
        <w:tc>
          <w:tcPr>
            <w:tcW w:w="9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780" w:type="dxa"/>
            <w:vAlign w:val="bottom"/>
            <w:shd w:val="clear" w:color="auto" w:fill="CCEEFF"/>
          </w:tcPr>
          <w:p>
            <w:pPr>
              <w:ind w:left="120"/>
              <w:spacing w:after="0" w:line="151" w:lineRule="exact"/>
              <w:rPr>
                <w:sz w:val="20"/>
                <w:szCs w:val="20"/>
                <w:color w:val="auto"/>
              </w:rPr>
            </w:pPr>
            <w:r>
              <w:rPr>
                <w:rFonts w:ascii="Arial" w:cs="Arial" w:eastAsia="Arial" w:hAnsi="Arial"/>
                <w:sz w:val="14"/>
                <w:szCs w:val="14"/>
                <w:color w:val="auto"/>
              </w:rPr>
              <w:t>period</w:t>
            </w:r>
          </w:p>
        </w:tc>
        <w:tc>
          <w:tcPr>
            <w:tcW w:w="940" w:type="dxa"/>
            <w:vAlign w:val="bottom"/>
            <w:shd w:val="clear" w:color="auto" w:fill="CCEEFF"/>
          </w:tcPr>
          <w:p>
            <w:pPr>
              <w:jc w:val="right"/>
              <w:ind w:right="71"/>
              <w:spacing w:after="0" w:line="151" w:lineRule="exact"/>
              <w:rPr>
                <w:sz w:val="20"/>
                <w:szCs w:val="20"/>
                <w:color w:val="auto"/>
              </w:rPr>
            </w:pPr>
            <w:r>
              <w:rPr>
                <w:rFonts w:ascii="Arial" w:cs="Arial" w:eastAsia="Arial" w:hAnsi="Arial"/>
                <w:sz w:val="14"/>
                <w:szCs w:val="14"/>
                <w:color w:val="auto"/>
              </w:rPr>
              <w:t>$281,403</w:t>
            </w:r>
          </w:p>
        </w:tc>
        <w:tc>
          <w:tcPr>
            <w:tcW w:w="220" w:type="dxa"/>
            <w:vAlign w:val="bottom"/>
            <w:shd w:val="clear" w:color="auto" w:fill="CCEEFF"/>
          </w:tcPr>
          <w:p>
            <w:pPr>
              <w:ind w:left="120"/>
              <w:spacing w:after="0" w:line="151"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50,346</w:t>
            </w:r>
          </w:p>
        </w:tc>
        <w:tc>
          <w:tcPr>
            <w:tcW w:w="1080" w:type="dxa"/>
            <w:vAlign w:val="bottom"/>
            <w:shd w:val="clear" w:color="auto" w:fill="CCEEFF"/>
          </w:tcPr>
          <w:p>
            <w:pPr>
              <w:jc w:val="right"/>
              <w:ind w:right="110"/>
              <w:spacing w:after="0" w:line="151" w:lineRule="exact"/>
              <w:rPr>
                <w:sz w:val="20"/>
                <w:szCs w:val="20"/>
                <w:color w:val="auto"/>
              </w:rPr>
            </w:pPr>
            <w:r>
              <w:rPr>
                <w:rFonts w:ascii="Arial" w:cs="Arial" w:eastAsia="Arial" w:hAnsi="Arial"/>
                <w:sz w:val="14"/>
                <w:szCs w:val="14"/>
                <w:color w:val="auto"/>
              </w:rPr>
              <w:t>$1,736,486</w:t>
            </w:r>
          </w:p>
        </w:tc>
        <w:tc>
          <w:tcPr>
            <w:tcW w:w="920" w:type="dxa"/>
            <w:vAlign w:val="bottom"/>
            <w:shd w:val="clear" w:color="auto" w:fill="CCEEFF"/>
          </w:tcPr>
          <w:p>
            <w:pPr>
              <w:jc w:val="right"/>
              <w:ind w:right="11"/>
              <w:spacing w:after="0" w:line="151" w:lineRule="exact"/>
              <w:rPr>
                <w:sz w:val="20"/>
                <w:szCs w:val="20"/>
                <w:color w:val="auto"/>
              </w:rPr>
            </w:pPr>
            <w:r>
              <w:rPr>
                <w:rFonts w:ascii="Arial" w:cs="Arial" w:eastAsia="Arial" w:hAnsi="Arial"/>
                <w:sz w:val="14"/>
                <w:szCs w:val="14"/>
                <w:color w:val="auto"/>
              </w:rPr>
              <w:t>$2,068,235</w:t>
            </w:r>
          </w:p>
        </w:tc>
        <w:tc>
          <w:tcPr>
            <w:tcW w:w="0" w:type="dxa"/>
            <w:vAlign w:val="bottom"/>
          </w:tcPr>
          <w:p>
            <w:pPr>
              <w:spacing w:after="0"/>
              <w:rPr>
                <w:sz w:val="1"/>
                <w:szCs w:val="1"/>
                <w:color w:val="auto"/>
              </w:rPr>
            </w:pPr>
          </w:p>
        </w:tc>
      </w:tr>
      <w:tr>
        <w:trPr>
          <w:trHeight w:val="156"/>
        </w:trPr>
        <w:tc>
          <w:tcPr>
            <w:tcW w:w="1780" w:type="dxa"/>
            <w:vAlign w:val="bottom"/>
          </w:tcPr>
          <w:p>
            <w:pPr>
              <w:spacing w:after="0" w:line="156" w:lineRule="exact"/>
              <w:rPr>
                <w:sz w:val="20"/>
                <w:szCs w:val="20"/>
                <w:color w:val="auto"/>
              </w:rPr>
            </w:pPr>
            <w:r>
              <w:rPr>
                <w:rFonts w:ascii="Arial" w:cs="Arial" w:eastAsia="Arial" w:hAnsi="Arial"/>
                <w:sz w:val="14"/>
                <w:szCs w:val="14"/>
                <w:color w:val="auto"/>
              </w:rPr>
              <w:t>Acquisitions</w:t>
            </w:r>
          </w:p>
        </w:tc>
        <w:tc>
          <w:tcPr>
            <w:tcW w:w="940" w:type="dxa"/>
            <w:vAlign w:val="bottom"/>
          </w:tcPr>
          <w:p>
            <w:pPr>
              <w:jc w:val="right"/>
              <w:ind w:right="71"/>
              <w:spacing w:after="0" w:line="156"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64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1080" w:type="dxa"/>
            <w:vAlign w:val="bottom"/>
          </w:tcPr>
          <w:p>
            <w:pPr>
              <w:jc w:val="right"/>
              <w:ind w:right="110"/>
              <w:spacing w:after="0" w:line="156" w:lineRule="exact"/>
              <w:rPr>
                <w:sz w:val="20"/>
                <w:szCs w:val="20"/>
                <w:color w:val="auto"/>
              </w:rPr>
            </w:pPr>
            <w:r>
              <w:rPr>
                <w:rFonts w:ascii="Arial" w:cs="Arial" w:eastAsia="Arial" w:hAnsi="Arial"/>
                <w:sz w:val="14"/>
                <w:szCs w:val="14"/>
                <w:color w:val="auto"/>
              </w:rPr>
              <w:t>91,174</w:t>
            </w:r>
          </w:p>
        </w:tc>
        <w:tc>
          <w:tcPr>
            <w:tcW w:w="920" w:type="dxa"/>
            <w:vAlign w:val="bottom"/>
          </w:tcPr>
          <w:p>
            <w:pPr>
              <w:jc w:val="right"/>
              <w:ind w:right="11"/>
              <w:spacing w:after="0" w:line="156" w:lineRule="exact"/>
              <w:rPr>
                <w:sz w:val="20"/>
                <w:szCs w:val="20"/>
                <w:color w:val="auto"/>
              </w:rPr>
            </w:pPr>
            <w:r>
              <w:rPr>
                <w:rFonts w:ascii="Arial" w:cs="Arial" w:eastAsia="Arial" w:hAnsi="Arial"/>
                <w:sz w:val="14"/>
                <w:szCs w:val="14"/>
                <w:color w:val="auto"/>
              </w:rPr>
              <w:t>91,174</w:t>
            </w:r>
          </w:p>
        </w:tc>
        <w:tc>
          <w:tcPr>
            <w:tcW w:w="0" w:type="dxa"/>
            <w:vAlign w:val="bottom"/>
          </w:tcPr>
          <w:p>
            <w:pPr>
              <w:spacing w:after="0"/>
              <w:rPr>
                <w:sz w:val="1"/>
                <w:szCs w:val="1"/>
                <w:color w:val="auto"/>
              </w:rPr>
            </w:pPr>
          </w:p>
        </w:tc>
      </w:tr>
      <w:tr>
        <w:trPr>
          <w:trHeight w:val="156"/>
        </w:trPr>
        <w:tc>
          <w:tcPr>
            <w:tcW w:w="178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4"/>
                <w:szCs w:val="14"/>
                <w:color w:val="auto"/>
              </w:rPr>
              <w:t>Divestitures</w:t>
            </w:r>
          </w:p>
        </w:tc>
        <w:tc>
          <w:tcPr>
            <w:tcW w:w="940" w:type="dxa"/>
            <w:vAlign w:val="bottom"/>
            <w:tcBorders>
              <w:bottom w:val="single" w:sz="8" w:color="auto"/>
            </w:tcBorders>
            <w:shd w:val="clear" w:color="auto" w:fill="CCEEFF"/>
          </w:tcPr>
          <w:p>
            <w:pPr>
              <w:jc w:val="right"/>
              <w:ind w:right="71"/>
              <w:spacing w:after="0" w:line="156"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70"/>
              <w:spacing w:after="0" w:line="156" w:lineRule="exact"/>
              <w:rPr>
                <w:sz w:val="20"/>
                <w:szCs w:val="20"/>
                <w:color w:val="auto"/>
              </w:rPr>
            </w:pPr>
            <w:r>
              <w:rPr>
                <w:rFonts w:ascii="Arial" w:cs="Arial" w:eastAsia="Arial" w:hAnsi="Arial"/>
                <w:sz w:val="14"/>
                <w:szCs w:val="14"/>
                <w:color w:val="auto"/>
              </w:rPr>
              <w:t>(72)</w:t>
            </w:r>
          </w:p>
        </w:tc>
        <w:tc>
          <w:tcPr>
            <w:tcW w:w="92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55"/>
        </w:trPr>
        <w:tc>
          <w:tcPr>
            <w:tcW w:w="178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Balance at end of period</w:t>
            </w:r>
          </w:p>
        </w:tc>
        <w:tc>
          <w:tcPr>
            <w:tcW w:w="940" w:type="dxa"/>
            <w:vAlign w:val="bottom"/>
            <w:tcBorders>
              <w:bottom w:val="single" w:sz="8" w:color="auto"/>
            </w:tcBorders>
          </w:tcPr>
          <w:p>
            <w:pPr>
              <w:jc w:val="right"/>
              <w:ind w:right="71"/>
              <w:spacing w:after="0" w:line="149" w:lineRule="exact"/>
              <w:rPr>
                <w:sz w:val="20"/>
                <w:szCs w:val="20"/>
                <w:color w:val="auto"/>
              </w:rPr>
            </w:pPr>
            <w:r>
              <w:rPr>
                <w:rFonts w:ascii="Arial" w:cs="Arial" w:eastAsia="Arial" w:hAnsi="Arial"/>
                <w:sz w:val="14"/>
                <w:szCs w:val="14"/>
                <w:color w:val="auto"/>
              </w:rPr>
              <w:t>$281,403</w:t>
            </w:r>
          </w:p>
        </w:tc>
        <w:tc>
          <w:tcPr>
            <w:tcW w:w="220" w:type="dxa"/>
            <w:vAlign w:val="bottom"/>
            <w:tcBorders>
              <w:bottom w:val="single" w:sz="8" w:color="auto"/>
            </w:tcBorders>
          </w:tcPr>
          <w:p>
            <w:pPr>
              <w:ind w:left="120"/>
              <w:spacing w:after="0" w:line="149"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50,346</w:t>
            </w:r>
          </w:p>
        </w:tc>
        <w:tc>
          <w:tcPr>
            <w:tcW w:w="1080" w:type="dxa"/>
            <w:vAlign w:val="bottom"/>
            <w:tcBorders>
              <w:bottom w:val="single" w:sz="8" w:color="auto"/>
            </w:tcBorders>
          </w:tcPr>
          <w:p>
            <w:pPr>
              <w:jc w:val="right"/>
              <w:ind w:right="110"/>
              <w:spacing w:after="0" w:line="149" w:lineRule="exact"/>
              <w:rPr>
                <w:sz w:val="20"/>
                <w:szCs w:val="20"/>
                <w:color w:val="auto"/>
              </w:rPr>
            </w:pPr>
            <w:r>
              <w:rPr>
                <w:rFonts w:ascii="Arial" w:cs="Arial" w:eastAsia="Arial" w:hAnsi="Arial"/>
                <w:sz w:val="14"/>
                <w:szCs w:val="14"/>
                <w:color w:val="auto"/>
              </w:rPr>
              <w:t>$1,827,588</w:t>
            </w:r>
          </w:p>
        </w:tc>
        <w:tc>
          <w:tcPr>
            <w:tcW w:w="920" w:type="dxa"/>
            <w:vAlign w:val="bottom"/>
            <w:tcBorders>
              <w:bottom w:val="single" w:sz="8" w:color="auto"/>
            </w:tcBorders>
          </w:tcPr>
          <w:p>
            <w:pPr>
              <w:jc w:val="right"/>
              <w:ind w:right="11"/>
              <w:spacing w:after="0" w:line="149" w:lineRule="exact"/>
              <w:rPr>
                <w:sz w:val="20"/>
                <w:szCs w:val="20"/>
                <w:color w:val="auto"/>
              </w:rPr>
            </w:pPr>
            <w:r>
              <w:rPr>
                <w:rFonts w:ascii="Arial" w:cs="Arial" w:eastAsia="Arial" w:hAnsi="Arial"/>
                <w:sz w:val="14"/>
                <w:szCs w:val="14"/>
                <w:color w:val="auto"/>
              </w:rPr>
              <w:t>$2,159,337</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Intangible assets subject to amortization consist of the following:</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jc w:val="right"/>
              <w:ind w:right="271"/>
              <w:spacing w:after="0"/>
              <w:rPr>
                <w:sz w:val="20"/>
                <w:szCs w:val="20"/>
                <w:color w:val="auto"/>
              </w:rPr>
            </w:pPr>
            <w:r>
              <w:rPr>
                <w:rFonts w:ascii="Arial" w:cs="Arial" w:eastAsia="Arial" w:hAnsi="Arial"/>
                <w:sz w:val="14"/>
                <w:szCs w:val="14"/>
                <w:b w:val="1"/>
                <w:bCs w:val="1"/>
                <w:color w:val="auto"/>
                <w:w w:val="98"/>
              </w:rPr>
              <w:t>Gross</w:t>
            </w: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Accumulated</w:t>
            </w:r>
          </w:p>
        </w:tc>
        <w:tc>
          <w:tcPr>
            <w:tcW w:w="300" w:type="dxa"/>
            <w:vAlign w:val="bottom"/>
          </w:tcPr>
          <w:p>
            <w:pPr>
              <w:spacing w:after="0"/>
              <w:rPr>
                <w:sz w:val="14"/>
                <w:szCs w:val="14"/>
                <w:color w:val="auto"/>
              </w:rPr>
            </w:pPr>
          </w:p>
        </w:tc>
        <w:tc>
          <w:tcPr>
            <w:tcW w:w="600" w:type="dxa"/>
            <w:vAlign w:val="bottom"/>
          </w:tcPr>
          <w:p>
            <w:pPr>
              <w:jc w:val="right"/>
              <w:ind w:right="191"/>
              <w:spacing w:after="0"/>
              <w:rPr>
                <w:sz w:val="20"/>
                <w:szCs w:val="20"/>
                <w:color w:val="auto"/>
              </w:rPr>
            </w:pPr>
            <w:r>
              <w:rPr>
                <w:rFonts w:ascii="Arial" w:cs="Arial" w:eastAsia="Arial" w:hAnsi="Arial"/>
                <w:sz w:val="14"/>
                <w:szCs w:val="14"/>
                <w:b w:val="1"/>
                <w:bCs w:val="1"/>
                <w:color w:val="auto"/>
              </w:rPr>
              <w:t>Net</w:t>
            </w:r>
          </w:p>
        </w:tc>
      </w:tr>
      <w:tr>
        <w:trPr>
          <w:trHeight w:val="167"/>
        </w:trPr>
        <w:tc>
          <w:tcPr>
            <w:tcW w:w="2140" w:type="dxa"/>
            <w:vAlign w:val="bottom"/>
          </w:tcPr>
          <w:p>
            <w:pPr>
              <w:spacing w:after="0"/>
              <w:rPr>
                <w:sz w:val="20"/>
                <w:szCs w:val="20"/>
                <w:color w:val="auto"/>
              </w:rPr>
            </w:pPr>
            <w:r>
              <w:rPr>
                <w:rFonts w:ascii="Arial" w:cs="Arial" w:eastAsia="Arial" w:hAnsi="Arial"/>
                <w:sz w:val="14"/>
                <w:szCs w:val="14"/>
                <w:i w:val="1"/>
                <w:iCs w:val="1"/>
                <w:color w:val="auto"/>
              </w:rPr>
              <w:t>December 31</w:t>
            </w:r>
          </w:p>
        </w:tc>
        <w:tc>
          <w:tcPr>
            <w:tcW w:w="1240" w:type="dxa"/>
            <w:vAlign w:val="bottom"/>
            <w:tcBorders>
              <w:bottom w:val="single" w:sz="8" w:color="auto"/>
            </w:tcBorders>
            <w:gridSpan w:val="2"/>
          </w:tcPr>
          <w:p>
            <w:pPr>
              <w:jc w:val="right"/>
              <w:ind w:right="211"/>
              <w:spacing w:after="0"/>
              <w:rPr>
                <w:sz w:val="20"/>
                <w:szCs w:val="20"/>
                <w:color w:val="auto"/>
              </w:rPr>
            </w:pPr>
            <w:r>
              <w:rPr>
                <w:rFonts w:ascii="Arial" w:cs="Arial" w:eastAsia="Arial" w:hAnsi="Arial"/>
                <w:sz w:val="14"/>
                <w:szCs w:val="14"/>
                <w:b w:val="1"/>
                <w:bCs w:val="1"/>
                <w:color w:val="auto"/>
              </w:rPr>
              <w:t>Amount</w:t>
            </w:r>
          </w:p>
        </w:tc>
        <w:tc>
          <w:tcPr>
            <w:tcW w:w="130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Amortization</w:t>
            </w:r>
          </w:p>
        </w:tc>
        <w:tc>
          <w:tcPr>
            <w:tcW w:w="900" w:type="dxa"/>
            <w:vAlign w:val="bottom"/>
            <w:tcBorders>
              <w:bottom w:val="single" w:sz="8" w:color="auto"/>
            </w:tcBorders>
            <w:gridSpan w:val="2"/>
          </w:tcPr>
          <w:p>
            <w:pPr>
              <w:jc w:val="right"/>
              <w:ind w:right="51"/>
              <w:spacing w:after="0"/>
              <w:rPr>
                <w:sz w:val="20"/>
                <w:szCs w:val="20"/>
                <w:color w:val="auto"/>
              </w:rPr>
            </w:pPr>
            <w:r>
              <w:rPr>
                <w:rFonts w:ascii="Arial" w:cs="Arial" w:eastAsia="Arial" w:hAnsi="Arial"/>
                <w:sz w:val="14"/>
                <w:szCs w:val="14"/>
                <w:b w:val="1"/>
                <w:bCs w:val="1"/>
                <w:color w:val="auto"/>
              </w:rPr>
              <w:t>Balance</w:t>
            </w:r>
          </w:p>
        </w:tc>
      </w:tr>
      <w:tr>
        <w:trPr>
          <w:trHeight w:val="149"/>
        </w:trPr>
        <w:tc>
          <w:tcPr>
            <w:tcW w:w="214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(add 000)</w:t>
            </w:r>
          </w:p>
        </w:tc>
        <w:tc>
          <w:tcPr>
            <w:tcW w:w="4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90"/>
              <w:spacing w:after="0" w:line="149" w:lineRule="exact"/>
              <w:rPr>
                <w:sz w:val="20"/>
                <w:szCs w:val="20"/>
                <w:color w:val="auto"/>
              </w:rPr>
            </w:pPr>
            <w:r>
              <w:rPr>
                <w:rFonts w:ascii="Arial" w:cs="Arial" w:eastAsia="Arial" w:hAnsi="Arial"/>
                <w:sz w:val="15"/>
                <w:szCs w:val="15"/>
                <w:b w:val="1"/>
                <w:bCs w:val="1"/>
                <w:color w:val="0085CD"/>
              </w:rPr>
              <w:t>2017</w:t>
            </w:r>
          </w:p>
        </w:tc>
        <w:tc>
          <w:tcPr>
            <w:tcW w:w="3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r>
      <w:tr>
        <w:trPr>
          <w:trHeight w:val="149"/>
        </w:trPr>
        <w:tc>
          <w:tcPr>
            <w:tcW w:w="2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Noncompetition agreements</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ind w:right="151"/>
              <w:spacing w:after="0" w:line="149" w:lineRule="exact"/>
              <w:rPr>
                <w:sz w:val="20"/>
                <w:szCs w:val="20"/>
                <w:color w:val="auto"/>
              </w:rPr>
            </w:pPr>
            <w:r>
              <w:rPr>
                <w:rFonts w:ascii="Arial" w:cs="Arial" w:eastAsia="Arial" w:hAnsi="Arial"/>
                <w:sz w:val="14"/>
                <w:szCs w:val="14"/>
                <w:b w:val="1"/>
                <w:bCs w:val="1"/>
                <w:color w:val="auto"/>
              </w:rPr>
              <w:t>6,274</w:t>
            </w:r>
          </w:p>
        </w:tc>
        <w:tc>
          <w:tcPr>
            <w:tcW w:w="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ind w:right="110"/>
              <w:spacing w:after="0" w:line="149" w:lineRule="exact"/>
              <w:rPr>
                <w:sz w:val="20"/>
                <w:szCs w:val="20"/>
                <w:color w:val="auto"/>
              </w:rPr>
            </w:pPr>
            <w:r>
              <w:rPr>
                <w:rFonts w:ascii="Arial" w:cs="Arial" w:eastAsia="Arial" w:hAnsi="Arial"/>
                <w:sz w:val="14"/>
                <w:szCs w:val="14"/>
                <w:b w:val="1"/>
                <w:bCs w:val="1"/>
                <w:color w:val="auto"/>
              </w:rPr>
              <w:t>(6,144)</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130</w:t>
            </w:r>
          </w:p>
        </w:tc>
      </w:tr>
      <w:tr>
        <w:trPr>
          <w:trHeight w:val="156"/>
        </w:trPr>
        <w:tc>
          <w:tcPr>
            <w:tcW w:w="2140" w:type="dxa"/>
            <w:vAlign w:val="bottom"/>
          </w:tcPr>
          <w:p>
            <w:pPr>
              <w:spacing w:after="0" w:line="156" w:lineRule="exact"/>
              <w:rPr>
                <w:sz w:val="20"/>
                <w:szCs w:val="20"/>
                <w:color w:val="auto"/>
              </w:rPr>
            </w:pPr>
            <w:r>
              <w:rPr>
                <w:rFonts w:ascii="Arial" w:cs="Arial" w:eastAsia="Arial" w:hAnsi="Arial"/>
                <w:sz w:val="14"/>
                <w:szCs w:val="14"/>
                <w:color w:val="auto"/>
              </w:rPr>
              <w:t>Customer relationships</w:t>
            </w:r>
          </w:p>
        </w:tc>
        <w:tc>
          <w:tcPr>
            <w:tcW w:w="480" w:type="dxa"/>
            <w:vAlign w:val="bottom"/>
          </w:tcPr>
          <w:p>
            <w:pPr>
              <w:spacing w:after="0"/>
              <w:rPr>
                <w:sz w:val="13"/>
                <w:szCs w:val="13"/>
                <w:color w:val="auto"/>
              </w:rPr>
            </w:pPr>
          </w:p>
        </w:tc>
        <w:tc>
          <w:tcPr>
            <w:tcW w:w="760" w:type="dxa"/>
            <w:vAlign w:val="bottom"/>
          </w:tcPr>
          <w:p>
            <w:pPr>
              <w:jc w:val="right"/>
              <w:ind w:right="151"/>
              <w:spacing w:after="0" w:line="156" w:lineRule="exact"/>
              <w:rPr>
                <w:sz w:val="20"/>
                <w:szCs w:val="20"/>
                <w:color w:val="auto"/>
              </w:rPr>
            </w:pPr>
            <w:r>
              <w:rPr>
                <w:rFonts w:ascii="Arial" w:cs="Arial" w:eastAsia="Arial" w:hAnsi="Arial"/>
                <w:sz w:val="14"/>
                <w:szCs w:val="14"/>
                <w:b w:val="1"/>
                <w:bCs w:val="1"/>
                <w:color w:val="auto"/>
              </w:rPr>
              <w:t>45,755</w:t>
            </w:r>
          </w:p>
        </w:tc>
        <w:tc>
          <w:tcPr>
            <w:tcW w:w="400" w:type="dxa"/>
            <w:vAlign w:val="bottom"/>
          </w:tcPr>
          <w:p>
            <w:pPr>
              <w:spacing w:after="0"/>
              <w:rPr>
                <w:sz w:val="13"/>
                <w:szCs w:val="13"/>
                <w:color w:val="auto"/>
              </w:rPr>
            </w:pPr>
          </w:p>
        </w:tc>
        <w:tc>
          <w:tcPr>
            <w:tcW w:w="900" w:type="dxa"/>
            <w:vAlign w:val="bottom"/>
          </w:tcPr>
          <w:p>
            <w:pPr>
              <w:jc w:val="right"/>
              <w:ind w:right="110"/>
              <w:spacing w:after="0" w:line="156" w:lineRule="exact"/>
              <w:rPr>
                <w:sz w:val="20"/>
                <w:szCs w:val="20"/>
                <w:color w:val="auto"/>
              </w:rPr>
            </w:pPr>
            <w:r>
              <w:rPr>
                <w:rFonts w:ascii="Arial" w:cs="Arial" w:eastAsia="Arial" w:hAnsi="Arial"/>
                <w:sz w:val="14"/>
                <w:szCs w:val="14"/>
                <w:b w:val="1"/>
                <w:bCs w:val="1"/>
                <w:color w:val="auto"/>
              </w:rPr>
              <w:t>(17,351)</w:t>
            </w:r>
          </w:p>
        </w:tc>
        <w:tc>
          <w:tcPr>
            <w:tcW w:w="300" w:type="dxa"/>
            <w:vAlign w:val="bottom"/>
          </w:tcPr>
          <w:p>
            <w:pPr>
              <w:spacing w:after="0"/>
              <w:rPr>
                <w:sz w:val="13"/>
                <w:szCs w:val="13"/>
                <w:color w:val="auto"/>
              </w:rPr>
            </w:pPr>
          </w:p>
        </w:tc>
        <w:tc>
          <w:tcPr>
            <w:tcW w:w="600" w:type="dxa"/>
            <w:vAlign w:val="bottom"/>
          </w:tcPr>
          <w:p>
            <w:pPr>
              <w:jc w:val="right"/>
              <w:spacing w:after="0" w:line="156" w:lineRule="exact"/>
              <w:rPr>
                <w:sz w:val="20"/>
                <w:szCs w:val="20"/>
                <w:color w:val="auto"/>
              </w:rPr>
            </w:pPr>
            <w:r>
              <w:rPr>
                <w:rFonts w:ascii="Arial" w:cs="Arial" w:eastAsia="Arial" w:hAnsi="Arial"/>
                <w:sz w:val="14"/>
                <w:szCs w:val="14"/>
                <w:b w:val="1"/>
                <w:bCs w:val="1"/>
                <w:color w:val="auto"/>
              </w:rPr>
              <w:t>28,404</w:t>
            </w:r>
          </w:p>
        </w:tc>
      </w:tr>
      <w:tr>
        <w:trPr>
          <w:trHeight w:val="156"/>
        </w:trPr>
        <w:tc>
          <w:tcPr>
            <w:tcW w:w="214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Operating permits</w:t>
            </w:r>
          </w:p>
        </w:tc>
        <w:tc>
          <w:tcPr>
            <w:tcW w:w="48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51"/>
              <w:spacing w:after="0" w:line="156" w:lineRule="exact"/>
              <w:rPr>
                <w:sz w:val="20"/>
                <w:szCs w:val="20"/>
                <w:color w:val="auto"/>
              </w:rPr>
            </w:pPr>
            <w:r>
              <w:rPr>
                <w:rFonts w:ascii="Arial" w:cs="Arial" w:eastAsia="Arial" w:hAnsi="Arial"/>
                <w:sz w:val="14"/>
                <w:szCs w:val="14"/>
                <w:b w:val="1"/>
                <w:bCs w:val="1"/>
                <w:color w:val="auto"/>
              </w:rPr>
              <w:t>458,952</w:t>
            </w:r>
          </w:p>
        </w:tc>
        <w:tc>
          <w:tcPr>
            <w:tcW w:w="40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110"/>
              <w:spacing w:after="0" w:line="156" w:lineRule="exact"/>
              <w:rPr>
                <w:sz w:val="20"/>
                <w:szCs w:val="20"/>
                <w:color w:val="auto"/>
              </w:rPr>
            </w:pPr>
            <w:r>
              <w:rPr>
                <w:rFonts w:ascii="Arial" w:cs="Arial" w:eastAsia="Arial" w:hAnsi="Arial"/>
                <w:sz w:val="14"/>
                <w:szCs w:val="14"/>
                <w:b w:val="1"/>
                <w:bCs w:val="1"/>
                <w:color w:val="auto"/>
              </w:rPr>
              <w:t>(26,436)</w:t>
            </w:r>
          </w:p>
        </w:tc>
        <w:tc>
          <w:tcPr>
            <w:tcW w:w="3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b w:val="1"/>
                <w:bCs w:val="1"/>
                <w:color w:val="auto"/>
              </w:rPr>
              <w:t>432,516</w:t>
            </w:r>
          </w:p>
        </w:tc>
      </w:tr>
      <w:tr>
        <w:trPr>
          <w:trHeight w:val="156"/>
        </w:trPr>
        <w:tc>
          <w:tcPr>
            <w:tcW w:w="2140" w:type="dxa"/>
            <w:vAlign w:val="bottom"/>
          </w:tcPr>
          <w:p>
            <w:pPr>
              <w:spacing w:after="0" w:line="156" w:lineRule="exact"/>
              <w:rPr>
                <w:sz w:val="20"/>
                <w:szCs w:val="20"/>
                <w:color w:val="auto"/>
              </w:rPr>
            </w:pPr>
            <w:r>
              <w:rPr>
                <w:rFonts w:ascii="Arial" w:cs="Arial" w:eastAsia="Arial" w:hAnsi="Arial"/>
                <w:sz w:val="14"/>
                <w:szCs w:val="14"/>
                <w:color w:val="auto"/>
              </w:rPr>
              <w:t>Use rights and other</w:t>
            </w:r>
          </w:p>
        </w:tc>
        <w:tc>
          <w:tcPr>
            <w:tcW w:w="480" w:type="dxa"/>
            <w:vAlign w:val="bottom"/>
          </w:tcPr>
          <w:p>
            <w:pPr>
              <w:spacing w:after="0"/>
              <w:rPr>
                <w:sz w:val="13"/>
                <w:szCs w:val="13"/>
                <w:color w:val="auto"/>
              </w:rPr>
            </w:pPr>
          </w:p>
        </w:tc>
        <w:tc>
          <w:tcPr>
            <w:tcW w:w="760" w:type="dxa"/>
            <w:vAlign w:val="bottom"/>
          </w:tcPr>
          <w:p>
            <w:pPr>
              <w:jc w:val="right"/>
              <w:ind w:right="151"/>
              <w:spacing w:after="0" w:line="156" w:lineRule="exact"/>
              <w:rPr>
                <w:sz w:val="20"/>
                <w:szCs w:val="20"/>
                <w:color w:val="auto"/>
              </w:rPr>
            </w:pPr>
            <w:r>
              <w:rPr>
                <w:rFonts w:ascii="Arial" w:cs="Arial" w:eastAsia="Arial" w:hAnsi="Arial"/>
                <w:sz w:val="14"/>
                <w:szCs w:val="14"/>
                <w:b w:val="1"/>
                <w:bCs w:val="1"/>
                <w:color w:val="auto"/>
              </w:rPr>
              <w:t>16,946</w:t>
            </w:r>
          </w:p>
        </w:tc>
        <w:tc>
          <w:tcPr>
            <w:tcW w:w="400" w:type="dxa"/>
            <w:vAlign w:val="bottom"/>
          </w:tcPr>
          <w:p>
            <w:pPr>
              <w:spacing w:after="0"/>
              <w:rPr>
                <w:sz w:val="13"/>
                <w:szCs w:val="13"/>
                <w:color w:val="auto"/>
              </w:rPr>
            </w:pPr>
          </w:p>
        </w:tc>
        <w:tc>
          <w:tcPr>
            <w:tcW w:w="900" w:type="dxa"/>
            <w:vAlign w:val="bottom"/>
          </w:tcPr>
          <w:p>
            <w:pPr>
              <w:jc w:val="right"/>
              <w:ind w:right="110"/>
              <w:spacing w:after="0" w:line="156" w:lineRule="exact"/>
              <w:rPr>
                <w:sz w:val="20"/>
                <w:szCs w:val="20"/>
                <w:color w:val="auto"/>
              </w:rPr>
            </w:pPr>
            <w:r>
              <w:rPr>
                <w:rFonts w:ascii="Arial" w:cs="Arial" w:eastAsia="Arial" w:hAnsi="Arial"/>
                <w:sz w:val="14"/>
                <w:szCs w:val="14"/>
                <w:b w:val="1"/>
                <w:bCs w:val="1"/>
                <w:color w:val="auto"/>
              </w:rPr>
              <w:t>(10,377)</w:t>
            </w:r>
          </w:p>
        </w:tc>
        <w:tc>
          <w:tcPr>
            <w:tcW w:w="300" w:type="dxa"/>
            <w:vAlign w:val="bottom"/>
          </w:tcPr>
          <w:p>
            <w:pPr>
              <w:spacing w:after="0"/>
              <w:rPr>
                <w:sz w:val="13"/>
                <w:szCs w:val="13"/>
                <w:color w:val="auto"/>
              </w:rPr>
            </w:pPr>
          </w:p>
        </w:tc>
        <w:tc>
          <w:tcPr>
            <w:tcW w:w="600" w:type="dxa"/>
            <w:vAlign w:val="bottom"/>
          </w:tcPr>
          <w:p>
            <w:pPr>
              <w:jc w:val="right"/>
              <w:spacing w:after="0" w:line="156" w:lineRule="exact"/>
              <w:rPr>
                <w:sz w:val="20"/>
                <w:szCs w:val="20"/>
                <w:color w:val="auto"/>
              </w:rPr>
            </w:pPr>
            <w:r>
              <w:rPr>
                <w:rFonts w:ascii="Arial" w:cs="Arial" w:eastAsia="Arial" w:hAnsi="Arial"/>
                <w:sz w:val="14"/>
                <w:szCs w:val="14"/>
                <w:b w:val="1"/>
                <w:bCs w:val="1"/>
                <w:color w:val="auto"/>
              </w:rPr>
              <w:t>6,569</w:t>
            </w:r>
          </w:p>
        </w:tc>
      </w:tr>
      <w:tr>
        <w:trPr>
          <w:trHeight w:val="156"/>
        </w:trPr>
        <w:tc>
          <w:tcPr>
            <w:tcW w:w="214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4"/>
                <w:szCs w:val="14"/>
                <w:color w:val="auto"/>
              </w:rPr>
              <w:t>Trade names</w:t>
            </w:r>
          </w:p>
        </w:tc>
        <w:tc>
          <w:tcPr>
            <w:tcW w:w="48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151"/>
              <w:spacing w:after="0" w:line="156" w:lineRule="exact"/>
              <w:rPr>
                <w:sz w:val="20"/>
                <w:szCs w:val="20"/>
                <w:color w:val="auto"/>
              </w:rPr>
            </w:pPr>
            <w:r>
              <w:rPr>
                <w:rFonts w:ascii="Arial" w:cs="Arial" w:eastAsia="Arial" w:hAnsi="Arial"/>
                <w:sz w:val="14"/>
                <w:szCs w:val="14"/>
                <w:b w:val="1"/>
                <w:bCs w:val="1"/>
                <w:color w:val="auto"/>
              </w:rPr>
              <w:t>12,800</w:t>
            </w:r>
          </w:p>
        </w:tc>
        <w:tc>
          <w:tcPr>
            <w:tcW w:w="40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110"/>
              <w:spacing w:after="0" w:line="156" w:lineRule="exact"/>
              <w:rPr>
                <w:sz w:val="20"/>
                <w:szCs w:val="20"/>
                <w:color w:val="auto"/>
              </w:rPr>
            </w:pPr>
            <w:r>
              <w:rPr>
                <w:rFonts w:ascii="Arial" w:cs="Arial" w:eastAsia="Arial" w:hAnsi="Arial"/>
                <w:sz w:val="14"/>
                <w:szCs w:val="14"/>
                <w:b w:val="1"/>
                <w:bCs w:val="1"/>
                <w:color w:val="auto"/>
              </w:rPr>
              <w:t>(7,947)</w:t>
            </w:r>
          </w:p>
        </w:tc>
        <w:tc>
          <w:tcPr>
            <w:tcW w:w="30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b w:val="1"/>
                <w:bCs w:val="1"/>
                <w:color w:val="auto"/>
              </w:rPr>
              <w:t>4,853</w:t>
            </w:r>
          </w:p>
        </w:tc>
      </w:tr>
      <w:tr>
        <w:trPr>
          <w:trHeight w:val="155"/>
        </w:trPr>
        <w:tc>
          <w:tcPr>
            <w:tcW w:w="214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Total</w:t>
            </w: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tcPr>
          <w:p>
            <w:pPr>
              <w:jc w:val="right"/>
              <w:ind w:right="151"/>
              <w:spacing w:after="0" w:line="149" w:lineRule="exact"/>
              <w:rPr>
                <w:sz w:val="20"/>
                <w:szCs w:val="20"/>
                <w:color w:val="auto"/>
              </w:rPr>
            </w:pPr>
            <w:r>
              <w:rPr>
                <w:rFonts w:ascii="Arial" w:cs="Arial" w:eastAsia="Arial" w:hAnsi="Arial"/>
                <w:sz w:val="14"/>
                <w:szCs w:val="14"/>
                <w:b w:val="1"/>
                <w:bCs w:val="1"/>
                <w:color w:val="auto"/>
              </w:rPr>
              <w:t>540,727</w:t>
            </w:r>
          </w:p>
        </w:tc>
        <w:tc>
          <w:tcPr>
            <w:tcW w:w="40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ind w:right="110"/>
              <w:spacing w:after="0" w:line="149" w:lineRule="exact"/>
              <w:rPr>
                <w:sz w:val="20"/>
                <w:szCs w:val="20"/>
                <w:color w:val="auto"/>
              </w:rPr>
            </w:pPr>
            <w:r>
              <w:rPr>
                <w:rFonts w:ascii="Arial" w:cs="Arial" w:eastAsia="Arial" w:hAnsi="Arial"/>
                <w:sz w:val="14"/>
                <w:szCs w:val="14"/>
                <w:b w:val="1"/>
                <w:bCs w:val="1"/>
                <w:color w:val="auto"/>
              </w:rPr>
              <w:t>(68,255)</w:t>
            </w:r>
          </w:p>
        </w:tc>
        <w:tc>
          <w:tcPr>
            <w:tcW w:w="3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472,472</w:t>
            </w:r>
          </w:p>
        </w:tc>
      </w:tr>
      <w:tr>
        <w:trPr>
          <w:trHeight w:val="247"/>
        </w:trPr>
        <w:tc>
          <w:tcPr>
            <w:tcW w:w="214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90"/>
              <w:spacing w:after="0"/>
              <w:rPr>
                <w:sz w:val="20"/>
                <w:szCs w:val="20"/>
                <w:color w:val="auto"/>
              </w:rPr>
            </w:pPr>
            <w:r>
              <w:rPr>
                <w:rFonts w:ascii="Arial" w:cs="Arial" w:eastAsia="Arial" w:hAnsi="Arial"/>
                <w:sz w:val="15"/>
                <w:szCs w:val="15"/>
                <w:color w:val="auto"/>
              </w:rPr>
              <w:t>2016</w:t>
            </w:r>
          </w:p>
        </w:tc>
        <w:tc>
          <w:tcPr>
            <w:tcW w:w="3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r>
      <w:tr>
        <w:trPr>
          <w:trHeight w:val="149"/>
        </w:trPr>
        <w:tc>
          <w:tcPr>
            <w:tcW w:w="2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Noncompetition agreements</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51"/>
              <w:spacing w:after="0" w:line="149" w:lineRule="exact"/>
              <w:rPr>
                <w:sz w:val="20"/>
                <w:szCs w:val="20"/>
                <w:color w:val="auto"/>
              </w:rPr>
            </w:pPr>
            <w:r>
              <w:rPr>
                <w:rFonts w:ascii="Arial" w:cs="Arial" w:eastAsia="Arial" w:hAnsi="Arial"/>
                <w:sz w:val="14"/>
                <w:szCs w:val="14"/>
                <w:color w:val="auto"/>
              </w:rPr>
              <w:t>6,274</w:t>
            </w:r>
          </w:p>
        </w:tc>
        <w:tc>
          <w:tcPr>
            <w:tcW w:w="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10"/>
              <w:spacing w:after="0" w:line="149" w:lineRule="exact"/>
              <w:rPr>
                <w:sz w:val="20"/>
                <w:szCs w:val="20"/>
                <w:color w:val="auto"/>
              </w:rPr>
            </w:pPr>
            <w:r>
              <w:rPr>
                <w:rFonts w:ascii="Arial" w:cs="Arial" w:eastAsia="Arial" w:hAnsi="Arial"/>
                <w:sz w:val="14"/>
                <w:szCs w:val="14"/>
                <w:color w:val="auto"/>
              </w:rPr>
              <w:t>(6,106)</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168</w:t>
            </w:r>
          </w:p>
        </w:tc>
      </w:tr>
      <w:tr>
        <w:trPr>
          <w:trHeight w:val="156"/>
        </w:trPr>
        <w:tc>
          <w:tcPr>
            <w:tcW w:w="2140" w:type="dxa"/>
            <w:vAlign w:val="bottom"/>
          </w:tcPr>
          <w:p>
            <w:pPr>
              <w:spacing w:after="0" w:line="156" w:lineRule="exact"/>
              <w:rPr>
                <w:sz w:val="20"/>
                <w:szCs w:val="20"/>
                <w:color w:val="auto"/>
              </w:rPr>
            </w:pPr>
            <w:r>
              <w:rPr>
                <w:rFonts w:ascii="Arial" w:cs="Arial" w:eastAsia="Arial" w:hAnsi="Arial"/>
                <w:sz w:val="14"/>
                <w:szCs w:val="14"/>
                <w:color w:val="auto"/>
              </w:rPr>
              <w:t>Customer relationships</w:t>
            </w:r>
          </w:p>
        </w:tc>
        <w:tc>
          <w:tcPr>
            <w:tcW w:w="480" w:type="dxa"/>
            <w:vAlign w:val="bottom"/>
          </w:tcPr>
          <w:p>
            <w:pPr>
              <w:spacing w:after="0"/>
              <w:rPr>
                <w:sz w:val="13"/>
                <w:szCs w:val="13"/>
                <w:color w:val="auto"/>
              </w:rPr>
            </w:pPr>
          </w:p>
        </w:tc>
        <w:tc>
          <w:tcPr>
            <w:tcW w:w="760" w:type="dxa"/>
            <w:vAlign w:val="bottom"/>
          </w:tcPr>
          <w:p>
            <w:pPr>
              <w:jc w:val="right"/>
              <w:ind w:right="151"/>
              <w:spacing w:after="0" w:line="156" w:lineRule="exact"/>
              <w:rPr>
                <w:sz w:val="20"/>
                <w:szCs w:val="20"/>
                <w:color w:val="auto"/>
              </w:rPr>
            </w:pPr>
            <w:r>
              <w:rPr>
                <w:rFonts w:ascii="Arial" w:cs="Arial" w:eastAsia="Arial" w:hAnsi="Arial"/>
                <w:sz w:val="14"/>
                <w:szCs w:val="14"/>
                <w:color w:val="auto"/>
              </w:rPr>
              <w:t>45,755</w:t>
            </w:r>
          </w:p>
        </w:tc>
        <w:tc>
          <w:tcPr>
            <w:tcW w:w="400" w:type="dxa"/>
            <w:vAlign w:val="bottom"/>
          </w:tcPr>
          <w:p>
            <w:pPr>
              <w:spacing w:after="0"/>
              <w:rPr>
                <w:sz w:val="13"/>
                <w:szCs w:val="13"/>
                <w:color w:val="auto"/>
              </w:rPr>
            </w:pPr>
          </w:p>
        </w:tc>
        <w:tc>
          <w:tcPr>
            <w:tcW w:w="900" w:type="dxa"/>
            <w:vAlign w:val="bottom"/>
          </w:tcPr>
          <w:p>
            <w:pPr>
              <w:jc w:val="right"/>
              <w:ind w:right="110"/>
              <w:spacing w:after="0" w:line="156" w:lineRule="exact"/>
              <w:rPr>
                <w:sz w:val="20"/>
                <w:szCs w:val="20"/>
                <w:color w:val="auto"/>
              </w:rPr>
            </w:pPr>
            <w:r>
              <w:rPr>
                <w:rFonts w:ascii="Arial" w:cs="Arial" w:eastAsia="Arial" w:hAnsi="Arial"/>
                <w:sz w:val="14"/>
                <w:szCs w:val="14"/>
                <w:color w:val="auto"/>
              </w:rPr>
              <w:t>(13,636)</w:t>
            </w:r>
          </w:p>
        </w:tc>
        <w:tc>
          <w:tcPr>
            <w:tcW w:w="300" w:type="dxa"/>
            <w:vAlign w:val="bottom"/>
          </w:tcPr>
          <w:p>
            <w:pPr>
              <w:spacing w:after="0"/>
              <w:rPr>
                <w:sz w:val="13"/>
                <w:szCs w:val="13"/>
                <w:color w:val="auto"/>
              </w:rPr>
            </w:pPr>
          </w:p>
        </w:tc>
        <w:tc>
          <w:tcPr>
            <w:tcW w:w="600" w:type="dxa"/>
            <w:vAlign w:val="bottom"/>
          </w:tcPr>
          <w:p>
            <w:pPr>
              <w:jc w:val="right"/>
              <w:spacing w:after="0" w:line="156" w:lineRule="exact"/>
              <w:rPr>
                <w:sz w:val="20"/>
                <w:szCs w:val="20"/>
                <w:color w:val="auto"/>
              </w:rPr>
            </w:pPr>
            <w:r>
              <w:rPr>
                <w:rFonts w:ascii="Arial" w:cs="Arial" w:eastAsia="Arial" w:hAnsi="Arial"/>
                <w:sz w:val="14"/>
                <w:szCs w:val="14"/>
                <w:color w:val="auto"/>
              </w:rPr>
              <w:t>32,119</w:t>
            </w:r>
          </w:p>
        </w:tc>
      </w:tr>
      <w:tr>
        <w:trPr>
          <w:trHeight w:val="156"/>
        </w:trPr>
        <w:tc>
          <w:tcPr>
            <w:tcW w:w="214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Operating permits</w:t>
            </w:r>
          </w:p>
        </w:tc>
        <w:tc>
          <w:tcPr>
            <w:tcW w:w="48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51"/>
              <w:spacing w:after="0" w:line="156" w:lineRule="exact"/>
              <w:rPr>
                <w:sz w:val="20"/>
                <w:szCs w:val="20"/>
                <w:color w:val="auto"/>
              </w:rPr>
            </w:pPr>
            <w:r>
              <w:rPr>
                <w:rFonts w:ascii="Arial" w:cs="Arial" w:eastAsia="Arial" w:hAnsi="Arial"/>
                <w:sz w:val="14"/>
                <w:szCs w:val="14"/>
                <w:color w:val="auto"/>
              </w:rPr>
              <w:t>455,095</w:t>
            </w:r>
          </w:p>
        </w:tc>
        <w:tc>
          <w:tcPr>
            <w:tcW w:w="40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110"/>
              <w:spacing w:after="0" w:line="156" w:lineRule="exact"/>
              <w:rPr>
                <w:sz w:val="20"/>
                <w:szCs w:val="20"/>
                <w:color w:val="auto"/>
              </w:rPr>
            </w:pPr>
            <w:r>
              <w:rPr>
                <w:rFonts w:ascii="Arial" w:cs="Arial" w:eastAsia="Arial" w:hAnsi="Arial"/>
                <w:sz w:val="14"/>
                <w:szCs w:val="14"/>
                <w:color w:val="auto"/>
              </w:rPr>
              <w:t>(19,493)</w:t>
            </w:r>
          </w:p>
        </w:tc>
        <w:tc>
          <w:tcPr>
            <w:tcW w:w="3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435,602</w:t>
            </w:r>
          </w:p>
        </w:tc>
      </w:tr>
      <w:tr>
        <w:trPr>
          <w:trHeight w:val="156"/>
        </w:trPr>
        <w:tc>
          <w:tcPr>
            <w:tcW w:w="2140" w:type="dxa"/>
            <w:vAlign w:val="bottom"/>
          </w:tcPr>
          <w:p>
            <w:pPr>
              <w:spacing w:after="0" w:line="156" w:lineRule="exact"/>
              <w:rPr>
                <w:sz w:val="20"/>
                <w:szCs w:val="20"/>
                <w:color w:val="auto"/>
              </w:rPr>
            </w:pPr>
            <w:r>
              <w:rPr>
                <w:rFonts w:ascii="Arial" w:cs="Arial" w:eastAsia="Arial" w:hAnsi="Arial"/>
                <w:sz w:val="14"/>
                <w:szCs w:val="14"/>
                <w:color w:val="auto"/>
              </w:rPr>
              <w:t>Use rights and other</w:t>
            </w:r>
          </w:p>
        </w:tc>
        <w:tc>
          <w:tcPr>
            <w:tcW w:w="480" w:type="dxa"/>
            <w:vAlign w:val="bottom"/>
          </w:tcPr>
          <w:p>
            <w:pPr>
              <w:spacing w:after="0"/>
              <w:rPr>
                <w:sz w:val="13"/>
                <w:szCs w:val="13"/>
                <w:color w:val="auto"/>
              </w:rPr>
            </w:pPr>
          </w:p>
        </w:tc>
        <w:tc>
          <w:tcPr>
            <w:tcW w:w="760" w:type="dxa"/>
            <w:vAlign w:val="bottom"/>
          </w:tcPr>
          <w:p>
            <w:pPr>
              <w:jc w:val="right"/>
              <w:ind w:right="151"/>
              <w:spacing w:after="0" w:line="156" w:lineRule="exact"/>
              <w:rPr>
                <w:sz w:val="20"/>
                <w:szCs w:val="20"/>
                <w:color w:val="auto"/>
              </w:rPr>
            </w:pPr>
            <w:r>
              <w:rPr>
                <w:rFonts w:ascii="Arial" w:cs="Arial" w:eastAsia="Arial" w:hAnsi="Arial"/>
                <w:sz w:val="14"/>
                <w:szCs w:val="14"/>
                <w:color w:val="auto"/>
              </w:rPr>
              <w:t>16,946</w:t>
            </w:r>
          </w:p>
        </w:tc>
        <w:tc>
          <w:tcPr>
            <w:tcW w:w="400" w:type="dxa"/>
            <w:vAlign w:val="bottom"/>
          </w:tcPr>
          <w:p>
            <w:pPr>
              <w:spacing w:after="0"/>
              <w:rPr>
                <w:sz w:val="13"/>
                <w:szCs w:val="13"/>
                <w:color w:val="auto"/>
              </w:rPr>
            </w:pPr>
          </w:p>
        </w:tc>
        <w:tc>
          <w:tcPr>
            <w:tcW w:w="900" w:type="dxa"/>
            <w:vAlign w:val="bottom"/>
          </w:tcPr>
          <w:p>
            <w:pPr>
              <w:jc w:val="right"/>
              <w:ind w:right="110"/>
              <w:spacing w:after="0" w:line="156" w:lineRule="exact"/>
              <w:rPr>
                <w:sz w:val="20"/>
                <w:szCs w:val="20"/>
                <w:color w:val="auto"/>
              </w:rPr>
            </w:pPr>
            <w:r>
              <w:rPr>
                <w:rFonts w:ascii="Arial" w:cs="Arial" w:eastAsia="Arial" w:hAnsi="Arial"/>
                <w:sz w:val="14"/>
                <w:szCs w:val="14"/>
                <w:color w:val="auto"/>
              </w:rPr>
              <w:t>(9,239)</w:t>
            </w:r>
          </w:p>
        </w:tc>
        <w:tc>
          <w:tcPr>
            <w:tcW w:w="300" w:type="dxa"/>
            <w:vAlign w:val="bottom"/>
          </w:tcPr>
          <w:p>
            <w:pPr>
              <w:spacing w:after="0"/>
              <w:rPr>
                <w:sz w:val="13"/>
                <w:szCs w:val="13"/>
                <w:color w:val="auto"/>
              </w:rPr>
            </w:pPr>
          </w:p>
        </w:tc>
        <w:tc>
          <w:tcPr>
            <w:tcW w:w="600" w:type="dxa"/>
            <w:vAlign w:val="bottom"/>
          </w:tcPr>
          <w:p>
            <w:pPr>
              <w:jc w:val="right"/>
              <w:spacing w:after="0" w:line="156" w:lineRule="exact"/>
              <w:rPr>
                <w:sz w:val="20"/>
                <w:szCs w:val="20"/>
                <w:color w:val="auto"/>
              </w:rPr>
            </w:pPr>
            <w:r>
              <w:rPr>
                <w:rFonts w:ascii="Arial" w:cs="Arial" w:eastAsia="Arial" w:hAnsi="Arial"/>
                <w:sz w:val="14"/>
                <w:szCs w:val="14"/>
                <w:color w:val="auto"/>
              </w:rPr>
              <w:t>7,707</w:t>
            </w:r>
          </w:p>
        </w:tc>
      </w:tr>
      <w:tr>
        <w:trPr>
          <w:trHeight w:val="156"/>
        </w:trPr>
        <w:tc>
          <w:tcPr>
            <w:tcW w:w="214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4"/>
                <w:szCs w:val="14"/>
                <w:color w:val="auto"/>
              </w:rPr>
              <w:t>Trade names</w:t>
            </w:r>
          </w:p>
        </w:tc>
        <w:tc>
          <w:tcPr>
            <w:tcW w:w="48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151"/>
              <w:spacing w:after="0" w:line="156" w:lineRule="exact"/>
              <w:rPr>
                <w:sz w:val="20"/>
                <w:szCs w:val="20"/>
                <w:color w:val="auto"/>
              </w:rPr>
            </w:pPr>
            <w:r>
              <w:rPr>
                <w:rFonts w:ascii="Arial" w:cs="Arial" w:eastAsia="Arial" w:hAnsi="Arial"/>
                <w:sz w:val="14"/>
                <w:szCs w:val="14"/>
                <w:color w:val="auto"/>
              </w:rPr>
              <w:t>12,800</w:t>
            </w:r>
          </w:p>
        </w:tc>
        <w:tc>
          <w:tcPr>
            <w:tcW w:w="40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110"/>
              <w:spacing w:after="0" w:line="156" w:lineRule="exact"/>
              <w:rPr>
                <w:sz w:val="20"/>
                <w:szCs w:val="20"/>
                <w:color w:val="auto"/>
              </w:rPr>
            </w:pPr>
            <w:r>
              <w:rPr>
                <w:rFonts w:ascii="Arial" w:cs="Arial" w:eastAsia="Arial" w:hAnsi="Arial"/>
                <w:sz w:val="14"/>
                <w:szCs w:val="14"/>
                <w:color w:val="auto"/>
              </w:rPr>
              <w:t>(5,681)</w:t>
            </w:r>
          </w:p>
        </w:tc>
        <w:tc>
          <w:tcPr>
            <w:tcW w:w="30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7,119</w:t>
            </w:r>
          </w:p>
        </w:tc>
      </w:tr>
      <w:tr>
        <w:trPr>
          <w:trHeight w:val="155"/>
        </w:trPr>
        <w:tc>
          <w:tcPr>
            <w:tcW w:w="214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Total</w:t>
            </w: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151"/>
              <w:spacing w:after="0" w:line="149" w:lineRule="exact"/>
              <w:rPr>
                <w:sz w:val="20"/>
                <w:szCs w:val="20"/>
                <w:color w:val="auto"/>
              </w:rPr>
            </w:pPr>
            <w:r>
              <w:rPr>
                <w:rFonts w:ascii="Arial" w:cs="Arial" w:eastAsia="Arial" w:hAnsi="Arial"/>
                <w:sz w:val="14"/>
                <w:szCs w:val="14"/>
                <w:color w:val="auto"/>
              </w:rPr>
              <w:t>536,870</w:t>
            </w:r>
          </w:p>
        </w:tc>
        <w:tc>
          <w:tcPr>
            <w:tcW w:w="40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110"/>
              <w:spacing w:after="0" w:line="149" w:lineRule="exact"/>
              <w:rPr>
                <w:sz w:val="20"/>
                <w:szCs w:val="20"/>
                <w:color w:val="auto"/>
              </w:rPr>
            </w:pPr>
            <w:r>
              <w:rPr>
                <w:rFonts w:ascii="Arial" w:cs="Arial" w:eastAsia="Arial" w:hAnsi="Arial"/>
                <w:sz w:val="14"/>
                <w:szCs w:val="14"/>
                <w:color w:val="auto"/>
              </w:rPr>
              <w:t>(54,155)</w:t>
            </w:r>
          </w:p>
        </w:tc>
        <w:tc>
          <w:tcPr>
            <w:tcW w:w="3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482,715</w:t>
            </w:r>
          </w:p>
        </w:tc>
      </w:tr>
    </w:tbl>
    <w:p>
      <w:pPr>
        <w:spacing w:after="0" w:line="200" w:lineRule="exact"/>
        <w:rPr>
          <w:sz w:val="20"/>
          <w:szCs w:val="20"/>
          <w:color w:val="auto"/>
        </w:rPr>
      </w:pPr>
    </w:p>
    <w:p>
      <w:pPr>
        <w:sectPr>
          <w:pgSz w:w="11900" w:h="16838" w:orient="portrait"/>
          <w:cols w:equalWidth="0" w:num="2">
            <w:col w:w="5480" w:space="360"/>
            <w:col w:w="5580"/>
          </w:cols>
          <w:pgMar w:left="240" w:top="260" w:right="239" w:bottom="1440" w:gutter="0" w:footer="0" w:header="0"/>
          <w:type w:val="continuous"/>
        </w:sectPr>
      </w:pP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21</w:t>
      </w:r>
    </w:p>
    <w:p>
      <w:pPr>
        <w:sectPr>
          <w:pgSz w:w="11900" w:h="16838" w:orient="portrait"/>
          <w:cols w:equalWidth="0" w:num="1">
            <w:col w:w="11420"/>
          </w:cols>
          <w:pgMar w:left="240" w:top="260" w:right="239" w:bottom="1440" w:gutter="0" w:footer="0" w:header="0"/>
          <w:type w:val="continuous"/>
        </w:sectPr>
      </w:pPr>
    </w:p>
    <w:bookmarkStart w:id="74" w:name="page75"/>
    <w:bookmarkEnd w:id="74"/>
    <w:p>
      <w:pPr>
        <w:jc w:val="center"/>
        <w:ind w:right="-19"/>
        <w:spacing w:after="0"/>
        <w:rPr>
          <w:sz w:val="20"/>
          <w:szCs w:val="20"/>
          <w:color w:val="auto"/>
        </w:rPr>
      </w:pPr>
      <w:r>
        <w:rPr>
          <w:rFonts w:ascii="Arial" w:cs="Arial" w:eastAsia="Arial" w:hAnsi="Arial"/>
          <w:sz w:val="17"/>
          <w:szCs w:val="17"/>
          <w:b w:val="1"/>
          <w:bCs w:val="1"/>
          <w:color w:val="0085CD"/>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0">
                      <a:extLst>
                        <a:ext uri="{28A0092B-C50C-407E-A947-70E740481C1C}"/>
                      </a:extLst>
                    </a:blip>
                    <a:srcRect/>
                    <a:stretch>
                      <a:fillRect/>
                    </a:stretch>
                  </pic:blipFill>
                  <pic:spPr bwMode="auto">
                    <a:xfrm>
                      <a:off x="0" y="0"/>
                      <a:ext cx="7293610" cy="37465"/>
                    </a:xfrm>
                    <a:prstGeom prst="rect">
                      <a:avLst/>
                    </a:prstGeom>
                    <a:noFill/>
                  </pic:spPr>
                </pic:pic>
              </a:graphicData>
            </a:graphic>
          </wp:anchor>
        </w:drawing>
        <w:t xml:space="preserve">NOTES TO FINANCIAL STATEMENTS </w:t>
      </w:r>
      <w:r>
        <w:rPr>
          <w:rFonts w:ascii="Arial" w:cs="Arial" w:eastAsia="Arial" w:hAnsi="Arial"/>
          <w:sz w:val="15"/>
          <w:szCs w:val="15"/>
          <w:color w:val="0085CD"/>
        </w:rPr>
        <w:t>(continued)</w:t>
      </w:r>
    </w:p>
    <w:p>
      <w:pPr>
        <w:sectPr>
          <w:pgSz w:w="11900" w:h="16838" w:orient="portrait"/>
          <w:cols w:equalWidth="0" w:num="1">
            <w:col w:w="11420"/>
          </w:cols>
          <w:pgMar w:left="240" w:top="26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Intangible assets deemed to have an indefinite life and not being amortized consist of the following:</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40" w:type="dxa"/>
            <w:vAlign w:val="bottom"/>
          </w:tcPr>
          <w:p>
            <w:pPr>
              <w:spacing w:after="0"/>
              <w:rPr>
                <w:sz w:val="14"/>
                <w:szCs w:val="14"/>
                <w:color w:val="auto"/>
              </w:rPr>
            </w:pPr>
          </w:p>
        </w:tc>
        <w:tc>
          <w:tcPr>
            <w:tcW w:w="1140" w:type="dxa"/>
            <w:vAlign w:val="bottom"/>
            <w:gridSpan w:val="2"/>
          </w:tcPr>
          <w:p>
            <w:pPr>
              <w:jc w:val="right"/>
              <w:ind w:right="151"/>
              <w:spacing w:after="0"/>
              <w:rPr>
                <w:sz w:val="20"/>
                <w:szCs w:val="20"/>
                <w:color w:val="auto"/>
              </w:rPr>
            </w:pPr>
            <w:r>
              <w:rPr>
                <w:rFonts w:ascii="Arial" w:cs="Arial" w:eastAsia="Arial" w:hAnsi="Arial"/>
                <w:sz w:val="14"/>
                <w:szCs w:val="14"/>
                <w:b w:val="1"/>
                <w:bCs w:val="1"/>
                <w:color w:val="auto"/>
              </w:rPr>
              <w:t>Building</w:t>
            </w: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56"/>
        </w:trPr>
        <w:tc>
          <w:tcPr>
            <w:tcW w:w="2440" w:type="dxa"/>
            <w:vAlign w:val="bottom"/>
          </w:tcPr>
          <w:p>
            <w:pPr>
              <w:spacing w:after="0"/>
              <w:rPr>
                <w:sz w:val="13"/>
                <w:szCs w:val="13"/>
                <w:color w:val="auto"/>
              </w:rPr>
            </w:pPr>
          </w:p>
        </w:tc>
        <w:tc>
          <w:tcPr>
            <w:tcW w:w="1140" w:type="dxa"/>
            <w:vAlign w:val="bottom"/>
            <w:gridSpan w:val="2"/>
          </w:tcPr>
          <w:p>
            <w:pPr>
              <w:ind w:left="340"/>
              <w:spacing w:after="0" w:line="156" w:lineRule="exact"/>
              <w:rPr>
                <w:sz w:val="20"/>
                <w:szCs w:val="20"/>
                <w:color w:val="auto"/>
              </w:rPr>
            </w:pPr>
            <w:r>
              <w:rPr>
                <w:rFonts w:ascii="Arial" w:cs="Arial" w:eastAsia="Arial" w:hAnsi="Arial"/>
                <w:sz w:val="14"/>
                <w:szCs w:val="14"/>
                <w:b w:val="1"/>
                <w:bCs w:val="1"/>
                <w:color w:val="auto"/>
              </w:rPr>
              <w:t>Materials</w:t>
            </w:r>
          </w:p>
        </w:tc>
        <w:tc>
          <w:tcPr>
            <w:tcW w:w="1080" w:type="dxa"/>
            <w:vAlign w:val="bottom"/>
            <w:gridSpan w:val="2"/>
          </w:tcPr>
          <w:p>
            <w:pPr>
              <w:jc w:val="right"/>
              <w:ind w:right="150"/>
              <w:spacing w:after="0" w:line="156" w:lineRule="exact"/>
              <w:rPr>
                <w:sz w:val="20"/>
                <w:szCs w:val="20"/>
                <w:color w:val="auto"/>
              </w:rPr>
            </w:pPr>
            <w:r>
              <w:rPr>
                <w:rFonts w:ascii="Arial" w:cs="Arial" w:eastAsia="Arial" w:hAnsi="Arial"/>
                <w:sz w:val="14"/>
                <w:szCs w:val="14"/>
                <w:b w:val="1"/>
                <w:bCs w:val="1"/>
                <w:color w:val="auto"/>
              </w:rPr>
              <w:t>Magnesia</w:t>
            </w: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67"/>
        </w:trPr>
        <w:tc>
          <w:tcPr>
            <w:tcW w:w="2440" w:type="dxa"/>
            <w:vAlign w:val="bottom"/>
          </w:tcPr>
          <w:p>
            <w:pPr>
              <w:spacing w:after="0"/>
              <w:rPr>
                <w:sz w:val="20"/>
                <w:szCs w:val="20"/>
                <w:color w:val="auto"/>
              </w:rPr>
            </w:pPr>
            <w:r>
              <w:rPr>
                <w:rFonts w:ascii="Arial" w:cs="Arial" w:eastAsia="Arial" w:hAnsi="Arial"/>
                <w:sz w:val="14"/>
                <w:szCs w:val="14"/>
                <w:i w:val="1"/>
                <w:iCs w:val="1"/>
                <w:color w:val="auto"/>
              </w:rPr>
              <w:t>December 31</w:t>
            </w:r>
          </w:p>
        </w:tc>
        <w:tc>
          <w:tcPr>
            <w:tcW w:w="114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Business</w:t>
            </w:r>
          </w:p>
        </w:tc>
        <w:tc>
          <w:tcPr>
            <w:tcW w:w="10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Specialties</w:t>
            </w:r>
          </w:p>
        </w:tc>
        <w:tc>
          <w:tcPr>
            <w:tcW w:w="3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w w:val="95"/>
              </w:rPr>
              <w:t>Total</w:t>
            </w:r>
          </w:p>
        </w:tc>
      </w:tr>
      <w:tr>
        <w:trPr>
          <w:trHeight w:val="149"/>
        </w:trPr>
        <w:tc>
          <w:tcPr>
            <w:tcW w:w="244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(add 000)</w:t>
            </w:r>
          </w:p>
        </w:tc>
        <w:tc>
          <w:tcPr>
            <w:tcW w:w="4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90"/>
              <w:spacing w:after="0" w:line="149" w:lineRule="exact"/>
              <w:rPr>
                <w:sz w:val="20"/>
                <w:szCs w:val="20"/>
                <w:color w:val="auto"/>
              </w:rPr>
            </w:pPr>
            <w:r>
              <w:rPr>
                <w:rFonts w:ascii="Arial" w:cs="Arial" w:eastAsia="Arial" w:hAnsi="Arial"/>
                <w:sz w:val="15"/>
                <w:szCs w:val="15"/>
                <w:b w:val="1"/>
                <w:bCs w:val="1"/>
                <w:color w:val="0085CD"/>
              </w:rPr>
              <w:t>2017</w:t>
            </w:r>
          </w:p>
        </w:tc>
        <w:tc>
          <w:tcPr>
            <w:tcW w:w="3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r>
      <w:tr>
        <w:trPr>
          <w:trHeight w:val="149"/>
        </w:trPr>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permits</w:t>
            </w:r>
          </w:p>
        </w:tc>
        <w:tc>
          <w:tcPr>
            <w:tcW w:w="46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jc w:val="right"/>
              <w:ind w:right="111"/>
              <w:spacing w:after="0" w:line="149" w:lineRule="exact"/>
              <w:rPr>
                <w:sz w:val="20"/>
                <w:szCs w:val="20"/>
                <w:color w:val="auto"/>
              </w:rPr>
            </w:pPr>
            <w:r>
              <w:rPr>
                <w:rFonts w:ascii="Arial" w:cs="Arial" w:eastAsia="Arial" w:hAnsi="Arial"/>
                <w:sz w:val="14"/>
                <w:szCs w:val="14"/>
                <w:b w:val="1"/>
                <w:bCs w:val="1"/>
                <w:color w:val="auto"/>
              </w:rPr>
              <w:t>6,600</w:t>
            </w:r>
          </w:p>
        </w:tc>
        <w:tc>
          <w:tcPr>
            <w:tcW w:w="3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ind w:right="110"/>
              <w:spacing w:after="0" w:line="149" w:lineRule="exact"/>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6,600</w:t>
            </w:r>
          </w:p>
        </w:tc>
      </w:tr>
      <w:tr>
        <w:trPr>
          <w:trHeight w:val="156"/>
        </w:trPr>
        <w:tc>
          <w:tcPr>
            <w:tcW w:w="2440" w:type="dxa"/>
            <w:vAlign w:val="bottom"/>
          </w:tcPr>
          <w:p>
            <w:pPr>
              <w:spacing w:after="0" w:line="156" w:lineRule="exact"/>
              <w:rPr>
                <w:sz w:val="20"/>
                <w:szCs w:val="20"/>
                <w:color w:val="auto"/>
              </w:rPr>
            </w:pPr>
            <w:r>
              <w:rPr>
                <w:rFonts w:ascii="Arial" w:cs="Arial" w:eastAsia="Arial" w:hAnsi="Arial"/>
                <w:sz w:val="14"/>
                <w:szCs w:val="14"/>
                <w:color w:val="auto"/>
              </w:rPr>
              <w:t>Use rights</w:t>
            </w:r>
          </w:p>
        </w:tc>
        <w:tc>
          <w:tcPr>
            <w:tcW w:w="460" w:type="dxa"/>
            <w:vAlign w:val="bottom"/>
          </w:tcPr>
          <w:p>
            <w:pPr>
              <w:spacing w:after="0"/>
              <w:rPr>
                <w:sz w:val="13"/>
                <w:szCs w:val="13"/>
                <w:color w:val="auto"/>
              </w:rPr>
            </w:pPr>
          </w:p>
        </w:tc>
        <w:tc>
          <w:tcPr>
            <w:tcW w:w="680" w:type="dxa"/>
            <w:vAlign w:val="bottom"/>
          </w:tcPr>
          <w:p>
            <w:pPr>
              <w:jc w:val="right"/>
              <w:ind w:right="111"/>
              <w:spacing w:after="0" w:line="156" w:lineRule="exact"/>
              <w:rPr>
                <w:sz w:val="20"/>
                <w:szCs w:val="20"/>
                <w:color w:val="auto"/>
              </w:rPr>
            </w:pPr>
            <w:r>
              <w:rPr>
                <w:rFonts w:ascii="Arial" w:cs="Arial" w:eastAsia="Arial" w:hAnsi="Arial"/>
                <w:sz w:val="14"/>
                <w:szCs w:val="14"/>
                <w:b w:val="1"/>
                <w:bCs w:val="1"/>
                <w:color w:val="auto"/>
              </w:rPr>
              <w:t>24,432</w:t>
            </w:r>
          </w:p>
        </w:tc>
        <w:tc>
          <w:tcPr>
            <w:tcW w:w="320" w:type="dxa"/>
            <w:vAlign w:val="bottom"/>
          </w:tcPr>
          <w:p>
            <w:pPr>
              <w:spacing w:after="0"/>
              <w:rPr>
                <w:sz w:val="13"/>
                <w:szCs w:val="13"/>
                <w:color w:val="auto"/>
              </w:rPr>
            </w:pPr>
          </w:p>
        </w:tc>
        <w:tc>
          <w:tcPr>
            <w:tcW w:w="760" w:type="dxa"/>
            <w:vAlign w:val="bottom"/>
          </w:tcPr>
          <w:p>
            <w:pPr>
              <w:jc w:val="right"/>
              <w:ind w:right="110"/>
              <w:spacing w:after="0" w:line="156"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3"/>
                <w:szCs w:val="13"/>
                <w:color w:val="auto"/>
              </w:rPr>
            </w:pPr>
          </w:p>
        </w:tc>
        <w:tc>
          <w:tcPr>
            <w:tcW w:w="520" w:type="dxa"/>
            <w:vAlign w:val="bottom"/>
          </w:tcPr>
          <w:p>
            <w:pPr>
              <w:jc w:val="right"/>
              <w:spacing w:after="0" w:line="156" w:lineRule="exact"/>
              <w:rPr>
                <w:sz w:val="20"/>
                <w:szCs w:val="20"/>
                <w:color w:val="auto"/>
              </w:rPr>
            </w:pPr>
            <w:r>
              <w:rPr>
                <w:rFonts w:ascii="Arial" w:cs="Arial" w:eastAsia="Arial" w:hAnsi="Arial"/>
                <w:sz w:val="14"/>
                <w:szCs w:val="14"/>
                <w:b w:val="1"/>
                <w:bCs w:val="1"/>
                <w:color w:val="auto"/>
              </w:rPr>
              <w:t>24,432</w:t>
            </w:r>
          </w:p>
        </w:tc>
      </w:tr>
      <w:tr>
        <w:trPr>
          <w:trHeight w:val="156"/>
        </w:trPr>
        <w:tc>
          <w:tcPr>
            <w:tcW w:w="244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4"/>
                <w:szCs w:val="14"/>
                <w:color w:val="auto"/>
              </w:rPr>
              <w:t>Trade names</w:t>
            </w:r>
          </w:p>
        </w:tc>
        <w:tc>
          <w:tcPr>
            <w:tcW w:w="4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111"/>
              <w:spacing w:after="0" w:line="156" w:lineRule="exact"/>
              <w:rPr>
                <w:sz w:val="20"/>
                <w:szCs w:val="20"/>
                <w:color w:val="auto"/>
              </w:rPr>
            </w:pPr>
            <w:r>
              <w:rPr>
                <w:rFonts w:ascii="Arial" w:cs="Arial" w:eastAsia="Arial" w:hAnsi="Arial"/>
                <w:sz w:val="14"/>
                <w:szCs w:val="14"/>
                <w:b w:val="1"/>
                <w:bCs w:val="1"/>
                <w:color w:val="auto"/>
              </w:rPr>
              <w:t>280</w:t>
            </w:r>
          </w:p>
        </w:tc>
        <w:tc>
          <w:tcPr>
            <w:tcW w:w="3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110"/>
              <w:spacing w:after="0" w:line="156" w:lineRule="exact"/>
              <w:rPr>
                <w:sz w:val="20"/>
                <w:szCs w:val="20"/>
                <w:color w:val="auto"/>
              </w:rPr>
            </w:pPr>
            <w:r>
              <w:rPr>
                <w:rFonts w:ascii="Arial" w:cs="Arial" w:eastAsia="Arial" w:hAnsi="Arial"/>
                <w:sz w:val="14"/>
                <w:szCs w:val="14"/>
                <w:b w:val="1"/>
                <w:bCs w:val="1"/>
                <w:color w:val="auto"/>
              </w:rPr>
              <w:t>2,565</w:t>
            </w:r>
          </w:p>
        </w:tc>
        <w:tc>
          <w:tcPr>
            <w:tcW w:w="30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b w:val="1"/>
                <w:bCs w:val="1"/>
                <w:color w:val="auto"/>
              </w:rPr>
              <w:t>2,845</w:t>
            </w:r>
          </w:p>
        </w:tc>
      </w:tr>
      <w:tr>
        <w:trPr>
          <w:trHeight w:val="155"/>
        </w:trPr>
        <w:tc>
          <w:tcPr>
            <w:tcW w:w="244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Total</w:t>
            </w:r>
          </w:p>
        </w:tc>
        <w:tc>
          <w:tcPr>
            <w:tcW w:w="460" w:type="dxa"/>
            <w:vAlign w:val="bottom"/>
            <w:tcBorders>
              <w:bottom w:val="single" w:sz="8" w:color="auto"/>
            </w:tcBorders>
          </w:tcPr>
          <w:p>
            <w:pPr>
              <w:ind w:left="340"/>
              <w:spacing w:after="0" w:line="149" w:lineRule="exact"/>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tcPr>
          <w:p>
            <w:pPr>
              <w:jc w:val="right"/>
              <w:ind w:right="111"/>
              <w:spacing w:after="0" w:line="149" w:lineRule="exact"/>
              <w:rPr>
                <w:sz w:val="20"/>
                <w:szCs w:val="20"/>
                <w:color w:val="auto"/>
              </w:rPr>
            </w:pPr>
            <w:r>
              <w:rPr>
                <w:rFonts w:ascii="Arial" w:cs="Arial" w:eastAsia="Arial" w:hAnsi="Arial"/>
                <w:sz w:val="14"/>
                <w:szCs w:val="14"/>
                <w:b w:val="1"/>
                <w:bCs w:val="1"/>
                <w:color w:val="auto"/>
              </w:rPr>
              <w:t>31,312</w:t>
            </w:r>
          </w:p>
        </w:tc>
        <w:tc>
          <w:tcPr>
            <w:tcW w:w="320" w:type="dxa"/>
            <w:vAlign w:val="bottom"/>
            <w:tcBorders>
              <w:bottom w:val="single" w:sz="8" w:color="auto"/>
            </w:tcBorders>
          </w:tcPr>
          <w:p>
            <w:pPr>
              <w:ind w:left="180"/>
              <w:spacing w:after="0" w:line="149" w:lineRule="exact"/>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tcPr>
          <w:p>
            <w:pPr>
              <w:jc w:val="right"/>
              <w:ind w:right="110"/>
              <w:spacing w:after="0" w:line="149" w:lineRule="exact"/>
              <w:rPr>
                <w:sz w:val="20"/>
                <w:szCs w:val="20"/>
                <w:color w:val="auto"/>
              </w:rPr>
            </w:pPr>
            <w:r>
              <w:rPr>
                <w:rFonts w:ascii="Arial" w:cs="Arial" w:eastAsia="Arial" w:hAnsi="Arial"/>
                <w:sz w:val="14"/>
                <w:szCs w:val="14"/>
                <w:b w:val="1"/>
                <w:bCs w:val="1"/>
                <w:color w:val="auto"/>
              </w:rPr>
              <w:t>2,565</w:t>
            </w:r>
          </w:p>
        </w:tc>
        <w:tc>
          <w:tcPr>
            <w:tcW w:w="3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33,877</w:t>
            </w:r>
          </w:p>
        </w:tc>
      </w:tr>
      <w:tr>
        <w:trPr>
          <w:trHeight w:val="247"/>
        </w:trPr>
        <w:tc>
          <w:tcPr>
            <w:tcW w:w="24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color w:val="auto"/>
              </w:rPr>
              <w:t>2016</w:t>
            </w:r>
          </w:p>
        </w:tc>
        <w:tc>
          <w:tcPr>
            <w:tcW w:w="3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r>
      <w:tr>
        <w:trPr>
          <w:trHeight w:val="149"/>
        </w:trPr>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permits</w:t>
            </w:r>
          </w:p>
        </w:tc>
        <w:tc>
          <w:tcPr>
            <w:tcW w:w="46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111"/>
              <w:spacing w:after="0" w:line="149" w:lineRule="exact"/>
              <w:rPr>
                <w:sz w:val="20"/>
                <w:szCs w:val="20"/>
                <w:color w:val="auto"/>
              </w:rPr>
            </w:pPr>
            <w:r>
              <w:rPr>
                <w:rFonts w:ascii="Arial" w:cs="Arial" w:eastAsia="Arial" w:hAnsi="Arial"/>
                <w:sz w:val="14"/>
                <w:szCs w:val="14"/>
                <w:color w:val="auto"/>
              </w:rPr>
              <w:t>6,600</w:t>
            </w:r>
          </w:p>
        </w:tc>
        <w:tc>
          <w:tcPr>
            <w:tcW w:w="3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1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6,600</w:t>
            </w:r>
          </w:p>
        </w:tc>
      </w:tr>
      <w:tr>
        <w:trPr>
          <w:trHeight w:val="156"/>
        </w:trPr>
        <w:tc>
          <w:tcPr>
            <w:tcW w:w="2440" w:type="dxa"/>
            <w:vAlign w:val="bottom"/>
          </w:tcPr>
          <w:p>
            <w:pPr>
              <w:spacing w:after="0" w:line="156" w:lineRule="exact"/>
              <w:rPr>
                <w:sz w:val="20"/>
                <w:szCs w:val="20"/>
                <w:color w:val="auto"/>
              </w:rPr>
            </w:pPr>
            <w:r>
              <w:rPr>
                <w:rFonts w:ascii="Arial" w:cs="Arial" w:eastAsia="Arial" w:hAnsi="Arial"/>
                <w:sz w:val="14"/>
                <w:szCs w:val="14"/>
                <w:color w:val="auto"/>
              </w:rPr>
              <w:t>Use rights</w:t>
            </w:r>
          </w:p>
        </w:tc>
        <w:tc>
          <w:tcPr>
            <w:tcW w:w="460" w:type="dxa"/>
            <w:vAlign w:val="bottom"/>
          </w:tcPr>
          <w:p>
            <w:pPr>
              <w:spacing w:after="0"/>
              <w:rPr>
                <w:sz w:val="13"/>
                <w:szCs w:val="13"/>
                <w:color w:val="auto"/>
              </w:rPr>
            </w:pPr>
          </w:p>
        </w:tc>
        <w:tc>
          <w:tcPr>
            <w:tcW w:w="680" w:type="dxa"/>
            <w:vAlign w:val="bottom"/>
          </w:tcPr>
          <w:p>
            <w:pPr>
              <w:jc w:val="right"/>
              <w:ind w:right="111"/>
              <w:spacing w:after="0" w:line="156" w:lineRule="exact"/>
              <w:rPr>
                <w:sz w:val="20"/>
                <w:szCs w:val="20"/>
                <w:color w:val="auto"/>
              </w:rPr>
            </w:pPr>
            <w:r>
              <w:rPr>
                <w:rFonts w:ascii="Arial" w:cs="Arial" w:eastAsia="Arial" w:hAnsi="Arial"/>
                <w:sz w:val="14"/>
                <w:szCs w:val="14"/>
                <w:color w:val="auto"/>
              </w:rPr>
              <w:t>19,152</w:t>
            </w:r>
          </w:p>
        </w:tc>
        <w:tc>
          <w:tcPr>
            <w:tcW w:w="320" w:type="dxa"/>
            <w:vAlign w:val="bottom"/>
          </w:tcPr>
          <w:p>
            <w:pPr>
              <w:spacing w:after="0"/>
              <w:rPr>
                <w:sz w:val="13"/>
                <w:szCs w:val="13"/>
                <w:color w:val="auto"/>
              </w:rPr>
            </w:pPr>
          </w:p>
        </w:tc>
        <w:tc>
          <w:tcPr>
            <w:tcW w:w="760" w:type="dxa"/>
            <w:vAlign w:val="bottom"/>
          </w:tcPr>
          <w:p>
            <w:pPr>
              <w:jc w:val="right"/>
              <w:ind w:right="110"/>
              <w:spacing w:after="0" w:line="156"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520" w:type="dxa"/>
            <w:vAlign w:val="bottom"/>
          </w:tcPr>
          <w:p>
            <w:pPr>
              <w:jc w:val="right"/>
              <w:spacing w:after="0" w:line="156" w:lineRule="exact"/>
              <w:rPr>
                <w:sz w:val="20"/>
                <w:szCs w:val="20"/>
                <w:color w:val="auto"/>
              </w:rPr>
            </w:pPr>
            <w:r>
              <w:rPr>
                <w:rFonts w:ascii="Arial" w:cs="Arial" w:eastAsia="Arial" w:hAnsi="Arial"/>
                <w:sz w:val="14"/>
                <w:szCs w:val="14"/>
                <w:color w:val="auto"/>
              </w:rPr>
              <w:t>19,152</w:t>
            </w:r>
          </w:p>
        </w:tc>
      </w:tr>
      <w:tr>
        <w:trPr>
          <w:trHeight w:val="156"/>
        </w:trPr>
        <w:tc>
          <w:tcPr>
            <w:tcW w:w="244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4"/>
                <w:szCs w:val="14"/>
                <w:color w:val="auto"/>
              </w:rPr>
              <w:t>Trade names</w:t>
            </w:r>
          </w:p>
        </w:tc>
        <w:tc>
          <w:tcPr>
            <w:tcW w:w="4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111"/>
              <w:spacing w:after="0" w:line="156" w:lineRule="exact"/>
              <w:rPr>
                <w:sz w:val="20"/>
                <w:szCs w:val="20"/>
                <w:color w:val="auto"/>
              </w:rPr>
            </w:pPr>
            <w:r>
              <w:rPr>
                <w:rFonts w:ascii="Arial" w:cs="Arial" w:eastAsia="Arial" w:hAnsi="Arial"/>
                <w:sz w:val="14"/>
                <w:szCs w:val="14"/>
                <w:color w:val="auto"/>
              </w:rPr>
              <w:t>280</w:t>
            </w:r>
          </w:p>
        </w:tc>
        <w:tc>
          <w:tcPr>
            <w:tcW w:w="3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110"/>
              <w:spacing w:after="0" w:line="156" w:lineRule="exact"/>
              <w:rPr>
                <w:sz w:val="20"/>
                <w:szCs w:val="20"/>
                <w:color w:val="auto"/>
              </w:rPr>
            </w:pPr>
            <w:r>
              <w:rPr>
                <w:rFonts w:ascii="Arial" w:cs="Arial" w:eastAsia="Arial" w:hAnsi="Arial"/>
                <w:sz w:val="14"/>
                <w:szCs w:val="14"/>
                <w:color w:val="auto"/>
              </w:rPr>
              <w:t>2,565</w:t>
            </w:r>
          </w:p>
        </w:tc>
        <w:tc>
          <w:tcPr>
            <w:tcW w:w="30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2,845</w:t>
            </w:r>
          </w:p>
        </w:tc>
      </w:tr>
      <w:tr>
        <w:trPr>
          <w:trHeight w:val="155"/>
        </w:trPr>
        <w:tc>
          <w:tcPr>
            <w:tcW w:w="244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Total</w:t>
            </w:r>
          </w:p>
        </w:tc>
        <w:tc>
          <w:tcPr>
            <w:tcW w:w="460" w:type="dxa"/>
            <w:vAlign w:val="bottom"/>
            <w:tcBorders>
              <w:bottom w:val="single" w:sz="8" w:color="auto"/>
            </w:tcBorders>
          </w:tcPr>
          <w:p>
            <w:pPr>
              <w:ind w:left="340"/>
              <w:spacing w:after="0" w:line="149"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111"/>
              <w:spacing w:after="0" w:line="149" w:lineRule="exact"/>
              <w:rPr>
                <w:sz w:val="20"/>
                <w:szCs w:val="20"/>
                <w:color w:val="auto"/>
              </w:rPr>
            </w:pPr>
            <w:r>
              <w:rPr>
                <w:rFonts w:ascii="Arial" w:cs="Arial" w:eastAsia="Arial" w:hAnsi="Arial"/>
                <w:sz w:val="14"/>
                <w:szCs w:val="14"/>
                <w:color w:val="auto"/>
              </w:rPr>
              <w:t>26,032</w:t>
            </w:r>
          </w:p>
        </w:tc>
        <w:tc>
          <w:tcPr>
            <w:tcW w:w="320" w:type="dxa"/>
            <w:vAlign w:val="bottom"/>
            <w:tcBorders>
              <w:bottom w:val="single" w:sz="8" w:color="auto"/>
            </w:tcBorders>
          </w:tcPr>
          <w:p>
            <w:pPr>
              <w:ind w:left="180"/>
              <w:spacing w:after="0" w:line="149"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110"/>
              <w:spacing w:after="0" w:line="149" w:lineRule="exact"/>
              <w:rPr>
                <w:sz w:val="20"/>
                <w:szCs w:val="20"/>
                <w:color w:val="auto"/>
              </w:rPr>
            </w:pPr>
            <w:r>
              <w:rPr>
                <w:rFonts w:ascii="Arial" w:cs="Arial" w:eastAsia="Arial" w:hAnsi="Arial"/>
                <w:sz w:val="14"/>
                <w:szCs w:val="14"/>
                <w:color w:val="auto"/>
              </w:rPr>
              <w:t>2,565</w:t>
            </w:r>
          </w:p>
        </w:tc>
        <w:tc>
          <w:tcPr>
            <w:tcW w:w="3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28,597</w:t>
            </w:r>
          </w:p>
        </w:tc>
      </w:tr>
    </w:tbl>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During 2017, the Company acquired $10,270,000 of intangibles, consisting of the following: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b w:val="1"/>
          <w:bCs w:val="1"/>
          <w:color w:val="0085CD"/>
        </w:rPr>
        <w:t>Note C: Business Combinations</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8D5D6C"/>
        </w:rPr>
        <w:t>Completed Acquisitions</w:t>
      </w:r>
    </w:p>
    <w:p>
      <w:pPr>
        <w:jc w:val="both"/>
        <w:spacing w:after="0"/>
        <w:rPr>
          <w:sz w:val="20"/>
          <w:szCs w:val="20"/>
          <w:color w:val="auto"/>
        </w:rPr>
      </w:pPr>
      <w:r>
        <w:rPr>
          <w:rFonts w:ascii="Arial" w:cs="Arial" w:eastAsia="Arial" w:hAnsi="Arial"/>
          <w:sz w:val="16"/>
          <w:szCs w:val="16"/>
          <w:color w:val="auto"/>
        </w:rPr>
        <w:t>In February 2016, the Company acquired the outstanding stock of Rocky Mountain Materials and Asphalt, Inc. and Rocky Mountain Premix, Inc. The acquisition provides more than 500 million tons of mineral reserves and expands the Company’s presence along the Front Range of the Rocky Mountains, home to 80% of Colorado’s population. The acquired operations are reported within the West Group.</w:t>
      </w:r>
    </w:p>
    <w:p>
      <w:pPr>
        <w:spacing w:after="0" w:line="194"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In July 2016, the Company acquired the remaining interest in Ratliff Ready-Mix, L.P. (Ratliff), which operates ready mixed concrete plants in central Texas. These operations are reported in the West Group. Prior to the acquisition, the Company owned a 40% interest in Ratliff which was accounted for under the equity method. The Company was required to remeasure the existing 40% interest in Ratliff at fair value upon closing of the transaction, resulting in a gain of $5,863,000, which is recorded in other nonoperating income, net.</w:t>
      </w:r>
    </w:p>
    <w:p>
      <w:pPr>
        <w:spacing w:after="0" w:line="195" w:lineRule="exact"/>
        <w:rPr>
          <w:sz w:val="20"/>
          <w:szCs w:val="20"/>
          <w:color w:val="auto"/>
        </w:rPr>
      </w:pPr>
    </w:p>
    <w:p>
      <w:pPr>
        <w:sectPr>
          <w:pgSz w:w="11900" w:h="16838" w:orient="portrait"/>
          <w:cols w:equalWidth="0" w:num="2">
            <w:col w:w="5480" w:space="360"/>
            <w:col w:w="5580"/>
          </w:cols>
          <w:pgMar w:left="240" w:top="260" w:right="239" w:bottom="1440" w:gutter="0" w:footer="0" w:header="0"/>
          <w:type w:val="continuous"/>
        </w:sectPr>
      </w:pP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380" w:type="dxa"/>
            <w:vAlign w:val="bottom"/>
          </w:tcPr>
          <w:p>
            <w:pPr>
              <w:spacing w:after="0"/>
              <w:rPr>
                <w:sz w:val="14"/>
                <w:szCs w:val="14"/>
                <w:color w:val="auto"/>
              </w:rPr>
            </w:pPr>
          </w:p>
        </w:tc>
        <w:tc>
          <w:tcPr>
            <w:tcW w:w="1260" w:type="dxa"/>
            <w:vAlign w:val="bottom"/>
            <w:gridSpan w:val="2"/>
            <w:vMerge w:val="restart"/>
          </w:tcPr>
          <w:p>
            <w:pPr>
              <w:jc w:val="right"/>
              <w:ind w:right="6"/>
              <w:spacing w:after="0"/>
              <w:rPr>
                <w:sz w:val="20"/>
                <w:szCs w:val="20"/>
                <w:color w:val="auto"/>
              </w:rPr>
            </w:pPr>
            <w:r>
              <w:rPr>
                <w:rFonts w:ascii="Arial" w:cs="Arial" w:eastAsia="Arial" w:hAnsi="Arial"/>
                <w:sz w:val="15"/>
                <w:szCs w:val="15"/>
                <w:b w:val="1"/>
                <w:bCs w:val="1"/>
                <w:color w:val="auto"/>
              </w:rPr>
              <w:t>Amount</w:t>
            </w:r>
          </w:p>
        </w:tc>
        <w:tc>
          <w:tcPr>
            <w:tcW w:w="1840" w:type="dxa"/>
            <w:vAlign w:val="bottom"/>
          </w:tcPr>
          <w:p>
            <w:pPr>
              <w:jc w:val="center"/>
              <w:ind w:left="306"/>
              <w:spacing w:after="0"/>
              <w:rPr>
                <w:sz w:val="20"/>
                <w:szCs w:val="20"/>
                <w:color w:val="auto"/>
              </w:rPr>
            </w:pPr>
            <w:r>
              <w:rPr>
                <w:rFonts w:ascii="Arial" w:cs="Arial" w:eastAsia="Arial" w:hAnsi="Arial"/>
                <w:sz w:val="15"/>
                <w:szCs w:val="15"/>
                <w:b w:val="1"/>
                <w:bCs w:val="1"/>
                <w:color w:val="auto"/>
                <w:w w:val="97"/>
              </w:rPr>
              <w:t>Weighted-average</w:t>
            </w:r>
          </w:p>
        </w:tc>
        <w:tc>
          <w:tcPr>
            <w:tcW w:w="0" w:type="dxa"/>
            <w:vAlign w:val="bottom"/>
          </w:tcPr>
          <w:p>
            <w:pPr>
              <w:spacing w:after="0"/>
              <w:rPr>
                <w:sz w:val="1"/>
                <w:szCs w:val="1"/>
                <w:color w:val="auto"/>
              </w:rPr>
            </w:pPr>
          </w:p>
        </w:tc>
      </w:tr>
      <w:tr>
        <w:trPr>
          <w:trHeight w:val="177"/>
        </w:trPr>
        <w:tc>
          <w:tcPr>
            <w:tcW w:w="23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(add 000, except year data)</w:t>
            </w:r>
          </w:p>
        </w:tc>
        <w:tc>
          <w:tcPr>
            <w:tcW w:w="1260" w:type="dxa"/>
            <w:vAlign w:val="bottom"/>
            <w:tcBorders>
              <w:bottom w:val="single" w:sz="8" w:color="auto"/>
            </w:tcBorders>
            <w:gridSpan w:val="2"/>
            <w:vMerge w:val="continue"/>
          </w:tcPr>
          <w:p>
            <w:pPr>
              <w:spacing w:after="0"/>
              <w:rPr>
                <w:sz w:val="15"/>
                <w:szCs w:val="15"/>
                <w:color w:val="auto"/>
              </w:rPr>
            </w:pPr>
          </w:p>
        </w:tc>
        <w:tc>
          <w:tcPr>
            <w:tcW w:w="1840" w:type="dxa"/>
            <w:vAlign w:val="bottom"/>
            <w:tcBorders>
              <w:bottom w:val="single" w:sz="8" w:color="auto"/>
            </w:tcBorders>
          </w:tcPr>
          <w:p>
            <w:pPr>
              <w:jc w:val="center"/>
              <w:ind w:left="286"/>
              <w:spacing w:after="0"/>
              <w:rPr>
                <w:sz w:val="20"/>
                <w:szCs w:val="20"/>
                <w:color w:val="auto"/>
              </w:rPr>
            </w:pPr>
            <w:r>
              <w:rPr>
                <w:rFonts w:ascii="Arial" w:cs="Arial" w:eastAsia="Arial" w:hAnsi="Arial"/>
                <w:sz w:val="15"/>
                <w:szCs w:val="15"/>
                <w:b w:val="1"/>
                <w:bCs w:val="1"/>
                <w:color w:val="auto"/>
                <w:w w:val="97"/>
              </w:rPr>
              <w:t>amortization period</w:t>
            </w:r>
          </w:p>
        </w:tc>
        <w:tc>
          <w:tcPr>
            <w:tcW w:w="0" w:type="dxa"/>
            <w:vAlign w:val="bottom"/>
          </w:tcPr>
          <w:p>
            <w:pPr>
              <w:spacing w:after="0"/>
              <w:rPr>
                <w:sz w:val="1"/>
                <w:szCs w:val="1"/>
                <w:color w:val="auto"/>
              </w:rPr>
            </w:pPr>
          </w:p>
        </w:tc>
      </w:tr>
      <w:tr>
        <w:trPr>
          <w:trHeight w:val="149"/>
        </w:trPr>
        <w:tc>
          <w:tcPr>
            <w:tcW w:w="238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Subject to amortization:</w:t>
            </w:r>
          </w:p>
        </w:tc>
        <w:tc>
          <w:tcPr>
            <w:tcW w:w="7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2380" w:type="dxa"/>
            <w:vAlign w:val="bottom"/>
          </w:tcPr>
          <w:p>
            <w:pPr>
              <w:ind w:left="80"/>
              <w:spacing w:after="0"/>
              <w:rPr>
                <w:sz w:val="20"/>
                <w:szCs w:val="20"/>
                <w:color w:val="auto"/>
              </w:rPr>
            </w:pPr>
            <w:r>
              <w:rPr>
                <w:rFonts w:ascii="Arial" w:cs="Arial" w:eastAsia="Arial" w:hAnsi="Arial"/>
                <w:sz w:val="15"/>
                <w:szCs w:val="15"/>
                <w:color w:val="auto"/>
              </w:rPr>
              <w:t>Operating permits</w:t>
            </w: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4,990</w:t>
            </w:r>
          </w:p>
        </w:tc>
        <w:tc>
          <w:tcPr>
            <w:tcW w:w="1840" w:type="dxa"/>
            <w:vAlign w:val="bottom"/>
          </w:tcPr>
          <w:p>
            <w:pPr>
              <w:jc w:val="center"/>
              <w:ind w:left="406"/>
              <w:spacing w:after="0"/>
              <w:rPr>
                <w:sz w:val="20"/>
                <w:szCs w:val="20"/>
                <w:color w:val="auto"/>
              </w:rPr>
            </w:pPr>
            <w:r>
              <w:rPr>
                <w:rFonts w:ascii="Arial" w:cs="Arial" w:eastAsia="Arial" w:hAnsi="Arial"/>
                <w:sz w:val="15"/>
                <w:szCs w:val="15"/>
                <w:color w:val="auto"/>
                <w:w w:val="97"/>
              </w:rPr>
              <w:t>40 years</w:t>
            </w:r>
          </w:p>
        </w:tc>
        <w:tc>
          <w:tcPr>
            <w:tcW w:w="0" w:type="dxa"/>
            <w:vAlign w:val="bottom"/>
          </w:tcPr>
          <w:p>
            <w:pPr>
              <w:spacing w:after="0"/>
              <w:rPr>
                <w:sz w:val="1"/>
                <w:szCs w:val="1"/>
                <w:color w:val="auto"/>
              </w:rPr>
            </w:pPr>
          </w:p>
        </w:tc>
      </w:tr>
      <w:tr>
        <w:trPr>
          <w:trHeight w:val="44"/>
        </w:trPr>
        <w:tc>
          <w:tcPr>
            <w:tcW w:w="2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38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Not subject to amortization:</w:t>
            </w:r>
          </w:p>
        </w:tc>
        <w:tc>
          <w:tcPr>
            <w:tcW w:w="7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380" w:type="dxa"/>
            <w:vAlign w:val="bottom"/>
            <w:tcBorders>
              <w:bottom w:val="single" w:sz="8" w:color="auto"/>
            </w:tcBorders>
          </w:tcPr>
          <w:p>
            <w:pPr>
              <w:ind w:left="80"/>
              <w:spacing w:after="0" w:line="156" w:lineRule="exact"/>
              <w:rPr>
                <w:sz w:val="20"/>
                <w:szCs w:val="20"/>
                <w:color w:val="auto"/>
              </w:rPr>
            </w:pPr>
            <w:r>
              <w:rPr>
                <w:rFonts w:ascii="Arial" w:cs="Arial" w:eastAsia="Arial" w:hAnsi="Arial"/>
                <w:sz w:val="15"/>
                <w:szCs w:val="15"/>
                <w:color w:val="auto"/>
              </w:rPr>
              <w:t>Use rights</w:t>
            </w:r>
          </w:p>
        </w:tc>
        <w:tc>
          <w:tcPr>
            <w:tcW w:w="7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5,280</w:t>
            </w:r>
          </w:p>
        </w:tc>
        <w:tc>
          <w:tcPr>
            <w:tcW w:w="1840" w:type="dxa"/>
            <w:vAlign w:val="bottom"/>
            <w:tcBorders>
              <w:bottom w:val="single" w:sz="8" w:color="CCEEFF"/>
            </w:tcBorders>
          </w:tcPr>
          <w:p>
            <w:pPr>
              <w:jc w:val="center"/>
              <w:ind w:left="406"/>
              <w:spacing w:after="0" w:line="156" w:lineRule="exact"/>
              <w:rPr>
                <w:sz w:val="20"/>
                <w:szCs w:val="20"/>
                <w:color w:val="auto"/>
              </w:rPr>
            </w:pPr>
            <w:r>
              <w:rPr>
                <w:rFonts w:ascii="Arial" w:cs="Arial" w:eastAsia="Arial" w:hAnsi="Arial"/>
                <w:sz w:val="15"/>
                <w:szCs w:val="15"/>
                <w:color w:val="auto"/>
                <w:w w:val="95"/>
              </w:rPr>
              <w:t>N/A</w:t>
            </w:r>
          </w:p>
        </w:tc>
        <w:tc>
          <w:tcPr>
            <w:tcW w:w="0" w:type="dxa"/>
            <w:vAlign w:val="bottom"/>
          </w:tcPr>
          <w:p>
            <w:pPr>
              <w:spacing w:after="0"/>
              <w:rPr>
                <w:sz w:val="1"/>
                <w:szCs w:val="1"/>
                <w:color w:val="auto"/>
              </w:rPr>
            </w:pPr>
          </w:p>
        </w:tc>
      </w:tr>
      <w:tr>
        <w:trPr>
          <w:trHeight w:val="155"/>
        </w:trPr>
        <w:tc>
          <w:tcPr>
            <w:tcW w:w="238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5"/>
                <w:szCs w:val="15"/>
                <w:color w:val="auto"/>
              </w:rPr>
              <w:t>Total</w:t>
            </w: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10,270</w:t>
            </w:r>
          </w:p>
        </w:tc>
        <w:tc>
          <w:tcPr>
            <w:tcW w:w="18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Total amortization expense for intangible assets for the years ended December 31, 2017, 2016 and 2015 was $14,178,000, $13,922,000 and $13,962,000, respectively.</w:t>
      </w:r>
    </w:p>
    <w:p>
      <w:pPr>
        <w:spacing w:after="0" w:line="18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estimated amortization expense for intangible assets for each of the next five years and thereafter is as follows:</w:t>
      </w: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(add 000)</w:t>
      </w:r>
    </w:p>
    <w:tbl>
      <w:tblPr>
        <w:tblLayout w:type="fixed"/>
        <w:tblInd w:w="0" w:type="dxa"/>
        <w:tblCellMar>
          <w:top w:w="0" w:type="dxa"/>
          <w:left w:w="0" w:type="dxa"/>
          <w:bottom w:w="0" w:type="dxa"/>
          <w:right w:w="0" w:type="dxa"/>
        </w:tblCellMar>
      </w:tblPr>
      <w:tr>
        <w:trPr>
          <w:trHeight w:val="149"/>
        </w:trPr>
        <w:tc>
          <w:tcPr>
            <w:tcW w:w="268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2018</w:t>
            </w:r>
          </w:p>
        </w:tc>
        <w:tc>
          <w:tcPr>
            <w:tcW w:w="2180" w:type="dxa"/>
            <w:vAlign w:val="bottom"/>
            <w:tcBorders>
              <w:top w:val="single" w:sz="8" w:color="auto"/>
            </w:tcBorders>
            <w:shd w:val="clear" w:color="auto" w:fill="CCEEFF"/>
          </w:tcPr>
          <w:p>
            <w:pPr>
              <w:jc w:val="right"/>
              <w:ind w:right="11"/>
              <w:spacing w:after="0" w:line="149"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13,070</w:t>
            </w:r>
          </w:p>
        </w:tc>
      </w:tr>
      <w:tr>
        <w:trPr>
          <w:trHeight w:val="156"/>
        </w:trPr>
        <w:tc>
          <w:tcPr>
            <w:tcW w:w="2680" w:type="dxa"/>
            <w:vAlign w:val="bottom"/>
          </w:tcPr>
          <w:p>
            <w:pPr>
              <w:spacing w:after="0" w:line="156" w:lineRule="exact"/>
              <w:rPr>
                <w:sz w:val="20"/>
                <w:szCs w:val="20"/>
                <w:color w:val="auto"/>
              </w:rPr>
            </w:pPr>
            <w:r>
              <w:rPr>
                <w:rFonts w:ascii="Arial" w:cs="Arial" w:eastAsia="Arial" w:hAnsi="Arial"/>
                <w:sz w:val="14"/>
                <w:szCs w:val="14"/>
                <w:color w:val="auto"/>
              </w:rPr>
              <w:t>2019</w:t>
            </w:r>
          </w:p>
        </w:tc>
        <w:tc>
          <w:tcPr>
            <w:tcW w:w="2180" w:type="dxa"/>
            <w:vAlign w:val="bottom"/>
          </w:tcPr>
          <w:p>
            <w:pPr>
              <w:spacing w:after="0"/>
              <w:rPr>
                <w:sz w:val="13"/>
                <w:szCs w:val="13"/>
                <w:color w:val="auto"/>
              </w:rPr>
            </w:pPr>
          </w:p>
        </w:tc>
        <w:tc>
          <w:tcPr>
            <w:tcW w:w="620" w:type="dxa"/>
            <w:vAlign w:val="bottom"/>
          </w:tcPr>
          <w:p>
            <w:pPr>
              <w:jc w:val="right"/>
              <w:spacing w:after="0" w:line="156" w:lineRule="exact"/>
              <w:rPr>
                <w:sz w:val="20"/>
                <w:szCs w:val="20"/>
                <w:color w:val="auto"/>
              </w:rPr>
            </w:pPr>
            <w:r>
              <w:rPr>
                <w:rFonts w:ascii="Arial" w:cs="Arial" w:eastAsia="Arial" w:hAnsi="Arial"/>
                <w:sz w:val="14"/>
                <w:szCs w:val="14"/>
                <w:color w:val="auto"/>
              </w:rPr>
              <w:t>12,114</w:t>
            </w:r>
          </w:p>
        </w:tc>
      </w:tr>
      <w:tr>
        <w:trPr>
          <w:trHeight w:val="156"/>
        </w:trPr>
        <w:tc>
          <w:tcPr>
            <w:tcW w:w="268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2020</w:t>
            </w:r>
          </w:p>
        </w:tc>
        <w:tc>
          <w:tcPr>
            <w:tcW w:w="2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12,078</w:t>
            </w:r>
          </w:p>
        </w:tc>
      </w:tr>
      <w:tr>
        <w:trPr>
          <w:trHeight w:val="156"/>
        </w:trPr>
        <w:tc>
          <w:tcPr>
            <w:tcW w:w="2680" w:type="dxa"/>
            <w:vAlign w:val="bottom"/>
          </w:tcPr>
          <w:p>
            <w:pPr>
              <w:spacing w:after="0" w:line="156" w:lineRule="exact"/>
              <w:rPr>
                <w:sz w:val="20"/>
                <w:szCs w:val="20"/>
                <w:color w:val="auto"/>
              </w:rPr>
            </w:pPr>
            <w:r>
              <w:rPr>
                <w:rFonts w:ascii="Arial" w:cs="Arial" w:eastAsia="Arial" w:hAnsi="Arial"/>
                <w:sz w:val="14"/>
                <w:szCs w:val="14"/>
                <w:color w:val="auto"/>
              </w:rPr>
              <w:t>2021</w:t>
            </w:r>
          </w:p>
        </w:tc>
        <w:tc>
          <w:tcPr>
            <w:tcW w:w="2180" w:type="dxa"/>
            <w:vAlign w:val="bottom"/>
          </w:tcPr>
          <w:p>
            <w:pPr>
              <w:spacing w:after="0"/>
              <w:rPr>
                <w:sz w:val="13"/>
                <w:szCs w:val="13"/>
                <w:color w:val="auto"/>
              </w:rPr>
            </w:pPr>
          </w:p>
        </w:tc>
        <w:tc>
          <w:tcPr>
            <w:tcW w:w="620" w:type="dxa"/>
            <w:vAlign w:val="bottom"/>
          </w:tcPr>
          <w:p>
            <w:pPr>
              <w:jc w:val="right"/>
              <w:spacing w:after="0" w:line="156" w:lineRule="exact"/>
              <w:rPr>
                <w:sz w:val="20"/>
                <w:szCs w:val="20"/>
                <w:color w:val="auto"/>
              </w:rPr>
            </w:pPr>
            <w:r>
              <w:rPr>
                <w:rFonts w:ascii="Arial" w:cs="Arial" w:eastAsia="Arial" w:hAnsi="Arial"/>
                <w:sz w:val="14"/>
                <w:szCs w:val="14"/>
                <w:color w:val="auto"/>
              </w:rPr>
              <w:t>11,387</w:t>
            </w:r>
          </w:p>
        </w:tc>
      </w:tr>
      <w:tr>
        <w:trPr>
          <w:trHeight w:val="156"/>
        </w:trPr>
        <w:tc>
          <w:tcPr>
            <w:tcW w:w="268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2022</w:t>
            </w:r>
          </w:p>
        </w:tc>
        <w:tc>
          <w:tcPr>
            <w:tcW w:w="2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9,805</w:t>
            </w:r>
          </w:p>
        </w:tc>
      </w:tr>
      <w:tr>
        <w:trPr>
          <w:trHeight w:val="156"/>
        </w:trPr>
        <w:tc>
          <w:tcPr>
            <w:tcW w:w="2680" w:type="dxa"/>
            <w:vAlign w:val="bottom"/>
            <w:tcBorders>
              <w:bottom w:val="single" w:sz="8" w:color="auto"/>
            </w:tcBorders>
          </w:tcPr>
          <w:p>
            <w:pPr>
              <w:spacing w:after="0" w:line="156" w:lineRule="exact"/>
              <w:rPr>
                <w:sz w:val="20"/>
                <w:szCs w:val="20"/>
                <w:color w:val="auto"/>
              </w:rPr>
            </w:pPr>
            <w:r>
              <w:rPr>
                <w:rFonts w:ascii="Arial" w:cs="Arial" w:eastAsia="Arial" w:hAnsi="Arial"/>
                <w:sz w:val="14"/>
                <w:szCs w:val="14"/>
                <w:color w:val="auto"/>
              </w:rPr>
              <w:t>Thereafter</w:t>
            </w:r>
          </w:p>
        </w:tc>
        <w:tc>
          <w:tcPr>
            <w:tcW w:w="2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414,018</w:t>
            </w:r>
          </w:p>
        </w:tc>
      </w:tr>
      <w:tr>
        <w:trPr>
          <w:trHeight w:val="155"/>
        </w:trPr>
        <w:tc>
          <w:tcPr>
            <w:tcW w:w="268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2180" w:type="dxa"/>
            <w:vAlign w:val="bottom"/>
            <w:tcBorders>
              <w:bottom w:val="single" w:sz="8" w:color="auto"/>
            </w:tcBorders>
            <w:shd w:val="clear" w:color="auto" w:fill="CCEEFF"/>
          </w:tcPr>
          <w:p>
            <w:pPr>
              <w:jc w:val="right"/>
              <w:ind w:right="11"/>
              <w:spacing w:after="0" w:line="149"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472,472</w:t>
            </w:r>
          </w:p>
        </w:tc>
      </w:tr>
    </w:tbl>
    <w:p>
      <w:pPr>
        <w:spacing w:after="0" w:line="20" w:lineRule="exact"/>
        <w:rPr>
          <w:sz w:val="20"/>
          <w:szCs w:val="20"/>
          <w:color w:val="auto"/>
        </w:rPr>
      </w:pPr>
      <w:r>
        <w:rPr>
          <w:sz w:val="20"/>
          <w:szCs w:val="20"/>
          <w:color w:val="auto"/>
        </w:rPr>
        <w:br w:type="column"/>
      </w:r>
    </w:p>
    <w:p>
      <w:pPr>
        <w:jc w:val="both"/>
        <w:spacing w:after="0" w:line="253" w:lineRule="auto"/>
        <w:rPr>
          <w:sz w:val="20"/>
          <w:szCs w:val="20"/>
          <w:color w:val="auto"/>
        </w:rPr>
      </w:pPr>
      <w:r>
        <w:rPr>
          <w:rFonts w:ascii="Arial" w:cs="Arial" w:eastAsia="Arial" w:hAnsi="Arial"/>
          <w:sz w:val="16"/>
          <w:szCs w:val="16"/>
          <w:color w:val="auto"/>
        </w:rPr>
        <w:t>The impact of these acquisitions on the operating results was not considered material; therefore, pro forma financial information is not included.</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8D5D6C"/>
        </w:rPr>
        <w:t>Pending Acquisition of Bluegrass Materials</w:t>
      </w:r>
    </w:p>
    <w:p>
      <w:pPr>
        <w:spacing w:after="0" w:line="16"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On June 26, 2017, the Company announced a definitive agreement to acquire Bluegrass Materials Company (Bluegrass) for $1,625,000,000 in cash. The Company will not acquire any of Bluegrass’ cash and cash equivalents nor will it assume any of Bluegrass’ outstanding debt. Bluegrass is the largest privately held, pure-play aggregates business in the United States and has a portfolio of 23 active sites with more than 125 years of strategically-located, high-quality reserves, in Maryland, Georgia, South Carolina, Kentucky, Tennessee and Pennsylvania. These operations complement the Company’s existing southeastern footprint and provide a new growth platform within the southern portion of the Northeast. The Company and Bluegrass are continuing to work closely and cooperatively with the Department of Justice in its review of the proposed transaction. The parties currently anticipate that the proposed acquisition will be completed in the first half of 2018. In 2017, the Company incurred acquisition-related expenses of $8,638,000 for this pending transaction.</w:t>
      </w:r>
    </w:p>
    <w:p>
      <w:pPr>
        <w:spacing w:after="0" w:line="934" w:lineRule="exact"/>
        <w:rPr>
          <w:sz w:val="20"/>
          <w:szCs w:val="20"/>
          <w:color w:val="auto"/>
        </w:rPr>
      </w:pPr>
    </w:p>
    <w:p>
      <w:pPr>
        <w:sectPr>
          <w:pgSz w:w="11900" w:h="16838" w:orient="portrait"/>
          <w:cols w:equalWidth="0" w:num="2">
            <w:col w:w="5480" w:space="360"/>
            <w:col w:w="5580"/>
          </w:cols>
          <w:pgMar w:left="240" w:top="260" w:right="239" w:bottom="1440" w:gutter="0" w:footer="0" w:header="0"/>
          <w:type w:val="continuous"/>
        </w:sectPr>
      </w:pP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22</w:t>
      </w:r>
    </w:p>
    <w:p>
      <w:pPr>
        <w:sectPr>
          <w:pgSz w:w="11900" w:h="16838" w:orient="portrait"/>
          <w:cols w:equalWidth="0" w:num="1">
            <w:col w:w="11420"/>
          </w:cols>
          <w:pgMar w:left="240" w:top="260" w:right="239" w:bottom="1440" w:gutter="0" w:footer="0" w:header="0"/>
          <w:type w:val="continuous"/>
        </w:sectPr>
      </w:pPr>
    </w:p>
    <w:bookmarkStart w:id="75" w:name="page76"/>
    <w:bookmarkEnd w:id="75"/>
    <w:p>
      <w:pPr>
        <w:jc w:val="center"/>
        <w:ind w:right="-19"/>
        <w:spacing w:after="0"/>
        <w:rPr>
          <w:sz w:val="20"/>
          <w:szCs w:val="20"/>
          <w:color w:val="auto"/>
        </w:rPr>
      </w:pPr>
      <w:r>
        <w:rPr>
          <w:rFonts w:ascii="Arial" w:cs="Arial" w:eastAsia="Arial" w:hAnsi="Arial"/>
          <w:sz w:val="17"/>
          <w:szCs w:val="17"/>
          <w:b w:val="1"/>
          <w:bCs w:val="1"/>
          <w:color w:val="0085CD"/>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1">
                      <a:extLst>
                        <a:ext uri="{28A0092B-C50C-407E-A947-70E740481C1C}"/>
                      </a:extLst>
                    </a:blip>
                    <a:srcRect/>
                    <a:stretch>
                      <a:fillRect/>
                    </a:stretch>
                  </pic:blipFill>
                  <pic:spPr bwMode="auto">
                    <a:xfrm>
                      <a:off x="0" y="0"/>
                      <a:ext cx="7293610" cy="37465"/>
                    </a:xfrm>
                    <a:prstGeom prst="rect">
                      <a:avLst/>
                    </a:prstGeom>
                    <a:noFill/>
                  </pic:spPr>
                </pic:pic>
              </a:graphicData>
            </a:graphic>
          </wp:anchor>
        </w:drawing>
        <w:t xml:space="preserve">NOTES TO FINANCIAL STATEMENTS </w:t>
      </w:r>
      <w:r>
        <w:rPr>
          <w:rFonts w:ascii="Arial" w:cs="Arial" w:eastAsia="Arial" w:hAnsi="Arial"/>
          <w:sz w:val="15"/>
          <w:szCs w:val="15"/>
          <w:color w:val="0085CD"/>
        </w:rPr>
        <w:t>(continued)</w:t>
      </w:r>
    </w:p>
    <w:p>
      <w:pPr>
        <w:sectPr>
          <w:pgSz w:w="11900" w:h="16838" w:orient="portrait"/>
          <w:cols w:equalWidth="0" w:num="1">
            <w:col w:w="11420"/>
          </w:cols>
          <w:pgMar w:left="240" w:top="2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color w:val="0085CD"/>
        </w:rPr>
        <w:t>Note D: Accounts Receivable, Net</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20"/>
                <w:szCs w:val="20"/>
                <w:color w:val="auto"/>
              </w:rPr>
            </w:pPr>
            <w:r>
              <w:rPr>
                <w:rFonts w:ascii="Arial" w:cs="Arial" w:eastAsia="Arial" w:hAnsi="Arial"/>
                <w:sz w:val="14"/>
                <w:szCs w:val="14"/>
                <w:i w:val="1"/>
                <w:iCs w:val="1"/>
                <w:color w:val="auto"/>
              </w:rPr>
              <w:t>December 31</w:t>
            </w:r>
          </w:p>
        </w:tc>
        <w:tc>
          <w:tcPr>
            <w:tcW w:w="1100" w:type="dxa"/>
            <w:vAlign w:val="bottom"/>
          </w:tcPr>
          <w:p>
            <w:pPr>
              <w:spacing w:after="0"/>
              <w:rPr>
                <w:sz w:val="14"/>
                <w:szCs w:val="14"/>
                <w:color w:val="auto"/>
              </w:rPr>
            </w:pPr>
          </w:p>
        </w:tc>
        <w:tc>
          <w:tcPr>
            <w:tcW w:w="780" w:type="dxa"/>
            <w:vAlign w:val="bottom"/>
            <w:vMerge w:val="restart"/>
          </w:tcPr>
          <w:p>
            <w:pPr>
              <w:jc w:val="right"/>
              <w:ind w:right="126"/>
              <w:spacing w:after="0"/>
              <w:rPr>
                <w:sz w:val="20"/>
                <w:szCs w:val="20"/>
                <w:color w:val="auto"/>
              </w:rPr>
            </w:pPr>
            <w:r>
              <w:rPr>
                <w:rFonts w:ascii="Arial" w:cs="Arial" w:eastAsia="Arial" w:hAnsi="Arial"/>
                <w:sz w:val="15"/>
                <w:szCs w:val="15"/>
                <w:b w:val="1"/>
                <w:bCs w:val="1"/>
                <w:color w:val="0085CD"/>
              </w:rPr>
              <w:t>2017</w:t>
            </w: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6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(add 000)</w:t>
            </w:r>
          </w:p>
        </w:tc>
        <w:tc>
          <w:tcPr>
            <w:tcW w:w="1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2016</w:t>
            </w:r>
          </w:p>
        </w:tc>
        <w:tc>
          <w:tcPr>
            <w:tcW w:w="0" w:type="dxa"/>
            <w:vAlign w:val="bottom"/>
          </w:tcPr>
          <w:p>
            <w:pPr>
              <w:spacing w:after="0"/>
              <w:rPr>
                <w:sz w:val="1"/>
                <w:szCs w:val="1"/>
                <w:color w:val="auto"/>
              </w:rPr>
            </w:pPr>
          </w:p>
        </w:tc>
      </w:tr>
      <w:tr>
        <w:trPr>
          <w:trHeight w:val="149"/>
        </w:trPr>
        <w:tc>
          <w:tcPr>
            <w:tcW w:w="264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Customer receivables</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780" w:type="dxa"/>
            <w:vAlign w:val="bottom"/>
            <w:shd w:val="clear" w:color="auto" w:fill="CCEEFF"/>
          </w:tcPr>
          <w:p>
            <w:pPr>
              <w:jc w:val="right"/>
              <w:ind w:right="126"/>
              <w:spacing w:after="0" w:line="149" w:lineRule="exact"/>
              <w:rPr>
                <w:sz w:val="20"/>
                <w:szCs w:val="20"/>
                <w:color w:val="auto"/>
              </w:rPr>
            </w:pPr>
            <w:r>
              <w:rPr>
                <w:rFonts w:ascii="Arial" w:cs="Arial" w:eastAsia="Arial" w:hAnsi="Arial"/>
                <w:sz w:val="15"/>
                <w:szCs w:val="15"/>
                <w:b w:val="1"/>
                <w:bCs w:val="1"/>
                <w:color w:val="auto"/>
              </w:rPr>
              <w:t>480,073</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ind w:right="6"/>
              <w:spacing w:after="0" w:line="149" w:lineRule="exact"/>
              <w:rPr>
                <w:sz w:val="20"/>
                <w:szCs w:val="20"/>
                <w:color w:val="auto"/>
              </w:rPr>
            </w:pPr>
            <w:r>
              <w:rPr>
                <w:rFonts w:ascii="Arial" w:cs="Arial" w:eastAsia="Arial" w:hAnsi="Arial"/>
                <w:sz w:val="15"/>
                <w:szCs w:val="15"/>
                <w:color w:val="auto"/>
              </w:rPr>
              <w:t>456,508</w:t>
            </w:r>
          </w:p>
        </w:tc>
        <w:tc>
          <w:tcPr>
            <w:tcW w:w="0" w:type="dxa"/>
            <w:vAlign w:val="bottom"/>
          </w:tcPr>
          <w:p>
            <w:pPr>
              <w:spacing w:after="0"/>
              <w:rPr>
                <w:sz w:val="1"/>
                <w:szCs w:val="1"/>
                <w:color w:val="auto"/>
              </w:rPr>
            </w:pPr>
          </w:p>
        </w:tc>
      </w:tr>
      <w:tr>
        <w:trPr>
          <w:trHeight w:val="156"/>
        </w:trPr>
        <w:tc>
          <w:tcPr>
            <w:tcW w:w="2640" w:type="dxa"/>
            <w:vAlign w:val="bottom"/>
            <w:tcBorders>
              <w:bottom w:val="single" w:sz="8" w:color="auto"/>
            </w:tcBorders>
          </w:tcPr>
          <w:p>
            <w:pPr>
              <w:spacing w:after="0" w:line="156" w:lineRule="exact"/>
              <w:rPr>
                <w:sz w:val="20"/>
                <w:szCs w:val="20"/>
                <w:color w:val="auto"/>
              </w:rPr>
            </w:pPr>
            <w:r>
              <w:rPr>
                <w:rFonts w:ascii="Arial" w:cs="Arial" w:eastAsia="Arial" w:hAnsi="Arial"/>
                <w:sz w:val="15"/>
                <w:szCs w:val="15"/>
                <w:color w:val="auto"/>
              </w:rPr>
              <w:t>Other current receivables</w:t>
            </w:r>
          </w:p>
        </w:tc>
        <w:tc>
          <w:tcPr>
            <w:tcW w:w="1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26"/>
              <w:spacing w:after="0" w:line="156" w:lineRule="exact"/>
              <w:rPr>
                <w:sz w:val="20"/>
                <w:szCs w:val="20"/>
                <w:color w:val="auto"/>
              </w:rPr>
            </w:pPr>
            <w:r>
              <w:rPr>
                <w:rFonts w:ascii="Arial" w:cs="Arial" w:eastAsia="Arial" w:hAnsi="Arial"/>
                <w:sz w:val="15"/>
                <w:szCs w:val="15"/>
                <w:b w:val="1"/>
                <w:bCs w:val="1"/>
                <w:color w:val="auto"/>
              </w:rPr>
              <w:t>9,557</w:t>
            </w:r>
          </w:p>
        </w:tc>
        <w:tc>
          <w:tcPr>
            <w:tcW w:w="3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6"/>
              <w:spacing w:after="0" w:line="156" w:lineRule="exact"/>
              <w:rPr>
                <w:sz w:val="20"/>
                <w:szCs w:val="20"/>
                <w:color w:val="auto"/>
              </w:rPr>
            </w:pPr>
            <w:r>
              <w:rPr>
                <w:rFonts w:ascii="Arial" w:cs="Arial" w:eastAsia="Arial" w:hAnsi="Arial"/>
                <w:sz w:val="15"/>
                <w:szCs w:val="15"/>
                <w:color w:val="auto"/>
              </w:rPr>
              <w:t>7,668</w:t>
            </w:r>
          </w:p>
        </w:tc>
        <w:tc>
          <w:tcPr>
            <w:tcW w:w="0" w:type="dxa"/>
            <w:vAlign w:val="bottom"/>
          </w:tcPr>
          <w:p>
            <w:pPr>
              <w:spacing w:after="0"/>
              <w:rPr>
                <w:sz w:val="1"/>
                <w:szCs w:val="1"/>
                <w:color w:val="auto"/>
              </w:rPr>
            </w:pPr>
          </w:p>
        </w:tc>
      </w:tr>
      <w:tr>
        <w:trPr>
          <w:trHeight w:val="149"/>
        </w:trPr>
        <w:tc>
          <w:tcPr>
            <w:tcW w:w="26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26"/>
              <w:spacing w:after="0" w:line="149" w:lineRule="exact"/>
              <w:rPr>
                <w:sz w:val="20"/>
                <w:szCs w:val="20"/>
                <w:color w:val="auto"/>
              </w:rPr>
            </w:pPr>
            <w:r>
              <w:rPr>
                <w:rFonts w:ascii="Arial" w:cs="Arial" w:eastAsia="Arial" w:hAnsi="Arial"/>
                <w:sz w:val="15"/>
                <w:szCs w:val="15"/>
                <w:b w:val="1"/>
                <w:bCs w:val="1"/>
                <w:color w:val="auto"/>
              </w:rPr>
              <w:t>489,630</w:t>
            </w: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6"/>
              <w:spacing w:after="0" w:line="149" w:lineRule="exact"/>
              <w:rPr>
                <w:sz w:val="20"/>
                <w:szCs w:val="20"/>
                <w:color w:val="auto"/>
              </w:rPr>
            </w:pPr>
            <w:r>
              <w:rPr>
                <w:rFonts w:ascii="Arial" w:cs="Arial" w:eastAsia="Arial" w:hAnsi="Arial"/>
                <w:sz w:val="15"/>
                <w:szCs w:val="15"/>
                <w:color w:val="auto"/>
              </w:rPr>
              <w:t>464,176</w:t>
            </w:r>
          </w:p>
        </w:tc>
        <w:tc>
          <w:tcPr>
            <w:tcW w:w="0" w:type="dxa"/>
            <w:vAlign w:val="bottom"/>
          </w:tcPr>
          <w:p>
            <w:pPr>
              <w:spacing w:after="0"/>
              <w:rPr>
                <w:sz w:val="1"/>
                <w:szCs w:val="1"/>
                <w:color w:val="auto"/>
              </w:rPr>
            </w:pPr>
          </w:p>
        </w:tc>
      </w:tr>
      <w:tr>
        <w:trPr>
          <w:trHeight w:val="156"/>
        </w:trPr>
        <w:tc>
          <w:tcPr>
            <w:tcW w:w="2640" w:type="dxa"/>
            <w:vAlign w:val="bottom"/>
            <w:tcBorders>
              <w:bottom w:val="single" w:sz="8" w:color="auto"/>
            </w:tcBorders>
          </w:tcPr>
          <w:p>
            <w:pPr>
              <w:spacing w:after="0" w:line="156" w:lineRule="exact"/>
              <w:rPr>
                <w:sz w:val="20"/>
                <w:szCs w:val="20"/>
                <w:color w:val="auto"/>
              </w:rPr>
            </w:pPr>
            <w:r>
              <w:rPr>
                <w:rFonts w:ascii="Arial" w:cs="Arial" w:eastAsia="Arial" w:hAnsi="Arial"/>
                <w:sz w:val="15"/>
                <w:szCs w:val="15"/>
                <w:color w:val="auto"/>
              </w:rPr>
              <w:t>Less allowances</w:t>
            </w:r>
          </w:p>
        </w:tc>
        <w:tc>
          <w:tcPr>
            <w:tcW w:w="1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66"/>
              <w:spacing w:after="0" w:line="156" w:lineRule="exact"/>
              <w:rPr>
                <w:sz w:val="20"/>
                <w:szCs w:val="20"/>
                <w:color w:val="auto"/>
              </w:rPr>
            </w:pPr>
            <w:r>
              <w:rPr>
                <w:rFonts w:ascii="Arial" w:cs="Arial" w:eastAsia="Arial" w:hAnsi="Arial"/>
                <w:sz w:val="15"/>
                <w:szCs w:val="15"/>
                <w:b w:val="1"/>
                <w:bCs w:val="1"/>
                <w:color w:val="auto"/>
              </w:rPr>
              <w:t>(2,390)</w:t>
            </w:r>
          </w:p>
        </w:tc>
        <w:tc>
          <w:tcPr>
            <w:tcW w:w="3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(6,266)</w:t>
            </w:r>
          </w:p>
        </w:tc>
        <w:tc>
          <w:tcPr>
            <w:tcW w:w="0" w:type="dxa"/>
            <w:vAlign w:val="bottom"/>
          </w:tcPr>
          <w:p>
            <w:pPr>
              <w:spacing w:after="0"/>
              <w:rPr>
                <w:sz w:val="1"/>
                <w:szCs w:val="1"/>
                <w:color w:val="auto"/>
              </w:rPr>
            </w:pPr>
          </w:p>
        </w:tc>
      </w:tr>
      <w:tr>
        <w:trPr>
          <w:trHeight w:val="155"/>
        </w:trPr>
        <w:tc>
          <w:tcPr>
            <w:tcW w:w="264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5"/>
                <w:szCs w:val="15"/>
                <w:color w:val="auto"/>
              </w:rPr>
              <w:t>Total</w:t>
            </w:r>
          </w:p>
        </w:tc>
        <w:tc>
          <w:tcPr>
            <w:tcW w:w="11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780" w:type="dxa"/>
            <w:vAlign w:val="bottom"/>
            <w:tcBorders>
              <w:bottom w:val="single" w:sz="8" w:color="auto"/>
            </w:tcBorders>
            <w:shd w:val="clear" w:color="auto" w:fill="CCEEFF"/>
          </w:tcPr>
          <w:p>
            <w:pPr>
              <w:jc w:val="right"/>
              <w:ind w:right="126"/>
              <w:spacing w:after="0" w:line="149" w:lineRule="exact"/>
              <w:rPr>
                <w:sz w:val="20"/>
                <w:szCs w:val="20"/>
                <w:color w:val="auto"/>
              </w:rPr>
            </w:pPr>
            <w:r>
              <w:rPr>
                <w:rFonts w:ascii="Arial" w:cs="Arial" w:eastAsia="Arial" w:hAnsi="Arial"/>
                <w:sz w:val="15"/>
                <w:szCs w:val="15"/>
                <w:b w:val="1"/>
                <w:bCs w:val="1"/>
                <w:color w:val="auto"/>
              </w:rPr>
              <w:t>487,240</w:t>
            </w:r>
          </w:p>
        </w:tc>
        <w:tc>
          <w:tcPr>
            <w:tcW w:w="3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shd w:val="clear" w:color="auto" w:fill="CCEEFF"/>
          </w:tcPr>
          <w:p>
            <w:pPr>
              <w:jc w:val="right"/>
              <w:ind w:right="6"/>
              <w:spacing w:after="0" w:line="149" w:lineRule="exact"/>
              <w:rPr>
                <w:sz w:val="20"/>
                <w:szCs w:val="20"/>
                <w:color w:val="auto"/>
              </w:rPr>
            </w:pPr>
            <w:r>
              <w:rPr>
                <w:rFonts w:ascii="Arial" w:cs="Arial" w:eastAsia="Arial" w:hAnsi="Arial"/>
                <w:sz w:val="15"/>
                <w:szCs w:val="15"/>
                <w:color w:val="auto"/>
              </w:rPr>
              <w:t>457,910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Of the total accounts receivable, net, balances, $2,819,000 and $2,578,000 at December 31, 2017 and 2016, respectively, were due from unconsolidated affiliates.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0085CD"/>
        </w:rPr>
        <w:t>Note E: Inventories, Net</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60" w:type="dxa"/>
            <w:vAlign w:val="bottom"/>
          </w:tcPr>
          <w:p>
            <w:pPr>
              <w:spacing w:after="0"/>
              <w:rPr>
                <w:sz w:val="20"/>
                <w:szCs w:val="20"/>
                <w:color w:val="auto"/>
              </w:rPr>
            </w:pPr>
            <w:r>
              <w:rPr>
                <w:rFonts w:ascii="Arial" w:cs="Arial" w:eastAsia="Arial" w:hAnsi="Arial"/>
                <w:sz w:val="14"/>
                <w:szCs w:val="14"/>
                <w:i w:val="1"/>
                <w:iCs w:val="1"/>
                <w:color w:val="auto"/>
              </w:rPr>
              <w:t>December 31</w:t>
            </w:r>
          </w:p>
        </w:tc>
        <w:tc>
          <w:tcPr>
            <w:tcW w:w="660" w:type="dxa"/>
            <w:vAlign w:val="bottom"/>
          </w:tcPr>
          <w:p>
            <w:pPr>
              <w:spacing w:after="0"/>
              <w:rPr>
                <w:sz w:val="14"/>
                <w:szCs w:val="14"/>
                <w:color w:val="auto"/>
              </w:rPr>
            </w:pPr>
          </w:p>
        </w:tc>
        <w:tc>
          <w:tcPr>
            <w:tcW w:w="800" w:type="dxa"/>
            <w:vAlign w:val="bottom"/>
            <w:vMerge w:val="restart"/>
          </w:tcPr>
          <w:p>
            <w:pPr>
              <w:jc w:val="right"/>
              <w:ind w:right="126"/>
              <w:spacing w:after="0"/>
              <w:rPr>
                <w:sz w:val="20"/>
                <w:szCs w:val="20"/>
                <w:color w:val="auto"/>
              </w:rPr>
            </w:pPr>
            <w:r>
              <w:rPr>
                <w:rFonts w:ascii="Arial" w:cs="Arial" w:eastAsia="Arial" w:hAnsi="Arial"/>
                <w:sz w:val="15"/>
                <w:szCs w:val="15"/>
                <w:b w:val="1"/>
                <w:bCs w:val="1"/>
                <w:color w:val="0085CD"/>
              </w:rPr>
              <w:t>2017</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0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(add 000)</w:t>
            </w:r>
          </w:p>
        </w:tc>
        <w:tc>
          <w:tcPr>
            <w:tcW w:w="6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2016</w:t>
            </w:r>
          </w:p>
        </w:tc>
        <w:tc>
          <w:tcPr>
            <w:tcW w:w="0" w:type="dxa"/>
            <w:vAlign w:val="bottom"/>
          </w:tcPr>
          <w:p>
            <w:pPr>
              <w:spacing w:after="0"/>
              <w:rPr>
                <w:sz w:val="1"/>
                <w:szCs w:val="1"/>
                <w:color w:val="auto"/>
              </w:rPr>
            </w:pPr>
          </w:p>
        </w:tc>
      </w:tr>
      <w:tr>
        <w:trPr>
          <w:trHeight w:val="149"/>
        </w:trPr>
        <w:tc>
          <w:tcPr>
            <w:tcW w:w="306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Finished products</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800" w:type="dxa"/>
            <w:vAlign w:val="bottom"/>
            <w:shd w:val="clear" w:color="auto" w:fill="CCEEFF"/>
          </w:tcPr>
          <w:p>
            <w:pPr>
              <w:jc w:val="right"/>
              <w:ind w:right="126"/>
              <w:spacing w:after="0" w:line="149" w:lineRule="exact"/>
              <w:rPr>
                <w:sz w:val="20"/>
                <w:szCs w:val="20"/>
                <w:color w:val="auto"/>
              </w:rPr>
            </w:pPr>
            <w:r>
              <w:rPr>
                <w:rFonts w:ascii="Arial" w:cs="Arial" w:eastAsia="Arial" w:hAnsi="Arial"/>
                <w:sz w:val="15"/>
                <w:szCs w:val="15"/>
                <w:b w:val="1"/>
                <w:bCs w:val="1"/>
                <w:color w:val="auto"/>
              </w:rPr>
              <w:t>552,999</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ind w:right="6"/>
              <w:spacing w:after="0" w:line="149" w:lineRule="exact"/>
              <w:rPr>
                <w:sz w:val="20"/>
                <w:szCs w:val="20"/>
                <w:color w:val="auto"/>
              </w:rPr>
            </w:pPr>
            <w:r>
              <w:rPr>
                <w:rFonts w:ascii="Arial" w:cs="Arial" w:eastAsia="Arial" w:hAnsi="Arial"/>
                <w:sz w:val="15"/>
                <w:szCs w:val="15"/>
                <w:color w:val="auto"/>
              </w:rPr>
              <w:t>479,291</w:t>
            </w:r>
          </w:p>
        </w:tc>
        <w:tc>
          <w:tcPr>
            <w:tcW w:w="0" w:type="dxa"/>
            <w:vAlign w:val="bottom"/>
          </w:tcPr>
          <w:p>
            <w:pPr>
              <w:spacing w:after="0"/>
              <w:rPr>
                <w:sz w:val="1"/>
                <w:szCs w:val="1"/>
                <w:color w:val="auto"/>
              </w:rPr>
            </w:pPr>
          </w:p>
        </w:tc>
      </w:tr>
      <w:tr>
        <w:trPr>
          <w:trHeight w:val="156"/>
        </w:trPr>
        <w:tc>
          <w:tcPr>
            <w:tcW w:w="3060" w:type="dxa"/>
            <w:vAlign w:val="bottom"/>
          </w:tcPr>
          <w:p>
            <w:pPr>
              <w:spacing w:after="0" w:line="156" w:lineRule="exact"/>
              <w:rPr>
                <w:sz w:val="20"/>
                <w:szCs w:val="20"/>
                <w:color w:val="auto"/>
              </w:rPr>
            </w:pPr>
            <w:r>
              <w:rPr>
                <w:rFonts w:ascii="Arial" w:cs="Arial" w:eastAsia="Arial" w:hAnsi="Arial"/>
                <w:sz w:val="15"/>
                <w:szCs w:val="15"/>
                <w:color w:val="auto"/>
              </w:rPr>
              <w:t>Products in process and raw materials</w:t>
            </w:r>
          </w:p>
        </w:tc>
        <w:tc>
          <w:tcPr>
            <w:tcW w:w="660" w:type="dxa"/>
            <w:vAlign w:val="bottom"/>
          </w:tcPr>
          <w:p>
            <w:pPr>
              <w:spacing w:after="0"/>
              <w:rPr>
                <w:sz w:val="13"/>
                <w:szCs w:val="13"/>
                <w:color w:val="auto"/>
              </w:rPr>
            </w:pPr>
          </w:p>
        </w:tc>
        <w:tc>
          <w:tcPr>
            <w:tcW w:w="800" w:type="dxa"/>
            <w:vAlign w:val="bottom"/>
          </w:tcPr>
          <w:p>
            <w:pPr>
              <w:jc w:val="right"/>
              <w:ind w:right="126"/>
              <w:spacing w:after="0" w:line="156" w:lineRule="exact"/>
              <w:rPr>
                <w:sz w:val="20"/>
                <w:szCs w:val="20"/>
                <w:color w:val="auto"/>
              </w:rPr>
            </w:pPr>
            <w:r>
              <w:rPr>
                <w:rFonts w:ascii="Arial" w:cs="Arial" w:eastAsia="Arial" w:hAnsi="Arial"/>
                <w:sz w:val="15"/>
                <w:szCs w:val="15"/>
                <w:b w:val="1"/>
                <w:bCs w:val="1"/>
                <w:color w:val="auto"/>
              </w:rPr>
              <w:t>62,761</w:t>
            </w:r>
          </w:p>
        </w:tc>
        <w:tc>
          <w:tcPr>
            <w:tcW w:w="260" w:type="dxa"/>
            <w:vAlign w:val="bottom"/>
          </w:tcPr>
          <w:p>
            <w:pPr>
              <w:spacing w:after="0"/>
              <w:rPr>
                <w:sz w:val="13"/>
                <w:szCs w:val="13"/>
                <w:color w:val="auto"/>
              </w:rPr>
            </w:pPr>
          </w:p>
        </w:tc>
        <w:tc>
          <w:tcPr>
            <w:tcW w:w="700" w:type="dxa"/>
            <w:vAlign w:val="bottom"/>
          </w:tcPr>
          <w:p>
            <w:pPr>
              <w:jc w:val="right"/>
              <w:ind w:right="6"/>
              <w:spacing w:after="0" w:line="156" w:lineRule="exact"/>
              <w:rPr>
                <w:sz w:val="20"/>
                <w:szCs w:val="20"/>
                <w:color w:val="auto"/>
              </w:rPr>
            </w:pPr>
            <w:r>
              <w:rPr>
                <w:rFonts w:ascii="Arial" w:cs="Arial" w:eastAsia="Arial" w:hAnsi="Arial"/>
                <w:sz w:val="15"/>
                <w:szCs w:val="15"/>
                <w:color w:val="auto"/>
              </w:rPr>
              <w:t>61,171</w:t>
            </w:r>
          </w:p>
        </w:tc>
        <w:tc>
          <w:tcPr>
            <w:tcW w:w="0" w:type="dxa"/>
            <w:vAlign w:val="bottom"/>
          </w:tcPr>
          <w:p>
            <w:pPr>
              <w:spacing w:after="0"/>
              <w:rPr>
                <w:sz w:val="1"/>
                <w:szCs w:val="1"/>
                <w:color w:val="auto"/>
              </w:rPr>
            </w:pPr>
          </w:p>
        </w:tc>
      </w:tr>
      <w:tr>
        <w:trPr>
          <w:trHeight w:val="156"/>
        </w:trPr>
        <w:tc>
          <w:tcPr>
            <w:tcW w:w="306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Supplies and expendable parts</w:t>
            </w:r>
          </w:p>
        </w:tc>
        <w:tc>
          <w:tcPr>
            <w:tcW w:w="66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126"/>
              <w:spacing w:after="0" w:line="156" w:lineRule="exact"/>
              <w:rPr>
                <w:sz w:val="20"/>
                <w:szCs w:val="20"/>
                <w:color w:val="auto"/>
              </w:rPr>
            </w:pPr>
            <w:r>
              <w:rPr>
                <w:rFonts w:ascii="Arial" w:cs="Arial" w:eastAsia="Arial" w:hAnsi="Arial"/>
                <w:sz w:val="15"/>
                <w:szCs w:val="15"/>
                <w:b w:val="1"/>
                <w:bCs w:val="1"/>
                <w:color w:val="auto"/>
              </w:rPr>
              <w:t>128,792</w:t>
            </w:r>
          </w:p>
        </w:tc>
        <w:tc>
          <w:tcPr>
            <w:tcW w:w="26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6"/>
              <w:spacing w:after="0" w:line="156" w:lineRule="exact"/>
              <w:rPr>
                <w:sz w:val="20"/>
                <w:szCs w:val="20"/>
                <w:color w:val="auto"/>
              </w:rPr>
            </w:pPr>
            <w:r>
              <w:rPr>
                <w:rFonts w:ascii="Arial" w:cs="Arial" w:eastAsia="Arial" w:hAnsi="Arial"/>
                <w:sz w:val="15"/>
                <w:szCs w:val="15"/>
                <w:color w:val="auto"/>
              </w:rPr>
              <w:t>116,024</w:t>
            </w: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jc w:val="right"/>
              <w:ind w:right="126"/>
              <w:spacing w:after="0" w:line="149" w:lineRule="exact"/>
              <w:rPr>
                <w:sz w:val="20"/>
                <w:szCs w:val="20"/>
                <w:color w:val="auto"/>
              </w:rPr>
            </w:pPr>
            <w:r>
              <w:rPr>
                <w:rFonts w:ascii="Arial" w:cs="Arial" w:eastAsia="Arial" w:hAnsi="Arial"/>
                <w:sz w:val="15"/>
                <w:szCs w:val="15"/>
                <w:b w:val="1"/>
                <w:bCs w:val="1"/>
                <w:color w:val="auto"/>
              </w:rPr>
              <w:t>744,552</w:t>
            </w:r>
          </w:p>
        </w:tc>
        <w:tc>
          <w:tcPr>
            <w:tcW w:w="260" w:type="dxa"/>
            <w:vAlign w:val="bottom"/>
          </w:tcPr>
          <w:p>
            <w:pPr>
              <w:spacing w:after="0"/>
              <w:rPr>
                <w:sz w:val="12"/>
                <w:szCs w:val="12"/>
                <w:color w:val="auto"/>
              </w:rPr>
            </w:pPr>
          </w:p>
        </w:tc>
        <w:tc>
          <w:tcPr>
            <w:tcW w:w="700" w:type="dxa"/>
            <w:vAlign w:val="bottom"/>
          </w:tcPr>
          <w:p>
            <w:pPr>
              <w:jc w:val="right"/>
              <w:ind w:right="6"/>
              <w:spacing w:after="0" w:line="149" w:lineRule="exact"/>
              <w:rPr>
                <w:sz w:val="20"/>
                <w:szCs w:val="20"/>
                <w:color w:val="auto"/>
              </w:rPr>
            </w:pPr>
            <w:r>
              <w:rPr>
                <w:rFonts w:ascii="Arial" w:cs="Arial" w:eastAsia="Arial" w:hAnsi="Arial"/>
                <w:sz w:val="15"/>
                <w:szCs w:val="15"/>
                <w:color w:val="auto"/>
              </w:rPr>
              <w:t>656,486</w:t>
            </w:r>
          </w:p>
        </w:tc>
        <w:tc>
          <w:tcPr>
            <w:tcW w:w="0" w:type="dxa"/>
            <w:vAlign w:val="bottom"/>
          </w:tcPr>
          <w:p>
            <w:pPr>
              <w:spacing w:after="0"/>
              <w:rPr>
                <w:sz w:val="1"/>
                <w:szCs w:val="1"/>
                <w:color w:val="auto"/>
              </w:rPr>
            </w:pPr>
          </w:p>
        </w:tc>
      </w:tr>
      <w:tr>
        <w:trPr>
          <w:trHeight w:val="156"/>
        </w:trPr>
        <w:tc>
          <w:tcPr>
            <w:tcW w:w="306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Less allowances</w:t>
            </w:r>
          </w:p>
        </w:tc>
        <w:tc>
          <w:tcPr>
            <w:tcW w:w="66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66"/>
              <w:spacing w:after="0" w:line="156" w:lineRule="exact"/>
              <w:rPr>
                <w:sz w:val="20"/>
                <w:szCs w:val="20"/>
                <w:color w:val="auto"/>
              </w:rPr>
            </w:pPr>
            <w:r>
              <w:rPr>
                <w:rFonts w:ascii="Arial" w:cs="Arial" w:eastAsia="Arial" w:hAnsi="Arial"/>
                <w:sz w:val="15"/>
                <w:szCs w:val="15"/>
                <w:b w:val="1"/>
                <w:bCs w:val="1"/>
                <w:color w:val="auto"/>
                <w:w w:val="99"/>
              </w:rPr>
              <w:t>(143,961)</w:t>
            </w:r>
          </w:p>
        </w:tc>
        <w:tc>
          <w:tcPr>
            <w:tcW w:w="26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9"/>
              </w:rPr>
              <w:t>(134,862)</w:t>
            </w:r>
          </w:p>
        </w:tc>
        <w:tc>
          <w:tcPr>
            <w:tcW w:w="0" w:type="dxa"/>
            <w:vAlign w:val="bottom"/>
          </w:tcPr>
          <w:p>
            <w:pPr>
              <w:spacing w:after="0"/>
              <w:rPr>
                <w:sz w:val="1"/>
                <w:szCs w:val="1"/>
                <w:color w:val="auto"/>
              </w:rPr>
            </w:pPr>
          </w:p>
        </w:tc>
      </w:tr>
      <w:tr>
        <w:trPr>
          <w:trHeight w:val="155"/>
        </w:trPr>
        <w:tc>
          <w:tcPr>
            <w:tcW w:w="3060" w:type="dxa"/>
            <w:vAlign w:val="bottom"/>
            <w:tcBorders>
              <w:bottom w:val="single" w:sz="8" w:color="auto"/>
            </w:tcBorders>
          </w:tcPr>
          <w:p>
            <w:pPr>
              <w:spacing w:after="0" w:line="149" w:lineRule="exact"/>
              <w:rPr>
                <w:sz w:val="20"/>
                <w:szCs w:val="20"/>
                <w:color w:val="auto"/>
              </w:rPr>
            </w:pPr>
            <w:r>
              <w:rPr>
                <w:rFonts w:ascii="Arial" w:cs="Arial" w:eastAsia="Arial" w:hAnsi="Arial"/>
                <w:sz w:val="15"/>
                <w:szCs w:val="15"/>
                <w:color w:val="auto"/>
              </w:rPr>
              <w:t>Total</w:t>
            </w: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800" w:type="dxa"/>
            <w:vAlign w:val="bottom"/>
            <w:tcBorders>
              <w:bottom w:val="single" w:sz="8" w:color="auto"/>
            </w:tcBorders>
          </w:tcPr>
          <w:p>
            <w:pPr>
              <w:jc w:val="right"/>
              <w:ind w:right="126"/>
              <w:spacing w:after="0" w:line="149" w:lineRule="exact"/>
              <w:rPr>
                <w:sz w:val="20"/>
                <w:szCs w:val="20"/>
                <w:color w:val="auto"/>
              </w:rPr>
            </w:pPr>
            <w:r>
              <w:rPr>
                <w:rFonts w:ascii="Arial" w:cs="Arial" w:eastAsia="Arial" w:hAnsi="Arial"/>
                <w:sz w:val="15"/>
                <w:szCs w:val="15"/>
                <w:b w:val="1"/>
                <w:bCs w:val="1"/>
                <w:color w:val="auto"/>
              </w:rPr>
              <w:t>600,591</w:t>
            </w:r>
          </w:p>
        </w:tc>
        <w:tc>
          <w:tcPr>
            <w:tcW w:w="2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tcPr>
          <w:p>
            <w:pPr>
              <w:jc w:val="right"/>
              <w:ind w:right="6"/>
              <w:spacing w:after="0" w:line="149" w:lineRule="exact"/>
              <w:rPr>
                <w:sz w:val="20"/>
                <w:szCs w:val="20"/>
                <w:color w:val="auto"/>
              </w:rPr>
            </w:pPr>
            <w:r>
              <w:rPr>
                <w:rFonts w:ascii="Arial" w:cs="Arial" w:eastAsia="Arial" w:hAnsi="Arial"/>
                <w:sz w:val="15"/>
                <w:szCs w:val="15"/>
                <w:color w:val="auto"/>
              </w:rPr>
              <w:t>521,624</w:t>
            </w:r>
          </w:p>
        </w:tc>
        <w:tc>
          <w:tcPr>
            <w:tcW w:w="0" w:type="dxa"/>
            <w:vAlign w:val="bottom"/>
          </w:tcPr>
          <w:p>
            <w:pPr>
              <w:spacing w:after="0"/>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0085CD"/>
        </w:rPr>
        <w:t>Note F: Property, Plant and Equipment, Net</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80" w:type="dxa"/>
            <w:vAlign w:val="bottom"/>
          </w:tcPr>
          <w:p>
            <w:pPr>
              <w:spacing w:after="0"/>
              <w:rPr>
                <w:sz w:val="20"/>
                <w:szCs w:val="20"/>
                <w:color w:val="auto"/>
              </w:rPr>
            </w:pPr>
            <w:r>
              <w:rPr>
                <w:rFonts w:ascii="Arial" w:cs="Arial" w:eastAsia="Arial" w:hAnsi="Arial"/>
                <w:sz w:val="14"/>
                <w:szCs w:val="14"/>
                <w:i w:val="1"/>
                <w:iCs w:val="1"/>
                <w:color w:val="auto"/>
              </w:rPr>
              <w:t>December 31</w:t>
            </w:r>
          </w:p>
        </w:tc>
        <w:tc>
          <w:tcPr>
            <w:tcW w:w="280" w:type="dxa"/>
            <w:vAlign w:val="bottom"/>
          </w:tcPr>
          <w:p>
            <w:pPr>
              <w:spacing w:after="0"/>
              <w:rPr>
                <w:sz w:val="14"/>
                <w:szCs w:val="14"/>
                <w:color w:val="auto"/>
              </w:rPr>
            </w:pPr>
          </w:p>
        </w:tc>
        <w:tc>
          <w:tcPr>
            <w:tcW w:w="940" w:type="dxa"/>
            <w:vAlign w:val="bottom"/>
            <w:vMerge w:val="restart"/>
          </w:tcPr>
          <w:p>
            <w:pPr>
              <w:jc w:val="right"/>
              <w:ind w:right="146"/>
              <w:spacing w:after="0"/>
              <w:rPr>
                <w:sz w:val="20"/>
                <w:szCs w:val="20"/>
                <w:color w:val="auto"/>
              </w:rPr>
            </w:pPr>
            <w:r>
              <w:rPr>
                <w:rFonts w:ascii="Arial" w:cs="Arial" w:eastAsia="Arial" w:hAnsi="Arial"/>
                <w:sz w:val="15"/>
                <w:szCs w:val="15"/>
                <w:b w:val="1"/>
                <w:bCs w:val="1"/>
                <w:color w:val="0085CD"/>
              </w:rPr>
              <w:t>2017</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1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(add 000)</w:t>
            </w: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2016</w:t>
            </w:r>
          </w:p>
        </w:tc>
        <w:tc>
          <w:tcPr>
            <w:tcW w:w="0" w:type="dxa"/>
            <w:vAlign w:val="bottom"/>
          </w:tcPr>
          <w:p>
            <w:pPr>
              <w:spacing w:after="0"/>
              <w:rPr>
                <w:sz w:val="1"/>
                <w:szCs w:val="1"/>
                <w:color w:val="auto"/>
              </w:rPr>
            </w:pPr>
          </w:p>
        </w:tc>
      </w:tr>
      <w:tr>
        <w:trPr>
          <w:trHeight w:val="149"/>
        </w:trPr>
        <w:tc>
          <w:tcPr>
            <w:tcW w:w="318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Land and land improvements</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940" w:type="dxa"/>
            <w:vAlign w:val="bottom"/>
            <w:shd w:val="clear" w:color="auto" w:fill="CCEEFF"/>
          </w:tcPr>
          <w:p>
            <w:pPr>
              <w:jc w:val="right"/>
              <w:ind w:right="146"/>
              <w:spacing w:after="0" w:line="149" w:lineRule="exact"/>
              <w:rPr>
                <w:sz w:val="20"/>
                <w:szCs w:val="20"/>
                <w:color w:val="auto"/>
              </w:rPr>
            </w:pPr>
            <w:r>
              <w:rPr>
                <w:rFonts w:ascii="Arial" w:cs="Arial" w:eastAsia="Arial" w:hAnsi="Arial"/>
                <w:sz w:val="15"/>
                <w:szCs w:val="15"/>
                <w:b w:val="1"/>
                <w:bCs w:val="1"/>
                <w:color w:val="auto"/>
              </w:rPr>
              <w:t>974,622</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ind w:right="6"/>
              <w:spacing w:after="0" w:line="149" w:lineRule="exact"/>
              <w:rPr>
                <w:sz w:val="20"/>
                <w:szCs w:val="20"/>
                <w:color w:val="auto"/>
              </w:rPr>
            </w:pPr>
            <w:r>
              <w:rPr>
                <w:rFonts w:ascii="Arial" w:cs="Arial" w:eastAsia="Arial" w:hAnsi="Arial"/>
                <w:sz w:val="15"/>
                <w:szCs w:val="15"/>
                <w:color w:val="auto"/>
              </w:rPr>
              <w:t>915,158</w:t>
            </w:r>
          </w:p>
        </w:tc>
        <w:tc>
          <w:tcPr>
            <w:tcW w:w="0" w:type="dxa"/>
            <w:vAlign w:val="bottom"/>
          </w:tcPr>
          <w:p>
            <w:pPr>
              <w:spacing w:after="0"/>
              <w:rPr>
                <w:sz w:val="1"/>
                <w:szCs w:val="1"/>
                <w:color w:val="auto"/>
              </w:rPr>
            </w:pPr>
          </w:p>
        </w:tc>
      </w:tr>
      <w:tr>
        <w:trPr>
          <w:trHeight w:val="156"/>
        </w:trPr>
        <w:tc>
          <w:tcPr>
            <w:tcW w:w="3180" w:type="dxa"/>
            <w:vAlign w:val="bottom"/>
          </w:tcPr>
          <w:p>
            <w:pPr>
              <w:spacing w:after="0" w:line="156" w:lineRule="exact"/>
              <w:rPr>
                <w:sz w:val="20"/>
                <w:szCs w:val="20"/>
                <w:color w:val="auto"/>
              </w:rPr>
            </w:pPr>
            <w:r>
              <w:rPr>
                <w:rFonts w:ascii="Arial" w:cs="Arial" w:eastAsia="Arial" w:hAnsi="Arial"/>
                <w:sz w:val="15"/>
                <w:szCs w:val="15"/>
                <w:color w:val="auto"/>
              </w:rPr>
              <w:t>Mineral reserves and interests</w:t>
            </w:r>
          </w:p>
        </w:tc>
        <w:tc>
          <w:tcPr>
            <w:tcW w:w="280" w:type="dxa"/>
            <w:vAlign w:val="bottom"/>
          </w:tcPr>
          <w:p>
            <w:pPr>
              <w:spacing w:after="0"/>
              <w:rPr>
                <w:sz w:val="13"/>
                <w:szCs w:val="13"/>
                <w:color w:val="auto"/>
              </w:rPr>
            </w:pPr>
          </w:p>
        </w:tc>
        <w:tc>
          <w:tcPr>
            <w:tcW w:w="940" w:type="dxa"/>
            <w:vAlign w:val="bottom"/>
          </w:tcPr>
          <w:p>
            <w:pPr>
              <w:jc w:val="right"/>
              <w:ind w:right="146"/>
              <w:spacing w:after="0" w:line="156" w:lineRule="exact"/>
              <w:rPr>
                <w:sz w:val="20"/>
                <w:szCs w:val="20"/>
                <w:color w:val="auto"/>
              </w:rPr>
            </w:pPr>
            <w:r>
              <w:rPr>
                <w:rFonts w:ascii="Arial" w:cs="Arial" w:eastAsia="Arial" w:hAnsi="Arial"/>
                <w:sz w:val="15"/>
                <w:szCs w:val="15"/>
                <w:b w:val="1"/>
                <w:bCs w:val="1"/>
                <w:color w:val="auto"/>
              </w:rPr>
              <w:t>1,162,289</w:t>
            </w:r>
          </w:p>
        </w:tc>
        <w:tc>
          <w:tcPr>
            <w:tcW w:w="260" w:type="dxa"/>
            <w:vAlign w:val="bottom"/>
          </w:tcPr>
          <w:p>
            <w:pPr>
              <w:spacing w:after="0"/>
              <w:rPr>
                <w:sz w:val="13"/>
                <w:szCs w:val="13"/>
                <w:color w:val="auto"/>
              </w:rPr>
            </w:pPr>
          </w:p>
        </w:tc>
        <w:tc>
          <w:tcPr>
            <w:tcW w:w="820" w:type="dxa"/>
            <w:vAlign w:val="bottom"/>
          </w:tcPr>
          <w:p>
            <w:pPr>
              <w:jc w:val="right"/>
              <w:ind w:right="6"/>
              <w:spacing w:after="0" w:line="156" w:lineRule="exact"/>
              <w:rPr>
                <w:sz w:val="20"/>
                <w:szCs w:val="20"/>
                <w:color w:val="auto"/>
              </w:rPr>
            </w:pPr>
            <w:r>
              <w:rPr>
                <w:rFonts w:ascii="Arial" w:cs="Arial" w:eastAsia="Arial" w:hAnsi="Arial"/>
                <w:sz w:val="15"/>
                <w:szCs w:val="15"/>
                <w:color w:val="auto"/>
              </w:rPr>
              <w:t>1,114,560</w:t>
            </w:r>
          </w:p>
        </w:tc>
        <w:tc>
          <w:tcPr>
            <w:tcW w:w="0" w:type="dxa"/>
            <w:vAlign w:val="bottom"/>
          </w:tcPr>
          <w:p>
            <w:pPr>
              <w:spacing w:after="0"/>
              <w:rPr>
                <w:sz w:val="1"/>
                <w:szCs w:val="1"/>
                <w:color w:val="auto"/>
              </w:rPr>
            </w:pPr>
          </w:p>
        </w:tc>
      </w:tr>
      <w:tr>
        <w:trPr>
          <w:trHeight w:val="156"/>
        </w:trPr>
        <w:tc>
          <w:tcPr>
            <w:tcW w:w="318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Buildings</w:t>
            </w: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146"/>
              <w:spacing w:after="0" w:line="156" w:lineRule="exact"/>
              <w:rPr>
                <w:sz w:val="20"/>
                <w:szCs w:val="20"/>
                <w:color w:val="auto"/>
              </w:rPr>
            </w:pPr>
            <w:r>
              <w:rPr>
                <w:rFonts w:ascii="Arial" w:cs="Arial" w:eastAsia="Arial" w:hAnsi="Arial"/>
                <w:sz w:val="15"/>
                <w:szCs w:val="15"/>
                <w:b w:val="1"/>
                <w:bCs w:val="1"/>
                <w:color w:val="auto"/>
              </w:rPr>
              <w:t>154,564</w:t>
            </w: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6"/>
              <w:spacing w:after="0" w:line="156" w:lineRule="exact"/>
              <w:rPr>
                <w:sz w:val="20"/>
                <w:szCs w:val="20"/>
                <w:color w:val="auto"/>
              </w:rPr>
            </w:pPr>
            <w:r>
              <w:rPr>
                <w:rFonts w:ascii="Arial" w:cs="Arial" w:eastAsia="Arial" w:hAnsi="Arial"/>
                <w:sz w:val="15"/>
                <w:szCs w:val="15"/>
                <w:color w:val="auto"/>
              </w:rPr>
              <w:t>151,115</w:t>
            </w:r>
          </w:p>
        </w:tc>
        <w:tc>
          <w:tcPr>
            <w:tcW w:w="0" w:type="dxa"/>
            <w:vAlign w:val="bottom"/>
          </w:tcPr>
          <w:p>
            <w:pPr>
              <w:spacing w:after="0"/>
              <w:rPr>
                <w:sz w:val="1"/>
                <w:szCs w:val="1"/>
                <w:color w:val="auto"/>
              </w:rPr>
            </w:pPr>
          </w:p>
        </w:tc>
      </w:tr>
      <w:tr>
        <w:trPr>
          <w:trHeight w:val="156"/>
        </w:trPr>
        <w:tc>
          <w:tcPr>
            <w:tcW w:w="3180" w:type="dxa"/>
            <w:vAlign w:val="bottom"/>
          </w:tcPr>
          <w:p>
            <w:pPr>
              <w:spacing w:after="0" w:line="156" w:lineRule="exact"/>
              <w:rPr>
                <w:sz w:val="20"/>
                <w:szCs w:val="20"/>
                <w:color w:val="auto"/>
              </w:rPr>
            </w:pPr>
            <w:r>
              <w:rPr>
                <w:rFonts w:ascii="Arial" w:cs="Arial" w:eastAsia="Arial" w:hAnsi="Arial"/>
                <w:sz w:val="15"/>
                <w:szCs w:val="15"/>
                <w:color w:val="auto"/>
              </w:rPr>
              <w:t>Machinery and equipment</w:t>
            </w:r>
          </w:p>
        </w:tc>
        <w:tc>
          <w:tcPr>
            <w:tcW w:w="280" w:type="dxa"/>
            <w:vAlign w:val="bottom"/>
          </w:tcPr>
          <w:p>
            <w:pPr>
              <w:spacing w:after="0"/>
              <w:rPr>
                <w:sz w:val="13"/>
                <w:szCs w:val="13"/>
                <w:color w:val="auto"/>
              </w:rPr>
            </w:pPr>
          </w:p>
        </w:tc>
        <w:tc>
          <w:tcPr>
            <w:tcW w:w="940" w:type="dxa"/>
            <w:vAlign w:val="bottom"/>
          </w:tcPr>
          <w:p>
            <w:pPr>
              <w:jc w:val="right"/>
              <w:ind w:right="146"/>
              <w:spacing w:after="0" w:line="156" w:lineRule="exact"/>
              <w:rPr>
                <w:sz w:val="20"/>
                <w:szCs w:val="20"/>
                <w:color w:val="auto"/>
              </w:rPr>
            </w:pPr>
            <w:r>
              <w:rPr>
                <w:rFonts w:ascii="Arial" w:cs="Arial" w:eastAsia="Arial" w:hAnsi="Arial"/>
                <w:sz w:val="15"/>
                <w:szCs w:val="15"/>
                <w:b w:val="1"/>
                <w:bCs w:val="1"/>
                <w:color w:val="auto"/>
              </w:rPr>
              <w:t>4,006,619</w:t>
            </w:r>
          </w:p>
        </w:tc>
        <w:tc>
          <w:tcPr>
            <w:tcW w:w="260" w:type="dxa"/>
            <w:vAlign w:val="bottom"/>
          </w:tcPr>
          <w:p>
            <w:pPr>
              <w:spacing w:after="0"/>
              <w:rPr>
                <w:sz w:val="13"/>
                <w:szCs w:val="13"/>
                <w:color w:val="auto"/>
              </w:rPr>
            </w:pPr>
          </w:p>
        </w:tc>
        <w:tc>
          <w:tcPr>
            <w:tcW w:w="820" w:type="dxa"/>
            <w:vAlign w:val="bottom"/>
          </w:tcPr>
          <w:p>
            <w:pPr>
              <w:jc w:val="right"/>
              <w:ind w:right="6"/>
              <w:spacing w:after="0" w:line="156" w:lineRule="exact"/>
              <w:rPr>
                <w:sz w:val="20"/>
                <w:szCs w:val="20"/>
                <w:color w:val="auto"/>
              </w:rPr>
            </w:pPr>
            <w:r>
              <w:rPr>
                <w:rFonts w:ascii="Arial" w:cs="Arial" w:eastAsia="Arial" w:hAnsi="Arial"/>
                <w:sz w:val="15"/>
                <w:szCs w:val="15"/>
                <w:color w:val="auto"/>
              </w:rPr>
              <w:t>3,766,975</w:t>
            </w:r>
          </w:p>
        </w:tc>
        <w:tc>
          <w:tcPr>
            <w:tcW w:w="0" w:type="dxa"/>
            <w:vAlign w:val="bottom"/>
          </w:tcPr>
          <w:p>
            <w:pPr>
              <w:spacing w:after="0"/>
              <w:rPr>
                <w:sz w:val="1"/>
                <w:szCs w:val="1"/>
                <w:color w:val="auto"/>
              </w:rPr>
            </w:pPr>
          </w:p>
        </w:tc>
      </w:tr>
      <w:tr>
        <w:trPr>
          <w:trHeight w:val="156"/>
        </w:trPr>
        <w:tc>
          <w:tcPr>
            <w:tcW w:w="318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Construction in progress</w:t>
            </w:r>
          </w:p>
        </w:tc>
        <w:tc>
          <w:tcPr>
            <w:tcW w:w="28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ind w:right="146"/>
              <w:spacing w:after="0" w:line="156" w:lineRule="exact"/>
              <w:rPr>
                <w:sz w:val="20"/>
                <w:szCs w:val="20"/>
                <w:color w:val="auto"/>
              </w:rPr>
            </w:pPr>
            <w:r>
              <w:rPr>
                <w:rFonts w:ascii="Arial" w:cs="Arial" w:eastAsia="Arial" w:hAnsi="Arial"/>
                <w:sz w:val="15"/>
                <w:szCs w:val="15"/>
                <w:b w:val="1"/>
                <w:bCs w:val="1"/>
                <w:color w:val="auto"/>
              </w:rPr>
              <w:t>199,973</w:t>
            </w:r>
          </w:p>
        </w:tc>
        <w:tc>
          <w:tcPr>
            <w:tcW w:w="26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ind w:right="6"/>
              <w:spacing w:after="0" w:line="156" w:lineRule="exact"/>
              <w:rPr>
                <w:sz w:val="20"/>
                <w:szCs w:val="20"/>
                <w:color w:val="auto"/>
              </w:rPr>
            </w:pPr>
            <w:r>
              <w:rPr>
                <w:rFonts w:ascii="Arial" w:cs="Arial" w:eastAsia="Arial" w:hAnsi="Arial"/>
                <w:sz w:val="15"/>
                <w:szCs w:val="15"/>
                <w:color w:val="auto"/>
              </w:rPr>
              <w:t>167,722</w:t>
            </w: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ind w:right="146"/>
              <w:spacing w:after="0" w:line="149" w:lineRule="exact"/>
              <w:rPr>
                <w:sz w:val="20"/>
                <w:szCs w:val="20"/>
                <w:color w:val="auto"/>
              </w:rPr>
            </w:pPr>
            <w:r>
              <w:rPr>
                <w:rFonts w:ascii="Arial" w:cs="Arial" w:eastAsia="Arial" w:hAnsi="Arial"/>
                <w:sz w:val="15"/>
                <w:szCs w:val="15"/>
                <w:b w:val="1"/>
                <w:bCs w:val="1"/>
                <w:color w:val="auto"/>
              </w:rPr>
              <w:t>6,498,067</w:t>
            </w:r>
          </w:p>
        </w:tc>
        <w:tc>
          <w:tcPr>
            <w:tcW w:w="260" w:type="dxa"/>
            <w:vAlign w:val="bottom"/>
          </w:tcPr>
          <w:p>
            <w:pPr>
              <w:spacing w:after="0"/>
              <w:rPr>
                <w:sz w:val="12"/>
                <w:szCs w:val="12"/>
                <w:color w:val="auto"/>
              </w:rPr>
            </w:pPr>
          </w:p>
        </w:tc>
        <w:tc>
          <w:tcPr>
            <w:tcW w:w="820" w:type="dxa"/>
            <w:vAlign w:val="bottom"/>
          </w:tcPr>
          <w:p>
            <w:pPr>
              <w:jc w:val="right"/>
              <w:ind w:right="6"/>
              <w:spacing w:after="0" w:line="149" w:lineRule="exact"/>
              <w:rPr>
                <w:sz w:val="20"/>
                <w:szCs w:val="20"/>
                <w:color w:val="auto"/>
              </w:rPr>
            </w:pPr>
            <w:r>
              <w:rPr>
                <w:rFonts w:ascii="Arial" w:cs="Arial" w:eastAsia="Arial" w:hAnsi="Arial"/>
                <w:sz w:val="15"/>
                <w:szCs w:val="15"/>
                <w:color w:val="auto"/>
              </w:rPr>
              <w:t>6,115,530</w:t>
            </w:r>
          </w:p>
        </w:tc>
        <w:tc>
          <w:tcPr>
            <w:tcW w:w="0" w:type="dxa"/>
            <w:vAlign w:val="bottom"/>
          </w:tcPr>
          <w:p>
            <w:pPr>
              <w:spacing w:after="0"/>
              <w:rPr>
                <w:sz w:val="1"/>
                <w:szCs w:val="1"/>
                <w:color w:val="auto"/>
              </w:rPr>
            </w:pPr>
          </w:p>
        </w:tc>
      </w:tr>
      <w:tr>
        <w:trPr>
          <w:trHeight w:val="152"/>
        </w:trPr>
        <w:tc>
          <w:tcPr>
            <w:tcW w:w="3180" w:type="dxa"/>
            <w:vAlign w:val="bottom"/>
            <w:shd w:val="clear" w:color="auto" w:fill="CCEEFF"/>
          </w:tcPr>
          <w:p>
            <w:pPr>
              <w:spacing w:after="0" w:line="153" w:lineRule="exact"/>
              <w:rPr>
                <w:sz w:val="20"/>
                <w:szCs w:val="20"/>
                <w:color w:val="auto"/>
              </w:rPr>
            </w:pPr>
            <w:r>
              <w:rPr>
                <w:rFonts w:ascii="Arial" w:cs="Arial" w:eastAsia="Arial" w:hAnsi="Arial"/>
                <w:sz w:val="15"/>
                <w:szCs w:val="15"/>
                <w:color w:val="auto"/>
              </w:rPr>
              <w:t>Less accumulated depreciation, depletion and</w:t>
            </w:r>
          </w:p>
        </w:tc>
        <w:tc>
          <w:tcPr>
            <w:tcW w:w="28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ind w:right="106"/>
              <w:spacing w:after="0"/>
              <w:rPr>
                <w:sz w:val="20"/>
                <w:szCs w:val="20"/>
                <w:color w:val="auto"/>
              </w:rPr>
            </w:pPr>
            <w:r>
              <w:rPr>
                <w:rFonts w:ascii="Arial" w:cs="Arial" w:eastAsia="Arial" w:hAnsi="Arial"/>
                <w:sz w:val="15"/>
                <w:szCs w:val="15"/>
                <w:b w:val="1"/>
                <w:bCs w:val="1"/>
                <w:color w:val="auto"/>
                <w:w w:val="96"/>
              </w:rPr>
              <w:t>(2,905,254)</w:t>
            </w: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180" w:type="dxa"/>
            <w:vAlign w:val="bottom"/>
            <w:tcBorders>
              <w:bottom w:val="single" w:sz="8" w:color="auto"/>
            </w:tcBorders>
            <w:shd w:val="clear" w:color="auto" w:fill="CCEEFF"/>
          </w:tcPr>
          <w:p>
            <w:pPr>
              <w:ind w:left="160"/>
              <w:spacing w:after="0" w:line="159" w:lineRule="exact"/>
              <w:rPr>
                <w:sz w:val="20"/>
                <w:szCs w:val="20"/>
                <w:color w:val="auto"/>
              </w:rPr>
            </w:pPr>
            <w:r>
              <w:rPr>
                <w:rFonts w:ascii="Arial" w:cs="Arial" w:eastAsia="Arial" w:hAnsi="Arial"/>
                <w:sz w:val="15"/>
                <w:szCs w:val="15"/>
                <w:color w:val="auto"/>
              </w:rPr>
              <w:t>amortization</w:t>
            </w:r>
          </w:p>
        </w:tc>
        <w:tc>
          <w:tcPr>
            <w:tcW w:w="28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vMerge w:val="continue"/>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5"/>
                <w:szCs w:val="15"/>
                <w:color w:val="auto"/>
                <w:w w:val="99"/>
              </w:rPr>
              <w:t>(2,692,135)</w:t>
            </w:r>
          </w:p>
        </w:tc>
        <w:tc>
          <w:tcPr>
            <w:tcW w:w="0" w:type="dxa"/>
            <w:vAlign w:val="bottom"/>
          </w:tcPr>
          <w:p>
            <w:pPr>
              <w:spacing w:after="0"/>
              <w:rPr>
                <w:sz w:val="1"/>
                <w:szCs w:val="1"/>
                <w:color w:val="auto"/>
              </w:rPr>
            </w:pPr>
          </w:p>
        </w:tc>
      </w:tr>
      <w:tr>
        <w:trPr>
          <w:trHeight w:val="155"/>
        </w:trPr>
        <w:tc>
          <w:tcPr>
            <w:tcW w:w="3180" w:type="dxa"/>
            <w:vAlign w:val="bottom"/>
            <w:tcBorders>
              <w:bottom w:val="single" w:sz="8" w:color="auto"/>
            </w:tcBorders>
          </w:tcPr>
          <w:p>
            <w:pPr>
              <w:spacing w:after="0" w:line="149" w:lineRule="exact"/>
              <w:rPr>
                <w:sz w:val="20"/>
                <w:szCs w:val="20"/>
                <w:color w:val="auto"/>
              </w:rPr>
            </w:pPr>
            <w:r>
              <w:rPr>
                <w:rFonts w:ascii="Arial" w:cs="Arial" w:eastAsia="Arial" w:hAnsi="Arial"/>
                <w:sz w:val="15"/>
                <w:szCs w:val="15"/>
                <w:color w:val="auto"/>
              </w:rPr>
              <w:t>Total</w:t>
            </w:r>
          </w:p>
        </w:tc>
        <w:tc>
          <w:tcPr>
            <w:tcW w:w="2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940" w:type="dxa"/>
            <w:vAlign w:val="bottom"/>
            <w:tcBorders>
              <w:bottom w:val="single" w:sz="8" w:color="auto"/>
            </w:tcBorders>
          </w:tcPr>
          <w:p>
            <w:pPr>
              <w:jc w:val="right"/>
              <w:ind w:right="146"/>
              <w:spacing w:after="0" w:line="149" w:lineRule="exact"/>
              <w:rPr>
                <w:sz w:val="20"/>
                <w:szCs w:val="20"/>
                <w:color w:val="auto"/>
              </w:rPr>
            </w:pPr>
            <w:r>
              <w:rPr>
                <w:rFonts w:ascii="Arial" w:cs="Arial" w:eastAsia="Arial" w:hAnsi="Arial"/>
                <w:sz w:val="15"/>
                <w:szCs w:val="15"/>
                <w:b w:val="1"/>
                <w:bCs w:val="1"/>
                <w:color w:val="auto"/>
              </w:rPr>
              <w:t>3,592,813</w:t>
            </w:r>
          </w:p>
        </w:tc>
        <w:tc>
          <w:tcPr>
            <w:tcW w:w="2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tcPr>
          <w:p>
            <w:pPr>
              <w:jc w:val="right"/>
              <w:ind w:right="6"/>
              <w:spacing w:after="0" w:line="149" w:lineRule="exact"/>
              <w:rPr>
                <w:sz w:val="20"/>
                <w:szCs w:val="20"/>
                <w:color w:val="auto"/>
              </w:rPr>
            </w:pPr>
            <w:r>
              <w:rPr>
                <w:rFonts w:ascii="Arial" w:cs="Arial" w:eastAsia="Arial" w:hAnsi="Arial"/>
                <w:sz w:val="15"/>
                <w:szCs w:val="15"/>
                <w:color w:val="auto"/>
              </w:rPr>
              <w:t>3,423,395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gross asset value and accumulated amortization for machinery and equipment recorded under capital leases at December 31 were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3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(add 000)</w:t>
            </w:r>
          </w:p>
        </w:tc>
        <w:tc>
          <w:tcPr>
            <w:tcW w:w="4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b w:val="1"/>
                <w:bCs w:val="1"/>
                <w:color w:val="0085CD"/>
              </w:rPr>
              <w:t>2017</w:t>
            </w:r>
          </w:p>
        </w:tc>
        <w:tc>
          <w:tcPr>
            <w:tcW w:w="3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2016</w:t>
            </w:r>
          </w:p>
        </w:tc>
      </w:tr>
      <w:tr>
        <w:trPr>
          <w:trHeight w:val="149"/>
        </w:trPr>
        <w:tc>
          <w:tcPr>
            <w:tcW w:w="334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Machinery and equipment under capital leases</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760" w:type="dxa"/>
            <w:vAlign w:val="bottom"/>
            <w:shd w:val="clear" w:color="auto" w:fill="CCEEFF"/>
          </w:tcPr>
          <w:p>
            <w:pPr>
              <w:jc w:val="right"/>
              <w:ind w:right="126"/>
              <w:spacing w:after="0" w:line="149" w:lineRule="exact"/>
              <w:rPr>
                <w:sz w:val="20"/>
                <w:szCs w:val="20"/>
                <w:color w:val="auto"/>
              </w:rPr>
            </w:pPr>
            <w:r>
              <w:rPr>
                <w:rFonts w:ascii="Arial" w:cs="Arial" w:eastAsia="Arial" w:hAnsi="Arial"/>
                <w:sz w:val="15"/>
                <w:szCs w:val="15"/>
                <w:b w:val="1"/>
                <w:bCs w:val="1"/>
                <w:color w:val="auto"/>
              </w:rPr>
              <w:t>23,919</w:t>
            </w:r>
          </w:p>
        </w:tc>
        <w:tc>
          <w:tcPr>
            <w:tcW w:w="340" w:type="dxa"/>
            <w:vAlign w:val="bottom"/>
            <w:shd w:val="clear" w:color="auto" w:fill="CCEEFF"/>
          </w:tcPr>
          <w:p>
            <w:pPr>
              <w:jc w:val="right"/>
              <w:ind w:right="26"/>
              <w:spacing w:after="0" w:line="149" w:lineRule="exact"/>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ind w:right="6"/>
              <w:spacing w:after="0" w:line="149" w:lineRule="exact"/>
              <w:rPr>
                <w:sz w:val="20"/>
                <w:szCs w:val="20"/>
                <w:color w:val="auto"/>
              </w:rPr>
            </w:pPr>
            <w:r>
              <w:rPr>
                <w:rFonts w:ascii="Arial" w:cs="Arial" w:eastAsia="Arial" w:hAnsi="Arial"/>
                <w:sz w:val="15"/>
                <w:szCs w:val="15"/>
                <w:color w:val="auto"/>
              </w:rPr>
              <w:t>23,117</w:t>
            </w:r>
          </w:p>
        </w:tc>
      </w:tr>
      <w:tr>
        <w:trPr>
          <w:trHeight w:val="156"/>
        </w:trPr>
        <w:tc>
          <w:tcPr>
            <w:tcW w:w="3340" w:type="dxa"/>
            <w:vAlign w:val="bottom"/>
            <w:tcBorders>
              <w:bottom w:val="single" w:sz="8" w:color="auto"/>
            </w:tcBorders>
          </w:tcPr>
          <w:p>
            <w:pPr>
              <w:spacing w:after="0" w:line="156" w:lineRule="exact"/>
              <w:rPr>
                <w:sz w:val="20"/>
                <w:szCs w:val="20"/>
                <w:color w:val="auto"/>
              </w:rPr>
            </w:pPr>
            <w:r>
              <w:rPr>
                <w:rFonts w:ascii="Arial" w:cs="Arial" w:eastAsia="Arial" w:hAnsi="Arial"/>
                <w:sz w:val="15"/>
                <w:szCs w:val="15"/>
                <w:color w:val="auto"/>
              </w:rPr>
              <w:t>Less accumulated amortization</w:t>
            </w:r>
          </w:p>
        </w:tc>
        <w:tc>
          <w:tcPr>
            <w:tcW w:w="4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66"/>
              <w:spacing w:after="0" w:line="156" w:lineRule="exact"/>
              <w:rPr>
                <w:sz w:val="20"/>
                <w:szCs w:val="20"/>
                <w:color w:val="auto"/>
              </w:rPr>
            </w:pPr>
            <w:r>
              <w:rPr>
                <w:rFonts w:ascii="Arial" w:cs="Arial" w:eastAsia="Arial" w:hAnsi="Arial"/>
                <w:sz w:val="15"/>
                <w:szCs w:val="15"/>
                <w:b w:val="1"/>
                <w:bCs w:val="1"/>
                <w:color w:val="auto"/>
              </w:rPr>
              <w:t>(11,243)</w:t>
            </w:r>
          </w:p>
        </w:tc>
        <w:tc>
          <w:tcPr>
            <w:tcW w:w="3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(8,077)</w:t>
            </w:r>
          </w:p>
        </w:tc>
      </w:tr>
      <w:tr>
        <w:trPr>
          <w:trHeight w:val="149"/>
        </w:trPr>
        <w:tc>
          <w:tcPr>
            <w:tcW w:w="334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5"/>
                <w:szCs w:val="15"/>
                <w:color w:val="auto"/>
              </w:rPr>
              <w:t>Total</w:t>
            </w:r>
          </w:p>
        </w:tc>
        <w:tc>
          <w:tcPr>
            <w:tcW w:w="4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760" w:type="dxa"/>
            <w:vAlign w:val="bottom"/>
            <w:tcBorders>
              <w:bottom w:val="single" w:sz="8" w:color="auto"/>
            </w:tcBorders>
            <w:shd w:val="clear" w:color="auto" w:fill="CCEEFF"/>
          </w:tcPr>
          <w:p>
            <w:pPr>
              <w:jc w:val="right"/>
              <w:ind w:right="126"/>
              <w:spacing w:after="0" w:line="149" w:lineRule="exact"/>
              <w:rPr>
                <w:sz w:val="20"/>
                <w:szCs w:val="20"/>
                <w:color w:val="auto"/>
              </w:rPr>
            </w:pPr>
            <w:r>
              <w:rPr>
                <w:rFonts w:ascii="Arial" w:cs="Arial" w:eastAsia="Arial" w:hAnsi="Arial"/>
                <w:sz w:val="15"/>
                <w:szCs w:val="15"/>
                <w:b w:val="1"/>
                <w:bCs w:val="1"/>
                <w:color w:val="auto"/>
              </w:rPr>
              <w:t>12,676</w:t>
            </w:r>
          </w:p>
        </w:tc>
        <w:tc>
          <w:tcPr>
            <w:tcW w:w="340" w:type="dxa"/>
            <w:vAlign w:val="bottom"/>
            <w:tcBorders>
              <w:bottom w:val="single" w:sz="8" w:color="auto"/>
            </w:tcBorders>
            <w:shd w:val="clear" w:color="auto" w:fill="CCEEFF"/>
          </w:tcPr>
          <w:p>
            <w:pPr>
              <w:jc w:val="right"/>
              <w:ind w:right="26"/>
              <w:spacing w:after="0" w:line="149" w:lineRule="exact"/>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shd w:val="clear" w:color="auto" w:fill="CCEEFF"/>
          </w:tcPr>
          <w:p>
            <w:pPr>
              <w:jc w:val="right"/>
              <w:ind w:right="6"/>
              <w:spacing w:after="0" w:line="149" w:lineRule="exact"/>
              <w:rPr>
                <w:sz w:val="20"/>
                <w:szCs w:val="20"/>
                <w:color w:val="auto"/>
              </w:rPr>
            </w:pPr>
            <w:r>
              <w:rPr>
                <w:rFonts w:ascii="Arial" w:cs="Arial" w:eastAsia="Arial" w:hAnsi="Arial"/>
                <w:sz w:val="15"/>
                <w:szCs w:val="15"/>
                <w:color w:val="auto"/>
              </w:rPr>
              <w:t>15,040</w:t>
            </w:r>
          </w:p>
        </w:tc>
      </w:tr>
    </w:tbl>
    <w:p>
      <w:pPr>
        <w:spacing w:after="0" w:line="202"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Depreciation, depletion and amortization expense related to property, plant and equipment was $279,808,000, $268,935,000 and $246,874,000 for the years ended December 31, 2017, 2016 and 2015, respectively. Depreciation, depletion and amortization expense includes amortization of machinery and equipment under capital leases.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Interest cost of $3,616,000, $3,543,000 and $5,832,000 was capitalized during 2017, 2016 and 2015, respectively.</w:t>
      </w:r>
    </w:p>
    <w:p>
      <w:pPr>
        <w:spacing w:after="0" w:line="183"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At December 31, 2017 and 2016, $57,665,000 and $58,332,000, respectively, of the Building Materials business’ net property, plant and equipment were located in foreign countries, namely the Bahamas and Canada.</w:t>
      </w:r>
    </w:p>
    <w:p>
      <w:pPr>
        <w:spacing w:after="0" w:line="361" w:lineRule="exact"/>
        <w:rPr>
          <w:sz w:val="20"/>
          <w:szCs w:val="20"/>
          <w:color w:val="auto"/>
        </w:rPr>
      </w:pPr>
    </w:p>
    <w:p>
      <w:pPr>
        <w:spacing w:after="0"/>
        <w:rPr>
          <w:sz w:val="20"/>
          <w:szCs w:val="20"/>
          <w:color w:val="auto"/>
        </w:rPr>
      </w:pPr>
      <w:r>
        <w:rPr>
          <w:rFonts w:ascii="Arial" w:cs="Arial" w:eastAsia="Arial" w:hAnsi="Arial"/>
          <w:sz w:val="17"/>
          <w:szCs w:val="17"/>
          <w:b w:val="1"/>
          <w:bCs w:val="1"/>
          <w:color w:val="0085CD"/>
        </w:rPr>
        <w:t>Note G: Long-Term Debt</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80" w:type="dxa"/>
            <w:vAlign w:val="bottom"/>
          </w:tcPr>
          <w:p>
            <w:pPr>
              <w:spacing w:after="0"/>
              <w:rPr>
                <w:sz w:val="20"/>
                <w:szCs w:val="20"/>
                <w:color w:val="auto"/>
              </w:rPr>
            </w:pPr>
            <w:r>
              <w:rPr>
                <w:rFonts w:ascii="Arial" w:cs="Arial" w:eastAsia="Arial" w:hAnsi="Arial"/>
                <w:sz w:val="14"/>
                <w:szCs w:val="14"/>
                <w:i w:val="1"/>
                <w:iCs w:val="1"/>
                <w:color w:val="auto"/>
              </w:rPr>
              <w:t>December 31</w:t>
            </w:r>
          </w:p>
        </w:tc>
        <w:tc>
          <w:tcPr>
            <w:tcW w:w="320" w:type="dxa"/>
            <w:vAlign w:val="bottom"/>
          </w:tcPr>
          <w:p>
            <w:pPr>
              <w:spacing w:after="0"/>
              <w:rPr>
                <w:sz w:val="14"/>
                <w:szCs w:val="14"/>
                <w:color w:val="auto"/>
              </w:rPr>
            </w:pPr>
          </w:p>
        </w:tc>
        <w:tc>
          <w:tcPr>
            <w:tcW w:w="900" w:type="dxa"/>
            <w:vAlign w:val="bottom"/>
            <w:vMerge w:val="restart"/>
          </w:tcPr>
          <w:p>
            <w:pPr>
              <w:jc w:val="right"/>
              <w:ind w:right="126"/>
              <w:spacing w:after="0"/>
              <w:rPr>
                <w:sz w:val="20"/>
                <w:szCs w:val="20"/>
                <w:color w:val="auto"/>
              </w:rPr>
            </w:pPr>
            <w:r>
              <w:rPr>
                <w:rFonts w:ascii="Arial" w:cs="Arial" w:eastAsia="Arial" w:hAnsi="Arial"/>
                <w:sz w:val="15"/>
                <w:szCs w:val="15"/>
                <w:b w:val="1"/>
                <w:bCs w:val="1"/>
                <w:color w:val="0085CD"/>
              </w:rPr>
              <w:t>2017</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2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(add 000)</w:t>
            </w:r>
          </w:p>
        </w:tc>
        <w:tc>
          <w:tcPr>
            <w:tcW w:w="3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2016</w:t>
            </w:r>
          </w:p>
        </w:tc>
        <w:tc>
          <w:tcPr>
            <w:tcW w:w="0" w:type="dxa"/>
            <w:vAlign w:val="bottom"/>
          </w:tcPr>
          <w:p>
            <w:pPr>
              <w:spacing w:after="0"/>
              <w:rPr>
                <w:sz w:val="1"/>
                <w:szCs w:val="1"/>
                <w:color w:val="auto"/>
              </w:rPr>
            </w:pPr>
          </w:p>
        </w:tc>
      </w:tr>
      <w:tr>
        <w:trPr>
          <w:trHeight w:val="149"/>
        </w:trPr>
        <w:tc>
          <w:tcPr>
            <w:tcW w:w="328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6.60% Senior Notes, due 2018</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900" w:type="dxa"/>
            <w:vAlign w:val="bottom"/>
            <w:shd w:val="clear" w:color="auto" w:fill="CCEEFF"/>
          </w:tcPr>
          <w:p>
            <w:pPr>
              <w:jc w:val="right"/>
              <w:ind w:right="126"/>
              <w:spacing w:after="0" w:line="149" w:lineRule="exact"/>
              <w:rPr>
                <w:sz w:val="20"/>
                <w:szCs w:val="20"/>
                <w:color w:val="auto"/>
              </w:rPr>
            </w:pPr>
            <w:r>
              <w:rPr>
                <w:rFonts w:ascii="Arial" w:cs="Arial" w:eastAsia="Arial" w:hAnsi="Arial"/>
                <w:sz w:val="15"/>
                <w:szCs w:val="15"/>
                <w:b w:val="1"/>
                <w:bCs w:val="1"/>
                <w:color w:val="auto"/>
              </w:rPr>
              <w:t>299,871</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ind w:right="6"/>
              <w:spacing w:after="0" w:line="149" w:lineRule="exact"/>
              <w:rPr>
                <w:sz w:val="20"/>
                <w:szCs w:val="20"/>
                <w:color w:val="auto"/>
              </w:rPr>
            </w:pPr>
            <w:r>
              <w:rPr>
                <w:rFonts w:ascii="Arial" w:cs="Arial" w:eastAsia="Arial" w:hAnsi="Arial"/>
                <w:sz w:val="15"/>
                <w:szCs w:val="15"/>
                <w:color w:val="auto"/>
              </w:rPr>
              <w:t>299,483</w:t>
            </w:r>
          </w:p>
        </w:tc>
        <w:tc>
          <w:tcPr>
            <w:tcW w:w="0" w:type="dxa"/>
            <w:vAlign w:val="bottom"/>
          </w:tcPr>
          <w:p>
            <w:pPr>
              <w:spacing w:after="0"/>
              <w:rPr>
                <w:sz w:val="1"/>
                <w:szCs w:val="1"/>
                <w:color w:val="auto"/>
              </w:rPr>
            </w:pPr>
          </w:p>
        </w:tc>
      </w:tr>
      <w:tr>
        <w:trPr>
          <w:trHeight w:val="156"/>
        </w:trPr>
        <w:tc>
          <w:tcPr>
            <w:tcW w:w="3280" w:type="dxa"/>
            <w:vAlign w:val="bottom"/>
          </w:tcPr>
          <w:p>
            <w:pPr>
              <w:spacing w:after="0" w:line="156" w:lineRule="exact"/>
              <w:rPr>
                <w:sz w:val="20"/>
                <w:szCs w:val="20"/>
                <w:color w:val="auto"/>
              </w:rPr>
            </w:pPr>
            <w:r>
              <w:rPr>
                <w:rFonts w:ascii="Arial" w:cs="Arial" w:eastAsia="Arial" w:hAnsi="Arial"/>
                <w:sz w:val="15"/>
                <w:szCs w:val="15"/>
                <w:color w:val="auto"/>
              </w:rPr>
              <w:t>4.25% Senior Notes, due 2024</w:t>
            </w:r>
          </w:p>
        </w:tc>
        <w:tc>
          <w:tcPr>
            <w:tcW w:w="320" w:type="dxa"/>
            <w:vAlign w:val="bottom"/>
          </w:tcPr>
          <w:p>
            <w:pPr>
              <w:spacing w:after="0"/>
              <w:rPr>
                <w:sz w:val="13"/>
                <w:szCs w:val="13"/>
                <w:color w:val="auto"/>
              </w:rPr>
            </w:pPr>
          </w:p>
        </w:tc>
        <w:tc>
          <w:tcPr>
            <w:tcW w:w="900" w:type="dxa"/>
            <w:vAlign w:val="bottom"/>
          </w:tcPr>
          <w:p>
            <w:pPr>
              <w:jc w:val="right"/>
              <w:ind w:right="126"/>
              <w:spacing w:after="0" w:line="156" w:lineRule="exact"/>
              <w:rPr>
                <w:sz w:val="20"/>
                <w:szCs w:val="20"/>
                <w:color w:val="auto"/>
              </w:rPr>
            </w:pPr>
            <w:r>
              <w:rPr>
                <w:rFonts w:ascii="Arial" w:cs="Arial" w:eastAsia="Arial" w:hAnsi="Arial"/>
                <w:sz w:val="15"/>
                <w:szCs w:val="15"/>
                <w:b w:val="1"/>
                <w:bCs w:val="1"/>
                <w:color w:val="auto"/>
              </w:rPr>
              <w:t>395,814</w:t>
            </w:r>
          </w:p>
        </w:tc>
        <w:tc>
          <w:tcPr>
            <w:tcW w:w="300" w:type="dxa"/>
            <w:vAlign w:val="bottom"/>
          </w:tcPr>
          <w:p>
            <w:pPr>
              <w:spacing w:after="0"/>
              <w:rPr>
                <w:sz w:val="13"/>
                <w:szCs w:val="13"/>
                <w:color w:val="auto"/>
              </w:rPr>
            </w:pPr>
          </w:p>
        </w:tc>
        <w:tc>
          <w:tcPr>
            <w:tcW w:w="780" w:type="dxa"/>
            <w:vAlign w:val="bottom"/>
          </w:tcPr>
          <w:p>
            <w:pPr>
              <w:jc w:val="right"/>
              <w:ind w:right="6"/>
              <w:spacing w:after="0" w:line="156" w:lineRule="exact"/>
              <w:rPr>
                <w:sz w:val="20"/>
                <w:szCs w:val="20"/>
                <w:color w:val="auto"/>
              </w:rPr>
            </w:pPr>
            <w:r>
              <w:rPr>
                <w:rFonts w:ascii="Arial" w:cs="Arial" w:eastAsia="Arial" w:hAnsi="Arial"/>
                <w:sz w:val="15"/>
                <w:szCs w:val="15"/>
                <w:color w:val="auto"/>
              </w:rPr>
              <w:t>395,252</w:t>
            </w:r>
          </w:p>
        </w:tc>
        <w:tc>
          <w:tcPr>
            <w:tcW w:w="0" w:type="dxa"/>
            <w:vAlign w:val="bottom"/>
          </w:tcPr>
          <w:p>
            <w:pPr>
              <w:spacing w:after="0"/>
              <w:rPr>
                <w:sz w:val="1"/>
                <w:szCs w:val="1"/>
                <w:color w:val="auto"/>
              </w:rPr>
            </w:pPr>
          </w:p>
        </w:tc>
      </w:tr>
      <w:tr>
        <w:trPr>
          <w:trHeight w:val="156"/>
        </w:trPr>
        <w:tc>
          <w:tcPr>
            <w:tcW w:w="328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7% Debentures, due 2025</w:t>
            </w:r>
          </w:p>
        </w:tc>
        <w:tc>
          <w:tcPr>
            <w:tcW w:w="32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126"/>
              <w:spacing w:after="0" w:line="156" w:lineRule="exact"/>
              <w:rPr>
                <w:sz w:val="20"/>
                <w:szCs w:val="20"/>
                <w:color w:val="auto"/>
              </w:rPr>
            </w:pPr>
            <w:r>
              <w:rPr>
                <w:rFonts w:ascii="Arial" w:cs="Arial" w:eastAsia="Arial" w:hAnsi="Arial"/>
                <w:sz w:val="15"/>
                <w:szCs w:val="15"/>
                <w:b w:val="1"/>
                <w:bCs w:val="1"/>
                <w:color w:val="auto"/>
              </w:rPr>
              <w:t>124,180</w:t>
            </w:r>
          </w:p>
        </w:tc>
        <w:tc>
          <w:tcPr>
            <w:tcW w:w="30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6"/>
              <w:spacing w:after="0" w:line="156" w:lineRule="exact"/>
              <w:rPr>
                <w:sz w:val="20"/>
                <w:szCs w:val="20"/>
                <w:color w:val="auto"/>
              </w:rPr>
            </w:pPr>
            <w:r>
              <w:rPr>
                <w:rFonts w:ascii="Arial" w:cs="Arial" w:eastAsia="Arial" w:hAnsi="Arial"/>
                <w:sz w:val="15"/>
                <w:szCs w:val="15"/>
                <w:color w:val="auto"/>
              </w:rPr>
              <w:t>124,090</w:t>
            </w:r>
          </w:p>
        </w:tc>
        <w:tc>
          <w:tcPr>
            <w:tcW w:w="0" w:type="dxa"/>
            <w:vAlign w:val="bottom"/>
          </w:tcPr>
          <w:p>
            <w:pPr>
              <w:spacing w:after="0"/>
              <w:rPr>
                <w:sz w:val="1"/>
                <w:szCs w:val="1"/>
                <w:color w:val="auto"/>
              </w:rPr>
            </w:pPr>
          </w:p>
        </w:tc>
      </w:tr>
      <w:tr>
        <w:trPr>
          <w:trHeight w:val="156"/>
        </w:trPr>
        <w:tc>
          <w:tcPr>
            <w:tcW w:w="3280" w:type="dxa"/>
            <w:vAlign w:val="bottom"/>
          </w:tcPr>
          <w:p>
            <w:pPr>
              <w:spacing w:after="0" w:line="156" w:lineRule="exact"/>
              <w:rPr>
                <w:sz w:val="20"/>
                <w:szCs w:val="20"/>
                <w:color w:val="auto"/>
              </w:rPr>
            </w:pPr>
            <w:r>
              <w:rPr>
                <w:rFonts w:ascii="Arial" w:cs="Arial" w:eastAsia="Arial" w:hAnsi="Arial"/>
                <w:sz w:val="15"/>
                <w:szCs w:val="15"/>
                <w:color w:val="auto"/>
              </w:rPr>
              <w:t>3.450% Senior Notes, due 2027</w:t>
            </w:r>
          </w:p>
        </w:tc>
        <w:tc>
          <w:tcPr>
            <w:tcW w:w="320" w:type="dxa"/>
            <w:vAlign w:val="bottom"/>
          </w:tcPr>
          <w:p>
            <w:pPr>
              <w:spacing w:after="0"/>
              <w:rPr>
                <w:sz w:val="13"/>
                <w:szCs w:val="13"/>
                <w:color w:val="auto"/>
              </w:rPr>
            </w:pPr>
          </w:p>
        </w:tc>
        <w:tc>
          <w:tcPr>
            <w:tcW w:w="900" w:type="dxa"/>
            <w:vAlign w:val="bottom"/>
          </w:tcPr>
          <w:p>
            <w:pPr>
              <w:jc w:val="right"/>
              <w:ind w:right="126"/>
              <w:spacing w:after="0" w:line="156" w:lineRule="exact"/>
              <w:rPr>
                <w:sz w:val="20"/>
                <w:szCs w:val="20"/>
                <w:color w:val="auto"/>
              </w:rPr>
            </w:pPr>
            <w:r>
              <w:rPr>
                <w:rFonts w:ascii="Arial" w:cs="Arial" w:eastAsia="Arial" w:hAnsi="Arial"/>
                <w:sz w:val="15"/>
                <w:szCs w:val="15"/>
                <w:b w:val="1"/>
                <w:bCs w:val="1"/>
                <w:color w:val="auto"/>
              </w:rPr>
              <w:t>296,628</w:t>
            </w:r>
          </w:p>
        </w:tc>
        <w:tc>
          <w:tcPr>
            <w:tcW w:w="300" w:type="dxa"/>
            <w:vAlign w:val="bottom"/>
          </w:tcPr>
          <w:p>
            <w:pPr>
              <w:spacing w:after="0"/>
              <w:rPr>
                <w:sz w:val="13"/>
                <w:szCs w:val="13"/>
                <w:color w:val="auto"/>
              </w:rPr>
            </w:pPr>
          </w:p>
        </w:tc>
        <w:tc>
          <w:tcPr>
            <w:tcW w:w="780" w:type="dxa"/>
            <w:vAlign w:val="bottom"/>
          </w:tcPr>
          <w:p>
            <w:pPr>
              <w:jc w:val="right"/>
              <w:ind w:right="6"/>
              <w:spacing w:after="0" w:line="15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6"/>
        </w:trPr>
        <w:tc>
          <w:tcPr>
            <w:tcW w:w="328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3.500% Senior Notes, due 2027</w:t>
            </w:r>
          </w:p>
        </w:tc>
        <w:tc>
          <w:tcPr>
            <w:tcW w:w="32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126"/>
              <w:spacing w:after="0" w:line="156" w:lineRule="exact"/>
              <w:rPr>
                <w:sz w:val="20"/>
                <w:szCs w:val="20"/>
                <w:color w:val="auto"/>
              </w:rPr>
            </w:pPr>
            <w:r>
              <w:rPr>
                <w:rFonts w:ascii="Arial" w:cs="Arial" w:eastAsia="Arial" w:hAnsi="Arial"/>
                <w:sz w:val="15"/>
                <w:szCs w:val="15"/>
                <w:b w:val="1"/>
                <w:bCs w:val="1"/>
                <w:color w:val="auto"/>
              </w:rPr>
              <w:t>494,352</w:t>
            </w:r>
          </w:p>
        </w:tc>
        <w:tc>
          <w:tcPr>
            <w:tcW w:w="30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6"/>
              <w:spacing w:after="0" w:line="15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6"/>
        </w:trPr>
        <w:tc>
          <w:tcPr>
            <w:tcW w:w="3280" w:type="dxa"/>
            <w:vAlign w:val="bottom"/>
          </w:tcPr>
          <w:p>
            <w:pPr>
              <w:spacing w:after="0" w:line="156" w:lineRule="exact"/>
              <w:rPr>
                <w:sz w:val="20"/>
                <w:szCs w:val="20"/>
                <w:color w:val="auto"/>
              </w:rPr>
            </w:pPr>
            <w:r>
              <w:rPr>
                <w:rFonts w:ascii="Arial" w:cs="Arial" w:eastAsia="Arial" w:hAnsi="Arial"/>
                <w:sz w:val="15"/>
                <w:szCs w:val="15"/>
                <w:color w:val="auto"/>
              </w:rPr>
              <w:t>6.25% Senior Notes, due 2037</w:t>
            </w:r>
          </w:p>
        </w:tc>
        <w:tc>
          <w:tcPr>
            <w:tcW w:w="320" w:type="dxa"/>
            <w:vAlign w:val="bottom"/>
          </w:tcPr>
          <w:p>
            <w:pPr>
              <w:spacing w:after="0"/>
              <w:rPr>
                <w:sz w:val="13"/>
                <w:szCs w:val="13"/>
                <w:color w:val="auto"/>
              </w:rPr>
            </w:pPr>
          </w:p>
        </w:tc>
        <w:tc>
          <w:tcPr>
            <w:tcW w:w="900" w:type="dxa"/>
            <w:vAlign w:val="bottom"/>
          </w:tcPr>
          <w:p>
            <w:pPr>
              <w:jc w:val="right"/>
              <w:ind w:right="126"/>
              <w:spacing w:after="0" w:line="156" w:lineRule="exact"/>
              <w:rPr>
                <w:sz w:val="20"/>
                <w:szCs w:val="20"/>
                <w:color w:val="auto"/>
              </w:rPr>
            </w:pPr>
            <w:r>
              <w:rPr>
                <w:rFonts w:ascii="Arial" w:cs="Arial" w:eastAsia="Arial" w:hAnsi="Arial"/>
                <w:sz w:val="15"/>
                <w:szCs w:val="15"/>
                <w:b w:val="1"/>
                <w:bCs w:val="1"/>
                <w:color w:val="auto"/>
              </w:rPr>
              <w:t>228,033</w:t>
            </w:r>
          </w:p>
        </w:tc>
        <w:tc>
          <w:tcPr>
            <w:tcW w:w="300" w:type="dxa"/>
            <w:vAlign w:val="bottom"/>
          </w:tcPr>
          <w:p>
            <w:pPr>
              <w:spacing w:after="0"/>
              <w:rPr>
                <w:sz w:val="13"/>
                <w:szCs w:val="13"/>
                <w:color w:val="auto"/>
              </w:rPr>
            </w:pPr>
          </w:p>
        </w:tc>
        <w:tc>
          <w:tcPr>
            <w:tcW w:w="780" w:type="dxa"/>
            <w:vAlign w:val="bottom"/>
          </w:tcPr>
          <w:p>
            <w:pPr>
              <w:jc w:val="right"/>
              <w:ind w:right="6"/>
              <w:spacing w:after="0" w:line="156" w:lineRule="exact"/>
              <w:rPr>
                <w:sz w:val="20"/>
                <w:szCs w:val="20"/>
                <w:color w:val="auto"/>
              </w:rPr>
            </w:pPr>
            <w:r>
              <w:rPr>
                <w:rFonts w:ascii="Arial" w:cs="Arial" w:eastAsia="Arial" w:hAnsi="Arial"/>
                <w:sz w:val="15"/>
                <w:szCs w:val="15"/>
                <w:color w:val="auto"/>
              </w:rPr>
              <w:t>227,975</w:t>
            </w:r>
          </w:p>
        </w:tc>
        <w:tc>
          <w:tcPr>
            <w:tcW w:w="0" w:type="dxa"/>
            <w:vAlign w:val="bottom"/>
          </w:tcPr>
          <w:p>
            <w:pPr>
              <w:spacing w:after="0"/>
              <w:rPr>
                <w:sz w:val="1"/>
                <w:szCs w:val="1"/>
                <w:color w:val="auto"/>
              </w:rPr>
            </w:pPr>
          </w:p>
        </w:tc>
      </w:tr>
      <w:tr>
        <w:trPr>
          <w:trHeight w:val="156"/>
        </w:trPr>
        <w:tc>
          <w:tcPr>
            <w:tcW w:w="328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4.250% Senior Notes, due 2047</w:t>
            </w:r>
          </w:p>
        </w:tc>
        <w:tc>
          <w:tcPr>
            <w:tcW w:w="32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126"/>
              <w:spacing w:after="0" w:line="156" w:lineRule="exact"/>
              <w:rPr>
                <w:sz w:val="20"/>
                <w:szCs w:val="20"/>
                <w:color w:val="auto"/>
              </w:rPr>
            </w:pPr>
            <w:r>
              <w:rPr>
                <w:rFonts w:ascii="Arial" w:cs="Arial" w:eastAsia="Arial" w:hAnsi="Arial"/>
                <w:sz w:val="15"/>
                <w:szCs w:val="15"/>
                <w:b w:val="1"/>
                <w:bCs w:val="1"/>
                <w:color w:val="auto"/>
              </w:rPr>
              <w:t>591,688</w:t>
            </w:r>
          </w:p>
        </w:tc>
        <w:tc>
          <w:tcPr>
            <w:tcW w:w="30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6"/>
              <w:spacing w:after="0" w:line="15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2"/>
        </w:trPr>
        <w:tc>
          <w:tcPr>
            <w:tcW w:w="3280" w:type="dxa"/>
            <w:vAlign w:val="bottom"/>
          </w:tcPr>
          <w:p>
            <w:pPr>
              <w:spacing w:after="0" w:line="153" w:lineRule="exact"/>
              <w:rPr>
                <w:sz w:val="20"/>
                <w:szCs w:val="20"/>
                <w:color w:val="auto"/>
              </w:rPr>
            </w:pPr>
            <w:r>
              <w:rPr>
                <w:rFonts w:ascii="Arial" w:cs="Arial" w:eastAsia="Arial" w:hAnsi="Arial"/>
                <w:sz w:val="15"/>
                <w:szCs w:val="15"/>
                <w:color w:val="auto"/>
              </w:rPr>
              <w:t>Floating Rate Senior Notes, due 2019, interest</w:t>
            </w:r>
          </w:p>
        </w:tc>
        <w:tc>
          <w:tcPr>
            <w:tcW w:w="320" w:type="dxa"/>
            <w:vAlign w:val="bottom"/>
          </w:tcPr>
          <w:p>
            <w:pPr>
              <w:spacing w:after="0"/>
              <w:rPr>
                <w:sz w:val="13"/>
                <w:szCs w:val="13"/>
                <w:color w:val="auto"/>
              </w:rPr>
            </w:pPr>
          </w:p>
        </w:tc>
        <w:tc>
          <w:tcPr>
            <w:tcW w:w="900" w:type="dxa"/>
            <w:vAlign w:val="bottom"/>
            <w:vMerge w:val="restart"/>
          </w:tcPr>
          <w:p>
            <w:pPr>
              <w:jc w:val="right"/>
              <w:ind w:right="126"/>
              <w:spacing w:after="0"/>
              <w:rPr>
                <w:sz w:val="20"/>
                <w:szCs w:val="20"/>
                <w:color w:val="auto"/>
              </w:rPr>
            </w:pPr>
            <w:r>
              <w:rPr>
                <w:rFonts w:ascii="Arial" w:cs="Arial" w:eastAsia="Arial" w:hAnsi="Arial"/>
                <w:sz w:val="15"/>
                <w:szCs w:val="15"/>
                <w:b w:val="1"/>
                <w:bCs w:val="1"/>
                <w:color w:val="auto"/>
              </w:rPr>
              <w:t>298,102</w:t>
            </w: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280" w:type="dxa"/>
            <w:vAlign w:val="bottom"/>
          </w:tcPr>
          <w:p>
            <w:pPr>
              <w:ind w:left="140"/>
              <w:spacing w:after="0" w:line="159" w:lineRule="exact"/>
              <w:rPr>
                <w:sz w:val="20"/>
                <w:szCs w:val="20"/>
                <w:color w:val="auto"/>
              </w:rPr>
            </w:pPr>
            <w:r>
              <w:rPr>
                <w:rFonts w:ascii="Arial" w:cs="Arial" w:eastAsia="Arial" w:hAnsi="Arial"/>
                <w:sz w:val="15"/>
                <w:szCs w:val="15"/>
                <w:color w:val="auto"/>
              </w:rPr>
              <w:t>rate of 2.13% at December 31, 2017</w:t>
            </w:r>
          </w:p>
        </w:tc>
        <w:tc>
          <w:tcPr>
            <w:tcW w:w="32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jc w:val="right"/>
              <w:ind w:right="6"/>
              <w:spacing w:after="0" w:line="15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2"/>
        </w:trPr>
        <w:tc>
          <w:tcPr>
            <w:tcW w:w="3280" w:type="dxa"/>
            <w:vAlign w:val="bottom"/>
            <w:shd w:val="clear" w:color="auto" w:fill="CCEEFF"/>
          </w:tcPr>
          <w:p>
            <w:pPr>
              <w:spacing w:after="0" w:line="153" w:lineRule="exact"/>
              <w:rPr>
                <w:sz w:val="20"/>
                <w:szCs w:val="20"/>
                <w:color w:val="auto"/>
              </w:rPr>
            </w:pPr>
            <w:r>
              <w:rPr>
                <w:rFonts w:ascii="Arial" w:cs="Arial" w:eastAsia="Arial" w:hAnsi="Arial"/>
                <w:sz w:val="15"/>
                <w:szCs w:val="15"/>
                <w:color w:val="auto"/>
              </w:rPr>
              <w:t>Floating Rate Senior Notes, due, 2020 interest</w:t>
            </w:r>
          </w:p>
        </w:tc>
        <w:tc>
          <w:tcPr>
            <w:tcW w:w="3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126"/>
              <w:spacing w:after="0"/>
              <w:rPr>
                <w:sz w:val="20"/>
                <w:szCs w:val="20"/>
                <w:color w:val="auto"/>
              </w:rPr>
            </w:pPr>
            <w:r>
              <w:rPr>
                <w:rFonts w:ascii="Arial" w:cs="Arial" w:eastAsia="Arial" w:hAnsi="Arial"/>
                <w:sz w:val="15"/>
                <w:szCs w:val="15"/>
                <w:b w:val="1"/>
                <w:bCs w:val="1"/>
                <w:color w:val="auto"/>
              </w:rPr>
              <w:t>298,227</w:t>
            </w:r>
          </w:p>
        </w:tc>
        <w:tc>
          <w:tcPr>
            <w:tcW w:w="3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280" w:type="dxa"/>
            <w:vAlign w:val="bottom"/>
            <w:shd w:val="clear" w:color="auto" w:fill="CCEEFF"/>
          </w:tcPr>
          <w:p>
            <w:pPr>
              <w:ind w:left="140"/>
              <w:spacing w:after="0" w:line="159" w:lineRule="exact"/>
              <w:rPr>
                <w:sz w:val="20"/>
                <w:szCs w:val="20"/>
                <w:color w:val="auto"/>
              </w:rPr>
            </w:pPr>
            <w:r>
              <w:rPr>
                <w:rFonts w:ascii="Arial" w:cs="Arial" w:eastAsia="Arial" w:hAnsi="Arial"/>
                <w:sz w:val="15"/>
                <w:szCs w:val="15"/>
                <w:color w:val="auto"/>
              </w:rPr>
              <w:t>rate of 2.10% at December 31, 2017</w:t>
            </w:r>
          </w:p>
        </w:tc>
        <w:tc>
          <w:tcPr>
            <w:tcW w:w="320" w:type="dxa"/>
            <w:vAlign w:val="bottom"/>
            <w:shd w:val="clear" w:color="auto" w:fill="CCEEFF"/>
          </w:tcPr>
          <w:p>
            <w:pPr>
              <w:spacing w:after="0"/>
              <w:rPr>
                <w:sz w:val="13"/>
                <w:szCs w:val="13"/>
                <w:color w:val="auto"/>
              </w:rPr>
            </w:pPr>
          </w:p>
        </w:tc>
        <w:tc>
          <w:tcPr>
            <w:tcW w:w="900" w:type="dxa"/>
            <w:vAlign w:val="bottom"/>
            <w:vMerge w:val="continue"/>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6"/>
              <w:spacing w:after="0" w:line="15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2"/>
        </w:trPr>
        <w:tc>
          <w:tcPr>
            <w:tcW w:w="3280" w:type="dxa"/>
            <w:vAlign w:val="bottom"/>
          </w:tcPr>
          <w:p>
            <w:pPr>
              <w:spacing w:after="0" w:line="153" w:lineRule="exact"/>
              <w:rPr>
                <w:sz w:val="20"/>
                <w:szCs w:val="20"/>
                <w:color w:val="auto"/>
              </w:rPr>
            </w:pPr>
            <w:r>
              <w:rPr>
                <w:rFonts w:ascii="Arial" w:cs="Arial" w:eastAsia="Arial" w:hAnsi="Arial"/>
                <w:sz w:val="15"/>
                <w:szCs w:val="15"/>
                <w:color w:val="auto"/>
              </w:rPr>
              <w:t>Floating Rate Senior Notes, due 2017, interest</w:t>
            </w:r>
          </w:p>
        </w:tc>
        <w:tc>
          <w:tcPr>
            <w:tcW w:w="320" w:type="dxa"/>
            <w:vAlign w:val="bottom"/>
          </w:tcPr>
          <w:p>
            <w:pPr>
              <w:spacing w:after="0"/>
              <w:rPr>
                <w:sz w:val="13"/>
                <w:szCs w:val="13"/>
                <w:color w:val="auto"/>
              </w:rPr>
            </w:pPr>
          </w:p>
        </w:tc>
        <w:tc>
          <w:tcPr>
            <w:tcW w:w="900" w:type="dxa"/>
            <w:vAlign w:val="bottom"/>
            <w:vMerge w:val="restart"/>
          </w:tcPr>
          <w:p>
            <w:pPr>
              <w:jc w:val="right"/>
              <w:ind w:right="126"/>
              <w:spacing w:after="0"/>
              <w:rPr>
                <w:sz w:val="20"/>
                <w:szCs w:val="20"/>
                <w:color w:val="auto"/>
              </w:rPr>
            </w:pPr>
            <w:r>
              <w:rPr>
                <w:rFonts w:ascii="Arial" w:cs="Arial" w:eastAsia="Arial" w:hAnsi="Arial"/>
                <w:sz w:val="15"/>
                <w:szCs w:val="15"/>
                <w:b w:val="1"/>
                <w:bCs w:val="1"/>
                <w:color w:val="auto"/>
              </w:rPr>
              <w:t>–</w:t>
            </w: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280" w:type="dxa"/>
            <w:vAlign w:val="bottom"/>
          </w:tcPr>
          <w:p>
            <w:pPr>
              <w:ind w:left="140"/>
              <w:spacing w:after="0" w:line="159" w:lineRule="exact"/>
              <w:rPr>
                <w:sz w:val="20"/>
                <w:szCs w:val="20"/>
                <w:color w:val="auto"/>
              </w:rPr>
            </w:pPr>
            <w:r>
              <w:rPr>
                <w:rFonts w:ascii="Arial" w:cs="Arial" w:eastAsia="Arial" w:hAnsi="Arial"/>
                <w:sz w:val="15"/>
                <w:szCs w:val="15"/>
                <w:color w:val="auto"/>
              </w:rPr>
              <w:t>rate of 2.10% at December 31, 2016</w:t>
            </w:r>
          </w:p>
        </w:tc>
        <w:tc>
          <w:tcPr>
            <w:tcW w:w="32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jc w:val="right"/>
              <w:ind w:right="6"/>
              <w:spacing w:after="0" w:line="159" w:lineRule="exact"/>
              <w:rPr>
                <w:sz w:val="20"/>
                <w:szCs w:val="20"/>
                <w:color w:val="auto"/>
              </w:rPr>
            </w:pPr>
            <w:r>
              <w:rPr>
                <w:rFonts w:ascii="Arial" w:cs="Arial" w:eastAsia="Arial" w:hAnsi="Arial"/>
                <w:sz w:val="15"/>
                <w:szCs w:val="15"/>
                <w:color w:val="auto"/>
              </w:rPr>
              <w:t>299,033</w:t>
            </w:r>
          </w:p>
        </w:tc>
        <w:tc>
          <w:tcPr>
            <w:tcW w:w="0" w:type="dxa"/>
            <w:vAlign w:val="bottom"/>
          </w:tcPr>
          <w:p>
            <w:pPr>
              <w:spacing w:after="0"/>
              <w:rPr>
                <w:sz w:val="1"/>
                <w:szCs w:val="1"/>
                <w:color w:val="auto"/>
              </w:rPr>
            </w:pPr>
          </w:p>
        </w:tc>
      </w:tr>
      <w:tr>
        <w:trPr>
          <w:trHeight w:val="152"/>
        </w:trPr>
        <w:tc>
          <w:tcPr>
            <w:tcW w:w="3280" w:type="dxa"/>
            <w:vAlign w:val="bottom"/>
            <w:shd w:val="clear" w:color="auto" w:fill="CCEEFF"/>
          </w:tcPr>
          <w:p>
            <w:pPr>
              <w:spacing w:after="0" w:line="153" w:lineRule="exact"/>
              <w:rPr>
                <w:sz w:val="20"/>
                <w:szCs w:val="20"/>
                <w:color w:val="auto"/>
              </w:rPr>
            </w:pPr>
            <w:r>
              <w:rPr>
                <w:rFonts w:ascii="Arial" w:cs="Arial" w:eastAsia="Arial" w:hAnsi="Arial"/>
                <w:sz w:val="15"/>
                <w:szCs w:val="15"/>
                <w:color w:val="auto"/>
              </w:rPr>
              <w:t>Revolving Facility, due 2022, interest rate of</w:t>
            </w:r>
          </w:p>
        </w:tc>
        <w:tc>
          <w:tcPr>
            <w:tcW w:w="3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126"/>
              <w:spacing w:after="0"/>
              <w:rPr>
                <w:sz w:val="20"/>
                <w:szCs w:val="20"/>
                <w:color w:val="auto"/>
              </w:rPr>
            </w:pPr>
            <w:r>
              <w:rPr>
                <w:rFonts w:ascii="Arial" w:cs="Arial" w:eastAsia="Arial" w:hAnsi="Arial"/>
                <w:sz w:val="15"/>
                <w:szCs w:val="15"/>
                <w:b w:val="1"/>
                <w:bCs w:val="1"/>
                <w:color w:val="auto"/>
              </w:rPr>
              <w:t>–</w:t>
            </w:r>
          </w:p>
        </w:tc>
        <w:tc>
          <w:tcPr>
            <w:tcW w:w="3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280" w:type="dxa"/>
            <w:vAlign w:val="bottom"/>
            <w:shd w:val="clear" w:color="auto" w:fill="CCEEFF"/>
          </w:tcPr>
          <w:p>
            <w:pPr>
              <w:ind w:left="140"/>
              <w:spacing w:after="0" w:line="159" w:lineRule="exact"/>
              <w:rPr>
                <w:sz w:val="20"/>
                <w:szCs w:val="20"/>
                <w:color w:val="auto"/>
              </w:rPr>
            </w:pPr>
            <w:r>
              <w:rPr>
                <w:rFonts w:ascii="Arial" w:cs="Arial" w:eastAsia="Arial" w:hAnsi="Arial"/>
                <w:sz w:val="15"/>
                <w:szCs w:val="15"/>
                <w:color w:val="auto"/>
              </w:rPr>
              <w:t>1.86% at December 31, 2016</w:t>
            </w:r>
          </w:p>
        </w:tc>
        <w:tc>
          <w:tcPr>
            <w:tcW w:w="320" w:type="dxa"/>
            <w:vAlign w:val="bottom"/>
            <w:shd w:val="clear" w:color="auto" w:fill="CCEEFF"/>
          </w:tcPr>
          <w:p>
            <w:pPr>
              <w:spacing w:after="0"/>
              <w:rPr>
                <w:sz w:val="13"/>
                <w:szCs w:val="13"/>
                <w:color w:val="auto"/>
              </w:rPr>
            </w:pPr>
          </w:p>
        </w:tc>
        <w:tc>
          <w:tcPr>
            <w:tcW w:w="900" w:type="dxa"/>
            <w:vAlign w:val="bottom"/>
            <w:vMerge w:val="continue"/>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6"/>
              <w:spacing w:after="0" w:line="159" w:lineRule="exact"/>
              <w:rPr>
                <w:sz w:val="20"/>
                <w:szCs w:val="20"/>
                <w:color w:val="auto"/>
              </w:rPr>
            </w:pPr>
            <w:r>
              <w:rPr>
                <w:rFonts w:ascii="Arial" w:cs="Arial" w:eastAsia="Arial" w:hAnsi="Arial"/>
                <w:sz w:val="15"/>
                <w:szCs w:val="15"/>
                <w:color w:val="auto"/>
              </w:rPr>
              <w:t>160,000</w:t>
            </w:r>
          </w:p>
        </w:tc>
        <w:tc>
          <w:tcPr>
            <w:tcW w:w="0" w:type="dxa"/>
            <w:vAlign w:val="bottom"/>
          </w:tcPr>
          <w:p>
            <w:pPr>
              <w:spacing w:after="0"/>
              <w:rPr>
                <w:sz w:val="1"/>
                <w:szCs w:val="1"/>
                <w:color w:val="auto"/>
              </w:rPr>
            </w:pPr>
          </w:p>
        </w:tc>
      </w:tr>
      <w:tr>
        <w:trPr>
          <w:trHeight w:val="152"/>
        </w:trPr>
        <w:tc>
          <w:tcPr>
            <w:tcW w:w="3280" w:type="dxa"/>
            <w:vAlign w:val="bottom"/>
          </w:tcPr>
          <w:p>
            <w:pPr>
              <w:spacing w:after="0" w:line="153" w:lineRule="exact"/>
              <w:rPr>
                <w:sz w:val="20"/>
                <w:szCs w:val="20"/>
                <w:color w:val="auto"/>
              </w:rPr>
            </w:pPr>
            <w:r>
              <w:rPr>
                <w:rFonts w:ascii="Arial" w:cs="Arial" w:eastAsia="Arial" w:hAnsi="Arial"/>
                <w:sz w:val="15"/>
                <w:szCs w:val="15"/>
                <w:color w:val="auto"/>
              </w:rPr>
              <w:t>Trade Receivable Facility, interest rate of 1.34%</w:t>
            </w:r>
          </w:p>
        </w:tc>
        <w:tc>
          <w:tcPr>
            <w:tcW w:w="320" w:type="dxa"/>
            <w:vAlign w:val="bottom"/>
          </w:tcPr>
          <w:p>
            <w:pPr>
              <w:spacing w:after="0"/>
              <w:rPr>
                <w:sz w:val="13"/>
                <w:szCs w:val="13"/>
                <w:color w:val="auto"/>
              </w:rPr>
            </w:pPr>
          </w:p>
        </w:tc>
        <w:tc>
          <w:tcPr>
            <w:tcW w:w="900" w:type="dxa"/>
            <w:vAlign w:val="bottom"/>
            <w:vMerge w:val="restart"/>
          </w:tcPr>
          <w:p>
            <w:pPr>
              <w:jc w:val="right"/>
              <w:ind w:right="126"/>
              <w:spacing w:after="0"/>
              <w:rPr>
                <w:sz w:val="20"/>
                <w:szCs w:val="20"/>
                <w:color w:val="auto"/>
              </w:rPr>
            </w:pPr>
            <w:r>
              <w:rPr>
                <w:rFonts w:ascii="Arial" w:cs="Arial" w:eastAsia="Arial" w:hAnsi="Arial"/>
                <w:sz w:val="15"/>
                <w:szCs w:val="15"/>
                <w:b w:val="1"/>
                <w:bCs w:val="1"/>
                <w:color w:val="auto"/>
              </w:rPr>
              <w:t>–</w:t>
            </w: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280" w:type="dxa"/>
            <w:vAlign w:val="bottom"/>
          </w:tcPr>
          <w:p>
            <w:pPr>
              <w:ind w:left="140"/>
              <w:spacing w:after="0" w:line="159" w:lineRule="exact"/>
              <w:rPr>
                <w:sz w:val="20"/>
                <w:szCs w:val="20"/>
                <w:color w:val="auto"/>
              </w:rPr>
            </w:pPr>
            <w:r>
              <w:rPr>
                <w:rFonts w:ascii="Arial" w:cs="Arial" w:eastAsia="Arial" w:hAnsi="Arial"/>
                <w:sz w:val="15"/>
                <w:szCs w:val="15"/>
                <w:color w:val="auto"/>
              </w:rPr>
              <w:t>at December 31, 2016</w:t>
            </w:r>
          </w:p>
        </w:tc>
        <w:tc>
          <w:tcPr>
            <w:tcW w:w="32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jc w:val="right"/>
              <w:ind w:right="6"/>
              <w:spacing w:after="0" w:line="159" w:lineRule="exact"/>
              <w:rPr>
                <w:sz w:val="20"/>
                <w:szCs w:val="20"/>
                <w:color w:val="auto"/>
              </w:rPr>
            </w:pPr>
            <w:r>
              <w:rPr>
                <w:rFonts w:ascii="Arial" w:cs="Arial" w:eastAsia="Arial" w:hAnsi="Arial"/>
                <w:sz w:val="15"/>
                <w:szCs w:val="15"/>
                <w:color w:val="auto"/>
              </w:rPr>
              <w:t>180,000</w:t>
            </w:r>
          </w:p>
        </w:tc>
        <w:tc>
          <w:tcPr>
            <w:tcW w:w="0" w:type="dxa"/>
            <w:vAlign w:val="bottom"/>
          </w:tcPr>
          <w:p>
            <w:pPr>
              <w:spacing w:after="0"/>
              <w:rPr>
                <w:sz w:val="1"/>
                <w:szCs w:val="1"/>
                <w:color w:val="auto"/>
              </w:rPr>
            </w:pPr>
          </w:p>
        </w:tc>
      </w:tr>
      <w:tr>
        <w:trPr>
          <w:trHeight w:val="156"/>
        </w:trPr>
        <w:tc>
          <w:tcPr>
            <w:tcW w:w="328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Other notes</w:t>
            </w:r>
          </w:p>
        </w:tc>
        <w:tc>
          <w:tcPr>
            <w:tcW w:w="32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126"/>
              <w:spacing w:after="0" w:line="156" w:lineRule="exact"/>
              <w:rPr>
                <w:sz w:val="20"/>
                <w:szCs w:val="20"/>
                <w:color w:val="auto"/>
              </w:rPr>
            </w:pPr>
            <w:r>
              <w:rPr>
                <w:rFonts w:ascii="Arial" w:cs="Arial" w:eastAsia="Arial" w:hAnsi="Arial"/>
                <w:sz w:val="15"/>
                <w:szCs w:val="15"/>
                <w:b w:val="1"/>
                <w:bCs w:val="1"/>
                <w:color w:val="auto"/>
              </w:rPr>
              <w:t>308</w:t>
            </w:r>
          </w:p>
        </w:tc>
        <w:tc>
          <w:tcPr>
            <w:tcW w:w="30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ind w:right="6"/>
              <w:spacing w:after="0" w:line="156" w:lineRule="exact"/>
              <w:rPr>
                <w:sz w:val="20"/>
                <w:szCs w:val="20"/>
                <w:color w:val="auto"/>
              </w:rPr>
            </w:pPr>
            <w:r>
              <w:rPr>
                <w:rFonts w:ascii="Arial" w:cs="Arial" w:eastAsia="Arial" w:hAnsi="Arial"/>
                <w:sz w:val="15"/>
                <w:szCs w:val="15"/>
                <w:color w:val="auto"/>
              </w:rPr>
              <w:t>356</w:t>
            </w:r>
          </w:p>
        </w:tc>
        <w:tc>
          <w:tcPr>
            <w:tcW w:w="0" w:type="dxa"/>
            <w:vAlign w:val="bottom"/>
          </w:tcPr>
          <w:p>
            <w:pPr>
              <w:spacing w:after="0"/>
              <w:rPr>
                <w:sz w:val="1"/>
                <w:szCs w:val="1"/>
                <w:color w:val="auto"/>
              </w:rPr>
            </w:pPr>
          </w:p>
        </w:tc>
      </w:tr>
      <w:tr>
        <w:trPr>
          <w:trHeight w:val="149"/>
        </w:trPr>
        <w:tc>
          <w:tcPr>
            <w:tcW w:w="3280" w:type="dxa"/>
            <w:vAlign w:val="bottom"/>
          </w:tcPr>
          <w:p>
            <w:pPr>
              <w:spacing w:after="0" w:line="149" w:lineRule="exact"/>
              <w:rPr>
                <w:sz w:val="20"/>
                <w:szCs w:val="20"/>
                <w:color w:val="auto"/>
              </w:rPr>
            </w:pPr>
            <w:r>
              <w:rPr>
                <w:rFonts w:ascii="Arial" w:cs="Arial" w:eastAsia="Arial" w:hAnsi="Arial"/>
                <w:sz w:val="15"/>
                <w:szCs w:val="15"/>
                <w:color w:val="auto"/>
              </w:rPr>
              <w:t>Total</w:t>
            </w:r>
          </w:p>
        </w:tc>
        <w:tc>
          <w:tcPr>
            <w:tcW w:w="320" w:type="dxa"/>
            <w:vAlign w:val="bottom"/>
          </w:tcPr>
          <w:p>
            <w:pPr>
              <w:spacing w:after="0"/>
              <w:rPr>
                <w:sz w:val="12"/>
                <w:szCs w:val="12"/>
                <w:color w:val="auto"/>
              </w:rPr>
            </w:pPr>
          </w:p>
        </w:tc>
        <w:tc>
          <w:tcPr>
            <w:tcW w:w="900" w:type="dxa"/>
            <w:vAlign w:val="bottom"/>
          </w:tcPr>
          <w:p>
            <w:pPr>
              <w:jc w:val="right"/>
              <w:ind w:right="126"/>
              <w:spacing w:after="0" w:line="149" w:lineRule="exact"/>
              <w:rPr>
                <w:sz w:val="20"/>
                <w:szCs w:val="20"/>
                <w:color w:val="auto"/>
              </w:rPr>
            </w:pPr>
            <w:r>
              <w:rPr>
                <w:rFonts w:ascii="Arial" w:cs="Arial" w:eastAsia="Arial" w:hAnsi="Arial"/>
                <w:sz w:val="15"/>
                <w:szCs w:val="15"/>
                <w:b w:val="1"/>
                <w:bCs w:val="1"/>
                <w:color w:val="auto"/>
              </w:rPr>
              <w:t>3,027,203</w:t>
            </w:r>
          </w:p>
        </w:tc>
        <w:tc>
          <w:tcPr>
            <w:tcW w:w="300" w:type="dxa"/>
            <w:vAlign w:val="bottom"/>
          </w:tcPr>
          <w:p>
            <w:pPr>
              <w:spacing w:after="0"/>
              <w:rPr>
                <w:sz w:val="12"/>
                <w:szCs w:val="12"/>
                <w:color w:val="auto"/>
              </w:rPr>
            </w:pPr>
          </w:p>
        </w:tc>
        <w:tc>
          <w:tcPr>
            <w:tcW w:w="780" w:type="dxa"/>
            <w:vAlign w:val="bottom"/>
          </w:tcPr>
          <w:p>
            <w:pPr>
              <w:jc w:val="right"/>
              <w:ind w:right="6"/>
              <w:spacing w:after="0" w:line="149" w:lineRule="exact"/>
              <w:rPr>
                <w:sz w:val="20"/>
                <w:szCs w:val="20"/>
                <w:color w:val="auto"/>
              </w:rPr>
            </w:pPr>
            <w:r>
              <w:rPr>
                <w:rFonts w:ascii="Arial" w:cs="Arial" w:eastAsia="Arial" w:hAnsi="Arial"/>
                <w:sz w:val="15"/>
                <w:szCs w:val="15"/>
                <w:color w:val="auto"/>
              </w:rPr>
              <w:t>1,686,189</w:t>
            </w:r>
          </w:p>
        </w:tc>
        <w:tc>
          <w:tcPr>
            <w:tcW w:w="0" w:type="dxa"/>
            <w:vAlign w:val="bottom"/>
          </w:tcPr>
          <w:p>
            <w:pPr>
              <w:spacing w:after="0"/>
              <w:rPr>
                <w:sz w:val="1"/>
                <w:szCs w:val="1"/>
                <w:color w:val="auto"/>
              </w:rPr>
            </w:pPr>
          </w:p>
        </w:tc>
      </w:tr>
      <w:tr>
        <w:trPr>
          <w:trHeight w:val="156"/>
        </w:trPr>
        <w:tc>
          <w:tcPr>
            <w:tcW w:w="328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Less current maturities</w:t>
            </w:r>
          </w:p>
        </w:tc>
        <w:tc>
          <w:tcPr>
            <w:tcW w:w="32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86"/>
              <w:spacing w:after="0" w:line="156" w:lineRule="exact"/>
              <w:rPr>
                <w:sz w:val="20"/>
                <w:szCs w:val="20"/>
                <w:color w:val="auto"/>
              </w:rPr>
            </w:pPr>
            <w:r>
              <w:rPr>
                <w:rFonts w:ascii="Arial" w:cs="Arial" w:eastAsia="Arial" w:hAnsi="Arial"/>
                <w:sz w:val="15"/>
                <w:szCs w:val="15"/>
                <w:b w:val="1"/>
                <w:bCs w:val="1"/>
                <w:color w:val="auto"/>
              </w:rPr>
              <w:t>(299,909)</w:t>
            </w:r>
          </w:p>
        </w:tc>
        <w:tc>
          <w:tcPr>
            <w:tcW w:w="30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(180,036)</w:t>
            </w:r>
          </w:p>
        </w:tc>
        <w:tc>
          <w:tcPr>
            <w:tcW w:w="0" w:type="dxa"/>
            <w:vAlign w:val="bottom"/>
          </w:tcPr>
          <w:p>
            <w:pPr>
              <w:spacing w:after="0"/>
              <w:rPr>
                <w:sz w:val="1"/>
                <w:szCs w:val="1"/>
                <w:color w:val="auto"/>
              </w:rPr>
            </w:pPr>
          </w:p>
        </w:tc>
      </w:tr>
      <w:tr>
        <w:trPr>
          <w:trHeight w:val="155"/>
        </w:trPr>
        <w:tc>
          <w:tcPr>
            <w:tcW w:w="3280" w:type="dxa"/>
            <w:vAlign w:val="bottom"/>
            <w:tcBorders>
              <w:bottom w:val="single" w:sz="8" w:color="auto"/>
            </w:tcBorders>
          </w:tcPr>
          <w:p>
            <w:pPr>
              <w:spacing w:after="0" w:line="149" w:lineRule="exact"/>
              <w:rPr>
                <w:sz w:val="20"/>
                <w:szCs w:val="20"/>
                <w:color w:val="auto"/>
              </w:rPr>
            </w:pPr>
            <w:r>
              <w:rPr>
                <w:rFonts w:ascii="Arial" w:cs="Arial" w:eastAsia="Arial" w:hAnsi="Arial"/>
                <w:sz w:val="15"/>
                <w:szCs w:val="15"/>
                <w:color w:val="auto"/>
              </w:rPr>
              <w:t>Long-term debt</w:t>
            </w:r>
          </w:p>
        </w:tc>
        <w:tc>
          <w:tcPr>
            <w:tcW w:w="3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900" w:type="dxa"/>
            <w:vAlign w:val="bottom"/>
            <w:tcBorders>
              <w:bottom w:val="single" w:sz="8" w:color="auto"/>
            </w:tcBorders>
          </w:tcPr>
          <w:p>
            <w:pPr>
              <w:jc w:val="right"/>
              <w:ind w:right="126"/>
              <w:spacing w:after="0" w:line="149" w:lineRule="exact"/>
              <w:rPr>
                <w:sz w:val="20"/>
                <w:szCs w:val="20"/>
                <w:color w:val="auto"/>
              </w:rPr>
            </w:pPr>
            <w:r>
              <w:rPr>
                <w:rFonts w:ascii="Arial" w:cs="Arial" w:eastAsia="Arial" w:hAnsi="Arial"/>
                <w:sz w:val="15"/>
                <w:szCs w:val="15"/>
                <w:b w:val="1"/>
                <w:bCs w:val="1"/>
                <w:color w:val="auto"/>
              </w:rPr>
              <w:t>2,727,294</w:t>
            </w:r>
          </w:p>
        </w:tc>
        <w:tc>
          <w:tcPr>
            <w:tcW w:w="3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tcPr>
          <w:p>
            <w:pPr>
              <w:jc w:val="right"/>
              <w:ind w:right="6"/>
              <w:spacing w:after="0" w:line="149" w:lineRule="exact"/>
              <w:rPr>
                <w:sz w:val="20"/>
                <w:szCs w:val="20"/>
                <w:color w:val="auto"/>
              </w:rPr>
            </w:pPr>
            <w:r>
              <w:rPr>
                <w:rFonts w:ascii="Arial" w:cs="Arial" w:eastAsia="Arial" w:hAnsi="Arial"/>
                <w:sz w:val="15"/>
                <w:szCs w:val="15"/>
                <w:color w:val="auto"/>
              </w:rPr>
              <w:t>1,506,153</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The Company’s 6.60% Senior Notes due 2018, 7% Debentures due 2025, 6.25% Senior Notes due 2037, 4.25% Senior Notes due 2024, 3.450% Senior Notes due 2027, 3.500% Senior Notes due 2027, 4.250% Senior Notes due 2047, Floating Rate Senior Notes due 2019 and Floating Rate Senior Notes due 2020 (collectively, the “Senior Notes”) are senior unsecured obligations of the Company, ranking equal in right of payment with the Company’s existing and future unsubordinated indebtedness. Upon a change-of-control repurchase event and a resulting below-investment-grade credit rating, the Company would be required to make an offer to repurchase all outstanding Senior Notes, with the exception of the 7% Debentures due 2025, at a price in cash equal to 101% of the principal amount of the Senior Notes, plus any accrued and unpaid interest to, but not including, the purchase date.</w:t>
      </w:r>
    </w:p>
    <w:p>
      <w:pPr>
        <w:spacing w:after="0" w:line="1174" w:lineRule="exact"/>
        <w:rPr>
          <w:sz w:val="20"/>
          <w:szCs w:val="20"/>
          <w:color w:val="auto"/>
        </w:rPr>
      </w:pPr>
    </w:p>
    <w:p>
      <w:pPr>
        <w:sectPr>
          <w:pgSz w:w="11900" w:h="16838" w:orient="portrait"/>
          <w:cols w:equalWidth="0" w:num="2">
            <w:col w:w="5480" w:space="360"/>
            <w:col w:w="5580"/>
          </w:cols>
          <w:pgMar w:left="240" w:top="259" w:right="239" w:bottom="1440" w:gutter="0" w:footer="0" w:header="0"/>
          <w:type w:val="continuous"/>
        </w:sectPr>
      </w:pPr>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23</w:t>
      </w:r>
    </w:p>
    <w:p>
      <w:pPr>
        <w:sectPr>
          <w:pgSz w:w="11900" w:h="16838" w:orient="portrait"/>
          <w:cols w:equalWidth="0" w:num="1">
            <w:col w:w="11420"/>
          </w:cols>
          <w:pgMar w:left="240" w:top="259" w:right="239" w:bottom="1440" w:gutter="0" w:footer="0" w:header="0"/>
          <w:type w:val="continuous"/>
        </w:sectPr>
      </w:pPr>
    </w:p>
    <w:bookmarkStart w:id="76" w:name="page77"/>
    <w:bookmarkEnd w:id="76"/>
    <w:p>
      <w:pPr>
        <w:jc w:val="center"/>
        <w:ind w:right="-19"/>
        <w:spacing w:after="0"/>
        <w:rPr>
          <w:sz w:val="20"/>
          <w:szCs w:val="20"/>
          <w:color w:val="auto"/>
        </w:rPr>
      </w:pPr>
      <w:r>
        <w:rPr>
          <w:rFonts w:ascii="Arial" w:cs="Arial" w:eastAsia="Arial" w:hAnsi="Arial"/>
          <w:sz w:val="17"/>
          <w:szCs w:val="17"/>
          <w:b w:val="1"/>
          <w:bCs w:val="1"/>
          <w:color w:val="0085CD"/>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2">
                      <a:extLst>
                        <a:ext uri="{28A0092B-C50C-407E-A947-70E740481C1C}"/>
                      </a:extLst>
                    </a:blip>
                    <a:srcRect/>
                    <a:stretch>
                      <a:fillRect/>
                    </a:stretch>
                  </pic:blipFill>
                  <pic:spPr bwMode="auto">
                    <a:xfrm>
                      <a:off x="0" y="0"/>
                      <a:ext cx="7293610" cy="37465"/>
                    </a:xfrm>
                    <a:prstGeom prst="rect">
                      <a:avLst/>
                    </a:prstGeom>
                    <a:noFill/>
                  </pic:spPr>
                </pic:pic>
              </a:graphicData>
            </a:graphic>
          </wp:anchor>
        </w:drawing>
        <w:t xml:space="preserve">NOTES TO FINANCIAL STATEMENTS </w:t>
      </w:r>
      <w:r>
        <w:rPr>
          <w:rFonts w:ascii="Arial" w:cs="Arial" w:eastAsia="Arial" w:hAnsi="Arial"/>
          <w:sz w:val="15"/>
          <w:szCs w:val="15"/>
          <w:color w:val="0085CD"/>
        </w:rPr>
        <w:t>(continued)</w:t>
      </w:r>
    </w:p>
    <w:p>
      <w:pPr>
        <w:sectPr>
          <w:pgSz w:w="11900" w:h="16838" w:orient="portrait"/>
          <w:cols w:equalWidth="0" w:num="1">
            <w:col w:w="11420"/>
          </w:cols>
          <w:pgMar w:left="240" w:top="2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The Senior Notes are carried net of original issue discount, which is being amortized by the effective interest method over the life of the issue. With the exception of the Floating Rate Senior Notes due 2019 and the Floating Rate Senior Notes due 2020, the Senior Notes are redeemable prior to their respective maturity dates at a make-whole redemption price. The principal amount, effective interest rate and maturity date for the Company’s Senior Notes are as follows: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960" w:type="dxa"/>
            <w:vAlign w:val="bottom"/>
          </w:tcPr>
          <w:p>
            <w:pPr>
              <w:jc w:val="center"/>
              <w:ind w:left="31"/>
              <w:spacing w:after="0"/>
              <w:rPr>
                <w:sz w:val="20"/>
                <w:szCs w:val="20"/>
                <w:color w:val="auto"/>
              </w:rPr>
            </w:pPr>
            <w:r>
              <w:rPr>
                <w:rFonts w:ascii="Arial" w:cs="Arial" w:eastAsia="Arial" w:hAnsi="Arial"/>
                <w:sz w:val="14"/>
                <w:szCs w:val="14"/>
                <w:b w:val="1"/>
                <w:bCs w:val="1"/>
                <w:color w:val="auto"/>
                <w:w w:val="97"/>
              </w:rPr>
              <w:t>Principal</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9"/>
              </w:rPr>
              <w:t>Effective</w:t>
            </w: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180" w:type="dxa"/>
            <w:vAlign w:val="bottom"/>
          </w:tcPr>
          <w:p>
            <w:pPr>
              <w:spacing w:after="0"/>
              <w:rPr>
                <w:sz w:val="13"/>
                <w:szCs w:val="13"/>
                <w:color w:val="auto"/>
              </w:rPr>
            </w:pPr>
          </w:p>
        </w:tc>
        <w:tc>
          <w:tcPr>
            <w:tcW w:w="960" w:type="dxa"/>
            <w:vAlign w:val="bottom"/>
          </w:tcPr>
          <w:p>
            <w:pPr>
              <w:jc w:val="center"/>
              <w:ind w:left="11"/>
              <w:spacing w:after="0" w:line="156" w:lineRule="exact"/>
              <w:rPr>
                <w:sz w:val="20"/>
                <w:szCs w:val="20"/>
                <w:color w:val="auto"/>
              </w:rPr>
            </w:pPr>
            <w:r>
              <w:rPr>
                <w:rFonts w:ascii="Arial" w:cs="Arial" w:eastAsia="Arial" w:hAnsi="Arial"/>
                <w:sz w:val="14"/>
                <w:szCs w:val="14"/>
                <w:b w:val="1"/>
                <w:bCs w:val="1"/>
                <w:color w:val="auto"/>
                <w:w w:val="98"/>
              </w:rPr>
              <w:t>Amount</w:t>
            </w:r>
          </w:p>
        </w:tc>
        <w:tc>
          <w:tcPr>
            <w:tcW w:w="102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w w:val="98"/>
              </w:rPr>
              <w:t>Interest</w:t>
            </w:r>
          </w:p>
        </w:tc>
        <w:tc>
          <w:tcPr>
            <w:tcW w:w="1320" w:type="dxa"/>
            <w:vAlign w:val="bottom"/>
          </w:tcPr>
          <w:p>
            <w:pPr>
              <w:jc w:val="center"/>
              <w:ind w:left="31"/>
              <w:spacing w:after="0" w:line="156" w:lineRule="exact"/>
              <w:rPr>
                <w:sz w:val="20"/>
                <w:szCs w:val="20"/>
                <w:color w:val="auto"/>
              </w:rPr>
            </w:pPr>
            <w:r>
              <w:rPr>
                <w:rFonts w:ascii="Arial" w:cs="Arial" w:eastAsia="Arial" w:hAnsi="Arial"/>
                <w:sz w:val="14"/>
                <w:szCs w:val="14"/>
                <w:b w:val="1"/>
                <w:bCs w:val="1"/>
                <w:color w:val="auto"/>
                <w:w w:val="99"/>
              </w:rPr>
              <w:t>Maturity</w:t>
            </w:r>
          </w:p>
        </w:tc>
        <w:tc>
          <w:tcPr>
            <w:tcW w:w="0" w:type="dxa"/>
            <w:vAlign w:val="bottom"/>
          </w:tcPr>
          <w:p>
            <w:pPr>
              <w:spacing w:after="0"/>
              <w:rPr>
                <w:sz w:val="1"/>
                <w:szCs w:val="1"/>
                <w:color w:val="auto"/>
              </w:rPr>
            </w:pPr>
          </w:p>
        </w:tc>
      </w:tr>
      <w:tr>
        <w:trPr>
          <w:trHeight w:val="167"/>
        </w:trPr>
        <w:tc>
          <w:tcPr>
            <w:tcW w:w="2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left="11"/>
              <w:spacing w:after="0"/>
              <w:rPr>
                <w:sz w:val="20"/>
                <w:szCs w:val="20"/>
                <w:color w:val="auto"/>
              </w:rPr>
            </w:pPr>
            <w:r>
              <w:rPr>
                <w:rFonts w:ascii="Arial" w:cs="Arial" w:eastAsia="Arial" w:hAnsi="Arial"/>
                <w:sz w:val="14"/>
                <w:szCs w:val="14"/>
                <w:b w:val="1"/>
                <w:bCs w:val="1"/>
                <w:color w:val="auto"/>
                <w:w w:val="97"/>
              </w:rPr>
              <w:t>(add 000)</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1320" w:type="dxa"/>
            <w:vAlign w:val="bottom"/>
            <w:tcBorders>
              <w:bottom w:val="single" w:sz="8" w:color="auto"/>
            </w:tcBorders>
          </w:tcPr>
          <w:p>
            <w:pPr>
              <w:jc w:val="center"/>
              <w:ind w:left="31"/>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149"/>
        </w:trPr>
        <w:tc>
          <w:tcPr>
            <w:tcW w:w="2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6.60% Senior Notes</w:t>
            </w:r>
          </w:p>
        </w:tc>
        <w:tc>
          <w:tcPr>
            <w:tcW w:w="960" w:type="dxa"/>
            <w:vAlign w:val="bottom"/>
            <w:shd w:val="clear" w:color="auto" w:fill="CCEEFF"/>
          </w:tcPr>
          <w:p>
            <w:pPr>
              <w:jc w:val="center"/>
              <w:ind w:left="31"/>
              <w:spacing w:after="0" w:line="149" w:lineRule="exact"/>
              <w:rPr>
                <w:sz w:val="20"/>
                <w:szCs w:val="20"/>
                <w:color w:val="auto"/>
              </w:rPr>
            </w:pPr>
            <w:r>
              <w:rPr>
                <w:rFonts w:ascii="Arial" w:cs="Arial" w:eastAsia="Arial" w:hAnsi="Arial"/>
                <w:sz w:val="14"/>
                <w:szCs w:val="14"/>
                <w:color w:val="auto"/>
                <w:w w:val="99"/>
              </w:rPr>
              <w:t>$300,000</w:t>
            </w:r>
          </w:p>
        </w:tc>
        <w:tc>
          <w:tcPr>
            <w:tcW w:w="1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6.81%</w:t>
            </w:r>
          </w:p>
        </w:tc>
        <w:tc>
          <w:tcPr>
            <w:tcW w:w="1320" w:type="dxa"/>
            <w:vAlign w:val="bottom"/>
            <w:shd w:val="clear" w:color="auto" w:fill="CCEEFF"/>
          </w:tcPr>
          <w:p>
            <w:pPr>
              <w:jc w:val="center"/>
              <w:ind w:left="31"/>
              <w:spacing w:after="0" w:line="149" w:lineRule="exact"/>
              <w:rPr>
                <w:sz w:val="20"/>
                <w:szCs w:val="20"/>
                <w:color w:val="auto"/>
              </w:rPr>
            </w:pPr>
            <w:r>
              <w:rPr>
                <w:rFonts w:ascii="Arial" w:cs="Arial" w:eastAsia="Arial" w:hAnsi="Arial"/>
                <w:sz w:val="14"/>
                <w:szCs w:val="14"/>
                <w:color w:val="auto"/>
                <w:w w:val="99"/>
              </w:rPr>
              <w:t>April 15, 2018</w:t>
            </w:r>
          </w:p>
        </w:tc>
        <w:tc>
          <w:tcPr>
            <w:tcW w:w="0" w:type="dxa"/>
            <w:vAlign w:val="bottom"/>
          </w:tcPr>
          <w:p>
            <w:pPr>
              <w:spacing w:after="0"/>
              <w:rPr>
                <w:sz w:val="1"/>
                <w:szCs w:val="1"/>
                <w:color w:val="auto"/>
              </w:rPr>
            </w:pPr>
          </w:p>
        </w:tc>
      </w:tr>
      <w:tr>
        <w:trPr>
          <w:trHeight w:val="156"/>
        </w:trPr>
        <w:tc>
          <w:tcPr>
            <w:tcW w:w="2180" w:type="dxa"/>
            <w:vAlign w:val="bottom"/>
          </w:tcPr>
          <w:p>
            <w:pPr>
              <w:spacing w:after="0" w:line="156" w:lineRule="exact"/>
              <w:rPr>
                <w:sz w:val="20"/>
                <w:szCs w:val="20"/>
                <w:color w:val="auto"/>
              </w:rPr>
            </w:pPr>
            <w:r>
              <w:rPr>
                <w:rFonts w:ascii="Arial" w:cs="Arial" w:eastAsia="Arial" w:hAnsi="Arial"/>
                <w:sz w:val="14"/>
                <w:szCs w:val="14"/>
                <w:color w:val="auto"/>
              </w:rPr>
              <w:t>4.25% Senior Notes</w:t>
            </w:r>
          </w:p>
        </w:tc>
        <w:tc>
          <w:tcPr>
            <w:tcW w:w="960" w:type="dxa"/>
            <w:vAlign w:val="bottom"/>
          </w:tcPr>
          <w:p>
            <w:pPr>
              <w:jc w:val="center"/>
              <w:ind w:left="31"/>
              <w:spacing w:after="0" w:line="156" w:lineRule="exact"/>
              <w:rPr>
                <w:sz w:val="20"/>
                <w:szCs w:val="20"/>
                <w:color w:val="auto"/>
              </w:rPr>
            </w:pPr>
            <w:r>
              <w:rPr>
                <w:rFonts w:ascii="Arial" w:cs="Arial" w:eastAsia="Arial" w:hAnsi="Arial"/>
                <w:sz w:val="14"/>
                <w:szCs w:val="14"/>
                <w:color w:val="auto"/>
                <w:w w:val="99"/>
              </w:rPr>
              <w:t>$400,000</w:t>
            </w:r>
          </w:p>
        </w:tc>
        <w:tc>
          <w:tcPr>
            <w:tcW w:w="1020" w:type="dxa"/>
            <w:vAlign w:val="bottom"/>
          </w:tcPr>
          <w:p>
            <w:pPr>
              <w:jc w:val="center"/>
              <w:spacing w:after="0" w:line="156" w:lineRule="exact"/>
              <w:rPr>
                <w:sz w:val="20"/>
                <w:szCs w:val="20"/>
                <w:color w:val="auto"/>
              </w:rPr>
            </w:pPr>
            <w:r>
              <w:rPr>
                <w:rFonts w:ascii="Arial" w:cs="Arial" w:eastAsia="Arial" w:hAnsi="Arial"/>
                <w:sz w:val="14"/>
                <w:szCs w:val="14"/>
                <w:color w:val="auto"/>
              </w:rPr>
              <w:t>4.25%</w:t>
            </w:r>
          </w:p>
        </w:tc>
        <w:tc>
          <w:tcPr>
            <w:tcW w:w="1320" w:type="dxa"/>
            <w:vAlign w:val="bottom"/>
          </w:tcPr>
          <w:p>
            <w:pPr>
              <w:jc w:val="center"/>
              <w:ind w:left="31"/>
              <w:spacing w:after="0" w:line="156" w:lineRule="exact"/>
              <w:rPr>
                <w:sz w:val="20"/>
                <w:szCs w:val="20"/>
                <w:color w:val="auto"/>
              </w:rPr>
            </w:pPr>
            <w:r>
              <w:rPr>
                <w:rFonts w:ascii="Arial" w:cs="Arial" w:eastAsia="Arial" w:hAnsi="Arial"/>
                <w:sz w:val="14"/>
                <w:szCs w:val="14"/>
                <w:color w:val="auto"/>
                <w:w w:val="97"/>
              </w:rPr>
              <w:t>July 2, 2024</w:t>
            </w:r>
          </w:p>
        </w:tc>
        <w:tc>
          <w:tcPr>
            <w:tcW w:w="0" w:type="dxa"/>
            <w:vAlign w:val="bottom"/>
          </w:tcPr>
          <w:p>
            <w:pPr>
              <w:spacing w:after="0"/>
              <w:rPr>
                <w:sz w:val="1"/>
                <w:szCs w:val="1"/>
                <w:color w:val="auto"/>
              </w:rPr>
            </w:pPr>
          </w:p>
        </w:tc>
      </w:tr>
      <w:tr>
        <w:trPr>
          <w:trHeight w:val="156"/>
        </w:trPr>
        <w:tc>
          <w:tcPr>
            <w:tcW w:w="218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7% Debentures</w:t>
            </w:r>
          </w:p>
        </w:tc>
        <w:tc>
          <w:tcPr>
            <w:tcW w:w="960" w:type="dxa"/>
            <w:vAlign w:val="bottom"/>
            <w:shd w:val="clear" w:color="auto" w:fill="CCEEFF"/>
          </w:tcPr>
          <w:p>
            <w:pPr>
              <w:jc w:val="center"/>
              <w:ind w:left="31"/>
              <w:spacing w:after="0" w:line="156" w:lineRule="exact"/>
              <w:rPr>
                <w:sz w:val="20"/>
                <w:szCs w:val="20"/>
                <w:color w:val="auto"/>
              </w:rPr>
            </w:pPr>
            <w:r>
              <w:rPr>
                <w:rFonts w:ascii="Arial" w:cs="Arial" w:eastAsia="Arial" w:hAnsi="Arial"/>
                <w:sz w:val="14"/>
                <w:szCs w:val="14"/>
                <w:color w:val="auto"/>
                <w:w w:val="99"/>
              </w:rPr>
              <w:t>$125,000</w:t>
            </w:r>
          </w:p>
        </w:tc>
        <w:tc>
          <w:tcPr>
            <w:tcW w:w="1020" w:type="dxa"/>
            <w:vAlign w:val="bottom"/>
            <w:shd w:val="clear" w:color="auto" w:fill="CCEEFF"/>
          </w:tcPr>
          <w:p>
            <w:pPr>
              <w:jc w:val="center"/>
              <w:spacing w:after="0" w:line="156" w:lineRule="exact"/>
              <w:rPr>
                <w:sz w:val="20"/>
                <w:szCs w:val="20"/>
                <w:color w:val="auto"/>
              </w:rPr>
            </w:pPr>
            <w:r>
              <w:rPr>
                <w:rFonts w:ascii="Arial" w:cs="Arial" w:eastAsia="Arial" w:hAnsi="Arial"/>
                <w:sz w:val="14"/>
                <w:szCs w:val="14"/>
                <w:color w:val="auto"/>
              </w:rPr>
              <w:t>7.12%</w:t>
            </w:r>
          </w:p>
        </w:tc>
        <w:tc>
          <w:tcPr>
            <w:tcW w:w="1320" w:type="dxa"/>
            <w:vAlign w:val="bottom"/>
            <w:shd w:val="clear" w:color="auto" w:fill="CCEEFF"/>
          </w:tcPr>
          <w:p>
            <w:pPr>
              <w:jc w:val="center"/>
              <w:ind w:left="31"/>
              <w:spacing w:after="0" w:line="156" w:lineRule="exact"/>
              <w:rPr>
                <w:sz w:val="20"/>
                <w:szCs w:val="20"/>
                <w:color w:val="auto"/>
              </w:rPr>
            </w:pPr>
            <w:r>
              <w:rPr>
                <w:rFonts w:ascii="Arial" w:cs="Arial" w:eastAsia="Arial" w:hAnsi="Arial"/>
                <w:sz w:val="14"/>
                <w:szCs w:val="14"/>
                <w:color w:val="auto"/>
                <w:w w:val="98"/>
              </w:rPr>
              <w:t>December 1, 2025</w:t>
            </w:r>
          </w:p>
        </w:tc>
        <w:tc>
          <w:tcPr>
            <w:tcW w:w="0" w:type="dxa"/>
            <w:vAlign w:val="bottom"/>
          </w:tcPr>
          <w:p>
            <w:pPr>
              <w:spacing w:after="0"/>
              <w:rPr>
                <w:sz w:val="1"/>
                <w:szCs w:val="1"/>
                <w:color w:val="auto"/>
              </w:rPr>
            </w:pPr>
          </w:p>
        </w:tc>
      </w:tr>
      <w:tr>
        <w:trPr>
          <w:trHeight w:val="156"/>
        </w:trPr>
        <w:tc>
          <w:tcPr>
            <w:tcW w:w="2180" w:type="dxa"/>
            <w:vAlign w:val="bottom"/>
          </w:tcPr>
          <w:p>
            <w:pPr>
              <w:spacing w:after="0" w:line="156" w:lineRule="exact"/>
              <w:rPr>
                <w:sz w:val="20"/>
                <w:szCs w:val="20"/>
                <w:color w:val="auto"/>
              </w:rPr>
            </w:pPr>
            <w:r>
              <w:rPr>
                <w:rFonts w:ascii="Arial" w:cs="Arial" w:eastAsia="Arial" w:hAnsi="Arial"/>
                <w:sz w:val="14"/>
                <w:szCs w:val="14"/>
                <w:color w:val="auto"/>
              </w:rPr>
              <w:t>3.450% Senior Notes</w:t>
            </w:r>
          </w:p>
        </w:tc>
        <w:tc>
          <w:tcPr>
            <w:tcW w:w="960" w:type="dxa"/>
            <w:vAlign w:val="bottom"/>
          </w:tcPr>
          <w:p>
            <w:pPr>
              <w:jc w:val="center"/>
              <w:ind w:left="31"/>
              <w:spacing w:after="0" w:line="156" w:lineRule="exact"/>
              <w:rPr>
                <w:sz w:val="20"/>
                <w:szCs w:val="20"/>
                <w:color w:val="auto"/>
              </w:rPr>
            </w:pPr>
            <w:r>
              <w:rPr>
                <w:rFonts w:ascii="Arial" w:cs="Arial" w:eastAsia="Arial" w:hAnsi="Arial"/>
                <w:sz w:val="14"/>
                <w:szCs w:val="14"/>
                <w:color w:val="auto"/>
                <w:w w:val="99"/>
              </w:rPr>
              <w:t>$300,000</w:t>
            </w:r>
          </w:p>
        </w:tc>
        <w:tc>
          <w:tcPr>
            <w:tcW w:w="1020" w:type="dxa"/>
            <w:vAlign w:val="bottom"/>
          </w:tcPr>
          <w:p>
            <w:pPr>
              <w:jc w:val="center"/>
              <w:spacing w:after="0" w:line="156" w:lineRule="exact"/>
              <w:rPr>
                <w:sz w:val="20"/>
                <w:szCs w:val="20"/>
                <w:color w:val="auto"/>
              </w:rPr>
            </w:pPr>
            <w:r>
              <w:rPr>
                <w:rFonts w:ascii="Arial" w:cs="Arial" w:eastAsia="Arial" w:hAnsi="Arial"/>
                <w:sz w:val="14"/>
                <w:szCs w:val="14"/>
                <w:color w:val="auto"/>
              </w:rPr>
              <w:t>3.47%</w:t>
            </w:r>
          </w:p>
        </w:tc>
        <w:tc>
          <w:tcPr>
            <w:tcW w:w="1320" w:type="dxa"/>
            <w:vAlign w:val="bottom"/>
          </w:tcPr>
          <w:p>
            <w:pPr>
              <w:jc w:val="center"/>
              <w:ind w:left="51"/>
              <w:spacing w:after="0" w:line="156" w:lineRule="exact"/>
              <w:rPr>
                <w:sz w:val="20"/>
                <w:szCs w:val="20"/>
                <w:color w:val="auto"/>
              </w:rPr>
            </w:pPr>
            <w:r>
              <w:rPr>
                <w:rFonts w:ascii="Arial" w:cs="Arial" w:eastAsia="Arial" w:hAnsi="Arial"/>
                <w:sz w:val="14"/>
                <w:szCs w:val="14"/>
                <w:color w:val="auto"/>
                <w:w w:val="98"/>
              </w:rPr>
              <w:t>June 1, 2027</w:t>
            </w:r>
          </w:p>
        </w:tc>
        <w:tc>
          <w:tcPr>
            <w:tcW w:w="0" w:type="dxa"/>
            <w:vAlign w:val="bottom"/>
          </w:tcPr>
          <w:p>
            <w:pPr>
              <w:spacing w:after="0"/>
              <w:rPr>
                <w:sz w:val="1"/>
                <w:szCs w:val="1"/>
                <w:color w:val="auto"/>
              </w:rPr>
            </w:pPr>
          </w:p>
        </w:tc>
      </w:tr>
      <w:tr>
        <w:trPr>
          <w:trHeight w:val="156"/>
        </w:trPr>
        <w:tc>
          <w:tcPr>
            <w:tcW w:w="218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3.500% Senior Notes</w:t>
            </w:r>
          </w:p>
        </w:tc>
        <w:tc>
          <w:tcPr>
            <w:tcW w:w="960" w:type="dxa"/>
            <w:vAlign w:val="bottom"/>
            <w:shd w:val="clear" w:color="auto" w:fill="CCEEFF"/>
          </w:tcPr>
          <w:p>
            <w:pPr>
              <w:jc w:val="center"/>
              <w:ind w:left="31"/>
              <w:spacing w:after="0" w:line="156" w:lineRule="exact"/>
              <w:rPr>
                <w:sz w:val="20"/>
                <w:szCs w:val="20"/>
                <w:color w:val="auto"/>
              </w:rPr>
            </w:pPr>
            <w:r>
              <w:rPr>
                <w:rFonts w:ascii="Arial" w:cs="Arial" w:eastAsia="Arial" w:hAnsi="Arial"/>
                <w:sz w:val="14"/>
                <w:szCs w:val="14"/>
                <w:color w:val="auto"/>
                <w:w w:val="99"/>
              </w:rPr>
              <w:t>$500,000</w:t>
            </w:r>
          </w:p>
        </w:tc>
        <w:tc>
          <w:tcPr>
            <w:tcW w:w="1020" w:type="dxa"/>
            <w:vAlign w:val="bottom"/>
            <w:shd w:val="clear" w:color="auto" w:fill="CCEEFF"/>
          </w:tcPr>
          <w:p>
            <w:pPr>
              <w:jc w:val="center"/>
              <w:spacing w:after="0" w:line="156" w:lineRule="exact"/>
              <w:rPr>
                <w:sz w:val="20"/>
                <w:szCs w:val="20"/>
                <w:color w:val="auto"/>
              </w:rPr>
            </w:pPr>
            <w:r>
              <w:rPr>
                <w:rFonts w:ascii="Arial" w:cs="Arial" w:eastAsia="Arial" w:hAnsi="Arial"/>
                <w:sz w:val="14"/>
                <w:szCs w:val="14"/>
                <w:color w:val="auto"/>
              </w:rPr>
              <w:t>3.53%</w:t>
            </w:r>
          </w:p>
        </w:tc>
        <w:tc>
          <w:tcPr>
            <w:tcW w:w="1320" w:type="dxa"/>
            <w:vAlign w:val="bottom"/>
            <w:shd w:val="clear" w:color="auto" w:fill="CCEEFF"/>
          </w:tcPr>
          <w:p>
            <w:pPr>
              <w:jc w:val="center"/>
              <w:ind w:left="31"/>
              <w:spacing w:after="0" w:line="156" w:lineRule="exact"/>
              <w:rPr>
                <w:sz w:val="20"/>
                <w:szCs w:val="20"/>
                <w:color w:val="auto"/>
              </w:rPr>
            </w:pPr>
            <w:r>
              <w:rPr>
                <w:rFonts w:ascii="Arial" w:cs="Arial" w:eastAsia="Arial" w:hAnsi="Arial"/>
                <w:sz w:val="14"/>
                <w:szCs w:val="14"/>
                <w:color w:val="auto"/>
                <w:w w:val="99"/>
              </w:rPr>
              <w:t>December 15, 2027</w:t>
            </w:r>
          </w:p>
        </w:tc>
        <w:tc>
          <w:tcPr>
            <w:tcW w:w="0" w:type="dxa"/>
            <w:vAlign w:val="bottom"/>
          </w:tcPr>
          <w:p>
            <w:pPr>
              <w:spacing w:after="0"/>
              <w:rPr>
                <w:sz w:val="1"/>
                <w:szCs w:val="1"/>
                <w:color w:val="auto"/>
              </w:rPr>
            </w:pPr>
          </w:p>
        </w:tc>
      </w:tr>
      <w:tr>
        <w:trPr>
          <w:trHeight w:val="156"/>
        </w:trPr>
        <w:tc>
          <w:tcPr>
            <w:tcW w:w="2180" w:type="dxa"/>
            <w:vAlign w:val="bottom"/>
          </w:tcPr>
          <w:p>
            <w:pPr>
              <w:spacing w:after="0" w:line="156" w:lineRule="exact"/>
              <w:rPr>
                <w:sz w:val="20"/>
                <w:szCs w:val="20"/>
                <w:color w:val="auto"/>
              </w:rPr>
            </w:pPr>
            <w:r>
              <w:rPr>
                <w:rFonts w:ascii="Arial" w:cs="Arial" w:eastAsia="Arial" w:hAnsi="Arial"/>
                <w:sz w:val="14"/>
                <w:szCs w:val="14"/>
                <w:color w:val="auto"/>
              </w:rPr>
              <w:t>6.25% Senior Notes</w:t>
            </w:r>
          </w:p>
        </w:tc>
        <w:tc>
          <w:tcPr>
            <w:tcW w:w="960" w:type="dxa"/>
            <w:vAlign w:val="bottom"/>
          </w:tcPr>
          <w:p>
            <w:pPr>
              <w:jc w:val="center"/>
              <w:ind w:left="31"/>
              <w:spacing w:after="0" w:line="156" w:lineRule="exact"/>
              <w:rPr>
                <w:sz w:val="20"/>
                <w:szCs w:val="20"/>
                <w:color w:val="auto"/>
              </w:rPr>
            </w:pPr>
            <w:r>
              <w:rPr>
                <w:rFonts w:ascii="Arial" w:cs="Arial" w:eastAsia="Arial" w:hAnsi="Arial"/>
                <w:sz w:val="14"/>
                <w:szCs w:val="14"/>
                <w:color w:val="auto"/>
                <w:w w:val="99"/>
              </w:rPr>
              <w:t>$230,000</w:t>
            </w:r>
          </w:p>
        </w:tc>
        <w:tc>
          <w:tcPr>
            <w:tcW w:w="1020" w:type="dxa"/>
            <w:vAlign w:val="bottom"/>
          </w:tcPr>
          <w:p>
            <w:pPr>
              <w:jc w:val="center"/>
              <w:spacing w:after="0" w:line="156" w:lineRule="exact"/>
              <w:rPr>
                <w:sz w:val="20"/>
                <w:szCs w:val="20"/>
                <w:color w:val="auto"/>
              </w:rPr>
            </w:pPr>
            <w:r>
              <w:rPr>
                <w:rFonts w:ascii="Arial" w:cs="Arial" w:eastAsia="Arial" w:hAnsi="Arial"/>
                <w:sz w:val="14"/>
                <w:szCs w:val="14"/>
                <w:color w:val="auto"/>
              </w:rPr>
              <w:t>6.45%</w:t>
            </w:r>
          </w:p>
        </w:tc>
        <w:tc>
          <w:tcPr>
            <w:tcW w:w="1320" w:type="dxa"/>
            <w:vAlign w:val="bottom"/>
          </w:tcPr>
          <w:p>
            <w:pPr>
              <w:jc w:val="center"/>
              <w:ind w:left="51"/>
              <w:spacing w:after="0" w:line="156" w:lineRule="exact"/>
              <w:rPr>
                <w:sz w:val="20"/>
                <w:szCs w:val="20"/>
                <w:color w:val="auto"/>
              </w:rPr>
            </w:pPr>
            <w:r>
              <w:rPr>
                <w:rFonts w:ascii="Arial" w:cs="Arial" w:eastAsia="Arial" w:hAnsi="Arial"/>
                <w:sz w:val="14"/>
                <w:szCs w:val="14"/>
                <w:color w:val="auto"/>
                <w:w w:val="98"/>
              </w:rPr>
              <w:t>May 1, 2037</w:t>
            </w:r>
          </w:p>
        </w:tc>
        <w:tc>
          <w:tcPr>
            <w:tcW w:w="0" w:type="dxa"/>
            <w:vAlign w:val="bottom"/>
          </w:tcPr>
          <w:p>
            <w:pPr>
              <w:spacing w:after="0"/>
              <w:rPr>
                <w:sz w:val="1"/>
                <w:szCs w:val="1"/>
                <w:color w:val="auto"/>
              </w:rPr>
            </w:pPr>
          </w:p>
        </w:tc>
      </w:tr>
      <w:tr>
        <w:trPr>
          <w:trHeight w:val="156"/>
        </w:trPr>
        <w:tc>
          <w:tcPr>
            <w:tcW w:w="218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4.250% Senior Notes</w:t>
            </w:r>
          </w:p>
        </w:tc>
        <w:tc>
          <w:tcPr>
            <w:tcW w:w="960" w:type="dxa"/>
            <w:vAlign w:val="bottom"/>
            <w:shd w:val="clear" w:color="auto" w:fill="CCEEFF"/>
          </w:tcPr>
          <w:p>
            <w:pPr>
              <w:jc w:val="center"/>
              <w:ind w:left="31"/>
              <w:spacing w:after="0" w:line="156" w:lineRule="exact"/>
              <w:rPr>
                <w:sz w:val="20"/>
                <w:szCs w:val="20"/>
                <w:color w:val="auto"/>
              </w:rPr>
            </w:pPr>
            <w:r>
              <w:rPr>
                <w:rFonts w:ascii="Arial" w:cs="Arial" w:eastAsia="Arial" w:hAnsi="Arial"/>
                <w:sz w:val="14"/>
                <w:szCs w:val="14"/>
                <w:color w:val="auto"/>
                <w:w w:val="99"/>
              </w:rPr>
              <w:t>$600,000</w:t>
            </w:r>
          </w:p>
        </w:tc>
        <w:tc>
          <w:tcPr>
            <w:tcW w:w="1020" w:type="dxa"/>
            <w:vAlign w:val="bottom"/>
            <w:shd w:val="clear" w:color="auto" w:fill="CCEEFF"/>
          </w:tcPr>
          <w:p>
            <w:pPr>
              <w:jc w:val="center"/>
              <w:spacing w:after="0" w:line="156" w:lineRule="exact"/>
              <w:rPr>
                <w:sz w:val="20"/>
                <w:szCs w:val="20"/>
                <w:color w:val="auto"/>
              </w:rPr>
            </w:pPr>
            <w:r>
              <w:rPr>
                <w:rFonts w:ascii="Arial" w:cs="Arial" w:eastAsia="Arial" w:hAnsi="Arial"/>
                <w:sz w:val="14"/>
                <w:szCs w:val="14"/>
                <w:color w:val="auto"/>
              </w:rPr>
              <w:t>4.27%</w:t>
            </w:r>
          </w:p>
        </w:tc>
        <w:tc>
          <w:tcPr>
            <w:tcW w:w="1320" w:type="dxa"/>
            <w:vAlign w:val="bottom"/>
            <w:shd w:val="clear" w:color="auto" w:fill="CCEEFF"/>
          </w:tcPr>
          <w:p>
            <w:pPr>
              <w:jc w:val="center"/>
              <w:ind w:left="31"/>
              <w:spacing w:after="0" w:line="156" w:lineRule="exact"/>
              <w:rPr>
                <w:sz w:val="20"/>
                <w:szCs w:val="20"/>
                <w:color w:val="auto"/>
              </w:rPr>
            </w:pPr>
            <w:r>
              <w:rPr>
                <w:rFonts w:ascii="Arial" w:cs="Arial" w:eastAsia="Arial" w:hAnsi="Arial"/>
                <w:sz w:val="14"/>
                <w:szCs w:val="14"/>
                <w:color w:val="auto"/>
                <w:w w:val="99"/>
              </w:rPr>
              <w:t>December 15, 2047</w:t>
            </w:r>
          </w:p>
        </w:tc>
        <w:tc>
          <w:tcPr>
            <w:tcW w:w="0" w:type="dxa"/>
            <w:vAlign w:val="bottom"/>
          </w:tcPr>
          <w:p>
            <w:pPr>
              <w:spacing w:after="0"/>
              <w:rPr>
                <w:sz w:val="1"/>
                <w:szCs w:val="1"/>
                <w:color w:val="auto"/>
              </w:rPr>
            </w:pPr>
          </w:p>
        </w:tc>
      </w:tr>
      <w:tr>
        <w:trPr>
          <w:trHeight w:val="160"/>
        </w:trPr>
        <w:tc>
          <w:tcPr>
            <w:tcW w:w="2180" w:type="dxa"/>
            <w:vAlign w:val="bottom"/>
            <w:vMerge w:val="restart"/>
          </w:tcPr>
          <w:p>
            <w:pPr>
              <w:spacing w:after="0"/>
              <w:rPr>
                <w:sz w:val="20"/>
                <w:szCs w:val="20"/>
                <w:color w:val="auto"/>
              </w:rPr>
            </w:pPr>
            <w:r>
              <w:rPr>
                <w:rFonts w:ascii="Arial" w:cs="Arial" w:eastAsia="Arial" w:hAnsi="Arial"/>
                <w:sz w:val="14"/>
                <w:szCs w:val="14"/>
                <w:color w:val="auto"/>
              </w:rPr>
              <w:t>Floating Rate Senior Notes, due</w:t>
            </w:r>
          </w:p>
        </w:tc>
        <w:tc>
          <w:tcPr>
            <w:tcW w:w="96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7"/>
              </w:rPr>
              <w:t>Three-month</w:t>
            </w: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18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1020" w:type="dxa"/>
            <w:vAlign w:val="bottom"/>
          </w:tcPr>
          <w:p>
            <w:pPr>
              <w:jc w:val="center"/>
              <w:spacing w:after="0" w:line="143" w:lineRule="exact"/>
              <w:rPr>
                <w:sz w:val="20"/>
                <w:szCs w:val="20"/>
                <w:color w:val="auto"/>
              </w:rPr>
            </w:pPr>
            <w:r>
              <w:rPr>
                <w:rFonts w:ascii="Arial" w:cs="Arial" w:eastAsia="Arial" w:hAnsi="Arial"/>
                <w:sz w:val="14"/>
                <w:szCs w:val="14"/>
                <w:color w:val="auto"/>
                <w:w w:val="99"/>
              </w:rPr>
              <w:t>LIBOR +</w:t>
            </w: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180" w:type="dxa"/>
            <w:vAlign w:val="bottom"/>
          </w:tcPr>
          <w:p>
            <w:pPr>
              <w:ind w:left="140"/>
              <w:spacing w:after="0"/>
              <w:rPr>
                <w:sz w:val="20"/>
                <w:szCs w:val="20"/>
                <w:color w:val="auto"/>
              </w:rPr>
            </w:pPr>
            <w:r>
              <w:rPr>
                <w:rFonts w:ascii="Arial" w:cs="Arial" w:eastAsia="Arial" w:hAnsi="Arial"/>
                <w:sz w:val="14"/>
                <w:szCs w:val="14"/>
                <w:color w:val="auto"/>
              </w:rPr>
              <w:t>2019</w:t>
            </w:r>
          </w:p>
        </w:tc>
        <w:tc>
          <w:tcPr>
            <w:tcW w:w="960" w:type="dxa"/>
            <w:vAlign w:val="bottom"/>
          </w:tcPr>
          <w:p>
            <w:pPr>
              <w:jc w:val="center"/>
              <w:ind w:left="31"/>
              <w:spacing w:after="0"/>
              <w:rPr>
                <w:sz w:val="20"/>
                <w:szCs w:val="20"/>
                <w:color w:val="auto"/>
              </w:rPr>
            </w:pPr>
            <w:r>
              <w:rPr>
                <w:rFonts w:ascii="Arial" w:cs="Arial" w:eastAsia="Arial" w:hAnsi="Arial"/>
                <w:sz w:val="14"/>
                <w:szCs w:val="14"/>
                <w:color w:val="auto"/>
                <w:w w:val="99"/>
              </w:rPr>
              <w:t>$300,000</w:t>
            </w:r>
          </w:p>
        </w:tc>
        <w:tc>
          <w:tcPr>
            <w:tcW w:w="1020" w:type="dxa"/>
            <w:vAlign w:val="bottom"/>
          </w:tcPr>
          <w:p>
            <w:pPr>
              <w:jc w:val="center"/>
              <w:spacing w:after="0"/>
              <w:rPr>
                <w:sz w:val="20"/>
                <w:szCs w:val="20"/>
                <w:color w:val="auto"/>
              </w:rPr>
            </w:pPr>
            <w:r>
              <w:rPr>
                <w:rFonts w:ascii="Arial" w:cs="Arial" w:eastAsia="Arial" w:hAnsi="Arial"/>
                <w:sz w:val="14"/>
                <w:szCs w:val="14"/>
                <w:color w:val="auto"/>
              </w:rPr>
              <w:t>0.50%</w:t>
            </w:r>
          </w:p>
        </w:tc>
        <w:tc>
          <w:tcPr>
            <w:tcW w:w="1320" w:type="dxa"/>
            <w:vAlign w:val="bottom"/>
          </w:tcPr>
          <w:p>
            <w:pPr>
              <w:jc w:val="center"/>
              <w:ind w:left="31"/>
              <w:spacing w:after="0"/>
              <w:rPr>
                <w:sz w:val="20"/>
                <w:szCs w:val="20"/>
                <w:color w:val="auto"/>
              </w:rPr>
            </w:pPr>
            <w:r>
              <w:rPr>
                <w:rFonts w:ascii="Arial" w:cs="Arial" w:eastAsia="Arial" w:hAnsi="Arial"/>
                <w:sz w:val="14"/>
                <w:szCs w:val="14"/>
                <w:color w:val="auto"/>
                <w:w w:val="99"/>
              </w:rPr>
              <w:t>December 20, 2019</w:t>
            </w:r>
          </w:p>
        </w:tc>
        <w:tc>
          <w:tcPr>
            <w:tcW w:w="0" w:type="dxa"/>
            <w:vAlign w:val="bottom"/>
          </w:tcPr>
          <w:p>
            <w:pPr>
              <w:spacing w:after="0"/>
              <w:rPr>
                <w:sz w:val="1"/>
                <w:szCs w:val="1"/>
                <w:color w:val="auto"/>
              </w:rPr>
            </w:pPr>
          </w:p>
        </w:tc>
      </w:tr>
      <w:tr>
        <w:trPr>
          <w:trHeight w:val="160"/>
        </w:trPr>
        <w:tc>
          <w:tcPr>
            <w:tcW w:w="218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Floating Rate Senior Notes, due</w:t>
            </w:r>
          </w:p>
        </w:tc>
        <w:tc>
          <w:tcPr>
            <w:tcW w:w="96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Three-month</w:t>
            </w:r>
          </w:p>
        </w:tc>
        <w:tc>
          <w:tcPr>
            <w:tcW w:w="1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180" w:type="dxa"/>
            <w:vAlign w:val="bottom"/>
            <w:vMerge w:val="continue"/>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9"/>
              </w:rPr>
              <w:t>LIBOR +</w:t>
            </w:r>
          </w:p>
        </w:tc>
        <w:tc>
          <w:tcPr>
            <w:tcW w:w="1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1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2020</w:t>
            </w:r>
          </w:p>
        </w:tc>
        <w:tc>
          <w:tcPr>
            <w:tcW w:w="960" w:type="dxa"/>
            <w:vAlign w:val="bottom"/>
            <w:shd w:val="clear" w:color="auto" w:fill="CCEEFF"/>
          </w:tcPr>
          <w:p>
            <w:pPr>
              <w:jc w:val="center"/>
              <w:ind w:left="31"/>
              <w:spacing w:after="0"/>
              <w:rPr>
                <w:sz w:val="20"/>
                <w:szCs w:val="20"/>
                <w:color w:val="auto"/>
              </w:rPr>
            </w:pPr>
            <w:r>
              <w:rPr>
                <w:rFonts w:ascii="Arial" w:cs="Arial" w:eastAsia="Arial" w:hAnsi="Arial"/>
                <w:sz w:val="14"/>
                <w:szCs w:val="14"/>
                <w:color w:val="auto"/>
                <w:w w:val="99"/>
              </w:rPr>
              <w:t>$300,000</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0.65%</w:t>
            </w:r>
          </w:p>
        </w:tc>
        <w:tc>
          <w:tcPr>
            <w:tcW w:w="1320" w:type="dxa"/>
            <w:vAlign w:val="bottom"/>
            <w:shd w:val="clear" w:color="auto" w:fill="CCEEFF"/>
          </w:tcPr>
          <w:p>
            <w:pPr>
              <w:jc w:val="center"/>
              <w:ind w:left="51"/>
              <w:spacing w:after="0"/>
              <w:rPr>
                <w:sz w:val="20"/>
                <w:szCs w:val="20"/>
                <w:color w:val="auto"/>
              </w:rPr>
            </w:pPr>
            <w:r>
              <w:rPr>
                <w:rFonts w:ascii="Arial" w:cs="Arial" w:eastAsia="Arial" w:hAnsi="Arial"/>
                <w:sz w:val="14"/>
                <w:szCs w:val="14"/>
                <w:color w:val="auto"/>
                <w:w w:val="98"/>
              </w:rPr>
              <w:t>May 22, 2020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On May 22, 2017, the Company issued $300,000,000 aggregate principal amount of Floating Rate Senior Notes due in 2020 (the “2020 Floating Rate Notes”) and $300,000,000 aggregate principal amount of 3.450% Senior Notes due in 2027 (the “3.450% Senior Notes”), unsecured obligations of the Company. The 3.450% Senior Notes may be redeemed in whole or in part prior to March 1, 2027 at a make-whole redemption price, or on or after March 1, 2027 at a redemption price equal to 100% of the principal amount of the notes to be redeemed, and in either case plus unpaid interest, if any, accrued thereon to, but excluding, the date of redemption. The 2020 Floating Rate Notes bear interest at a rate, reset quarterly, equal to the three-month London Interbank Offered Rate (LIBOR) for U.S. Dollars plus 0.65% (or 65 basis points) and may not be redeemed prior to their stated maturity date of May 22, 2020.</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6"/>
          <w:szCs w:val="16"/>
          <w:color w:val="auto"/>
        </w:rPr>
        <w:t>On December 20, 2017, the Company issued $300,000,000 aggregate principal amount of Floating Rate Senior Notes due 2019 (the “2019 Floating Rate Notes”), $500,000,000 aggregate principal amount of 3.500% Senior Notes due 2027 (the “2027 3.500% Fixed Rate Notes”) and $600,000,000 aggregate principal amount of 4.250% Senior Notes due 2047 (the “2047 Fixed Rate Notes”), all of which are unsecured obligations of the Company and rank equally in right of payment with all of its existing and future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rPr>
          <w:sz w:val="20"/>
          <w:szCs w:val="20"/>
          <w:color w:val="auto"/>
        </w:rPr>
      </w:pPr>
      <w:r>
        <w:rPr>
          <w:rFonts w:ascii="Arial" w:cs="Arial" w:eastAsia="Arial" w:hAnsi="Arial"/>
          <w:sz w:val="16"/>
          <w:szCs w:val="16"/>
          <w:color w:val="auto"/>
        </w:rPr>
        <w:t>unsubordinated indebtedness. The net proceeds of the offering are expected to be used to finance, in part, the previously announced Bluegrass acquisition (the “Acquisition”) and to repay the $300,000,000 6.60% Senior Notes due April 15, 2018. The Company may not redeem the 2019 Floating Rate Notes prior to their stated maturity date of December 20, 2019. If the Acquisition is not consummated prior to September 30, 2018, the purchase agreement is terminated prior to September 30, 2018, or the Company publicly announces at any time prior to September 30, 2018 that it will no longer pursue the consummation of the Acquisition, the Company will be required to redeem all of the outstanding 2027 3.500% Fixed Rate Notes and the 2047 Fixed Rate Notes pursuant to a special mandatory redemption at a price equal to 101% of the aggregate principal amounts, plus accrued and unpaid interest. The 2019 Floating Rate Notes are not subject to the special mandatory redemption.</w:t>
      </w:r>
    </w:p>
    <w:p>
      <w:pPr>
        <w:spacing w:after="0" w:line="359"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The Company has a credit agreement with JPMorgan Chase Bank, N.A., as Administrative Agent, Branch Banking and Trust Company (BB&amp;T), Deutsche Bank Securities, Inc., SunTrust Bank, and Wells Fargo Bank, N.A., as Co-Syndication Agents, and the lenders party thereto (the “Credit Agreement”), which provides for a $700,000,000 five-year senior unsecured revolving facility (the “Revolving Facility”). Borrowings under the Revolving Facility bear interest, at the Company’s option, at rates based upon LIBOR or a base rate, plus, for each rate, a margin determined in accordance with a ratings-based pricing grid.</w:t>
      </w:r>
    </w:p>
    <w:p>
      <w:pPr>
        <w:spacing w:after="0" w:line="194"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The Credit Agreement requires the Company’s ratio of consolidated net debt-to-consolidated earnings before interest, taxes, depreciation, depletion and amortization (EBITDA), as defined, for the trailing-twelve months (the “Ratio”) to not exceed 3.50x as of the end of any fiscal quarter, provided that the Company may exclude from the Ratio debt incurred in connection with certain acquisitions during the quarter or three preceding quarters so long as the Ratio calculated without such exclusion does not exceed 3.75x. Additionally, if no amounts are outstanding under both the Revolving Facility and the trade receivable securitization facility (discussed later), consolidated debt, including debt for which the Company is a co-borrower (see Note N), may be reduced by the Company’s unrestricted cash and cash equivalents in excess of $50,000,000, such reduction not to exceed $200,000,000, for purposes of the covenant calculation.</w:t>
      </w:r>
    </w:p>
    <w:p>
      <w:pPr>
        <w:spacing w:after="0" w:line="1283" w:lineRule="exact"/>
        <w:rPr>
          <w:sz w:val="20"/>
          <w:szCs w:val="20"/>
          <w:color w:val="auto"/>
        </w:rPr>
      </w:pPr>
    </w:p>
    <w:p>
      <w:pPr>
        <w:sectPr>
          <w:pgSz w:w="11900" w:h="16838" w:orient="portrait"/>
          <w:cols w:equalWidth="0" w:num="2">
            <w:col w:w="5480" w:space="360"/>
            <w:col w:w="5580"/>
          </w:cols>
          <w:pgMar w:left="240" w:top="259" w:right="239" w:bottom="1440" w:gutter="0" w:footer="0" w:header="0"/>
          <w:type w:val="continuous"/>
        </w:sect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24</w:t>
      </w:r>
    </w:p>
    <w:p>
      <w:pPr>
        <w:sectPr>
          <w:pgSz w:w="11900" w:h="16838" w:orient="portrait"/>
          <w:cols w:equalWidth="0" w:num="1">
            <w:col w:w="11420"/>
          </w:cols>
          <w:pgMar w:left="240" w:top="259" w:right="239" w:bottom="1440" w:gutter="0" w:footer="0" w:header="0"/>
          <w:type w:val="continuous"/>
        </w:sectPr>
      </w:pPr>
    </w:p>
    <w:bookmarkStart w:id="77" w:name="page78"/>
    <w:bookmarkEnd w:id="77"/>
    <w:p>
      <w:pPr>
        <w:jc w:val="center"/>
        <w:ind w:right="-19"/>
        <w:spacing w:after="0"/>
        <w:rPr>
          <w:sz w:val="20"/>
          <w:szCs w:val="20"/>
          <w:color w:val="auto"/>
        </w:rPr>
      </w:pPr>
      <w:r>
        <w:rPr>
          <w:rFonts w:ascii="Arial" w:cs="Arial" w:eastAsia="Arial" w:hAnsi="Arial"/>
          <w:sz w:val="17"/>
          <w:szCs w:val="17"/>
          <w:b w:val="1"/>
          <w:bCs w:val="1"/>
          <w:color w:val="0085CD"/>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3">
                      <a:extLst>
                        <a:ext uri="{28A0092B-C50C-407E-A947-70E740481C1C}"/>
                      </a:extLst>
                    </a:blip>
                    <a:srcRect/>
                    <a:stretch>
                      <a:fillRect/>
                    </a:stretch>
                  </pic:blipFill>
                  <pic:spPr bwMode="auto">
                    <a:xfrm>
                      <a:off x="0" y="0"/>
                      <a:ext cx="7293610" cy="37465"/>
                    </a:xfrm>
                    <a:prstGeom prst="rect">
                      <a:avLst/>
                    </a:prstGeom>
                    <a:noFill/>
                  </pic:spPr>
                </pic:pic>
              </a:graphicData>
            </a:graphic>
          </wp:anchor>
        </w:drawing>
        <w:t xml:space="preserve">NOTES TO FINANCIAL STATEMENTS </w:t>
      </w:r>
      <w:r>
        <w:rPr>
          <w:rFonts w:ascii="Arial" w:cs="Arial" w:eastAsia="Arial" w:hAnsi="Arial"/>
          <w:sz w:val="15"/>
          <w:szCs w:val="15"/>
          <w:color w:val="0085CD"/>
        </w:rPr>
        <w:t>(continued)</w:t>
      </w:r>
    </w:p>
    <w:p>
      <w:pPr>
        <w:sectPr>
          <w:pgSz w:w="11900" w:h="16838" w:orient="portrait"/>
          <w:cols w:equalWidth="0" w:num="1">
            <w:col w:w="11420"/>
          </w:cols>
          <w:pgMar w:left="240" w:top="2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In December 2017, the Company amended its credit agreement to exclude debt obtained to fund the pending Bluegrass acquisition from the Ratio. The Company was in compliance with this Ratio at December 31, 2017.</w:t>
      </w:r>
    </w:p>
    <w:p>
      <w:pPr>
        <w:spacing w:after="0" w:line="189"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On December 5, 2017, the Company extended its Revolving Facility by one year. The Revolving Facility expires on December 5, 2022, with any outstanding principal amounts, together with interest accrued thereon, due in full on that date. Available borrowings under the Revolving Facility are reduced by any outstanding letters of credit issued by the Company under the Revolving Facility. At December 31, 2017 and 2016, the Company had $2,301,000 and $2,507,000, respectively, of outstanding letters of credit issued under the Revolving Facility. The Company paid the bank group an upfront loan commitment fee that is being amortized over the life of the Revolving Facility. The Revolving Facility includes an annual facility fee.</w:t>
      </w:r>
    </w:p>
    <w:p>
      <w:pPr>
        <w:spacing w:after="0" w:line="200"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The Company, through a wholly-owned special-purpose subsidiary, has a $300,000,000 trade receivable securitization facility (the “Trade Receivable Facility”). On September 27, 2017, the Company extended the maturity to September 26, 2018. The Trade Receivable Facility, with SunTrust Bank, Regions Bank, PNC Bank, N.A., The Bank of Tokyo-Mitsubishi UFJ, Ltd., New York Branch, and certain other lenders that may become a party to the facility from time to time, is backed by eligible trade receivables, as defined. Borrowings are limited to the lesser of the facility limit or the borrowing base, as defined, of $338,784,000 and $332,302,000 at December 31, 2017 and 2016, respectively. These receivables are originated by the Company and then sold or contributed to the wholly-owned special-purpose subsidiary. The Company continues to be responsible for the servicing and administration of the receivables purchased by the wholly-owned special-purpose subsidiary. Borrowings under the Trade Receivable Facility bear interest at a rate equal to one-month LIBOR plus 0.725%, subject to change in the event that this rate no longer reflects the lender’s cost of lending. The Trade Receivable Facility contains a cross-default provision to the Company’s other debt agreements.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color w:val="auto"/>
        </w:rPr>
        <w:t>The  Company’s  long-term  debt  maturities  for  the  five  years  following</w:t>
      </w:r>
    </w:p>
    <w:p>
      <w:pPr>
        <w:spacing w:after="0"/>
        <w:rPr>
          <w:sz w:val="20"/>
          <w:szCs w:val="20"/>
          <w:color w:val="auto"/>
        </w:rPr>
      </w:pPr>
      <w:r>
        <w:rPr>
          <w:rFonts w:ascii="Arial" w:cs="Arial" w:eastAsia="Arial" w:hAnsi="Arial"/>
          <w:sz w:val="16"/>
          <w:szCs w:val="16"/>
          <w:color w:val="auto"/>
        </w:rPr>
        <w:t>December 31, 2017, and thereafter are:</w:t>
      </w:r>
    </w:p>
    <w:p>
      <w:pPr>
        <w:spacing w:after="0" w:line="104" w:lineRule="exact"/>
        <w:rPr>
          <w:sz w:val="20"/>
          <w:szCs w:val="20"/>
          <w:color w:val="auto"/>
        </w:rPr>
      </w:pPr>
    </w:p>
    <w:p>
      <w:pPr>
        <w:spacing w:after="0"/>
        <w:rPr>
          <w:sz w:val="20"/>
          <w:szCs w:val="20"/>
          <w:color w:val="auto"/>
        </w:rPr>
      </w:pPr>
      <w:r>
        <w:rPr>
          <w:rFonts w:ascii="Arial" w:cs="Arial" w:eastAsia="Arial" w:hAnsi="Arial"/>
          <w:sz w:val="15"/>
          <w:szCs w:val="15"/>
          <w:color w:val="auto"/>
        </w:rPr>
        <w:t>(add 000)</w:t>
      </w:r>
    </w:p>
    <w:tbl>
      <w:tblPr>
        <w:tblLayout w:type="fixed"/>
        <w:tblInd w:w="0" w:type="dxa"/>
        <w:tblCellMar>
          <w:top w:w="0" w:type="dxa"/>
          <w:left w:w="0" w:type="dxa"/>
          <w:bottom w:w="0" w:type="dxa"/>
          <w:right w:w="0" w:type="dxa"/>
        </w:tblCellMar>
      </w:tblPr>
      <w:tr>
        <w:trPr>
          <w:trHeight w:val="149"/>
        </w:trPr>
        <w:tc>
          <w:tcPr>
            <w:tcW w:w="264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5"/>
                <w:szCs w:val="15"/>
                <w:color w:val="auto"/>
              </w:rPr>
              <w:t>2018</w:t>
            </w:r>
          </w:p>
        </w:tc>
        <w:tc>
          <w:tcPr>
            <w:tcW w:w="2160" w:type="dxa"/>
            <w:vAlign w:val="bottom"/>
            <w:tcBorders>
              <w:top w:val="single" w:sz="8" w:color="auto"/>
            </w:tcBorders>
            <w:shd w:val="clear" w:color="auto" w:fill="CCEEFF"/>
          </w:tcPr>
          <w:p>
            <w:pPr>
              <w:jc w:val="right"/>
              <w:ind w:right="26"/>
              <w:spacing w:after="0" w:line="149" w:lineRule="exact"/>
              <w:rPr>
                <w:sz w:val="20"/>
                <w:szCs w:val="20"/>
                <w:color w:val="auto"/>
              </w:rPr>
            </w:pPr>
            <w:r>
              <w:rPr>
                <w:rFonts w:ascii="Arial" w:cs="Arial" w:eastAsia="Arial" w:hAnsi="Arial"/>
                <w:sz w:val="15"/>
                <w:szCs w:val="15"/>
                <w:color w:val="auto"/>
              </w:rPr>
              <w:t>$</w:t>
            </w:r>
          </w:p>
        </w:tc>
        <w:tc>
          <w:tcPr>
            <w:tcW w:w="7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299,909</w:t>
            </w:r>
          </w:p>
        </w:tc>
      </w:tr>
      <w:tr>
        <w:trPr>
          <w:trHeight w:val="156"/>
        </w:trPr>
        <w:tc>
          <w:tcPr>
            <w:tcW w:w="2640" w:type="dxa"/>
            <w:vAlign w:val="bottom"/>
          </w:tcPr>
          <w:p>
            <w:pPr>
              <w:spacing w:after="0" w:line="156" w:lineRule="exact"/>
              <w:rPr>
                <w:sz w:val="20"/>
                <w:szCs w:val="20"/>
                <w:color w:val="auto"/>
              </w:rPr>
            </w:pPr>
            <w:r>
              <w:rPr>
                <w:rFonts w:ascii="Arial" w:cs="Arial" w:eastAsia="Arial" w:hAnsi="Arial"/>
                <w:sz w:val="15"/>
                <w:szCs w:val="15"/>
                <w:color w:val="auto"/>
              </w:rPr>
              <w:t>2019</w:t>
            </w:r>
          </w:p>
        </w:tc>
        <w:tc>
          <w:tcPr>
            <w:tcW w:w="2160" w:type="dxa"/>
            <w:vAlign w:val="bottom"/>
          </w:tcPr>
          <w:p>
            <w:pPr>
              <w:spacing w:after="0"/>
              <w:rPr>
                <w:sz w:val="13"/>
                <w:szCs w:val="13"/>
                <w:color w:val="auto"/>
              </w:rPr>
            </w:pPr>
          </w:p>
        </w:tc>
        <w:tc>
          <w:tcPr>
            <w:tcW w:w="780" w:type="dxa"/>
            <w:vAlign w:val="bottom"/>
          </w:tcPr>
          <w:p>
            <w:pPr>
              <w:jc w:val="right"/>
              <w:spacing w:after="0" w:line="156" w:lineRule="exact"/>
              <w:rPr>
                <w:sz w:val="20"/>
                <w:szCs w:val="20"/>
                <w:color w:val="auto"/>
              </w:rPr>
            </w:pPr>
            <w:r>
              <w:rPr>
                <w:rFonts w:ascii="Arial" w:cs="Arial" w:eastAsia="Arial" w:hAnsi="Arial"/>
                <w:sz w:val="15"/>
                <w:szCs w:val="15"/>
                <w:color w:val="auto"/>
              </w:rPr>
              <w:t>298,157</w:t>
            </w:r>
          </w:p>
        </w:tc>
      </w:tr>
      <w:tr>
        <w:trPr>
          <w:trHeight w:val="156"/>
        </w:trPr>
        <w:tc>
          <w:tcPr>
            <w:tcW w:w="264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2020</w:t>
            </w:r>
          </w:p>
        </w:tc>
        <w:tc>
          <w:tcPr>
            <w:tcW w:w="21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298,286</w:t>
            </w:r>
          </w:p>
        </w:tc>
      </w:tr>
      <w:tr>
        <w:trPr>
          <w:trHeight w:val="156"/>
        </w:trPr>
        <w:tc>
          <w:tcPr>
            <w:tcW w:w="2640" w:type="dxa"/>
            <w:vAlign w:val="bottom"/>
          </w:tcPr>
          <w:p>
            <w:pPr>
              <w:spacing w:after="0" w:line="156" w:lineRule="exact"/>
              <w:rPr>
                <w:sz w:val="20"/>
                <w:szCs w:val="20"/>
                <w:color w:val="auto"/>
              </w:rPr>
            </w:pPr>
            <w:r>
              <w:rPr>
                <w:rFonts w:ascii="Arial" w:cs="Arial" w:eastAsia="Arial" w:hAnsi="Arial"/>
                <w:sz w:val="15"/>
                <w:szCs w:val="15"/>
                <w:color w:val="auto"/>
              </w:rPr>
              <w:t>2021</w:t>
            </w:r>
          </w:p>
        </w:tc>
        <w:tc>
          <w:tcPr>
            <w:tcW w:w="2160" w:type="dxa"/>
            <w:vAlign w:val="bottom"/>
          </w:tcPr>
          <w:p>
            <w:pPr>
              <w:spacing w:after="0"/>
              <w:rPr>
                <w:sz w:val="13"/>
                <w:szCs w:val="13"/>
                <w:color w:val="auto"/>
              </w:rPr>
            </w:pPr>
          </w:p>
        </w:tc>
        <w:tc>
          <w:tcPr>
            <w:tcW w:w="780" w:type="dxa"/>
            <w:vAlign w:val="bottom"/>
          </w:tcPr>
          <w:p>
            <w:pPr>
              <w:jc w:val="right"/>
              <w:spacing w:after="0" w:line="156" w:lineRule="exact"/>
              <w:rPr>
                <w:sz w:val="20"/>
                <w:szCs w:val="20"/>
                <w:color w:val="auto"/>
              </w:rPr>
            </w:pPr>
            <w:r>
              <w:rPr>
                <w:rFonts w:ascii="Arial" w:cs="Arial" w:eastAsia="Arial" w:hAnsi="Arial"/>
                <w:sz w:val="15"/>
                <w:szCs w:val="15"/>
                <w:color w:val="auto"/>
              </w:rPr>
              <w:t>65</w:t>
            </w:r>
          </w:p>
        </w:tc>
      </w:tr>
      <w:tr>
        <w:trPr>
          <w:trHeight w:val="156"/>
        </w:trPr>
        <w:tc>
          <w:tcPr>
            <w:tcW w:w="264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2022</w:t>
            </w:r>
          </w:p>
        </w:tc>
        <w:tc>
          <w:tcPr>
            <w:tcW w:w="21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90</w:t>
            </w:r>
          </w:p>
        </w:tc>
      </w:tr>
      <w:tr>
        <w:trPr>
          <w:trHeight w:val="156"/>
        </w:trPr>
        <w:tc>
          <w:tcPr>
            <w:tcW w:w="2640" w:type="dxa"/>
            <w:vAlign w:val="bottom"/>
            <w:tcBorders>
              <w:bottom w:val="single" w:sz="8" w:color="auto"/>
            </w:tcBorders>
          </w:tcPr>
          <w:p>
            <w:pPr>
              <w:spacing w:after="0" w:line="156" w:lineRule="exact"/>
              <w:rPr>
                <w:sz w:val="20"/>
                <w:szCs w:val="20"/>
                <w:color w:val="auto"/>
              </w:rPr>
            </w:pPr>
            <w:r>
              <w:rPr>
                <w:rFonts w:ascii="Arial" w:cs="Arial" w:eastAsia="Arial" w:hAnsi="Arial"/>
                <w:sz w:val="15"/>
                <w:szCs w:val="15"/>
                <w:color w:val="auto"/>
              </w:rPr>
              <w:t>Thereafter</w:t>
            </w:r>
          </w:p>
        </w:tc>
        <w:tc>
          <w:tcPr>
            <w:tcW w:w="2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2,130,696</w:t>
            </w:r>
          </w:p>
        </w:tc>
      </w:tr>
      <w:tr>
        <w:trPr>
          <w:trHeight w:val="155"/>
        </w:trPr>
        <w:tc>
          <w:tcPr>
            <w:tcW w:w="264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5"/>
                <w:szCs w:val="15"/>
                <w:color w:val="auto"/>
              </w:rPr>
              <w:t>Total</w:t>
            </w:r>
          </w:p>
        </w:tc>
        <w:tc>
          <w:tcPr>
            <w:tcW w:w="2160" w:type="dxa"/>
            <w:vAlign w:val="bottom"/>
            <w:tcBorders>
              <w:bottom w:val="single" w:sz="8" w:color="auto"/>
            </w:tcBorders>
            <w:shd w:val="clear" w:color="auto" w:fill="CCEEFF"/>
          </w:tcPr>
          <w:p>
            <w:pPr>
              <w:jc w:val="right"/>
              <w:ind w:right="26"/>
              <w:spacing w:after="0" w:line="149"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3,027,203</w:t>
            </w:r>
          </w:p>
        </w:tc>
      </w:tr>
    </w:tbl>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Company has a $5,000,000 short-term line of credit. No amounts were outstanding under this line of credit at December 31, 2017 or 2016.</w:t>
      </w:r>
    </w:p>
    <w:p>
      <w:pPr>
        <w:spacing w:after="0" w:line="183"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Accumulated other comprehensive loss includes the unamortized value of terminated forward starting interest rate swap agreements. For the years ended December 31, 2017, 2016 and 2015, the Company recognized $1,443,000, $1,367,000 and $1,280,000, respectively, as additional interest expense. The amortization of the terminated value of the forward starting interest rate swap agreements will be completed in April 2018 and will increase 2018 interest expense by approximately $463,000.</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0085CD"/>
        </w:rPr>
        <w:t>Note H: Financial Instruments</w:t>
      </w:r>
    </w:p>
    <w:p>
      <w:pPr>
        <w:spacing w:after="0" w:line="16"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The Company’s financial instruments include temporary cash investments, accounts receivable, notes receivable, bank overdraft, accounts payable, publicly-registered long-term notes, debentures and other long-term debt.</w:t>
      </w:r>
    </w:p>
    <w:p>
      <w:pPr>
        <w:spacing w:after="0" w:line="189"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Temporary cash investments are placed primarily in money market funds and money market demand deposit accounts with financial institutions. The Company’s cash equivalents have maturities of less than three months. Due to the short maturity of these investments, they are carried on the consolidated balance sheets at cost, which approximates fair value.</w:t>
      </w:r>
    </w:p>
    <w:p>
      <w:pPr>
        <w:spacing w:after="0" w:line="192" w:lineRule="exact"/>
        <w:rPr>
          <w:sz w:val="20"/>
          <w:szCs w:val="20"/>
          <w:color w:val="auto"/>
        </w:rPr>
      </w:pPr>
    </w:p>
    <w:p>
      <w:pPr>
        <w:jc w:val="both"/>
        <w:spacing w:after="0"/>
        <w:rPr>
          <w:sz w:val="20"/>
          <w:szCs w:val="20"/>
          <w:color w:val="auto"/>
        </w:rPr>
      </w:pPr>
      <w:r>
        <w:rPr>
          <w:rFonts w:ascii="Arial" w:cs="Arial" w:eastAsia="Arial" w:hAnsi="Arial"/>
          <w:sz w:val="16"/>
          <w:szCs w:val="16"/>
          <w:color w:val="auto"/>
        </w:rPr>
        <w:t>Accounts receivable are due from a large number of customers, primarily in the construction industry, and are dispersed across wide geographic and economic regions. However, accounts receivable are more heavily concentrated in certain states, namely Texas, Colorado, North Carolina, Iowa and Georgia. The estimated fair values of accounts receivable approximate their carrying amounts.</w:t>
      </w:r>
    </w:p>
    <w:p>
      <w:pPr>
        <w:spacing w:after="0" w:line="200" w:lineRule="exact"/>
        <w:rPr>
          <w:sz w:val="20"/>
          <w:szCs w:val="20"/>
          <w:color w:val="auto"/>
        </w:rPr>
      </w:pPr>
    </w:p>
    <w:p>
      <w:pPr>
        <w:sectPr>
          <w:pgSz w:w="11900" w:h="16838" w:orient="portrait"/>
          <w:cols w:equalWidth="0" w:num="2">
            <w:col w:w="5480" w:space="360"/>
            <w:col w:w="5580"/>
          </w:cols>
          <w:pgMar w:left="240" w:top="259" w:right="239" w:bottom="1440" w:gutter="0" w:footer="0" w:header="0"/>
          <w:type w:val="continuous"/>
        </w:sectPr>
      </w:pP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25</w:t>
      </w:r>
    </w:p>
    <w:p>
      <w:pPr>
        <w:sectPr>
          <w:pgSz w:w="11900" w:h="16838" w:orient="portrait"/>
          <w:cols w:equalWidth="0" w:num="1">
            <w:col w:w="11420"/>
          </w:cols>
          <w:pgMar w:left="240" w:top="259" w:right="239" w:bottom="1440" w:gutter="0" w:footer="0" w:header="0"/>
          <w:type w:val="continuous"/>
        </w:sectPr>
      </w:pPr>
    </w:p>
    <w:bookmarkStart w:id="78" w:name="page79"/>
    <w:bookmarkEnd w:id="78"/>
    <w:p>
      <w:pPr>
        <w:jc w:val="center"/>
        <w:ind w:right="-19"/>
        <w:spacing w:after="0"/>
        <w:rPr>
          <w:sz w:val="20"/>
          <w:szCs w:val="20"/>
          <w:color w:val="auto"/>
        </w:rPr>
      </w:pPr>
      <w:r>
        <w:rPr>
          <w:rFonts w:ascii="Arial" w:cs="Arial" w:eastAsia="Arial" w:hAnsi="Arial"/>
          <w:sz w:val="17"/>
          <w:szCs w:val="17"/>
          <w:b w:val="1"/>
          <w:bCs w:val="1"/>
          <w:color w:val="0085CD"/>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4">
                      <a:extLst>
                        <a:ext uri="{28A0092B-C50C-407E-A947-70E740481C1C}"/>
                      </a:extLst>
                    </a:blip>
                    <a:srcRect/>
                    <a:stretch>
                      <a:fillRect/>
                    </a:stretch>
                  </pic:blipFill>
                  <pic:spPr bwMode="auto">
                    <a:xfrm>
                      <a:off x="0" y="0"/>
                      <a:ext cx="7293610" cy="37465"/>
                    </a:xfrm>
                    <a:prstGeom prst="rect">
                      <a:avLst/>
                    </a:prstGeom>
                    <a:noFill/>
                  </pic:spPr>
                </pic:pic>
              </a:graphicData>
            </a:graphic>
          </wp:anchor>
        </w:drawing>
        <w:t xml:space="preserve">NOTES TO FINANCIAL STATEMENTS </w:t>
      </w:r>
      <w:r>
        <w:rPr>
          <w:rFonts w:ascii="Arial" w:cs="Arial" w:eastAsia="Arial" w:hAnsi="Arial"/>
          <w:sz w:val="15"/>
          <w:szCs w:val="15"/>
          <w:color w:val="0085CD"/>
        </w:rPr>
        <w:t>(continued)</w:t>
      </w:r>
    </w:p>
    <w:p>
      <w:pPr>
        <w:sectPr>
          <w:pgSz w:w="11900" w:h="16838" w:orient="portrait"/>
          <w:cols w:equalWidth="0" w:num="1">
            <w:col w:w="11420"/>
          </w:cols>
          <w:pgMar w:left="240" w:top="2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Notes receivable are primarily promissory notes with customers and are not publicly traded. Management estimates that the fair value of notes receivable approximates its carrying amount.</w:t>
      </w:r>
    </w:p>
    <w:p>
      <w:pPr>
        <w:spacing w:after="0" w:line="189"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Bank overdraft represents amounts to be funded to financial institutions for checks that have cleared the bank. The estimated fair value of the bank overdraft approximates its carrying value.</w:t>
      </w:r>
    </w:p>
    <w:p>
      <w:pPr>
        <w:spacing w:after="0" w:line="189"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Accounts payable represent amounts owed to suppliers and vendors. The estimated fair value of accounts payable approximates its carrying amount due to the short-term nature of the payables.</w:t>
      </w:r>
    </w:p>
    <w:p>
      <w:pPr>
        <w:spacing w:after="0" w:line="189"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The carrying values and fair values of the Company’s long-term debt were $3,027,203,000 and $3,144,902,000, respectively, at December 31, 2017 and $1,686,189,000 and $1,752,338,000, respectively, at December 31, 2016. The estimated fair value of the Company’s publicly-registered long-term debt was estimated based on Level 2 of the fair value hierarchy using quoted market prices. The estimated fair values of other borrowings, which primarily represent variable-rate debt, approximate their carrying amounts as the interest rates reset periodically.</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0085CD"/>
        </w:rPr>
        <w:t>Note I: Income Taxes</w:t>
      </w:r>
    </w:p>
    <w:p>
      <w:pPr>
        <w:spacing w:after="0" w:line="16" w:lineRule="exact"/>
        <w:rPr>
          <w:sz w:val="20"/>
          <w:szCs w:val="20"/>
          <w:color w:val="auto"/>
        </w:rPr>
      </w:pPr>
    </w:p>
    <w:p>
      <w:pPr>
        <w:jc w:val="both"/>
        <w:spacing w:after="0"/>
        <w:rPr>
          <w:sz w:val="20"/>
          <w:szCs w:val="20"/>
          <w:color w:val="auto"/>
        </w:rPr>
      </w:pPr>
      <w:r>
        <w:rPr>
          <w:rFonts w:ascii="Arial" w:cs="Arial" w:eastAsia="Arial" w:hAnsi="Arial"/>
          <w:sz w:val="16"/>
          <w:szCs w:val="16"/>
          <w:color w:val="auto"/>
        </w:rPr>
        <w:t>On December 22, 2017, the U.S. government enacted the Tax Cuts and Jobs Act of 2017 (the “2017 Tax Act”). The 2017 Tax Act is comprehensive legislation that includes provisions that lower the federal statutory corporate income tax rate from 35% to 21% beginning in 2018 and imposes a one-time transition tax on undistributed foreign earnings. U.S. GAAP generally requires the effects of a tax law change to be recorded as a component of income tax expense in the period of enactment. However, the SEC staff issued Staff Accounting Bulletin No. 118 (SAB 118) to address situations when a registrant does not have the necessary information available, prepared or analyzed (including computations) in reasonable detail to complete the accounting for certain income tax effects of the 2017 Tax Act.</w:t>
      </w:r>
    </w:p>
    <w:p>
      <w:pPr>
        <w:spacing w:after="0" w:line="364"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The Company has recognized the net tax benefit related to the impact of the 2017 Tax Act for the remeasurement of deferred tax assets and liabilities and included this amount in its consolidated financial statements for the year ended December 31, 2017, on a provisional basis. The ultimate impact may differ from this provisional amount, possibly materially, due to among other things, additional analysis, changes in interpretations and assumptions the Company has made, and additional interpretive regulatory guidance that may be issued.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Company has not recorded a provisional amount to account for the transition tax on undistributed foreign earnings, as it is not expected to be material to its results of operations. In accordance with SAB 118, the Company may record additional provisional amounts during a measurement period not to extend beyond one year of the enactment date of the 2017 Tax Act. The accounting is expected to be complete when the Company’s 2017 U.S. corporate income tax return is filed in 2018 and any measurement period adjustments will be recognized as income tax expense or benefit in 2018.</w:t>
      </w:r>
    </w:p>
    <w:p>
      <w:pPr>
        <w:spacing w:after="0" w:line="19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components of the Company’s income tax (benefit) expense are as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60" w:type="dxa"/>
            <w:vAlign w:val="bottom"/>
          </w:tcPr>
          <w:p>
            <w:pPr>
              <w:spacing w:after="0"/>
              <w:rPr>
                <w:sz w:val="20"/>
                <w:szCs w:val="20"/>
                <w:color w:val="auto"/>
              </w:rPr>
            </w:pPr>
            <w:r>
              <w:rPr>
                <w:rFonts w:ascii="Arial" w:cs="Arial" w:eastAsia="Arial" w:hAnsi="Arial"/>
                <w:sz w:val="14"/>
                <w:szCs w:val="14"/>
                <w:i w:val="1"/>
                <w:iCs w:val="1"/>
                <w:color w:val="auto"/>
              </w:rPr>
              <w:t>years ended December 31</w:t>
            </w:r>
          </w:p>
        </w:tc>
        <w:tc>
          <w:tcPr>
            <w:tcW w:w="260" w:type="dxa"/>
            <w:vAlign w:val="bottom"/>
          </w:tcPr>
          <w:p>
            <w:pPr>
              <w:spacing w:after="0"/>
              <w:rPr>
                <w:sz w:val="14"/>
                <w:szCs w:val="14"/>
                <w:color w:val="auto"/>
              </w:rPr>
            </w:pPr>
          </w:p>
        </w:tc>
        <w:tc>
          <w:tcPr>
            <w:tcW w:w="800" w:type="dxa"/>
            <w:vAlign w:val="bottom"/>
            <w:vMerge w:val="restart"/>
          </w:tcPr>
          <w:p>
            <w:pPr>
              <w:jc w:val="right"/>
              <w:ind w:right="126"/>
              <w:spacing w:after="0"/>
              <w:rPr>
                <w:sz w:val="20"/>
                <w:szCs w:val="20"/>
                <w:color w:val="auto"/>
              </w:rPr>
            </w:pPr>
            <w:r>
              <w:rPr>
                <w:rFonts w:ascii="Arial" w:cs="Arial" w:eastAsia="Arial" w:hAnsi="Arial"/>
                <w:sz w:val="15"/>
                <w:szCs w:val="15"/>
                <w:b w:val="1"/>
                <w:bCs w:val="1"/>
                <w:color w:val="0085CD"/>
              </w:rPr>
              <w:t>2017</w:t>
            </w: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4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(add 000)</w:t>
            </w: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rPr>
              <w:t>2016</w:t>
            </w:r>
          </w:p>
        </w:tc>
        <w:tc>
          <w:tcPr>
            <w:tcW w:w="3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2015</w:t>
            </w:r>
          </w:p>
        </w:tc>
        <w:tc>
          <w:tcPr>
            <w:tcW w:w="0" w:type="dxa"/>
            <w:vAlign w:val="bottom"/>
          </w:tcPr>
          <w:p>
            <w:pPr>
              <w:spacing w:after="0"/>
              <w:rPr>
                <w:sz w:val="1"/>
                <w:szCs w:val="1"/>
                <w:color w:val="auto"/>
              </w:rPr>
            </w:pPr>
          </w:p>
        </w:tc>
      </w:tr>
      <w:tr>
        <w:trPr>
          <w:trHeight w:val="149"/>
        </w:trPr>
        <w:tc>
          <w:tcPr>
            <w:tcW w:w="246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Federal income taxes:</w:t>
            </w: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460" w:type="dxa"/>
            <w:vAlign w:val="bottom"/>
          </w:tcPr>
          <w:p>
            <w:pPr>
              <w:ind w:left="140"/>
              <w:spacing w:after="0" w:line="156" w:lineRule="exact"/>
              <w:rPr>
                <w:sz w:val="20"/>
                <w:szCs w:val="20"/>
                <w:color w:val="auto"/>
              </w:rPr>
            </w:pPr>
            <w:r>
              <w:rPr>
                <w:rFonts w:ascii="Arial" w:cs="Arial" w:eastAsia="Arial" w:hAnsi="Arial"/>
                <w:sz w:val="15"/>
                <w:szCs w:val="15"/>
                <w:color w:val="auto"/>
              </w:rPr>
              <w:t>Current</w:t>
            </w:r>
          </w:p>
        </w:tc>
        <w:tc>
          <w:tcPr>
            <w:tcW w:w="260" w:type="dxa"/>
            <w:vAlign w:val="bottom"/>
          </w:tcPr>
          <w:p>
            <w:pPr>
              <w:jc w:val="right"/>
              <w:spacing w:after="0" w:line="156" w:lineRule="exact"/>
              <w:rPr>
                <w:sz w:val="20"/>
                <w:szCs w:val="20"/>
                <w:color w:val="auto"/>
              </w:rPr>
            </w:pPr>
            <w:r>
              <w:rPr>
                <w:rFonts w:ascii="Arial" w:cs="Arial" w:eastAsia="Arial" w:hAnsi="Arial"/>
                <w:sz w:val="15"/>
                <w:szCs w:val="15"/>
                <w:b w:val="1"/>
                <w:bCs w:val="1"/>
                <w:color w:val="auto"/>
              </w:rPr>
              <w:t>$</w:t>
            </w:r>
          </w:p>
        </w:tc>
        <w:tc>
          <w:tcPr>
            <w:tcW w:w="800" w:type="dxa"/>
            <w:vAlign w:val="bottom"/>
          </w:tcPr>
          <w:p>
            <w:pPr>
              <w:jc w:val="right"/>
              <w:ind w:right="126"/>
              <w:spacing w:after="0" w:line="156" w:lineRule="exact"/>
              <w:rPr>
                <w:sz w:val="20"/>
                <w:szCs w:val="20"/>
                <w:color w:val="auto"/>
              </w:rPr>
            </w:pPr>
            <w:r>
              <w:rPr>
                <w:rFonts w:ascii="Arial" w:cs="Arial" w:eastAsia="Arial" w:hAnsi="Arial"/>
                <w:sz w:val="15"/>
                <w:szCs w:val="15"/>
                <w:b w:val="1"/>
                <w:bCs w:val="1"/>
                <w:color w:val="auto"/>
              </w:rPr>
              <w:t>129,236</w:t>
            </w:r>
          </w:p>
        </w:tc>
        <w:tc>
          <w:tcPr>
            <w:tcW w:w="300" w:type="dxa"/>
            <w:vAlign w:val="bottom"/>
          </w:tcPr>
          <w:p>
            <w:pPr>
              <w:jc w:val="right"/>
              <w:spacing w:after="0" w:line="156" w:lineRule="exact"/>
              <w:rPr>
                <w:sz w:val="20"/>
                <w:szCs w:val="20"/>
                <w:color w:val="auto"/>
              </w:rPr>
            </w:pPr>
            <w:r>
              <w:rPr>
                <w:rFonts w:ascii="Arial" w:cs="Arial" w:eastAsia="Arial" w:hAnsi="Arial"/>
                <w:sz w:val="15"/>
                <w:szCs w:val="15"/>
                <w:color w:val="auto"/>
              </w:rPr>
              <w:t>$</w:t>
            </w:r>
          </w:p>
        </w:tc>
        <w:tc>
          <w:tcPr>
            <w:tcW w:w="800" w:type="dxa"/>
            <w:vAlign w:val="bottom"/>
          </w:tcPr>
          <w:p>
            <w:pPr>
              <w:jc w:val="right"/>
              <w:ind w:right="146"/>
              <w:spacing w:after="0" w:line="156" w:lineRule="exact"/>
              <w:rPr>
                <w:sz w:val="20"/>
                <w:szCs w:val="20"/>
                <w:color w:val="auto"/>
              </w:rPr>
            </w:pPr>
            <w:r>
              <w:rPr>
                <w:rFonts w:ascii="Arial" w:cs="Arial" w:eastAsia="Arial" w:hAnsi="Arial"/>
                <w:sz w:val="15"/>
                <w:szCs w:val="15"/>
                <w:color w:val="auto"/>
              </w:rPr>
              <w:t>97,975</w:t>
            </w:r>
          </w:p>
        </w:tc>
        <w:tc>
          <w:tcPr>
            <w:tcW w:w="300" w:type="dxa"/>
            <w:vAlign w:val="bottom"/>
          </w:tcPr>
          <w:p>
            <w:pPr>
              <w:jc w:val="right"/>
              <w:spacing w:after="0" w:line="156" w:lineRule="exact"/>
              <w:rPr>
                <w:sz w:val="20"/>
                <w:szCs w:val="20"/>
                <w:color w:val="auto"/>
              </w:rPr>
            </w:pPr>
            <w:r>
              <w:rPr>
                <w:rFonts w:ascii="Arial" w:cs="Arial" w:eastAsia="Arial" w:hAnsi="Arial"/>
                <w:sz w:val="15"/>
                <w:szCs w:val="15"/>
                <w:color w:val="auto"/>
              </w:rPr>
              <w:t>$</w:t>
            </w:r>
          </w:p>
        </w:tc>
        <w:tc>
          <w:tcPr>
            <w:tcW w:w="660" w:type="dxa"/>
            <w:vAlign w:val="bottom"/>
          </w:tcPr>
          <w:p>
            <w:pPr>
              <w:jc w:val="right"/>
              <w:ind w:right="6"/>
              <w:spacing w:after="0" w:line="156" w:lineRule="exact"/>
              <w:rPr>
                <w:sz w:val="20"/>
                <w:szCs w:val="20"/>
                <w:color w:val="auto"/>
              </w:rPr>
            </w:pPr>
            <w:r>
              <w:rPr>
                <w:rFonts w:ascii="Arial" w:cs="Arial" w:eastAsia="Arial" w:hAnsi="Arial"/>
                <w:sz w:val="15"/>
                <w:szCs w:val="15"/>
                <w:color w:val="auto"/>
              </w:rPr>
              <w:t>20,627</w:t>
            </w:r>
          </w:p>
        </w:tc>
        <w:tc>
          <w:tcPr>
            <w:tcW w:w="0" w:type="dxa"/>
            <w:vAlign w:val="bottom"/>
          </w:tcPr>
          <w:p>
            <w:pPr>
              <w:spacing w:after="0"/>
              <w:rPr>
                <w:sz w:val="1"/>
                <w:szCs w:val="1"/>
                <w:color w:val="auto"/>
              </w:rPr>
            </w:pPr>
          </w:p>
        </w:tc>
      </w:tr>
      <w:tr>
        <w:trPr>
          <w:trHeight w:val="156"/>
        </w:trPr>
        <w:tc>
          <w:tcPr>
            <w:tcW w:w="2460" w:type="dxa"/>
            <w:vAlign w:val="bottom"/>
            <w:tcBorders>
              <w:bottom w:val="single" w:sz="8" w:color="auto"/>
            </w:tcBorders>
            <w:shd w:val="clear" w:color="auto" w:fill="CCEEFF"/>
          </w:tcPr>
          <w:p>
            <w:pPr>
              <w:ind w:left="140"/>
              <w:spacing w:after="0" w:line="156" w:lineRule="exact"/>
              <w:rPr>
                <w:sz w:val="20"/>
                <w:szCs w:val="20"/>
                <w:color w:val="auto"/>
              </w:rPr>
            </w:pPr>
            <w:r>
              <w:rPr>
                <w:rFonts w:ascii="Arial" w:cs="Arial" w:eastAsia="Arial" w:hAnsi="Arial"/>
                <w:sz w:val="15"/>
                <w:szCs w:val="15"/>
                <w:color w:val="auto"/>
              </w:rPr>
              <w:t>Deferred</w:t>
            </w:r>
          </w:p>
        </w:tc>
        <w:tc>
          <w:tcPr>
            <w:tcW w:w="26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86"/>
              <w:spacing w:after="0" w:line="156" w:lineRule="exact"/>
              <w:rPr>
                <w:sz w:val="20"/>
                <w:szCs w:val="20"/>
                <w:color w:val="auto"/>
              </w:rPr>
            </w:pPr>
            <w:r>
              <w:rPr>
                <w:rFonts w:ascii="Arial" w:cs="Arial" w:eastAsia="Arial" w:hAnsi="Arial"/>
                <w:sz w:val="15"/>
                <w:szCs w:val="15"/>
                <w:b w:val="1"/>
                <w:bCs w:val="1"/>
                <w:color w:val="auto"/>
                <w:w w:val="96"/>
              </w:rPr>
              <w:t>(239,304)</w:t>
            </w:r>
          </w:p>
        </w:tc>
        <w:tc>
          <w:tcPr>
            <w:tcW w:w="30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146"/>
              <w:spacing w:after="0" w:line="156" w:lineRule="exact"/>
              <w:rPr>
                <w:sz w:val="20"/>
                <w:szCs w:val="20"/>
                <w:color w:val="auto"/>
              </w:rPr>
            </w:pPr>
            <w:r>
              <w:rPr>
                <w:rFonts w:ascii="Arial" w:cs="Arial" w:eastAsia="Arial" w:hAnsi="Arial"/>
                <w:sz w:val="15"/>
                <w:szCs w:val="15"/>
                <w:color w:val="auto"/>
              </w:rPr>
              <w:t>68,899</w:t>
            </w:r>
          </w:p>
        </w:tc>
        <w:tc>
          <w:tcPr>
            <w:tcW w:w="30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ind w:right="6"/>
              <w:spacing w:after="0" w:line="156" w:lineRule="exact"/>
              <w:rPr>
                <w:sz w:val="20"/>
                <w:szCs w:val="20"/>
                <w:color w:val="auto"/>
              </w:rPr>
            </w:pPr>
            <w:r>
              <w:rPr>
                <w:rFonts w:ascii="Arial" w:cs="Arial" w:eastAsia="Arial" w:hAnsi="Arial"/>
                <w:sz w:val="15"/>
                <w:szCs w:val="15"/>
                <w:color w:val="auto"/>
              </w:rPr>
              <w:t>85,295</w:t>
            </w:r>
          </w:p>
        </w:tc>
        <w:tc>
          <w:tcPr>
            <w:tcW w:w="0" w:type="dxa"/>
            <w:vAlign w:val="bottom"/>
          </w:tcPr>
          <w:p>
            <w:pPr>
              <w:spacing w:after="0"/>
              <w:rPr>
                <w:sz w:val="1"/>
                <w:szCs w:val="1"/>
                <w:color w:val="auto"/>
              </w:rPr>
            </w:pPr>
          </w:p>
        </w:tc>
      </w:tr>
      <w:tr>
        <w:trPr>
          <w:trHeight w:val="145"/>
        </w:trPr>
        <w:tc>
          <w:tcPr>
            <w:tcW w:w="2460" w:type="dxa"/>
            <w:vAlign w:val="bottom"/>
          </w:tcPr>
          <w:p>
            <w:pPr>
              <w:ind w:left="140"/>
              <w:spacing w:after="0" w:line="146" w:lineRule="exact"/>
              <w:rPr>
                <w:sz w:val="20"/>
                <w:szCs w:val="20"/>
                <w:color w:val="auto"/>
              </w:rPr>
            </w:pPr>
            <w:r>
              <w:rPr>
                <w:rFonts w:ascii="Arial" w:cs="Arial" w:eastAsia="Arial" w:hAnsi="Arial"/>
                <w:sz w:val="15"/>
                <w:szCs w:val="15"/>
                <w:color w:val="auto"/>
              </w:rPr>
              <w:t>Total federal income tax (benefit)</w:t>
            </w:r>
          </w:p>
        </w:tc>
        <w:tc>
          <w:tcPr>
            <w:tcW w:w="260" w:type="dxa"/>
            <w:vAlign w:val="bottom"/>
          </w:tcPr>
          <w:p>
            <w:pPr>
              <w:spacing w:after="0"/>
              <w:rPr>
                <w:sz w:val="12"/>
                <w:szCs w:val="12"/>
                <w:color w:val="auto"/>
              </w:rPr>
            </w:pPr>
          </w:p>
        </w:tc>
        <w:tc>
          <w:tcPr>
            <w:tcW w:w="800" w:type="dxa"/>
            <w:vAlign w:val="bottom"/>
            <w:vMerge w:val="restart"/>
          </w:tcPr>
          <w:p>
            <w:pPr>
              <w:jc w:val="right"/>
              <w:ind w:right="86"/>
              <w:spacing w:after="0"/>
              <w:rPr>
                <w:sz w:val="20"/>
                <w:szCs w:val="20"/>
                <w:color w:val="auto"/>
              </w:rPr>
            </w:pPr>
            <w:r>
              <w:rPr>
                <w:rFonts w:ascii="Arial" w:cs="Arial" w:eastAsia="Arial" w:hAnsi="Arial"/>
                <w:sz w:val="15"/>
                <w:szCs w:val="15"/>
                <w:b w:val="1"/>
                <w:bCs w:val="1"/>
                <w:color w:val="auto"/>
                <w:w w:val="96"/>
              </w:rPr>
              <w:t>(110,068)</w:t>
            </w: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460" w:type="dxa"/>
            <w:vAlign w:val="bottom"/>
            <w:tcBorders>
              <w:bottom w:val="single" w:sz="8" w:color="auto"/>
            </w:tcBorders>
          </w:tcPr>
          <w:p>
            <w:pPr>
              <w:ind w:left="280"/>
              <w:spacing w:after="0" w:line="159" w:lineRule="exact"/>
              <w:rPr>
                <w:sz w:val="20"/>
                <w:szCs w:val="20"/>
                <w:color w:val="auto"/>
              </w:rPr>
            </w:pPr>
            <w:r>
              <w:rPr>
                <w:rFonts w:ascii="Arial" w:cs="Arial" w:eastAsia="Arial" w:hAnsi="Arial"/>
                <w:sz w:val="15"/>
                <w:szCs w:val="15"/>
                <w:color w:val="auto"/>
              </w:rPr>
              <w:t>expense</w:t>
            </w: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46"/>
              <w:spacing w:after="0" w:line="159" w:lineRule="exact"/>
              <w:rPr>
                <w:sz w:val="20"/>
                <w:szCs w:val="20"/>
                <w:color w:val="auto"/>
              </w:rPr>
            </w:pPr>
            <w:r>
              <w:rPr>
                <w:rFonts w:ascii="Arial" w:cs="Arial" w:eastAsia="Arial" w:hAnsi="Arial"/>
                <w:sz w:val="15"/>
                <w:szCs w:val="15"/>
                <w:color w:val="auto"/>
              </w:rPr>
              <w:t>166,874</w:t>
            </w:r>
          </w:p>
        </w:tc>
        <w:tc>
          <w:tcPr>
            <w:tcW w:w="3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6"/>
              <w:spacing w:after="0" w:line="159" w:lineRule="exact"/>
              <w:rPr>
                <w:sz w:val="20"/>
                <w:szCs w:val="20"/>
                <w:color w:val="auto"/>
              </w:rPr>
            </w:pPr>
            <w:r>
              <w:rPr>
                <w:rFonts w:ascii="Arial" w:cs="Arial" w:eastAsia="Arial" w:hAnsi="Arial"/>
                <w:sz w:val="15"/>
                <w:szCs w:val="15"/>
                <w:color w:val="auto"/>
              </w:rPr>
              <w:t>105,922</w:t>
            </w:r>
          </w:p>
        </w:tc>
        <w:tc>
          <w:tcPr>
            <w:tcW w:w="0" w:type="dxa"/>
            <w:vAlign w:val="bottom"/>
          </w:tcPr>
          <w:p>
            <w:pPr>
              <w:spacing w:after="0"/>
              <w:rPr>
                <w:sz w:val="1"/>
                <w:szCs w:val="1"/>
                <w:color w:val="auto"/>
              </w:rPr>
            </w:pPr>
          </w:p>
        </w:tc>
      </w:tr>
      <w:tr>
        <w:trPr>
          <w:trHeight w:val="149"/>
        </w:trPr>
        <w:tc>
          <w:tcPr>
            <w:tcW w:w="246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State income taxes:</w:t>
            </w: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460" w:type="dxa"/>
            <w:vAlign w:val="bottom"/>
          </w:tcPr>
          <w:p>
            <w:pPr>
              <w:ind w:left="140"/>
              <w:spacing w:after="0" w:line="156" w:lineRule="exact"/>
              <w:rPr>
                <w:sz w:val="20"/>
                <w:szCs w:val="20"/>
                <w:color w:val="auto"/>
              </w:rPr>
            </w:pPr>
            <w:r>
              <w:rPr>
                <w:rFonts w:ascii="Arial" w:cs="Arial" w:eastAsia="Arial" w:hAnsi="Arial"/>
                <w:sz w:val="15"/>
                <w:szCs w:val="15"/>
                <w:color w:val="auto"/>
              </w:rPr>
              <w:t>Current</w:t>
            </w:r>
          </w:p>
        </w:tc>
        <w:tc>
          <w:tcPr>
            <w:tcW w:w="260" w:type="dxa"/>
            <w:vAlign w:val="bottom"/>
          </w:tcPr>
          <w:p>
            <w:pPr>
              <w:spacing w:after="0"/>
              <w:rPr>
                <w:sz w:val="13"/>
                <w:szCs w:val="13"/>
                <w:color w:val="auto"/>
              </w:rPr>
            </w:pPr>
          </w:p>
        </w:tc>
        <w:tc>
          <w:tcPr>
            <w:tcW w:w="800" w:type="dxa"/>
            <w:vAlign w:val="bottom"/>
          </w:tcPr>
          <w:p>
            <w:pPr>
              <w:jc w:val="right"/>
              <w:ind w:right="126"/>
              <w:spacing w:after="0" w:line="156" w:lineRule="exact"/>
              <w:rPr>
                <w:sz w:val="20"/>
                <w:szCs w:val="20"/>
                <w:color w:val="auto"/>
              </w:rPr>
            </w:pPr>
            <w:r>
              <w:rPr>
                <w:rFonts w:ascii="Arial" w:cs="Arial" w:eastAsia="Arial" w:hAnsi="Arial"/>
                <w:sz w:val="15"/>
                <w:szCs w:val="15"/>
                <w:b w:val="1"/>
                <w:bCs w:val="1"/>
                <w:color w:val="auto"/>
              </w:rPr>
              <w:t>14,843</w:t>
            </w:r>
          </w:p>
        </w:tc>
        <w:tc>
          <w:tcPr>
            <w:tcW w:w="300" w:type="dxa"/>
            <w:vAlign w:val="bottom"/>
          </w:tcPr>
          <w:p>
            <w:pPr>
              <w:spacing w:after="0"/>
              <w:rPr>
                <w:sz w:val="13"/>
                <w:szCs w:val="13"/>
                <w:color w:val="auto"/>
              </w:rPr>
            </w:pPr>
          </w:p>
        </w:tc>
        <w:tc>
          <w:tcPr>
            <w:tcW w:w="800" w:type="dxa"/>
            <w:vAlign w:val="bottom"/>
          </w:tcPr>
          <w:p>
            <w:pPr>
              <w:jc w:val="right"/>
              <w:ind w:right="146"/>
              <w:spacing w:after="0" w:line="156" w:lineRule="exact"/>
              <w:rPr>
                <w:sz w:val="20"/>
                <w:szCs w:val="20"/>
                <w:color w:val="auto"/>
              </w:rPr>
            </w:pPr>
            <w:r>
              <w:rPr>
                <w:rFonts w:ascii="Arial" w:cs="Arial" w:eastAsia="Arial" w:hAnsi="Arial"/>
                <w:sz w:val="15"/>
                <w:szCs w:val="15"/>
                <w:color w:val="auto"/>
              </w:rPr>
              <w:t>15,189</w:t>
            </w:r>
          </w:p>
        </w:tc>
        <w:tc>
          <w:tcPr>
            <w:tcW w:w="300" w:type="dxa"/>
            <w:vAlign w:val="bottom"/>
          </w:tcPr>
          <w:p>
            <w:pPr>
              <w:spacing w:after="0"/>
              <w:rPr>
                <w:sz w:val="13"/>
                <w:szCs w:val="13"/>
                <w:color w:val="auto"/>
              </w:rPr>
            </w:pPr>
          </w:p>
        </w:tc>
        <w:tc>
          <w:tcPr>
            <w:tcW w:w="660" w:type="dxa"/>
            <w:vAlign w:val="bottom"/>
          </w:tcPr>
          <w:p>
            <w:pPr>
              <w:jc w:val="right"/>
              <w:ind w:right="6"/>
              <w:spacing w:after="0" w:line="156" w:lineRule="exact"/>
              <w:rPr>
                <w:sz w:val="20"/>
                <w:szCs w:val="20"/>
                <w:color w:val="auto"/>
              </w:rPr>
            </w:pPr>
            <w:r>
              <w:rPr>
                <w:rFonts w:ascii="Arial" w:cs="Arial" w:eastAsia="Arial" w:hAnsi="Arial"/>
                <w:sz w:val="15"/>
                <w:szCs w:val="15"/>
                <w:color w:val="auto"/>
              </w:rPr>
              <w:t>18,153</w:t>
            </w:r>
          </w:p>
        </w:tc>
        <w:tc>
          <w:tcPr>
            <w:tcW w:w="0" w:type="dxa"/>
            <w:vAlign w:val="bottom"/>
          </w:tcPr>
          <w:p>
            <w:pPr>
              <w:spacing w:after="0"/>
              <w:rPr>
                <w:sz w:val="1"/>
                <w:szCs w:val="1"/>
                <w:color w:val="auto"/>
              </w:rPr>
            </w:pPr>
          </w:p>
        </w:tc>
      </w:tr>
      <w:tr>
        <w:trPr>
          <w:trHeight w:val="156"/>
        </w:trPr>
        <w:tc>
          <w:tcPr>
            <w:tcW w:w="2460" w:type="dxa"/>
            <w:vAlign w:val="bottom"/>
            <w:tcBorders>
              <w:bottom w:val="single" w:sz="8" w:color="auto"/>
            </w:tcBorders>
            <w:shd w:val="clear" w:color="auto" w:fill="CCEEFF"/>
          </w:tcPr>
          <w:p>
            <w:pPr>
              <w:ind w:left="140"/>
              <w:spacing w:after="0" w:line="156" w:lineRule="exact"/>
              <w:rPr>
                <w:sz w:val="20"/>
                <w:szCs w:val="20"/>
                <w:color w:val="auto"/>
              </w:rPr>
            </w:pPr>
            <w:r>
              <w:rPr>
                <w:rFonts w:ascii="Arial" w:cs="Arial" w:eastAsia="Arial" w:hAnsi="Arial"/>
                <w:sz w:val="15"/>
                <w:szCs w:val="15"/>
                <w:color w:val="auto"/>
              </w:rPr>
              <w:t>Deferred</w:t>
            </w:r>
          </w:p>
        </w:tc>
        <w:tc>
          <w:tcPr>
            <w:tcW w:w="26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86"/>
              <w:spacing w:after="0" w:line="156" w:lineRule="exact"/>
              <w:rPr>
                <w:sz w:val="20"/>
                <w:szCs w:val="20"/>
                <w:color w:val="auto"/>
              </w:rPr>
            </w:pPr>
            <w:r>
              <w:rPr>
                <w:rFonts w:ascii="Arial" w:cs="Arial" w:eastAsia="Arial" w:hAnsi="Arial"/>
                <w:sz w:val="15"/>
                <w:szCs w:val="15"/>
                <w:b w:val="1"/>
                <w:bCs w:val="1"/>
                <w:color w:val="auto"/>
              </w:rPr>
              <w:t>(882)</w:t>
            </w:r>
          </w:p>
        </w:tc>
        <w:tc>
          <w:tcPr>
            <w:tcW w:w="30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86"/>
              <w:spacing w:after="0" w:line="156" w:lineRule="exact"/>
              <w:rPr>
                <w:sz w:val="20"/>
                <w:szCs w:val="20"/>
                <w:color w:val="auto"/>
              </w:rPr>
            </w:pPr>
            <w:r>
              <w:rPr>
                <w:rFonts w:ascii="Arial" w:cs="Arial" w:eastAsia="Arial" w:hAnsi="Arial"/>
                <w:sz w:val="15"/>
                <w:szCs w:val="15"/>
                <w:color w:val="auto"/>
              </w:rPr>
              <w:t>(1,149)</w:t>
            </w:r>
          </w:p>
        </w:tc>
        <w:tc>
          <w:tcPr>
            <w:tcW w:w="30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ind w:right="6"/>
              <w:spacing w:after="0" w:line="156" w:lineRule="exact"/>
              <w:rPr>
                <w:sz w:val="20"/>
                <w:szCs w:val="20"/>
                <w:color w:val="auto"/>
              </w:rPr>
            </w:pPr>
            <w:r>
              <w:rPr>
                <w:rFonts w:ascii="Arial" w:cs="Arial" w:eastAsia="Arial" w:hAnsi="Arial"/>
                <w:sz w:val="15"/>
                <w:szCs w:val="15"/>
                <w:color w:val="auto"/>
              </w:rPr>
              <w:t>930</w:t>
            </w:r>
          </w:p>
        </w:tc>
        <w:tc>
          <w:tcPr>
            <w:tcW w:w="0" w:type="dxa"/>
            <w:vAlign w:val="bottom"/>
          </w:tcPr>
          <w:p>
            <w:pPr>
              <w:spacing w:after="0"/>
              <w:rPr>
                <w:sz w:val="1"/>
                <w:szCs w:val="1"/>
                <w:color w:val="auto"/>
              </w:rPr>
            </w:pPr>
          </w:p>
        </w:tc>
      </w:tr>
      <w:tr>
        <w:trPr>
          <w:trHeight w:val="149"/>
        </w:trPr>
        <w:tc>
          <w:tcPr>
            <w:tcW w:w="2460" w:type="dxa"/>
            <w:vAlign w:val="bottom"/>
            <w:tcBorders>
              <w:bottom w:val="single" w:sz="8" w:color="auto"/>
            </w:tcBorders>
          </w:tcPr>
          <w:p>
            <w:pPr>
              <w:ind w:left="140"/>
              <w:spacing w:after="0" w:line="149" w:lineRule="exact"/>
              <w:rPr>
                <w:sz w:val="20"/>
                <w:szCs w:val="20"/>
                <w:color w:val="auto"/>
              </w:rPr>
            </w:pPr>
            <w:r>
              <w:rPr>
                <w:rFonts w:ascii="Arial" w:cs="Arial" w:eastAsia="Arial" w:hAnsi="Arial"/>
                <w:sz w:val="15"/>
                <w:szCs w:val="15"/>
                <w:color w:val="auto"/>
              </w:rPr>
              <w:t>Total state income taxes</w:t>
            </w:r>
          </w:p>
        </w:tc>
        <w:tc>
          <w:tcPr>
            <w:tcW w:w="2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26"/>
              <w:spacing w:after="0" w:line="149" w:lineRule="exact"/>
              <w:rPr>
                <w:sz w:val="20"/>
                <w:szCs w:val="20"/>
                <w:color w:val="auto"/>
              </w:rPr>
            </w:pPr>
            <w:r>
              <w:rPr>
                <w:rFonts w:ascii="Arial" w:cs="Arial" w:eastAsia="Arial" w:hAnsi="Arial"/>
                <w:sz w:val="15"/>
                <w:szCs w:val="15"/>
                <w:b w:val="1"/>
                <w:bCs w:val="1"/>
                <w:color w:val="auto"/>
              </w:rPr>
              <w:t>13,961</w:t>
            </w:r>
          </w:p>
        </w:tc>
        <w:tc>
          <w:tcPr>
            <w:tcW w:w="3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46"/>
              <w:spacing w:after="0" w:line="149" w:lineRule="exact"/>
              <w:rPr>
                <w:sz w:val="20"/>
                <w:szCs w:val="20"/>
                <w:color w:val="auto"/>
              </w:rPr>
            </w:pPr>
            <w:r>
              <w:rPr>
                <w:rFonts w:ascii="Arial" w:cs="Arial" w:eastAsia="Arial" w:hAnsi="Arial"/>
                <w:sz w:val="15"/>
                <w:szCs w:val="15"/>
                <w:color w:val="auto"/>
              </w:rPr>
              <w:t>14,040</w:t>
            </w:r>
          </w:p>
        </w:tc>
        <w:tc>
          <w:tcPr>
            <w:tcW w:w="3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6"/>
              <w:spacing w:after="0" w:line="149" w:lineRule="exact"/>
              <w:rPr>
                <w:sz w:val="20"/>
                <w:szCs w:val="20"/>
                <w:color w:val="auto"/>
              </w:rPr>
            </w:pPr>
            <w:r>
              <w:rPr>
                <w:rFonts w:ascii="Arial" w:cs="Arial" w:eastAsia="Arial" w:hAnsi="Arial"/>
                <w:sz w:val="15"/>
                <w:szCs w:val="15"/>
                <w:color w:val="auto"/>
              </w:rPr>
              <w:t>19,083</w:t>
            </w:r>
          </w:p>
        </w:tc>
        <w:tc>
          <w:tcPr>
            <w:tcW w:w="0" w:type="dxa"/>
            <w:vAlign w:val="bottom"/>
          </w:tcPr>
          <w:p>
            <w:pPr>
              <w:spacing w:after="0"/>
              <w:rPr>
                <w:sz w:val="1"/>
                <w:szCs w:val="1"/>
                <w:color w:val="auto"/>
              </w:rPr>
            </w:pPr>
          </w:p>
        </w:tc>
      </w:tr>
      <w:tr>
        <w:trPr>
          <w:trHeight w:val="149"/>
        </w:trPr>
        <w:tc>
          <w:tcPr>
            <w:tcW w:w="246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Foreign income taxes:</w:t>
            </w: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460" w:type="dxa"/>
            <w:vAlign w:val="bottom"/>
          </w:tcPr>
          <w:p>
            <w:pPr>
              <w:ind w:left="140"/>
              <w:spacing w:after="0" w:line="156" w:lineRule="exact"/>
              <w:rPr>
                <w:sz w:val="20"/>
                <w:szCs w:val="20"/>
                <w:color w:val="auto"/>
              </w:rPr>
            </w:pPr>
            <w:r>
              <w:rPr>
                <w:rFonts w:ascii="Arial" w:cs="Arial" w:eastAsia="Arial" w:hAnsi="Arial"/>
                <w:sz w:val="15"/>
                <w:szCs w:val="15"/>
                <w:color w:val="auto"/>
              </w:rPr>
              <w:t>Current</w:t>
            </w:r>
          </w:p>
        </w:tc>
        <w:tc>
          <w:tcPr>
            <w:tcW w:w="260" w:type="dxa"/>
            <w:vAlign w:val="bottom"/>
          </w:tcPr>
          <w:p>
            <w:pPr>
              <w:spacing w:after="0"/>
              <w:rPr>
                <w:sz w:val="13"/>
                <w:szCs w:val="13"/>
                <w:color w:val="auto"/>
              </w:rPr>
            </w:pPr>
          </w:p>
        </w:tc>
        <w:tc>
          <w:tcPr>
            <w:tcW w:w="800" w:type="dxa"/>
            <w:vAlign w:val="bottom"/>
          </w:tcPr>
          <w:p>
            <w:pPr>
              <w:jc w:val="right"/>
              <w:ind w:right="126"/>
              <w:spacing w:after="0" w:line="156" w:lineRule="exact"/>
              <w:rPr>
                <w:sz w:val="20"/>
                <w:szCs w:val="20"/>
                <w:color w:val="auto"/>
              </w:rPr>
            </w:pPr>
            <w:r>
              <w:rPr>
                <w:rFonts w:ascii="Arial" w:cs="Arial" w:eastAsia="Arial" w:hAnsi="Arial"/>
                <w:sz w:val="15"/>
                <w:szCs w:val="15"/>
                <w:b w:val="1"/>
                <w:bCs w:val="1"/>
                <w:color w:val="auto"/>
              </w:rPr>
              <w:t>1,175</w:t>
            </w:r>
          </w:p>
        </w:tc>
        <w:tc>
          <w:tcPr>
            <w:tcW w:w="300" w:type="dxa"/>
            <w:vAlign w:val="bottom"/>
          </w:tcPr>
          <w:p>
            <w:pPr>
              <w:spacing w:after="0"/>
              <w:rPr>
                <w:sz w:val="13"/>
                <w:szCs w:val="13"/>
                <w:color w:val="auto"/>
              </w:rPr>
            </w:pPr>
          </w:p>
        </w:tc>
        <w:tc>
          <w:tcPr>
            <w:tcW w:w="800" w:type="dxa"/>
            <w:vAlign w:val="bottom"/>
          </w:tcPr>
          <w:p>
            <w:pPr>
              <w:jc w:val="right"/>
              <w:ind w:right="146"/>
              <w:spacing w:after="0" w:line="156" w:lineRule="exact"/>
              <w:rPr>
                <w:sz w:val="20"/>
                <w:szCs w:val="20"/>
                <w:color w:val="auto"/>
              </w:rPr>
            </w:pPr>
            <w:r>
              <w:rPr>
                <w:rFonts w:ascii="Arial" w:cs="Arial" w:eastAsia="Arial" w:hAnsi="Arial"/>
                <w:sz w:val="15"/>
                <w:szCs w:val="15"/>
                <w:color w:val="auto"/>
              </w:rPr>
              <w:t>1,064</w:t>
            </w:r>
          </w:p>
        </w:tc>
        <w:tc>
          <w:tcPr>
            <w:tcW w:w="300" w:type="dxa"/>
            <w:vAlign w:val="bottom"/>
          </w:tcPr>
          <w:p>
            <w:pPr>
              <w:spacing w:after="0"/>
              <w:rPr>
                <w:sz w:val="13"/>
                <w:szCs w:val="13"/>
                <w:color w:val="auto"/>
              </w:rPr>
            </w:pPr>
          </w:p>
        </w:tc>
        <w:tc>
          <w:tcPr>
            <w:tcW w:w="660" w:type="dxa"/>
            <w:vAlign w:val="bottom"/>
          </w:tcPr>
          <w:p>
            <w:pPr>
              <w:jc w:val="right"/>
              <w:ind w:right="6"/>
              <w:spacing w:after="0" w:line="156" w:lineRule="exact"/>
              <w:rPr>
                <w:sz w:val="20"/>
                <w:szCs w:val="20"/>
                <w:color w:val="auto"/>
              </w:rPr>
            </w:pPr>
            <w:r>
              <w:rPr>
                <w:rFonts w:ascii="Arial" w:cs="Arial" w:eastAsia="Arial" w:hAnsi="Arial"/>
                <w:sz w:val="15"/>
                <w:szCs w:val="15"/>
                <w:color w:val="auto"/>
              </w:rPr>
              <w:t>99</w:t>
            </w:r>
          </w:p>
        </w:tc>
        <w:tc>
          <w:tcPr>
            <w:tcW w:w="0" w:type="dxa"/>
            <w:vAlign w:val="bottom"/>
          </w:tcPr>
          <w:p>
            <w:pPr>
              <w:spacing w:after="0"/>
              <w:rPr>
                <w:sz w:val="1"/>
                <w:szCs w:val="1"/>
                <w:color w:val="auto"/>
              </w:rPr>
            </w:pPr>
          </w:p>
        </w:tc>
      </w:tr>
      <w:tr>
        <w:trPr>
          <w:trHeight w:val="156"/>
        </w:trPr>
        <w:tc>
          <w:tcPr>
            <w:tcW w:w="2460" w:type="dxa"/>
            <w:vAlign w:val="bottom"/>
            <w:tcBorders>
              <w:bottom w:val="single" w:sz="8" w:color="auto"/>
            </w:tcBorders>
            <w:shd w:val="clear" w:color="auto" w:fill="CCEEFF"/>
          </w:tcPr>
          <w:p>
            <w:pPr>
              <w:ind w:left="140"/>
              <w:spacing w:after="0" w:line="156" w:lineRule="exact"/>
              <w:rPr>
                <w:sz w:val="20"/>
                <w:szCs w:val="20"/>
                <w:color w:val="auto"/>
              </w:rPr>
            </w:pPr>
            <w:r>
              <w:rPr>
                <w:rFonts w:ascii="Arial" w:cs="Arial" w:eastAsia="Arial" w:hAnsi="Arial"/>
                <w:sz w:val="15"/>
                <w:szCs w:val="15"/>
                <w:color w:val="auto"/>
              </w:rPr>
              <w:t>Deferred</w:t>
            </w:r>
          </w:p>
        </w:tc>
        <w:tc>
          <w:tcPr>
            <w:tcW w:w="26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126"/>
              <w:spacing w:after="0" w:line="156" w:lineRule="exact"/>
              <w:rPr>
                <w:sz w:val="20"/>
                <w:szCs w:val="20"/>
                <w:color w:val="auto"/>
              </w:rPr>
            </w:pPr>
            <w:r>
              <w:rPr>
                <w:rFonts w:ascii="Arial" w:cs="Arial" w:eastAsia="Arial" w:hAnsi="Arial"/>
                <w:sz w:val="15"/>
                <w:szCs w:val="15"/>
                <w:b w:val="1"/>
                <w:bCs w:val="1"/>
                <w:color w:val="auto"/>
              </w:rPr>
              <w:t>475</w:t>
            </w:r>
          </w:p>
        </w:tc>
        <w:tc>
          <w:tcPr>
            <w:tcW w:w="30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86"/>
              <w:spacing w:after="0" w:line="156" w:lineRule="exact"/>
              <w:rPr>
                <w:sz w:val="20"/>
                <w:szCs w:val="20"/>
                <w:color w:val="auto"/>
              </w:rPr>
            </w:pPr>
            <w:r>
              <w:rPr>
                <w:rFonts w:ascii="Arial" w:cs="Arial" w:eastAsia="Arial" w:hAnsi="Arial"/>
                <w:sz w:val="15"/>
                <w:szCs w:val="15"/>
                <w:color w:val="auto"/>
              </w:rPr>
              <w:t>(394)</w:t>
            </w:r>
          </w:p>
        </w:tc>
        <w:tc>
          <w:tcPr>
            <w:tcW w:w="30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(241)</w:t>
            </w:r>
          </w:p>
        </w:tc>
        <w:tc>
          <w:tcPr>
            <w:tcW w:w="0" w:type="dxa"/>
            <w:vAlign w:val="bottom"/>
          </w:tcPr>
          <w:p>
            <w:pPr>
              <w:spacing w:after="0"/>
              <w:rPr>
                <w:sz w:val="1"/>
                <w:szCs w:val="1"/>
                <w:color w:val="auto"/>
              </w:rPr>
            </w:pPr>
          </w:p>
        </w:tc>
      </w:tr>
      <w:tr>
        <w:trPr>
          <w:trHeight w:val="149"/>
        </w:trPr>
        <w:tc>
          <w:tcPr>
            <w:tcW w:w="2460" w:type="dxa"/>
            <w:vAlign w:val="bottom"/>
            <w:tcBorders>
              <w:bottom w:val="single" w:sz="8" w:color="auto"/>
            </w:tcBorders>
          </w:tcPr>
          <w:p>
            <w:pPr>
              <w:ind w:left="140"/>
              <w:spacing w:after="0" w:line="149" w:lineRule="exact"/>
              <w:rPr>
                <w:sz w:val="20"/>
                <w:szCs w:val="20"/>
                <w:color w:val="auto"/>
              </w:rPr>
            </w:pPr>
            <w:r>
              <w:rPr>
                <w:rFonts w:ascii="Arial" w:cs="Arial" w:eastAsia="Arial" w:hAnsi="Arial"/>
                <w:sz w:val="15"/>
                <w:szCs w:val="15"/>
                <w:color w:val="auto"/>
              </w:rPr>
              <w:t>Total foreign income taxes</w:t>
            </w:r>
          </w:p>
        </w:tc>
        <w:tc>
          <w:tcPr>
            <w:tcW w:w="2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26"/>
              <w:spacing w:after="0" w:line="149" w:lineRule="exact"/>
              <w:rPr>
                <w:sz w:val="20"/>
                <w:szCs w:val="20"/>
                <w:color w:val="auto"/>
              </w:rPr>
            </w:pPr>
            <w:r>
              <w:rPr>
                <w:rFonts w:ascii="Arial" w:cs="Arial" w:eastAsia="Arial" w:hAnsi="Arial"/>
                <w:sz w:val="15"/>
                <w:szCs w:val="15"/>
                <w:b w:val="1"/>
                <w:bCs w:val="1"/>
                <w:color w:val="auto"/>
              </w:rPr>
              <w:t>1,650</w:t>
            </w:r>
          </w:p>
        </w:tc>
        <w:tc>
          <w:tcPr>
            <w:tcW w:w="3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46"/>
              <w:spacing w:after="0" w:line="149" w:lineRule="exact"/>
              <w:rPr>
                <w:sz w:val="20"/>
                <w:szCs w:val="20"/>
                <w:color w:val="auto"/>
              </w:rPr>
            </w:pPr>
            <w:r>
              <w:rPr>
                <w:rFonts w:ascii="Arial" w:cs="Arial" w:eastAsia="Arial" w:hAnsi="Arial"/>
                <w:sz w:val="15"/>
                <w:szCs w:val="15"/>
                <w:color w:val="auto"/>
              </w:rPr>
              <w:t>670</w:t>
            </w:r>
          </w:p>
        </w:tc>
        <w:tc>
          <w:tcPr>
            <w:tcW w:w="3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color w:val="auto"/>
              </w:rPr>
              <w:t>(142)</w:t>
            </w:r>
          </w:p>
        </w:tc>
        <w:tc>
          <w:tcPr>
            <w:tcW w:w="0" w:type="dxa"/>
            <w:vAlign w:val="bottom"/>
          </w:tcPr>
          <w:p>
            <w:pPr>
              <w:spacing w:after="0"/>
              <w:rPr>
                <w:sz w:val="1"/>
                <w:szCs w:val="1"/>
                <w:color w:val="auto"/>
              </w:rPr>
            </w:pPr>
          </w:p>
        </w:tc>
      </w:tr>
      <w:tr>
        <w:trPr>
          <w:trHeight w:val="155"/>
        </w:trPr>
        <w:tc>
          <w:tcPr>
            <w:tcW w:w="246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5"/>
                <w:szCs w:val="15"/>
                <w:color w:val="auto"/>
              </w:rPr>
              <w:t>Income tax (benefit) expense</w:t>
            </w:r>
          </w:p>
        </w:tc>
        <w:tc>
          <w:tcPr>
            <w:tcW w:w="2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800" w:type="dxa"/>
            <w:vAlign w:val="bottom"/>
            <w:tcBorders>
              <w:bottom w:val="single" w:sz="8" w:color="auto"/>
            </w:tcBorders>
            <w:shd w:val="clear" w:color="auto" w:fill="CCEEFF"/>
          </w:tcPr>
          <w:p>
            <w:pPr>
              <w:jc w:val="right"/>
              <w:ind w:right="86"/>
              <w:spacing w:after="0" w:line="149" w:lineRule="exact"/>
              <w:rPr>
                <w:sz w:val="20"/>
                <w:szCs w:val="20"/>
                <w:color w:val="auto"/>
              </w:rPr>
            </w:pPr>
            <w:r>
              <w:rPr>
                <w:rFonts w:ascii="Arial" w:cs="Arial" w:eastAsia="Arial" w:hAnsi="Arial"/>
                <w:sz w:val="15"/>
                <w:szCs w:val="15"/>
                <w:b w:val="1"/>
                <w:bCs w:val="1"/>
                <w:color w:val="auto"/>
              </w:rPr>
              <w:t>(94,457)</w:t>
            </w:r>
          </w:p>
        </w:tc>
        <w:tc>
          <w:tcPr>
            <w:tcW w:w="3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shd w:val="clear" w:color="auto" w:fill="CCEEFF"/>
          </w:tcPr>
          <w:p>
            <w:pPr>
              <w:jc w:val="right"/>
              <w:ind w:right="146"/>
              <w:spacing w:after="0" w:line="149" w:lineRule="exact"/>
              <w:rPr>
                <w:sz w:val="20"/>
                <w:szCs w:val="20"/>
                <w:color w:val="auto"/>
              </w:rPr>
            </w:pPr>
            <w:r>
              <w:rPr>
                <w:rFonts w:ascii="Arial" w:cs="Arial" w:eastAsia="Arial" w:hAnsi="Arial"/>
                <w:sz w:val="15"/>
                <w:szCs w:val="15"/>
                <w:color w:val="auto"/>
              </w:rPr>
              <w:t>181,584</w:t>
            </w:r>
          </w:p>
        </w:tc>
        <w:tc>
          <w:tcPr>
            <w:tcW w:w="3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shd w:val="clear" w:color="auto" w:fill="CCEEFF"/>
          </w:tcPr>
          <w:p>
            <w:pPr>
              <w:jc w:val="right"/>
              <w:ind w:right="6"/>
              <w:spacing w:after="0" w:line="149" w:lineRule="exact"/>
              <w:rPr>
                <w:sz w:val="20"/>
                <w:szCs w:val="20"/>
                <w:color w:val="auto"/>
              </w:rPr>
            </w:pPr>
            <w:r>
              <w:rPr>
                <w:rFonts w:ascii="Arial" w:cs="Arial" w:eastAsia="Arial" w:hAnsi="Arial"/>
                <w:sz w:val="15"/>
                <w:szCs w:val="15"/>
                <w:color w:val="auto"/>
              </w:rPr>
              <w:t>124,863</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As discussed above, deferred tax expense for the year ended December 31, 2017 includes a tax benefit in the amount of $258,103,000 for the provisional impact of the 2017 Tax Act.</w:t>
      </w:r>
    </w:p>
    <w:p>
      <w:pPr>
        <w:spacing w:after="0" w:line="189"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The increase in 2016 federal current tax expense compared with 2015 is primarily attributable to an increase in earnings. For the years ended December 31, 2016 and 2015, the benefit related to the utilization of federal net operating loss (NOL) carryforwards, reflected in current tax expense, was $11,852,000 and $156,554,000, respectively.</w:t>
      </w:r>
    </w:p>
    <w:p>
      <w:pPr>
        <w:spacing w:after="0" w:line="192" w:lineRule="exact"/>
        <w:rPr>
          <w:sz w:val="20"/>
          <w:szCs w:val="20"/>
          <w:color w:val="auto"/>
        </w:rPr>
      </w:pPr>
    </w:p>
    <w:p>
      <w:pPr>
        <w:jc w:val="both"/>
        <w:spacing w:after="0"/>
        <w:rPr>
          <w:sz w:val="20"/>
          <w:szCs w:val="20"/>
          <w:color w:val="auto"/>
        </w:rPr>
      </w:pPr>
      <w:r>
        <w:rPr>
          <w:rFonts w:ascii="Arial" w:cs="Arial" w:eastAsia="Arial" w:hAnsi="Arial"/>
          <w:sz w:val="16"/>
          <w:szCs w:val="16"/>
          <w:color w:val="auto"/>
        </w:rPr>
        <w:t>For the year ended December 31, 2016, excess tax benefits attributable to stock-based compensation transactions that were recorded to shareholders’ equity amounted to $6,792,000. For the year ended December 31, 2015, the realized tax benefit for stock-based compensation transactions was $871,000 less than the amounts estimated during the vesting periods, resulting in a decrease in the pool of excess tax credits.</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For the years ended December 31, 2017 and 2016, foreign pretax earnings were $10,566,000 and $3,865,000, respectively.</w:t>
      </w:r>
    </w:p>
    <w:p>
      <w:pPr>
        <w:spacing w:after="0" w:line="200" w:lineRule="exact"/>
        <w:rPr>
          <w:sz w:val="20"/>
          <w:szCs w:val="20"/>
          <w:color w:val="auto"/>
        </w:rPr>
      </w:pPr>
    </w:p>
    <w:p>
      <w:pPr>
        <w:sectPr>
          <w:pgSz w:w="11900" w:h="16838" w:orient="portrait"/>
          <w:cols w:equalWidth="0" w:num="2">
            <w:col w:w="5480" w:space="360"/>
            <w:col w:w="5580"/>
          </w:cols>
          <w:pgMar w:left="240" w:top="259" w:right="239" w:bottom="1440" w:gutter="0" w:footer="0" w:header="0"/>
          <w:type w:val="continuous"/>
        </w:sectPr>
      </w:pP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26</w:t>
      </w:r>
    </w:p>
    <w:p>
      <w:pPr>
        <w:sectPr>
          <w:pgSz w:w="11900" w:h="16838" w:orient="portrait"/>
          <w:cols w:equalWidth="0" w:num="1">
            <w:col w:w="11420"/>
          </w:cols>
          <w:pgMar w:left="240" w:top="259" w:right="239" w:bottom="1440" w:gutter="0" w:footer="0" w:header="0"/>
          <w:type w:val="continuous"/>
        </w:sectPr>
      </w:pPr>
    </w:p>
    <w:bookmarkStart w:id="79" w:name="page80"/>
    <w:bookmarkEnd w:id="79"/>
    <w:p>
      <w:pPr>
        <w:jc w:val="center"/>
        <w:ind w:right="-19"/>
        <w:spacing w:after="0"/>
        <w:rPr>
          <w:sz w:val="20"/>
          <w:szCs w:val="20"/>
          <w:color w:val="auto"/>
        </w:rPr>
      </w:pPr>
      <w:r>
        <w:rPr>
          <w:rFonts w:ascii="Arial" w:cs="Arial" w:eastAsia="Arial" w:hAnsi="Arial"/>
          <w:sz w:val="17"/>
          <w:szCs w:val="17"/>
          <w:b w:val="1"/>
          <w:bCs w:val="1"/>
          <w:color w:val="0085CD"/>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5">
                      <a:extLst>
                        <a:ext uri="{28A0092B-C50C-407E-A947-70E740481C1C}"/>
                      </a:extLst>
                    </a:blip>
                    <a:srcRect/>
                    <a:stretch>
                      <a:fillRect/>
                    </a:stretch>
                  </pic:blipFill>
                  <pic:spPr bwMode="auto">
                    <a:xfrm>
                      <a:off x="0" y="0"/>
                      <a:ext cx="7293610" cy="37465"/>
                    </a:xfrm>
                    <a:prstGeom prst="rect">
                      <a:avLst/>
                    </a:prstGeom>
                    <a:noFill/>
                  </pic:spPr>
                </pic:pic>
              </a:graphicData>
            </a:graphic>
          </wp:anchor>
        </w:drawing>
        <w:t xml:space="preserve">NOTES TO FINANCIAL STATEMENTS </w:t>
      </w:r>
      <w:r>
        <w:rPr>
          <w:rFonts w:ascii="Arial" w:cs="Arial" w:eastAsia="Arial" w:hAnsi="Arial"/>
          <w:sz w:val="15"/>
          <w:szCs w:val="15"/>
          <w:color w:val="0085CD"/>
        </w:rPr>
        <w:t>(continued)</w:t>
      </w:r>
    </w:p>
    <w:p>
      <w:pPr>
        <w:sectPr>
          <w:pgSz w:w="11900" w:h="16838" w:orient="portrait"/>
          <w:cols w:equalWidth="0" w:num="1">
            <w:col w:w="11420"/>
          </w:cols>
          <w:pgMar w:left="240" w:top="2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For the year ended December 31, 2015 foreign pretax loss was $1,175,000.</w:t>
      </w:r>
    </w:p>
    <w:p>
      <w:pPr>
        <w:spacing w:after="0" w:line="38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Company’s effective income tax rate varied from the statutory United States income tax rate because of the following tax differences: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14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years ended December 31</w:t>
            </w:r>
          </w:p>
        </w:tc>
        <w:tc>
          <w:tcPr>
            <w:tcW w:w="880" w:type="dxa"/>
            <w:vAlign w:val="bottom"/>
            <w:tcBorders>
              <w:bottom w:val="single" w:sz="8" w:color="auto"/>
            </w:tcBorders>
          </w:tcPr>
          <w:p>
            <w:pPr>
              <w:jc w:val="right"/>
              <w:ind w:right="246"/>
              <w:spacing w:after="0"/>
              <w:rPr>
                <w:sz w:val="20"/>
                <w:szCs w:val="20"/>
                <w:color w:val="auto"/>
              </w:rPr>
            </w:pPr>
            <w:r>
              <w:rPr>
                <w:rFonts w:ascii="Arial" w:cs="Arial" w:eastAsia="Arial" w:hAnsi="Arial"/>
                <w:sz w:val="15"/>
                <w:szCs w:val="15"/>
                <w:b w:val="1"/>
                <w:bCs w:val="1"/>
                <w:color w:val="0085CD"/>
              </w:rPr>
              <w:t>2017</w:t>
            </w:r>
          </w:p>
        </w:tc>
        <w:tc>
          <w:tcPr>
            <w:tcW w:w="78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color w:val="auto"/>
              </w:rPr>
              <w:t>2016</w:t>
            </w:r>
          </w:p>
        </w:tc>
        <w:tc>
          <w:tcPr>
            <w:tcW w:w="68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2015</w:t>
            </w:r>
          </w:p>
        </w:tc>
      </w:tr>
      <w:tr>
        <w:trPr>
          <w:trHeight w:val="149"/>
        </w:trPr>
        <w:tc>
          <w:tcPr>
            <w:tcW w:w="314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Statutory tax rate</w:t>
            </w:r>
          </w:p>
        </w:tc>
        <w:tc>
          <w:tcPr>
            <w:tcW w:w="880" w:type="dxa"/>
            <w:vAlign w:val="bottom"/>
            <w:shd w:val="clear" w:color="auto" w:fill="CCEEFF"/>
          </w:tcPr>
          <w:p>
            <w:pPr>
              <w:jc w:val="right"/>
              <w:ind w:right="126"/>
              <w:spacing w:after="0" w:line="149" w:lineRule="exact"/>
              <w:rPr>
                <w:sz w:val="20"/>
                <w:szCs w:val="20"/>
                <w:color w:val="auto"/>
              </w:rPr>
            </w:pPr>
            <w:r>
              <w:rPr>
                <w:rFonts w:ascii="Arial" w:cs="Arial" w:eastAsia="Arial" w:hAnsi="Arial"/>
                <w:sz w:val="15"/>
                <w:szCs w:val="15"/>
                <w:b w:val="1"/>
                <w:bCs w:val="1"/>
                <w:color w:val="auto"/>
              </w:rPr>
              <w:t>35.0%</w:t>
            </w:r>
          </w:p>
        </w:tc>
        <w:tc>
          <w:tcPr>
            <w:tcW w:w="780" w:type="dxa"/>
            <w:vAlign w:val="bottom"/>
            <w:shd w:val="clear" w:color="auto" w:fill="CCEEFF"/>
          </w:tcPr>
          <w:p>
            <w:pPr>
              <w:jc w:val="right"/>
              <w:ind w:right="86"/>
              <w:spacing w:after="0" w:line="149" w:lineRule="exact"/>
              <w:rPr>
                <w:sz w:val="20"/>
                <w:szCs w:val="20"/>
                <w:color w:val="auto"/>
              </w:rPr>
            </w:pPr>
            <w:r>
              <w:rPr>
                <w:rFonts w:ascii="Arial" w:cs="Arial" w:eastAsia="Arial" w:hAnsi="Arial"/>
                <w:sz w:val="15"/>
                <w:szCs w:val="15"/>
                <w:color w:val="auto"/>
              </w:rPr>
              <w:t>35.0%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35.0%</w:t>
            </w:r>
          </w:p>
        </w:tc>
      </w:tr>
      <w:tr>
        <w:trPr>
          <w:trHeight w:val="156"/>
        </w:trPr>
        <w:tc>
          <w:tcPr>
            <w:tcW w:w="3140" w:type="dxa"/>
            <w:vAlign w:val="bottom"/>
          </w:tcPr>
          <w:p>
            <w:pPr>
              <w:spacing w:after="0" w:line="156" w:lineRule="exact"/>
              <w:rPr>
                <w:sz w:val="20"/>
                <w:szCs w:val="20"/>
                <w:color w:val="auto"/>
              </w:rPr>
            </w:pPr>
            <w:r>
              <w:rPr>
                <w:rFonts w:ascii="Arial" w:cs="Arial" w:eastAsia="Arial" w:hAnsi="Arial"/>
                <w:sz w:val="15"/>
                <w:szCs w:val="15"/>
                <w:color w:val="auto"/>
              </w:rPr>
              <w:t>(Reduction) increase resulting from:</w:t>
            </w:r>
          </w:p>
        </w:tc>
        <w:tc>
          <w:tcPr>
            <w:tcW w:w="8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56"/>
        </w:trPr>
        <w:tc>
          <w:tcPr>
            <w:tcW w:w="314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Provisional remeasurement of deferred taxes</w:t>
            </w:r>
          </w:p>
        </w:tc>
        <w:tc>
          <w:tcPr>
            <w:tcW w:w="880" w:type="dxa"/>
            <w:vAlign w:val="bottom"/>
            <w:shd w:val="clear" w:color="auto" w:fill="CCEEFF"/>
          </w:tcPr>
          <w:p>
            <w:pPr>
              <w:jc w:val="right"/>
              <w:ind w:right="206"/>
              <w:spacing w:after="0" w:line="156" w:lineRule="exact"/>
              <w:rPr>
                <w:sz w:val="20"/>
                <w:szCs w:val="20"/>
                <w:color w:val="auto"/>
              </w:rPr>
            </w:pPr>
            <w:r>
              <w:rPr>
                <w:rFonts w:ascii="Arial" w:cs="Arial" w:eastAsia="Arial" w:hAnsi="Arial"/>
                <w:sz w:val="15"/>
                <w:szCs w:val="15"/>
                <w:b w:val="1"/>
                <w:bCs w:val="1"/>
                <w:color w:val="auto"/>
              </w:rPr>
              <w:t>(41.7)</w:t>
            </w:r>
          </w:p>
        </w:tc>
        <w:tc>
          <w:tcPr>
            <w:tcW w:w="780" w:type="dxa"/>
            <w:vAlign w:val="bottom"/>
            <w:shd w:val="clear" w:color="auto" w:fill="CCEEFF"/>
          </w:tcPr>
          <w:p>
            <w:pPr>
              <w:jc w:val="right"/>
              <w:ind w:right="226"/>
              <w:spacing w:after="0" w:line="156" w:lineRule="exact"/>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ind w:right="106"/>
              <w:spacing w:after="0" w:line="156" w:lineRule="exact"/>
              <w:rPr>
                <w:sz w:val="20"/>
                <w:szCs w:val="20"/>
                <w:color w:val="auto"/>
              </w:rPr>
            </w:pPr>
            <w:r>
              <w:rPr>
                <w:rFonts w:ascii="Arial" w:cs="Arial" w:eastAsia="Arial" w:hAnsi="Arial"/>
                <w:sz w:val="15"/>
                <w:szCs w:val="15"/>
                <w:color w:val="auto"/>
              </w:rPr>
              <w:t>–</w:t>
            </w:r>
          </w:p>
        </w:tc>
      </w:tr>
      <w:tr>
        <w:trPr>
          <w:trHeight w:val="156"/>
        </w:trPr>
        <w:tc>
          <w:tcPr>
            <w:tcW w:w="3140" w:type="dxa"/>
            <w:vAlign w:val="bottom"/>
          </w:tcPr>
          <w:p>
            <w:pPr>
              <w:spacing w:after="0" w:line="156" w:lineRule="exact"/>
              <w:rPr>
                <w:sz w:val="20"/>
                <w:szCs w:val="20"/>
                <w:color w:val="auto"/>
              </w:rPr>
            </w:pPr>
            <w:r>
              <w:rPr>
                <w:rFonts w:ascii="Arial" w:cs="Arial" w:eastAsia="Arial" w:hAnsi="Arial"/>
                <w:sz w:val="15"/>
                <w:szCs w:val="15"/>
                <w:color w:val="auto"/>
              </w:rPr>
              <w:t>Effect of statutory depletion</w:t>
            </w:r>
          </w:p>
        </w:tc>
        <w:tc>
          <w:tcPr>
            <w:tcW w:w="880" w:type="dxa"/>
            <w:vAlign w:val="bottom"/>
          </w:tcPr>
          <w:p>
            <w:pPr>
              <w:jc w:val="right"/>
              <w:ind w:right="206"/>
              <w:spacing w:after="0" w:line="156" w:lineRule="exact"/>
              <w:rPr>
                <w:sz w:val="20"/>
                <w:szCs w:val="20"/>
                <w:color w:val="auto"/>
              </w:rPr>
            </w:pPr>
            <w:r>
              <w:rPr>
                <w:rFonts w:ascii="Arial" w:cs="Arial" w:eastAsia="Arial" w:hAnsi="Arial"/>
                <w:sz w:val="15"/>
                <w:szCs w:val="15"/>
                <w:b w:val="1"/>
                <w:bCs w:val="1"/>
                <w:color w:val="auto"/>
              </w:rPr>
              <w:t>(5.6)</w:t>
            </w:r>
          </w:p>
        </w:tc>
        <w:tc>
          <w:tcPr>
            <w:tcW w:w="780" w:type="dxa"/>
            <w:vAlign w:val="bottom"/>
          </w:tcPr>
          <w:p>
            <w:pPr>
              <w:jc w:val="right"/>
              <w:ind w:right="166"/>
              <w:spacing w:after="0" w:line="156" w:lineRule="exact"/>
              <w:rPr>
                <w:sz w:val="20"/>
                <w:szCs w:val="20"/>
                <w:color w:val="auto"/>
              </w:rPr>
            </w:pPr>
            <w:r>
              <w:rPr>
                <w:rFonts w:ascii="Arial" w:cs="Arial" w:eastAsia="Arial" w:hAnsi="Arial"/>
                <w:sz w:val="15"/>
                <w:szCs w:val="15"/>
                <w:color w:val="auto"/>
              </w:rPr>
              <w:t>(5.4)</w:t>
            </w:r>
          </w:p>
        </w:tc>
        <w:tc>
          <w:tcPr>
            <w:tcW w:w="680" w:type="dxa"/>
            <w:vAlign w:val="bottom"/>
          </w:tcPr>
          <w:p>
            <w:pPr>
              <w:jc w:val="right"/>
              <w:ind w:right="46"/>
              <w:spacing w:after="0" w:line="156" w:lineRule="exact"/>
              <w:rPr>
                <w:sz w:val="20"/>
                <w:szCs w:val="20"/>
                <w:color w:val="auto"/>
              </w:rPr>
            </w:pPr>
            <w:r>
              <w:rPr>
                <w:rFonts w:ascii="Arial" w:cs="Arial" w:eastAsia="Arial" w:hAnsi="Arial"/>
                <w:sz w:val="15"/>
                <w:szCs w:val="15"/>
                <w:color w:val="auto"/>
              </w:rPr>
              <w:t>(7.8)</w:t>
            </w:r>
          </w:p>
        </w:tc>
      </w:tr>
      <w:tr>
        <w:trPr>
          <w:trHeight w:val="156"/>
        </w:trPr>
        <w:tc>
          <w:tcPr>
            <w:tcW w:w="314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State income taxes, net of federal tax benefit</w:t>
            </w:r>
          </w:p>
        </w:tc>
        <w:tc>
          <w:tcPr>
            <w:tcW w:w="880" w:type="dxa"/>
            <w:vAlign w:val="bottom"/>
            <w:shd w:val="clear" w:color="auto" w:fill="CCEEFF"/>
          </w:tcPr>
          <w:p>
            <w:pPr>
              <w:jc w:val="right"/>
              <w:ind w:right="246"/>
              <w:spacing w:after="0" w:line="156" w:lineRule="exact"/>
              <w:rPr>
                <w:sz w:val="20"/>
                <w:szCs w:val="20"/>
                <w:color w:val="auto"/>
              </w:rPr>
            </w:pPr>
            <w:r>
              <w:rPr>
                <w:rFonts w:ascii="Arial" w:cs="Arial" w:eastAsia="Arial" w:hAnsi="Arial"/>
                <w:sz w:val="15"/>
                <w:szCs w:val="15"/>
                <w:b w:val="1"/>
                <w:bCs w:val="1"/>
                <w:color w:val="auto"/>
              </w:rPr>
              <w:t>1.5</w:t>
            </w:r>
          </w:p>
        </w:tc>
        <w:tc>
          <w:tcPr>
            <w:tcW w:w="780" w:type="dxa"/>
            <w:vAlign w:val="bottom"/>
            <w:shd w:val="clear" w:color="auto" w:fill="CCEEFF"/>
          </w:tcPr>
          <w:p>
            <w:pPr>
              <w:jc w:val="right"/>
              <w:ind w:right="226"/>
              <w:spacing w:after="0" w:line="156" w:lineRule="exact"/>
              <w:rPr>
                <w:sz w:val="20"/>
                <w:szCs w:val="20"/>
                <w:color w:val="auto"/>
              </w:rPr>
            </w:pPr>
            <w:r>
              <w:rPr>
                <w:rFonts w:ascii="Arial" w:cs="Arial" w:eastAsia="Arial" w:hAnsi="Arial"/>
                <w:sz w:val="15"/>
                <w:szCs w:val="15"/>
                <w:color w:val="auto"/>
              </w:rPr>
              <w:t>1.5</w:t>
            </w:r>
          </w:p>
        </w:tc>
        <w:tc>
          <w:tcPr>
            <w:tcW w:w="680" w:type="dxa"/>
            <w:vAlign w:val="bottom"/>
            <w:shd w:val="clear" w:color="auto" w:fill="CCEEFF"/>
          </w:tcPr>
          <w:p>
            <w:pPr>
              <w:jc w:val="right"/>
              <w:ind w:right="106"/>
              <w:spacing w:after="0" w:line="156" w:lineRule="exact"/>
              <w:rPr>
                <w:sz w:val="20"/>
                <w:szCs w:val="20"/>
                <w:color w:val="auto"/>
              </w:rPr>
            </w:pPr>
            <w:r>
              <w:rPr>
                <w:rFonts w:ascii="Arial" w:cs="Arial" w:eastAsia="Arial" w:hAnsi="Arial"/>
                <w:sz w:val="15"/>
                <w:szCs w:val="15"/>
                <w:color w:val="auto"/>
              </w:rPr>
              <w:t>3.0</w:t>
            </w:r>
          </w:p>
        </w:tc>
      </w:tr>
      <w:tr>
        <w:trPr>
          <w:trHeight w:val="156"/>
        </w:trPr>
        <w:tc>
          <w:tcPr>
            <w:tcW w:w="3140" w:type="dxa"/>
            <w:vAlign w:val="bottom"/>
          </w:tcPr>
          <w:p>
            <w:pPr>
              <w:spacing w:after="0" w:line="156" w:lineRule="exact"/>
              <w:rPr>
                <w:sz w:val="20"/>
                <w:szCs w:val="20"/>
                <w:color w:val="auto"/>
              </w:rPr>
            </w:pPr>
            <w:r>
              <w:rPr>
                <w:rFonts w:ascii="Arial" w:cs="Arial" w:eastAsia="Arial" w:hAnsi="Arial"/>
                <w:sz w:val="15"/>
                <w:szCs w:val="15"/>
                <w:color w:val="auto"/>
              </w:rPr>
              <w:t>Domestic production deduction</w:t>
            </w:r>
          </w:p>
        </w:tc>
        <w:tc>
          <w:tcPr>
            <w:tcW w:w="880" w:type="dxa"/>
            <w:vAlign w:val="bottom"/>
          </w:tcPr>
          <w:p>
            <w:pPr>
              <w:jc w:val="right"/>
              <w:ind w:right="206"/>
              <w:spacing w:after="0" w:line="156" w:lineRule="exact"/>
              <w:rPr>
                <w:sz w:val="20"/>
                <w:szCs w:val="20"/>
                <w:color w:val="auto"/>
              </w:rPr>
            </w:pPr>
            <w:r>
              <w:rPr>
                <w:rFonts w:ascii="Arial" w:cs="Arial" w:eastAsia="Arial" w:hAnsi="Arial"/>
                <w:sz w:val="15"/>
                <w:szCs w:val="15"/>
                <w:b w:val="1"/>
                <w:bCs w:val="1"/>
                <w:color w:val="auto"/>
              </w:rPr>
              <w:t>(2.2)</w:t>
            </w:r>
          </w:p>
        </w:tc>
        <w:tc>
          <w:tcPr>
            <w:tcW w:w="780" w:type="dxa"/>
            <w:vAlign w:val="bottom"/>
          </w:tcPr>
          <w:p>
            <w:pPr>
              <w:jc w:val="right"/>
              <w:ind w:right="166"/>
              <w:spacing w:after="0" w:line="156" w:lineRule="exact"/>
              <w:rPr>
                <w:sz w:val="20"/>
                <w:szCs w:val="20"/>
                <w:color w:val="auto"/>
              </w:rPr>
            </w:pPr>
            <w:r>
              <w:rPr>
                <w:rFonts w:ascii="Arial" w:cs="Arial" w:eastAsia="Arial" w:hAnsi="Arial"/>
                <w:sz w:val="15"/>
                <w:szCs w:val="15"/>
                <w:color w:val="auto"/>
              </w:rPr>
              <w:t>(2.0)</w:t>
            </w:r>
          </w:p>
        </w:tc>
        <w:tc>
          <w:tcPr>
            <w:tcW w:w="680" w:type="dxa"/>
            <w:vAlign w:val="bottom"/>
          </w:tcPr>
          <w:p>
            <w:pPr>
              <w:jc w:val="right"/>
              <w:ind w:right="46"/>
              <w:spacing w:after="0" w:line="156" w:lineRule="exact"/>
              <w:rPr>
                <w:sz w:val="20"/>
                <w:szCs w:val="20"/>
                <w:color w:val="auto"/>
              </w:rPr>
            </w:pPr>
            <w:r>
              <w:rPr>
                <w:rFonts w:ascii="Arial" w:cs="Arial" w:eastAsia="Arial" w:hAnsi="Arial"/>
                <w:sz w:val="15"/>
                <w:szCs w:val="15"/>
                <w:color w:val="auto"/>
              </w:rPr>
              <w:t>(0.1)</w:t>
            </w:r>
          </w:p>
        </w:tc>
      </w:tr>
      <w:tr>
        <w:trPr>
          <w:trHeight w:val="156"/>
        </w:trPr>
        <w:tc>
          <w:tcPr>
            <w:tcW w:w="314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Stock based compensation</w:t>
            </w:r>
          </w:p>
        </w:tc>
        <w:tc>
          <w:tcPr>
            <w:tcW w:w="880" w:type="dxa"/>
            <w:vAlign w:val="bottom"/>
            <w:shd w:val="clear" w:color="auto" w:fill="CCEEFF"/>
          </w:tcPr>
          <w:p>
            <w:pPr>
              <w:jc w:val="right"/>
              <w:ind w:right="206"/>
              <w:spacing w:after="0" w:line="156" w:lineRule="exact"/>
              <w:rPr>
                <w:sz w:val="20"/>
                <w:szCs w:val="20"/>
                <w:color w:val="auto"/>
              </w:rPr>
            </w:pPr>
            <w:r>
              <w:rPr>
                <w:rFonts w:ascii="Arial" w:cs="Arial" w:eastAsia="Arial" w:hAnsi="Arial"/>
                <w:sz w:val="15"/>
                <w:szCs w:val="15"/>
                <w:b w:val="1"/>
                <w:bCs w:val="1"/>
                <w:color w:val="auto"/>
              </w:rPr>
              <w:t>(1.0)</w:t>
            </w:r>
          </w:p>
        </w:tc>
        <w:tc>
          <w:tcPr>
            <w:tcW w:w="780" w:type="dxa"/>
            <w:vAlign w:val="bottom"/>
            <w:shd w:val="clear" w:color="auto" w:fill="CCEEFF"/>
          </w:tcPr>
          <w:p>
            <w:pPr>
              <w:jc w:val="right"/>
              <w:ind w:right="166"/>
              <w:spacing w:after="0" w:line="156" w:lineRule="exact"/>
              <w:rPr>
                <w:sz w:val="20"/>
                <w:szCs w:val="20"/>
                <w:color w:val="auto"/>
              </w:rPr>
            </w:pPr>
            <w:r>
              <w:rPr>
                <w:rFonts w:ascii="Arial" w:cs="Arial" w:eastAsia="Arial" w:hAnsi="Arial"/>
                <w:sz w:val="15"/>
                <w:szCs w:val="15"/>
                <w:color w:val="auto"/>
              </w:rPr>
              <w:t>(0.1)</w:t>
            </w:r>
          </w:p>
        </w:tc>
        <w:tc>
          <w:tcPr>
            <w:tcW w:w="680" w:type="dxa"/>
            <w:vAlign w:val="bottom"/>
            <w:shd w:val="clear" w:color="auto" w:fill="CCEEFF"/>
          </w:tcPr>
          <w:p>
            <w:pPr>
              <w:jc w:val="right"/>
              <w:ind w:right="46"/>
              <w:spacing w:after="0" w:line="156" w:lineRule="exact"/>
              <w:rPr>
                <w:sz w:val="20"/>
                <w:szCs w:val="20"/>
                <w:color w:val="auto"/>
              </w:rPr>
            </w:pPr>
            <w:r>
              <w:rPr>
                <w:rFonts w:ascii="Arial" w:cs="Arial" w:eastAsia="Arial" w:hAnsi="Arial"/>
                <w:sz w:val="15"/>
                <w:szCs w:val="15"/>
                <w:color w:val="auto"/>
              </w:rPr>
              <w:t>(0.3)</w:t>
            </w:r>
          </w:p>
        </w:tc>
      </w:tr>
      <w:tr>
        <w:trPr>
          <w:trHeight w:val="156"/>
        </w:trPr>
        <w:tc>
          <w:tcPr>
            <w:tcW w:w="3140" w:type="dxa"/>
            <w:vAlign w:val="bottom"/>
            <w:tcBorders>
              <w:bottom w:val="single" w:sz="8" w:color="auto"/>
            </w:tcBorders>
          </w:tcPr>
          <w:p>
            <w:pPr>
              <w:spacing w:after="0" w:line="156" w:lineRule="exact"/>
              <w:rPr>
                <w:sz w:val="20"/>
                <w:szCs w:val="20"/>
                <w:color w:val="auto"/>
              </w:rPr>
            </w:pPr>
            <w:r>
              <w:rPr>
                <w:rFonts w:ascii="Arial" w:cs="Arial" w:eastAsia="Arial" w:hAnsi="Arial"/>
                <w:sz w:val="15"/>
                <w:szCs w:val="15"/>
                <w:color w:val="auto"/>
              </w:rPr>
              <w:t>Other items</w:t>
            </w:r>
          </w:p>
        </w:tc>
        <w:tc>
          <w:tcPr>
            <w:tcW w:w="880" w:type="dxa"/>
            <w:vAlign w:val="bottom"/>
            <w:tcBorders>
              <w:bottom w:val="single" w:sz="8" w:color="auto"/>
            </w:tcBorders>
          </w:tcPr>
          <w:p>
            <w:pPr>
              <w:jc w:val="right"/>
              <w:ind w:right="206"/>
              <w:spacing w:after="0" w:line="156" w:lineRule="exact"/>
              <w:rPr>
                <w:sz w:val="20"/>
                <w:szCs w:val="20"/>
                <w:color w:val="auto"/>
              </w:rPr>
            </w:pPr>
            <w:r>
              <w:rPr>
                <w:rFonts w:ascii="Arial" w:cs="Arial" w:eastAsia="Arial" w:hAnsi="Arial"/>
                <w:sz w:val="15"/>
                <w:szCs w:val="15"/>
                <w:b w:val="1"/>
                <w:bCs w:val="1"/>
                <w:color w:val="auto"/>
              </w:rPr>
              <w:t>(1.3)</w:t>
            </w:r>
          </w:p>
        </w:tc>
        <w:tc>
          <w:tcPr>
            <w:tcW w:w="780" w:type="dxa"/>
            <w:vAlign w:val="bottom"/>
            <w:tcBorders>
              <w:bottom w:val="single" w:sz="8" w:color="auto"/>
            </w:tcBorders>
          </w:tcPr>
          <w:p>
            <w:pPr>
              <w:jc w:val="right"/>
              <w:ind w:right="226"/>
              <w:spacing w:after="0" w:line="156" w:lineRule="exact"/>
              <w:rPr>
                <w:sz w:val="20"/>
                <w:szCs w:val="20"/>
                <w:color w:val="auto"/>
              </w:rPr>
            </w:pPr>
            <w:r>
              <w:rPr>
                <w:rFonts w:ascii="Arial" w:cs="Arial" w:eastAsia="Arial" w:hAnsi="Arial"/>
                <w:sz w:val="15"/>
                <w:szCs w:val="15"/>
                <w:color w:val="auto"/>
              </w:rPr>
              <w:t>0.9</w:t>
            </w:r>
          </w:p>
        </w:tc>
        <w:tc>
          <w:tcPr>
            <w:tcW w:w="680" w:type="dxa"/>
            <w:vAlign w:val="bottom"/>
            <w:tcBorders>
              <w:bottom w:val="single" w:sz="8" w:color="auto"/>
            </w:tcBorders>
          </w:tcPr>
          <w:p>
            <w:pPr>
              <w:jc w:val="right"/>
              <w:ind w:right="106"/>
              <w:spacing w:after="0" w:line="156" w:lineRule="exact"/>
              <w:rPr>
                <w:sz w:val="20"/>
                <w:szCs w:val="20"/>
                <w:color w:val="auto"/>
              </w:rPr>
            </w:pPr>
            <w:r>
              <w:rPr>
                <w:rFonts w:ascii="Arial" w:cs="Arial" w:eastAsia="Arial" w:hAnsi="Arial"/>
                <w:sz w:val="15"/>
                <w:szCs w:val="15"/>
                <w:color w:val="auto"/>
              </w:rPr>
              <w:t>0.4</w:t>
            </w:r>
          </w:p>
        </w:tc>
      </w:tr>
      <w:tr>
        <w:trPr>
          <w:trHeight w:val="155"/>
        </w:trPr>
        <w:tc>
          <w:tcPr>
            <w:tcW w:w="314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5"/>
                <w:szCs w:val="15"/>
                <w:color w:val="auto"/>
              </w:rPr>
              <w:t>Effective income tax rate</w:t>
            </w:r>
          </w:p>
        </w:tc>
        <w:tc>
          <w:tcPr>
            <w:tcW w:w="880" w:type="dxa"/>
            <w:vAlign w:val="bottom"/>
            <w:tcBorders>
              <w:bottom w:val="single" w:sz="8" w:color="auto"/>
            </w:tcBorders>
            <w:shd w:val="clear" w:color="auto" w:fill="CCEEFF"/>
          </w:tcPr>
          <w:p>
            <w:pPr>
              <w:jc w:val="right"/>
              <w:ind w:right="66"/>
              <w:spacing w:after="0" w:line="149" w:lineRule="exact"/>
              <w:rPr>
                <w:sz w:val="20"/>
                <w:szCs w:val="20"/>
                <w:color w:val="auto"/>
              </w:rPr>
            </w:pPr>
            <w:r>
              <w:rPr>
                <w:rFonts w:ascii="Arial" w:cs="Arial" w:eastAsia="Arial" w:hAnsi="Arial"/>
                <w:sz w:val="15"/>
                <w:szCs w:val="15"/>
                <w:b w:val="1"/>
                <w:bCs w:val="1"/>
                <w:color w:val="auto"/>
              </w:rPr>
              <w:t>(15.3%)</w:t>
            </w:r>
          </w:p>
        </w:tc>
        <w:tc>
          <w:tcPr>
            <w:tcW w:w="780" w:type="dxa"/>
            <w:vAlign w:val="bottom"/>
            <w:tcBorders>
              <w:bottom w:val="single" w:sz="8" w:color="auto"/>
            </w:tcBorders>
            <w:shd w:val="clear" w:color="auto" w:fill="CCEEFF"/>
          </w:tcPr>
          <w:p>
            <w:pPr>
              <w:jc w:val="right"/>
              <w:ind w:right="86"/>
              <w:spacing w:after="0" w:line="149" w:lineRule="exact"/>
              <w:rPr>
                <w:sz w:val="20"/>
                <w:szCs w:val="20"/>
                <w:color w:val="auto"/>
              </w:rPr>
            </w:pPr>
            <w:r>
              <w:rPr>
                <w:rFonts w:ascii="Arial" w:cs="Arial" w:eastAsia="Arial" w:hAnsi="Arial"/>
                <w:sz w:val="15"/>
                <w:szCs w:val="15"/>
                <w:color w:val="auto"/>
              </w:rPr>
              <w:t>29.9%</w:t>
            </w: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30.2%</w:t>
            </w:r>
          </w:p>
        </w:tc>
      </w:tr>
    </w:tbl>
    <w:p>
      <w:pPr>
        <w:spacing w:after="0" w:line="202"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The change in the effective income tax rate in 2017 compared with 2016 is attributable to the impact of the 2017 Tax Act. The statutory depletion deduction for all years is calculated as a percentage of sales, subject to certain limitations. Due to these limitations, the impact of changes in the sales volumes and earnings may not proportionately affect the Company’s statutory depletion deduction and the corresponding impact on the effective income tax rate. The growth in non-depletable income reduced the impact of the statutory depletion deduction on the effective income tax rate in 2017 and 2016 compared with 2015.</w:t>
      </w:r>
    </w:p>
    <w:p>
      <w:pPr>
        <w:spacing w:after="0" w:line="194"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The 2016 state tax impact on the effective income tax rate decreased compared to 2015 due to changes in apportionment of taxable income to states with lower tax rates and the reduction in certain states’ statutory tax rates.</w:t>
      </w:r>
    </w:p>
    <w:p>
      <w:pPr>
        <w:spacing w:after="0" w:line="192"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The Company is entitled to receive a 9% tax deduction related to income from domestic (i.e., United States) production activities. The deduction reduced income tax expense and increased consolidated net earnings by $15,461,000, or $0.25 per diluted share, in 2017; $13,583,000, or $0.21 per diluted share, in 2016; and $222,000, or less than $0.01 per diluted share, in 2015. The impact on the 2015 effective income tax rate was limited by the significant utilization of NOL carryforwards. The domestic production deduction was eliminated by the 2017 Tax Act and will not generate a tax benefit in future years.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principal components of the Company’s deferred tax assets and liabilities are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b w:val="1"/>
                <w:bCs w:val="1"/>
                <w:color w:val="auto"/>
              </w:rPr>
              <w:t>Deferred</w:t>
            </w:r>
          </w:p>
        </w:tc>
        <w:tc>
          <w:tcPr>
            <w:tcW w:w="720" w:type="dxa"/>
            <w:vAlign w:val="bottom"/>
          </w:tcPr>
          <w:p>
            <w:pPr>
              <w:spacing w:after="0"/>
              <w:rPr>
                <w:sz w:val="14"/>
                <w:szCs w:val="14"/>
                <w:color w:val="auto"/>
              </w:rPr>
            </w:pPr>
          </w:p>
        </w:tc>
      </w:tr>
      <w:tr>
        <w:trPr>
          <w:trHeight w:val="167"/>
        </w:trPr>
        <w:tc>
          <w:tcPr>
            <w:tcW w:w="3160" w:type="dxa"/>
            <w:vAlign w:val="bottom"/>
          </w:tcPr>
          <w:p>
            <w:pPr>
              <w:spacing w:after="0"/>
              <w:rPr>
                <w:sz w:val="20"/>
                <w:szCs w:val="20"/>
                <w:color w:val="auto"/>
              </w:rPr>
            </w:pPr>
            <w:r>
              <w:rPr>
                <w:rFonts w:ascii="Arial" w:cs="Arial" w:eastAsia="Arial" w:hAnsi="Arial"/>
                <w:sz w:val="14"/>
                <w:szCs w:val="14"/>
                <w:i w:val="1"/>
                <w:iCs w:val="1"/>
                <w:color w:val="auto"/>
              </w:rPr>
              <w:t>December 31</w:t>
            </w:r>
          </w:p>
        </w:tc>
        <w:tc>
          <w:tcPr>
            <w:tcW w:w="5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right"/>
              <w:ind w:right="386"/>
              <w:spacing w:after="0"/>
              <w:rPr>
                <w:sz w:val="20"/>
                <w:szCs w:val="20"/>
                <w:color w:val="auto"/>
              </w:rPr>
            </w:pPr>
            <w:r>
              <w:rPr>
                <w:rFonts w:ascii="Arial" w:cs="Arial" w:eastAsia="Arial" w:hAnsi="Arial"/>
                <w:sz w:val="14"/>
                <w:szCs w:val="14"/>
                <w:b w:val="1"/>
                <w:bCs w:val="1"/>
                <w:color w:val="auto"/>
              </w:rPr>
              <w:t>Assets (Liabilities)</w:t>
            </w:r>
          </w:p>
        </w:tc>
      </w:tr>
      <w:tr>
        <w:trPr>
          <w:trHeight w:val="149"/>
        </w:trPr>
        <w:tc>
          <w:tcPr>
            <w:tcW w:w="3160" w:type="dxa"/>
            <w:vAlign w:val="bottom"/>
            <w:tcBorders>
              <w:bottom w:val="single" w:sz="8" w:color="auto"/>
            </w:tcBorders>
          </w:tcPr>
          <w:p>
            <w:pPr>
              <w:spacing w:after="0" w:line="149" w:lineRule="exact"/>
              <w:rPr>
                <w:sz w:val="20"/>
                <w:szCs w:val="20"/>
                <w:color w:val="auto"/>
              </w:rPr>
            </w:pPr>
            <w:r>
              <w:rPr>
                <w:rFonts w:ascii="Arial" w:cs="Arial" w:eastAsia="Arial" w:hAnsi="Arial"/>
                <w:sz w:val="15"/>
                <w:szCs w:val="15"/>
                <w:color w:val="auto"/>
              </w:rPr>
              <w:t>(add 000)</w:t>
            </w:r>
          </w:p>
        </w:tc>
        <w:tc>
          <w:tcPr>
            <w:tcW w:w="5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167"/>
              <w:spacing w:after="0" w:line="149" w:lineRule="exact"/>
              <w:rPr>
                <w:sz w:val="20"/>
                <w:szCs w:val="20"/>
                <w:color w:val="auto"/>
              </w:rPr>
            </w:pPr>
            <w:r>
              <w:rPr>
                <w:rFonts w:ascii="Arial" w:cs="Arial" w:eastAsia="Arial" w:hAnsi="Arial"/>
                <w:sz w:val="15"/>
                <w:szCs w:val="15"/>
                <w:b w:val="1"/>
                <w:bCs w:val="1"/>
                <w:color w:val="0085CD"/>
              </w:rPr>
              <w:t>2017</w:t>
            </w:r>
          </w:p>
        </w:tc>
        <w:tc>
          <w:tcPr>
            <w:tcW w:w="3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6"/>
              <w:spacing w:after="0" w:line="149" w:lineRule="exact"/>
              <w:rPr>
                <w:sz w:val="20"/>
                <w:szCs w:val="20"/>
                <w:color w:val="auto"/>
              </w:rPr>
            </w:pPr>
            <w:r>
              <w:rPr>
                <w:rFonts w:ascii="Arial" w:cs="Arial" w:eastAsia="Arial" w:hAnsi="Arial"/>
                <w:sz w:val="15"/>
                <w:szCs w:val="15"/>
                <w:color w:val="auto"/>
              </w:rPr>
              <w:t>2016</w:t>
            </w:r>
          </w:p>
        </w:tc>
      </w:tr>
      <w:tr>
        <w:trPr>
          <w:trHeight w:val="149"/>
        </w:trPr>
        <w:tc>
          <w:tcPr>
            <w:tcW w:w="316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Deferred tax assets related to:</w:t>
            </w:r>
          </w:p>
        </w:tc>
        <w:tc>
          <w:tcPr>
            <w:tcW w:w="5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56"/>
        </w:trPr>
        <w:tc>
          <w:tcPr>
            <w:tcW w:w="3160" w:type="dxa"/>
            <w:vAlign w:val="bottom"/>
          </w:tcPr>
          <w:p>
            <w:pPr>
              <w:ind w:left="140"/>
              <w:spacing w:after="0" w:line="156" w:lineRule="exact"/>
              <w:rPr>
                <w:sz w:val="20"/>
                <w:szCs w:val="20"/>
                <w:color w:val="auto"/>
              </w:rPr>
            </w:pPr>
            <w:r>
              <w:rPr>
                <w:rFonts w:ascii="Arial" w:cs="Arial" w:eastAsia="Arial" w:hAnsi="Arial"/>
                <w:sz w:val="15"/>
                <w:szCs w:val="15"/>
                <w:color w:val="auto"/>
              </w:rPr>
              <w:t>Employee benefits</w:t>
            </w:r>
          </w:p>
        </w:tc>
        <w:tc>
          <w:tcPr>
            <w:tcW w:w="520" w:type="dxa"/>
            <w:vAlign w:val="bottom"/>
          </w:tcPr>
          <w:p>
            <w:pPr>
              <w:jc w:val="right"/>
              <w:spacing w:after="0" w:line="156" w:lineRule="exact"/>
              <w:rPr>
                <w:sz w:val="20"/>
                <w:szCs w:val="20"/>
                <w:color w:val="auto"/>
              </w:rPr>
            </w:pPr>
            <w:r>
              <w:rPr>
                <w:rFonts w:ascii="Arial" w:cs="Arial" w:eastAsia="Arial" w:hAnsi="Arial"/>
                <w:sz w:val="15"/>
                <w:szCs w:val="15"/>
                <w:b w:val="1"/>
                <w:bCs w:val="1"/>
                <w:color w:val="auto"/>
              </w:rPr>
              <w:t>$</w:t>
            </w:r>
          </w:p>
        </w:tc>
        <w:tc>
          <w:tcPr>
            <w:tcW w:w="860" w:type="dxa"/>
            <w:vAlign w:val="bottom"/>
          </w:tcPr>
          <w:p>
            <w:pPr>
              <w:jc w:val="right"/>
              <w:ind w:right="167"/>
              <w:spacing w:after="0" w:line="156" w:lineRule="exact"/>
              <w:rPr>
                <w:sz w:val="20"/>
                <w:szCs w:val="20"/>
                <w:color w:val="auto"/>
              </w:rPr>
            </w:pPr>
            <w:r>
              <w:rPr>
                <w:rFonts w:ascii="Arial" w:cs="Arial" w:eastAsia="Arial" w:hAnsi="Arial"/>
                <w:sz w:val="15"/>
                <w:szCs w:val="15"/>
                <w:b w:val="1"/>
                <w:bCs w:val="1"/>
                <w:color w:val="auto"/>
              </w:rPr>
              <w:t>16,059</w:t>
            </w:r>
          </w:p>
        </w:tc>
        <w:tc>
          <w:tcPr>
            <w:tcW w:w="320" w:type="dxa"/>
            <w:vAlign w:val="bottom"/>
          </w:tcPr>
          <w:p>
            <w:pPr>
              <w:jc w:val="right"/>
              <w:spacing w:after="0" w:line="156" w:lineRule="exact"/>
              <w:rPr>
                <w:sz w:val="20"/>
                <w:szCs w:val="20"/>
                <w:color w:val="auto"/>
              </w:rPr>
            </w:pPr>
            <w:r>
              <w:rPr>
                <w:rFonts w:ascii="Arial" w:cs="Arial" w:eastAsia="Arial" w:hAnsi="Arial"/>
                <w:sz w:val="15"/>
                <w:szCs w:val="15"/>
                <w:color w:val="auto"/>
              </w:rPr>
              <w:t>$</w:t>
            </w:r>
          </w:p>
        </w:tc>
        <w:tc>
          <w:tcPr>
            <w:tcW w:w="720" w:type="dxa"/>
            <w:vAlign w:val="bottom"/>
          </w:tcPr>
          <w:p>
            <w:pPr>
              <w:jc w:val="right"/>
              <w:ind w:right="6"/>
              <w:spacing w:after="0" w:line="156" w:lineRule="exact"/>
              <w:rPr>
                <w:sz w:val="20"/>
                <w:szCs w:val="20"/>
                <w:color w:val="auto"/>
              </w:rPr>
            </w:pPr>
            <w:r>
              <w:rPr>
                <w:rFonts w:ascii="Arial" w:cs="Arial" w:eastAsia="Arial" w:hAnsi="Arial"/>
                <w:sz w:val="15"/>
                <w:szCs w:val="15"/>
                <w:color w:val="auto"/>
              </w:rPr>
              <w:t>61,462</w:t>
            </w:r>
          </w:p>
        </w:tc>
      </w:tr>
      <w:tr>
        <w:trPr>
          <w:trHeight w:val="156"/>
        </w:trPr>
        <w:tc>
          <w:tcPr>
            <w:tcW w:w="3160" w:type="dxa"/>
            <w:vAlign w:val="bottom"/>
            <w:shd w:val="clear" w:color="auto" w:fill="CCEEFF"/>
          </w:tcPr>
          <w:p>
            <w:pPr>
              <w:ind w:left="140"/>
              <w:spacing w:after="0" w:line="156" w:lineRule="exact"/>
              <w:rPr>
                <w:sz w:val="20"/>
                <w:szCs w:val="20"/>
                <w:color w:val="auto"/>
              </w:rPr>
            </w:pPr>
            <w:r>
              <w:rPr>
                <w:rFonts w:ascii="Arial" w:cs="Arial" w:eastAsia="Arial" w:hAnsi="Arial"/>
                <w:sz w:val="15"/>
                <w:szCs w:val="15"/>
                <w:color w:val="auto"/>
              </w:rPr>
              <w:t>Inventories</w:t>
            </w:r>
          </w:p>
        </w:tc>
        <w:tc>
          <w:tcPr>
            <w:tcW w:w="52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167"/>
              <w:spacing w:after="0" w:line="156" w:lineRule="exact"/>
              <w:rPr>
                <w:sz w:val="20"/>
                <w:szCs w:val="20"/>
                <w:color w:val="auto"/>
              </w:rPr>
            </w:pPr>
            <w:r>
              <w:rPr>
                <w:rFonts w:ascii="Arial" w:cs="Arial" w:eastAsia="Arial" w:hAnsi="Arial"/>
                <w:sz w:val="15"/>
                <w:szCs w:val="15"/>
                <w:b w:val="1"/>
                <w:bCs w:val="1"/>
                <w:color w:val="auto"/>
              </w:rPr>
              <w:t>56,242</w:t>
            </w:r>
          </w:p>
        </w:tc>
        <w:tc>
          <w:tcPr>
            <w:tcW w:w="32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6"/>
              <w:spacing w:after="0" w:line="156" w:lineRule="exact"/>
              <w:rPr>
                <w:sz w:val="20"/>
                <w:szCs w:val="20"/>
                <w:color w:val="auto"/>
              </w:rPr>
            </w:pPr>
            <w:r>
              <w:rPr>
                <w:rFonts w:ascii="Arial" w:cs="Arial" w:eastAsia="Arial" w:hAnsi="Arial"/>
                <w:sz w:val="15"/>
                <w:szCs w:val="15"/>
                <w:color w:val="auto"/>
              </w:rPr>
              <w:t>71,490</w:t>
            </w:r>
          </w:p>
        </w:tc>
      </w:tr>
      <w:tr>
        <w:trPr>
          <w:trHeight w:val="156"/>
        </w:trPr>
        <w:tc>
          <w:tcPr>
            <w:tcW w:w="3160" w:type="dxa"/>
            <w:vAlign w:val="bottom"/>
          </w:tcPr>
          <w:p>
            <w:pPr>
              <w:ind w:left="140"/>
              <w:spacing w:after="0" w:line="156" w:lineRule="exact"/>
              <w:rPr>
                <w:sz w:val="20"/>
                <w:szCs w:val="20"/>
                <w:color w:val="auto"/>
              </w:rPr>
            </w:pPr>
            <w:r>
              <w:rPr>
                <w:rFonts w:ascii="Arial" w:cs="Arial" w:eastAsia="Arial" w:hAnsi="Arial"/>
                <w:sz w:val="15"/>
                <w:szCs w:val="15"/>
                <w:color w:val="auto"/>
              </w:rPr>
              <w:t>Valuation and other reserves</w:t>
            </w:r>
          </w:p>
        </w:tc>
        <w:tc>
          <w:tcPr>
            <w:tcW w:w="520" w:type="dxa"/>
            <w:vAlign w:val="bottom"/>
          </w:tcPr>
          <w:p>
            <w:pPr>
              <w:spacing w:after="0"/>
              <w:rPr>
                <w:sz w:val="13"/>
                <w:szCs w:val="13"/>
                <w:color w:val="auto"/>
              </w:rPr>
            </w:pPr>
          </w:p>
        </w:tc>
        <w:tc>
          <w:tcPr>
            <w:tcW w:w="860" w:type="dxa"/>
            <w:vAlign w:val="bottom"/>
          </w:tcPr>
          <w:p>
            <w:pPr>
              <w:jc w:val="right"/>
              <w:ind w:right="167"/>
              <w:spacing w:after="0" w:line="156" w:lineRule="exact"/>
              <w:rPr>
                <w:sz w:val="20"/>
                <w:szCs w:val="20"/>
                <w:color w:val="auto"/>
              </w:rPr>
            </w:pPr>
            <w:r>
              <w:rPr>
                <w:rFonts w:ascii="Arial" w:cs="Arial" w:eastAsia="Arial" w:hAnsi="Arial"/>
                <w:sz w:val="15"/>
                <w:szCs w:val="15"/>
                <w:b w:val="1"/>
                <w:bCs w:val="1"/>
                <w:color w:val="auto"/>
              </w:rPr>
              <w:t>22,989</w:t>
            </w:r>
          </w:p>
        </w:tc>
        <w:tc>
          <w:tcPr>
            <w:tcW w:w="320" w:type="dxa"/>
            <w:vAlign w:val="bottom"/>
          </w:tcPr>
          <w:p>
            <w:pPr>
              <w:spacing w:after="0"/>
              <w:rPr>
                <w:sz w:val="13"/>
                <w:szCs w:val="13"/>
                <w:color w:val="auto"/>
              </w:rPr>
            </w:pPr>
          </w:p>
        </w:tc>
        <w:tc>
          <w:tcPr>
            <w:tcW w:w="720" w:type="dxa"/>
            <w:vAlign w:val="bottom"/>
          </w:tcPr>
          <w:p>
            <w:pPr>
              <w:jc w:val="right"/>
              <w:ind w:right="6"/>
              <w:spacing w:after="0" w:line="156" w:lineRule="exact"/>
              <w:rPr>
                <w:sz w:val="20"/>
                <w:szCs w:val="20"/>
                <w:color w:val="auto"/>
              </w:rPr>
            </w:pPr>
            <w:r>
              <w:rPr>
                <w:rFonts w:ascii="Arial" w:cs="Arial" w:eastAsia="Arial" w:hAnsi="Arial"/>
                <w:sz w:val="15"/>
                <w:szCs w:val="15"/>
                <w:color w:val="auto"/>
              </w:rPr>
              <w:t>38,206</w:t>
            </w:r>
          </w:p>
        </w:tc>
      </w:tr>
      <w:tr>
        <w:trPr>
          <w:trHeight w:val="156"/>
        </w:trPr>
        <w:tc>
          <w:tcPr>
            <w:tcW w:w="3160" w:type="dxa"/>
            <w:vAlign w:val="bottom"/>
            <w:shd w:val="clear" w:color="auto" w:fill="CCEEFF"/>
          </w:tcPr>
          <w:p>
            <w:pPr>
              <w:ind w:left="140"/>
              <w:spacing w:after="0" w:line="156" w:lineRule="exact"/>
              <w:rPr>
                <w:sz w:val="20"/>
                <w:szCs w:val="20"/>
                <w:color w:val="auto"/>
              </w:rPr>
            </w:pPr>
            <w:r>
              <w:rPr>
                <w:rFonts w:ascii="Arial" w:cs="Arial" w:eastAsia="Arial" w:hAnsi="Arial"/>
                <w:sz w:val="15"/>
                <w:szCs w:val="15"/>
                <w:color w:val="auto"/>
              </w:rPr>
              <w:t>Net operating loss carryforwards</w:t>
            </w:r>
          </w:p>
        </w:tc>
        <w:tc>
          <w:tcPr>
            <w:tcW w:w="52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167"/>
              <w:spacing w:after="0" w:line="156" w:lineRule="exact"/>
              <w:rPr>
                <w:sz w:val="20"/>
                <w:szCs w:val="20"/>
                <w:color w:val="auto"/>
              </w:rPr>
            </w:pPr>
            <w:r>
              <w:rPr>
                <w:rFonts w:ascii="Arial" w:cs="Arial" w:eastAsia="Arial" w:hAnsi="Arial"/>
                <w:sz w:val="15"/>
                <w:szCs w:val="15"/>
                <w:b w:val="1"/>
                <w:bCs w:val="1"/>
                <w:color w:val="auto"/>
              </w:rPr>
              <w:t>11,780</w:t>
            </w:r>
          </w:p>
        </w:tc>
        <w:tc>
          <w:tcPr>
            <w:tcW w:w="32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6"/>
              <w:spacing w:after="0" w:line="156" w:lineRule="exact"/>
              <w:rPr>
                <w:sz w:val="20"/>
                <w:szCs w:val="20"/>
                <w:color w:val="auto"/>
              </w:rPr>
            </w:pPr>
            <w:r>
              <w:rPr>
                <w:rFonts w:ascii="Arial" w:cs="Arial" w:eastAsia="Arial" w:hAnsi="Arial"/>
                <w:sz w:val="15"/>
                <w:szCs w:val="15"/>
                <w:color w:val="auto"/>
              </w:rPr>
              <w:t>10,507</w:t>
            </w:r>
          </w:p>
        </w:tc>
      </w:tr>
      <w:tr>
        <w:trPr>
          <w:trHeight w:val="156"/>
        </w:trPr>
        <w:tc>
          <w:tcPr>
            <w:tcW w:w="3160" w:type="dxa"/>
            <w:vAlign w:val="bottom"/>
          </w:tcPr>
          <w:p>
            <w:pPr>
              <w:ind w:left="140"/>
              <w:spacing w:after="0" w:line="156" w:lineRule="exact"/>
              <w:rPr>
                <w:sz w:val="20"/>
                <w:szCs w:val="20"/>
                <w:color w:val="auto"/>
              </w:rPr>
            </w:pPr>
            <w:r>
              <w:rPr>
                <w:rFonts w:ascii="Arial" w:cs="Arial" w:eastAsia="Arial" w:hAnsi="Arial"/>
                <w:sz w:val="15"/>
                <w:szCs w:val="15"/>
                <w:color w:val="auto"/>
              </w:rPr>
              <w:t>Accumulated other comprehensive loss</w:t>
            </w:r>
          </w:p>
        </w:tc>
        <w:tc>
          <w:tcPr>
            <w:tcW w:w="520" w:type="dxa"/>
            <w:vAlign w:val="bottom"/>
          </w:tcPr>
          <w:p>
            <w:pPr>
              <w:spacing w:after="0"/>
              <w:rPr>
                <w:sz w:val="13"/>
                <w:szCs w:val="13"/>
                <w:color w:val="auto"/>
              </w:rPr>
            </w:pPr>
          </w:p>
        </w:tc>
        <w:tc>
          <w:tcPr>
            <w:tcW w:w="860" w:type="dxa"/>
            <w:vAlign w:val="bottom"/>
          </w:tcPr>
          <w:p>
            <w:pPr>
              <w:jc w:val="right"/>
              <w:ind w:right="167"/>
              <w:spacing w:after="0" w:line="156" w:lineRule="exact"/>
              <w:rPr>
                <w:sz w:val="20"/>
                <w:szCs w:val="20"/>
                <w:color w:val="auto"/>
              </w:rPr>
            </w:pPr>
            <w:r>
              <w:rPr>
                <w:rFonts w:ascii="Arial" w:cs="Arial" w:eastAsia="Arial" w:hAnsi="Arial"/>
                <w:sz w:val="15"/>
                <w:szCs w:val="15"/>
                <w:b w:val="1"/>
                <w:bCs w:val="1"/>
                <w:color w:val="auto"/>
              </w:rPr>
              <w:t>80,116</w:t>
            </w:r>
          </w:p>
        </w:tc>
        <w:tc>
          <w:tcPr>
            <w:tcW w:w="320" w:type="dxa"/>
            <w:vAlign w:val="bottom"/>
          </w:tcPr>
          <w:p>
            <w:pPr>
              <w:spacing w:after="0"/>
              <w:rPr>
                <w:sz w:val="13"/>
                <w:szCs w:val="13"/>
                <w:color w:val="auto"/>
              </w:rPr>
            </w:pPr>
          </w:p>
        </w:tc>
        <w:tc>
          <w:tcPr>
            <w:tcW w:w="720" w:type="dxa"/>
            <w:vAlign w:val="bottom"/>
          </w:tcPr>
          <w:p>
            <w:pPr>
              <w:jc w:val="right"/>
              <w:ind w:right="6"/>
              <w:spacing w:after="0" w:line="156" w:lineRule="exact"/>
              <w:rPr>
                <w:sz w:val="20"/>
                <w:szCs w:val="20"/>
                <w:color w:val="auto"/>
              </w:rPr>
            </w:pPr>
            <w:r>
              <w:rPr>
                <w:rFonts w:ascii="Arial" w:cs="Arial" w:eastAsia="Arial" w:hAnsi="Arial"/>
                <w:sz w:val="15"/>
                <w:szCs w:val="15"/>
                <w:color w:val="auto"/>
              </w:rPr>
              <w:t>82,793</w:t>
            </w:r>
          </w:p>
        </w:tc>
      </w:tr>
      <w:tr>
        <w:trPr>
          <w:trHeight w:val="156"/>
        </w:trPr>
        <w:tc>
          <w:tcPr>
            <w:tcW w:w="3160" w:type="dxa"/>
            <w:vAlign w:val="bottom"/>
            <w:tcBorders>
              <w:bottom w:val="single" w:sz="8" w:color="auto"/>
            </w:tcBorders>
            <w:shd w:val="clear" w:color="auto" w:fill="CCEEFF"/>
          </w:tcPr>
          <w:p>
            <w:pPr>
              <w:ind w:left="140"/>
              <w:spacing w:after="0" w:line="156" w:lineRule="exact"/>
              <w:rPr>
                <w:sz w:val="20"/>
                <w:szCs w:val="20"/>
                <w:color w:val="auto"/>
              </w:rPr>
            </w:pPr>
            <w:r>
              <w:rPr>
                <w:rFonts w:ascii="Arial" w:cs="Arial" w:eastAsia="Arial" w:hAnsi="Arial"/>
                <w:sz w:val="15"/>
                <w:szCs w:val="15"/>
                <w:color w:val="auto"/>
              </w:rPr>
              <w:t>AMT credit carryforward</w:t>
            </w:r>
          </w:p>
        </w:tc>
        <w:tc>
          <w:tcPr>
            <w:tcW w:w="52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167"/>
              <w:spacing w:after="0" w:line="156" w:lineRule="exact"/>
              <w:rPr>
                <w:sz w:val="20"/>
                <w:szCs w:val="20"/>
                <w:color w:val="auto"/>
              </w:rPr>
            </w:pPr>
            <w:r>
              <w:rPr>
                <w:rFonts w:ascii="Arial" w:cs="Arial" w:eastAsia="Arial" w:hAnsi="Arial"/>
                <w:sz w:val="15"/>
                <w:szCs w:val="15"/>
                <w:b w:val="1"/>
                <w:bCs w:val="1"/>
                <w:color w:val="auto"/>
              </w:rPr>
              <w:t>–</w:t>
            </w:r>
          </w:p>
        </w:tc>
        <w:tc>
          <w:tcPr>
            <w:tcW w:w="3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6"/>
              <w:spacing w:after="0" w:line="156" w:lineRule="exact"/>
              <w:rPr>
                <w:sz w:val="20"/>
                <w:szCs w:val="20"/>
                <w:color w:val="auto"/>
              </w:rPr>
            </w:pPr>
            <w:r>
              <w:rPr>
                <w:rFonts w:ascii="Arial" w:cs="Arial" w:eastAsia="Arial" w:hAnsi="Arial"/>
                <w:sz w:val="15"/>
                <w:szCs w:val="15"/>
                <w:color w:val="auto"/>
              </w:rPr>
              <w:t>2,771</w:t>
            </w:r>
          </w:p>
        </w:tc>
      </w:tr>
      <w:tr>
        <w:trPr>
          <w:trHeight w:val="149"/>
        </w:trPr>
        <w:tc>
          <w:tcPr>
            <w:tcW w:w="3160" w:type="dxa"/>
            <w:vAlign w:val="bottom"/>
          </w:tcPr>
          <w:p>
            <w:pPr>
              <w:spacing w:after="0" w:line="149" w:lineRule="exact"/>
              <w:rPr>
                <w:sz w:val="20"/>
                <w:szCs w:val="20"/>
                <w:color w:val="auto"/>
              </w:rPr>
            </w:pPr>
            <w:r>
              <w:rPr>
                <w:rFonts w:ascii="Arial" w:cs="Arial" w:eastAsia="Arial" w:hAnsi="Arial"/>
                <w:sz w:val="15"/>
                <w:szCs w:val="15"/>
                <w:color w:val="auto"/>
              </w:rPr>
              <w:t>Gross deferred tax assets</w:t>
            </w:r>
          </w:p>
        </w:tc>
        <w:tc>
          <w:tcPr>
            <w:tcW w:w="520" w:type="dxa"/>
            <w:vAlign w:val="bottom"/>
          </w:tcPr>
          <w:p>
            <w:pPr>
              <w:spacing w:after="0"/>
              <w:rPr>
                <w:sz w:val="12"/>
                <w:szCs w:val="12"/>
                <w:color w:val="auto"/>
              </w:rPr>
            </w:pPr>
          </w:p>
        </w:tc>
        <w:tc>
          <w:tcPr>
            <w:tcW w:w="860" w:type="dxa"/>
            <w:vAlign w:val="bottom"/>
          </w:tcPr>
          <w:p>
            <w:pPr>
              <w:jc w:val="right"/>
              <w:ind w:right="167"/>
              <w:spacing w:after="0" w:line="149" w:lineRule="exact"/>
              <w:rPr>
                <w:sz w:val="20"/>
                <w:szCs w:val="20"/>
                <w:color w:val="auto"/>
              </w:rPr>
            </w:pPr>
            <w:r>
              <w:rPr>
                <w:rFonts w:ascii="Arial" w:cs="Arial" w:eastAsia="Arial" w:hAnsi="Arial"/>
                <w:sz w:val="15"/>
                <w:szCs w:val="15"/>
                <w:b w:val="1"/>
                <w:bCs w:val="1"/>
                <w:color w:val="auto"/>
              </w:rPr>
              <w:t>187,186</w:t>
            </w:r>
          </w:p>
        </w:tc>
        <w:tc>
          <w:tcPr>
            <w:tcW w:w="320" w:type="dxa"/>
            <w:vAlign w:val="bottom"/>
          </w:tcPr>
          <w:p>
            <w:pPr>
              <w:spacing w:after="0"/>
              <w:rPr>
                <w:sz w:val="12"/>
                <w:szCs w:val="12"/>
                <w:color w:val="auto"/>
              </w:rPr>
            </w:pPr>
          </w:p>
        </w:tc>
        <w:tc>
          <w:tcPr>
            <w:tcW w:w="720" w:type="dxa"/>
            <w:vAlign w:val="bottom"/>
          </w:tcPr>
          <w:p>
            <w:pPr>
              <w:jc w:val="right"/>
              <w:ind w:right="6"/>
              <w:spacing w:after="0" w:line="149" w:lineRule="exact"/>
              <w:rPr>
                <w:sz w:val="20"/>
                <w:szCs w:val="20"/>
                <w:color w:val="auto"/>
              </w:rPr>
            </w:pPr>
            <w:r>
              <w:rPr>
                <w:rFonts w:ascii="Arial" w:cs="Arial" w:eastAsia="Arial" w:hAnsi="Arial"/>
                <w:sz w:val="15"/>
                <w:szCs w:val="15"/>
                <w:color w:val="auto"/>
              </w:rPr>
              <w:t>267,229</w:t>
            </w:r>
          </w:p>
        </w:tc>
      </w:tr>
      <w:tr>
        <w:trPr>
          <w:trHeight w:val="156"/>
        </w:trPr>
        <w:tc>
          <w:tcPr>
            <w:tcW w:w="316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Valuation allowance on deferred tax assets</w:t>
            </w:r>
          </w:p>
        </w:tc>
        <w:tc>
          <w:tcPr>
            <w:tcW w:w="52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127"/>
              <w:spacing w:after="0" w:line="156" w:lineRule="exact"/>
              <w:rPr>
                <w:sz w:val="20"/>
                <w:szCs w:val="20"/>
                <w:color w:val="auto"/>
              </w:rPr>
            </w:pPr>
            <w:r>
              <w:rPr>
                <w:rFonts w:ascii="Arial" w:cs="Arial" w:eastAsia="Arial" w:hAnsi="Arial"/>
                <w:sz w:val="15"/>
                <w:szCs w:val="15"/>
                <w:b w:val="1"/>
                <w:bCs w:val="1"/>
                <w:color w:val="auto"/>
              </w:rPr>
              <w:t>(10,349)</w:t>
            </w:r>
          </w:p>
        </w:tc>
        <w:tc>
          <w:tcPr>
            <w:tcW w:w="3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(8,521)</w:t>
            </w:r>
          </w:p>
        </w:tc>
      </w:tr>
      <w:tr>
        <w:trPr>
          <w:trHeight w:val="149"/>
        </w:trPr>
        <w:tc>
          <w:tcPr>
            <w:tcW w:w="3160" w:type="dxa"/>
            <w:vAlign w:val="bottom"/>
            <w:tcBorders>
              <w:bottom w:val="single" w:sz="8" w:color="auto"/>
            </w:tcBorders>
          </w:tcPr>
          <w:p>
            <w:pPr>
              <w:spacing w:after="0" w:line="149" w:lineRule="exact"/>
              <w:rPr>
                <w:sz w:val="20"/>
                <w:szCs w:val="20"/>
                <w:color w:val="auto"/>
              </w:rPr>
            </w:pPr>
            <w:r>
              <w:rPr>
                <w:rFonts w:ascii="Arial" w:cs="Arial" w:eastAsia="Arial" w:hAnsi="Arial"/>
                <w:sz w:val="15"/>
                <w:szCs w:val="15"/>
                <w:color w:val="auto"/>
              </w:rPr>
              <w:t>Total net deferred tax assets</w:t>
            </w:r>
          </w:p>
        </w:tc>
        <w:tc>
          <w:tcPr>
            <w:tcW w:w="5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167"/>
              <w:spacing w:after="0" w:line="149" w:lineRule="exact"/>
              <w:rPr>
                <w:sz w:val="20"/>
                <w:szCs w:val="20"/>
                <w:color w:val="auto"/>
              </w:rPr>
            </w:pPr>
            <w:r>
              <w:rPr>
                <w:rFonts w:ascii="Arial" w:cs="Arial" w:eastAsia="Arial" w:hAnsi="Arial"/>
                <w:sz w:val="15"/>
                <w:szCs w:val="15"/>
                <w:b w:val="1"/>
                <w:bCs w:val="1"/>
                <w:color w:val="auto"/>
              </w:rPr>
              <w:t>176,837</w:t>
            </w:r>
          </w:p>
        </w:tc>
        <w:tc>
          <w:tcPr>
            <w:tcW w:w="3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6"/>
              <w:spacing w:after="0" w:line="149" w:lineRule="exact"/>
              <w:rPr>
                <w:sz w:val="20"/>
                <w:szCs w:val="20"/>
                <w:color w:val="auto"/>
              </w:rPr>
            </w:pPr>
            <w:r>
              <w:rPr>
                <w:rFonts w:ascii="Arial" w:cs="Arial" w:eastAsia="Arial" w:hAnsi="Arial"/>
                <w:sz w:val="15"/>
                <w:szCs w:val="15"/>
                <w:color w:val="auto"/>
              </w:rPr>
              <w:t>258,708</w:t>
            </w:r>
          </w:p>
        </w:tc>
      </w:tr>
      <w:tr>
        <w:trPr>
          <w:trHeight w:val="149"/>
        </w:trPr>
        <w:tc>
          <w:tcPr>
            <w:tcW w:w="316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Deferred tax liabilities related to:</w:t>
            </w:r>
          </w:p>
        </w:tc>
        <w:tc>
          <w:tcPr>
            <w:tcW w:w="5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56"/>
        </w:trPr>
        <w:tc>
          <w:tcPr>
            <w:tcW w:w="3160" w:type="dxa"/>
            <w:vAlign w:val="bottom"/>
          </w:tcPr>
          <w:p>
            <w:pPr>
              <w:ind w:left="140"/>
              <w:spacing w:after="0" w:line="156" w:lineRule="exact"/>
              <w:rPr>
                <w:sz w:val="20"/>
                <w:szCs w:val="20"/>
                <w:color w:val="auto"/>
              </w:rPr>
            </w:pPr>
            <w:r>
              <w:rPr>
                <w:rFonts w:ascii="Arial" w:cs="Arial" w:eastAsia="Arial" w:hAnsi="Arial"/>
                <w:sz w:val="15"/>
                <w:szCs w:val="15"/>
                <w:color w:val="auto"/>
              </w:rPr>
              <w:t>Property, plant and equipment</w:t>
            </w:r>
          </w:p>
        </w:tc>
        <w:tc>
          <w:tcPr>
            <w:tcW w:w="520" w:type="dxa"/>
            <w:vAlign w:val="bottom"/>
          </w:tcPr>
          <w:p>
            <w:pPr>
              <w:spacing w:after="0"/>
              <w:rPr>
                <w:sz w:val="13"/>
                <w:szCs w:val="13"/>
                <w:color w:val="auto"/>
              </w:rPr>
            </w:pPr>
          </w:p>
        </w:tc>
        <w:tc>
          <w:tcPr>
            <w:tcW w:w="860" w:type="dxa"/>
            <w:vAlign w:val="bottom"/>
          </w:tcPr>
          <w:p>
            <w:pPr>
              <w:jc w:val="right"/>
              <w:ind w:right="127"/>
              <w:spacing w:after="0" w:line="156" w:lineRule="exact"/>
              <w:rPr>
                <w:sz w:val="20"/>
                <w:szCs w:val="20"/>
                <w:color w:val="auto"/>
              </w:rPr>
            </w:pPr>
            <w:r>
              <w:rPr>
                <w:rFonts w:ascii="Arial" w:cs="Arial" w:eastAsia="Arial" w:hAnsi="Arial"/>
                <w:sz w:val="15"/>
                <w:szCs w:val="15"/>
                <w:b w:val="1"/>
                <w:bCs w:val="1"/>
                <w:color w:val="auto"/>
                <w:w w:val="99"/>
              </w:rPr>
              <w:t>(407,400)</w:t>
            </w:r>
          </w:p>
        </w:tc>
        <w:tc>
          <w:tcPr>
            <w:tcW w:w="320" w:type="dxa"/>
            <w:vAlign w:val="bottom"/>
          </w:tcPr>
          <w:p>
            <w:pPr>
              <w:spacing w:after="0"/>
              <w:rPr>
                <w:sz w:val="13"/>
                <w:szCs w:val="13"/>
                <w:color w:val="auto"/>
              </w:rPr>
            </w:pPr>
          </w:p>
        </w:tc>
        <w:tc>
          <w:tcPr>
            <w:tcW w:w="720" w:type="dxa"/>
            <w:vAlign w:val="bottom"/>
          </w:tcPr>
          <w:p>
            <w:pPr>
              <w:jc w:val="right"/>
              <w:spacing w:after="0" w:line="156" w:lineRule="exact"/>
              <w:rPr>
                <w:sz w:val="20"/>
                <w:szCs w:val="20"/>
                <w:color w:val="auto"/>
              </w:rPr>
            </w:pPr>
            <w:r>
              <w:rPr>
                <w:rFonts w:ascii="Arial" w:cs="Arial" w:eastAsia="Arial" w:hAnsi="Arial"/>
                <w:sz w:val="15"/>
                <w:szCs w:val="15"/>
                <w:color w:val="auto"/>
              </w:rPr>
              <w:t>(635,576)</w:t>
            </w:r>
          </w:p>
        </w:tc>
      </w:tr>
      <w:tr>
        <w:trPr>
          <w:trHeight w:val="156"/>
        </w:trPr>
        <w:tc>
          <w:tcPr>
            <w:tcW w:w="3160" w:type="dxa"/>
            <w:vAlign w:val="bottom"/>
            <w:shd w:val="clear" w:color="auto" w:fill="CCEEFF"/>
          </w:tcPr>
          <w:p>
            <w:pPr>
              <w:ind w:left="140"/>
              <w:spacing w:after="0" w:line="156" w:lineRule="exact"/>
              <w:rPr>
                <w:sz w:val="20"/>
                <w:szCs w:val="20"/>
                <w:color w:val="auto"/>
              </w:rPr>
            </w:pPr>
            <w:r>
              <w:rPr>
                <w:rFonts w:ascii="Arial" w:cs="Arial" w:eastAsia="Arial" w:hAnsi="Arial"/>
                <w:sz w:val="15"/>
                <w:szCs w:val="15"/>
                <w:color w:val="auto"/>
              </w:rPr>
              <w:t>Goodwill and other intangibles</w:t>
            </w:r>
          </w:p>
        </w:tc>
        <w:tc>
          <w:tcPr>
            <w:tcW w:w="52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127"/>
              <w:spacing w:after="0" w:line="156" w:lineRule="exact"/>
              <w:rPr>
                <w:sz w:val="20"/>
                <w:szCs w:val="20"/>
                <w:color w:val="auto"/>
              </w:rPr>
            </w:pPr>
            <w:r>
              <w:rPr>
                <w:rFonts w:ascii="Arial" w:cs="Arial" w:eastAsia="Arial" w:hAnsi="Arial"/>
                <w:sz w:val="15"/>
                <w:szCs w:val="15"/>
                <w:b w:val="1"/>
                <w:bCs w:val="1"/>
                <w:color w:val="auto"/>
                <w:w w:val="99"/>
              </w:rPr>
              <w:t>(168,506)</w:t>
            </w:r>
          </w:p>
        </w:tc>
        <w:tc>
          <w:tcPr>
            <w:tcW w:w="3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(268,999)</w:t>
            </w:r>
          </w:p>
        </w:tc>
      </w:tr>
      <w:tr>
        <w:trPr>
          <w:trHeight w:val="156"/>
        </w:trPr>
        <w:tc>
          <w:tcPr>
            <w:tcW w:w="3160" w:type="dxa"/>
            <w:vAlign w:val="bottom"/>
            <w:tcBorders>
              <w:bottom w:val="single" w:sz="8" w:color="auto"/>
            </w:tcBorders>
          </w:tcPr>
          <w:p>
            <w:pPr>
              <w:ind w:left="140"/>
              <w:spacing w:after="0" w:line="156" w:lineRule="exact"/>
              <w:rPr>
                <w:sz w:val="20"/>
                <w:szCs w:val="20"/>
                <w:color w:val="auto"/>
              </w:rPr>
            </w:pPr>
            <w:r>
              <w:rPr>
                <w:rFonts w:ascii="Arial" w:cs="Arial" w:eastAsia="Arial" w:hAnsi="Arial"/>
                <w:sz w:val="15"/>
                <w:szCs w:val="15"/>
                <w:color w:val="auto"/>
              </w:rPr>
              <w:t>Other items, net</w:t>
            </w:r>
          </w:p>
        </w:tc>
        <w:tc>
          <w:tcPr>
            <w:tcW w:w="5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127"/>
              <w:spacing w:after="0" w:line="156" w:lineRule="exact"/>
              <w:rPr>
                <w:sz w:val="20"/>
                <w:szCs w:val="20"/>
                <w:color w:val="auto"/>
              </w:rPr>
            </w:pPr>
            <w:r>
              <w:rPr>
                <w:rFonts w:ascii="Arial" w:cs="Arial" w:eastAsia="Arial" w:hAnsi="Arial"/>
                <w:sz w:val="15"/>
                <w:szCs w:val="15"/>
                <w:b w:val="1"/>
                <w:bCs w:val="1"/>
                <w:color w:val="auto"/>
              </w:rPr>
              <w:t>(11,654)</w:t>
            </w:r>
          </w:p>
        </w:tc>
        <w:tc>
          <w:tcPr>
            <w:tcW w:w="3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(17,152)</w:t>
            </w:r>
          </w:p>
        </w:tc>
      </w:tr>
      <w:tr>
        <w:trPr>
          <w:trHeight w:val="149"/>
        </w:trPr>
        <w:tc>
          <w:tcPr>
            <w:tcW w:w="316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5"/>
                <w:szCs w:val="15"/>
                <w:color w:val="auto"/>
              </w:rPr>
              <w:t>Total deferred tax liabilities</w:t>
            </w:r>
          </w:p>
        </w:tc>
        <w:tc>
          <w:tcPr>
            <w:tcW w:w="52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ind w:right="127"/>
              <w:spacing w:after="0" w:line="149" w:lineRule="exact"/>
              <w:rPr>
                <w:sz w:val="20"/>
                <w:szCs w:val="20"/>
                <w:color w:val="auto"/>
              </w:rPr>
            </w:pPr>
            <w:r>
              <w:rPr>
                <w:rFonts w:ascii="Arial" w:cs="Arial" w:eastAsia="Arial" w:hAnsi="Arial"/>
                <w:sz w:val="15"/>
                <w:szCs w:val="15"/>
                <w:b w:val="1"/>
                <w:bCs w:val="1"/>
                <w:color w:val="auto"/>
                <w:w w:val="99"/>
              </w:rPr>
              <w:t>(587,560)</w:t>
            </w:r>
          </w:p>
        </w:tc>
        <w:tc>
          <w:tcPr>
            <w:tcW w:w="3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(921,727)</w:t>
            </w:r>
          </w:p>
        </w:tc>
      </w:tr>
      <w:tr>
        <w:trPr>
          <w:trHeight w:val="155"/>
        </w:trPr>
        <w:tc>
          <w:tcPr>
            <w:tcW w:w="3160" w:type="dxa"/>
            <w:vAlign w:val="bottom"/>
            <w:tcBorders>
              <w:bottom w:val="single" w:sz="8" w:color="auto"/>
            </w:tcBorders>
          </w:tcPr>
          <w:p>
            <w:pPr>
              <w:spacing w:after="0" w:line="149" w:lineRule="exact"/>
              <w:rPr>
                <w:sz w:val="20"/>
                <w:szCs w:val="20"/>
                <w:color w:val="auto"/>
              </w:rPr>
            </w:pPr>
            <w:r>
              <w:rPr>
                <w:rFonts w:ascii="Arial" w:cs="Arial" w:eastAsia="Arial" w:hAnsi="Arial"/>
                <w:sz w:val="15"/>
                <w:szCs w:val="15"/>
                <w:color w:val="auto"/>
              </w:rPr>
              <w:t>Deferred income taxes, net</w:t>
            </w: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860" w:type="dxa"/>
            <w:vAlign w:val="bottom"/>
            <w:tcBorders>
              <w:bottom w:val="single" w:sz="8" w:color="auto"/>
            </w:tcBorders>
          </w:tcPr>
          <w:p>
            <w:pPr>
              <w:jc w:val="right"/>
              <w:ind w:right="127"/>
              <w:spacing w:after="0" w:line="149" w:lineRule="exact"/>
              <w:rPr>
                <w:sz w:val="20"/>
                <w:szCs w:val="20"/>
                <w:color w:val="auto"/>
              </w:rPr>
            </w:pPr>
            <w:r>
              <w:rPr>
                <w:rFonts w:ascii="Arial" w:cs="Arial" w:eastAsia="Arial" w:hAnsi="Arial"/>
                <w:sz w:val="15"/>
                <w:szCs w:val="15"/>
                <w:b w:val="1"/>
                <w:bCs w:val="1"/>
                <w:color w:val="auto"/>
                <w:w w:val="99"/>
              </w:rPr>
              <w:t>(410,723)</w:t>
            </w:r>
          </w:p>
        </w:tc>
        <w:tc>
          <w:tcPr>
            <w:tcW w:w="3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color w:val="auto"/>
              </w:rPr>
              <w:t>(663,019)</w:t>
            </w:r>
          </w:p>
        </w:tc>
      </w:tr>
    </w:tbl>
    <w:p>
      <w:pPr>
        <w:spacing w:after="0" w:line="202"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Deferred tax assets for employee benefits result from the temporary differences between the deductions for pension and post-retirement obligations, incentive compensation and stock-based compensation transactions. For financial reporting purposes, such amounts are expensed based on authoritative accounting guidance. For income tax purposes, amounts related to pension and postretirement obligations and incentive compensation are deductible as funded. Amounts related to stock-based compensation transactions are deductible for income tax purposes upon vesting or exercise of the underlying award.</w:t>
      </w:r>
    </w:p>
    <w:p>
      <w:pPr>
        <w:spacing w:after="0" w:line="194"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The Company had no domestic federal NOL carryforwards at December 31, 2017 and 2016. The Company had domestic state NOL carryforwards of $197,916,000 and $220,532,000 at December 31, 2017 and 2016, respectively. These carryforwards have various expiration dates through 2036. At December 31, 2017 and 2016, deferred tax assets associated with these carryforwards were $11,780,000 and $10,507,000, respectively, net of the federal benefit of the state deduction, for which valuation allowances of $10,085,000 and $8,303,000, respectively, were recorded. The Company also had domestic tax credit carryforwards of $1,342,000 and $1,441,000 at December 31, 2017 and 2016, respectively, which expire in 2031. At December 31, 2017 and 2016, deferred tax assets associated with these carryforwards were $1,060,000 and $937,000, respectively, net of the federal benefit of the state deduction, for which valuation allowances of $264,000 and</w:t>
      </w:r>
    </w:p>
    <w:p>
      <w:pPr>
        <w:spacing w:after="0" w:line="200" w:lineRule="exact"/>
        <w:rPr>
          <w:sz w:val="20"/>
          <w:szCs w:val="20"/>
          <w:color w:val="auto"/>
        </w:rPr>
      </w:pPr>
    </w:p>
    <w:p>
      <w:pPr>
        <w:sectPr>
          <w:pgSz w:w="11900" w:h="16838" w:orient="portrait"/>
          <w:cols w:equalWidth="0" w:num="2">
            <w:col w:w="5480" w:space="360"/>
            <w:col w:w="5580"/>
          </w:cols>
          <w:pgMar w:left="240" w:top="259" w:right="239" w:bottom="1440" w:gutter="0" w:footer="0" w:header="0"/>
          <w:type w:val="continuous"/>
        </w:sect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27</w:t>
      </w:r>
    </w:p>
    <w:p>
      <w:pPr>
        <w:sectPr>
          <w:pgSz w:w="11900" w:h="16838" w:orient="portrait"/>
          <w:cols w:equalWidth="0" w:num="1">
            <w:col w:w="11420"/>
          </w:cols>
          <w:pgMar w:left="240" w:top="259" w:right="239" w:bottom="1440" w:gutter="0" w:footer="0" w:header="0"/>
          <w:type w:val="continuous"/>
        </w:sectPr>
      </w:pPr>
    </w:p>
    <w:bookmarkStart w:id="80" w:name="page81"/>
    <w:bookmarkEnd w:id="80"/>
    <w:p>
      <w:pPr>
        <w:jc w:val="center"/>
        <w:ind w:right="-19"/>
        <w:spacing w:after="0"/>
        <w:rPr>
          <w:sz w:val="20"/>
          <w:szCs w:val="20"/>
          <w:color w:val="auto"/>
        </w:rPr>
      </w:pPr>
      <w:r>
        <w:rPr>
          <w:rFonts w:ascii="Arial" w:cs="Arial" w:eastAsia="Arial" w:hAnsi="Arial"/>
          <w:sz w:val="17"/>
          <w:szCs w:val="17"/>
          <w:b w:val="1"/>
          <w:bCs w:val="1"/>
          <w:color w:val="0085CD"/>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6">
                      <a:extLst>
                        <a:ext uri="{28A0092B-C50C-407E-A947-70E740481C1C}"/>
                      </a:extLst>
                    </a:blip>
                    <a:srcRect/>
                    <a:stretch>
                      <a:fillRect/>
                    </a:stretch>
                  </pic:blipFill>
                  <pic:spPr bwMode="auto">
                    <a:xfrm>
                      <a:off x="0" y="0"/>
                      <a:ext cx="7293610" cy="37465"/>
                    </a:xfrm>
                    <a:prstGeom prst="rect">
                      <a:avLst/>
                    </a:prstGeom>
                    <a:noFill/>
                  </pic:spPr>
                </pic:pic>
              </a:graphicData>
            </a:graphic>
          </wp:anchor>
        </w:drawing>
        <w:t xml:space="preserve">NOTES TO FINANCIAL STATEMENTS </w:t>
      </w:r>
      <w:r>
        <w:rPr>
          <w:rFonts w:ascii="Arial" w:cs="Arial" w:eastAsia="Arial" w:hAnsi="Arial"/>
          <w:sz w:val="15"/>
          <w:szCs w:val="15"/>
          <w:color w:val="0085CD"/>
        </w:rPr>
        <w:t>(continued)</w:t>
      </w:r>
    </w:p>
    <w:p>
      <w:pPr>
        <w:sectPr>
          <w:pgSz w:w="11900" w:h="16838" w:orient="portrait"/>
          <w:cols w:equalWidth="0" w:num="1">
            <w:col w:w="11420"/>
          </w:cols>
          <w:pgMar w:left="240" w:top="26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$218,000, respectively, were recorded. At December 31, 2016 the Company also had an Alternative Minimum Tax credit carryforward of $17,192,000, which was fully utilized during 2017. The deferred tax asset associated with this carryforward, net of unrecognized tax benefits, was $2,771,000.</w:t>
      </w:r>
    </w:p>
    <w:p>
      <w:pPr>
        <w:spacing w:after="0" w:line="377"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Deferred tax liabilities for property, plant and equipment result from accelerated depreciation methods being used for income tax purposes as compared with the straight-line method for financial reporting purposes.</w:t>
      </w:r>
    </w:p>
    <w:p>
      <w:pPr>
        <w:spacing w:after="0" w:line="189"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Deferred tax liabilities related to goodwill and other intangibles reflect the cessation of goodwill amortization for financial reporting purposes, while amortization continues for income tax purposes.</w:t>
      </w:r>
    </w:p>
    <w:p>
      <w:pPr>
        <w:spacing w:after="0" w:line="189"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The Company provides deferred taxes, as required, on the undistributed net earnings of all non-U.S. subsidiaries for which the indefinite reversal criterion has not been met. The Company expects to permanently reinvest the earnings from its wholly-owned Canadian and Bahamian subsidiaries, and accordingly, has not provided deferred taxes on the subsidiaries’ undistributed net earnings. The wholly-owned Canadian subsidiary’s undistributed net earnings are estimated to be $43,587,000 at December 31, 2017. The determination of the unrecognized deferred tax liability for temporary differences related to the investment in the wholly-owned Canadian subsidiary is not practicable due to the lack of clarity in the tax repatriation statutes included in the 2017 Tax Act. The Bahamian subsidiary has no undistributed net earnings.</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The 2017 Tax Act requires mandatory deemed repatriation of undistributed foreign earnings, through a one-time transition tax based on post-1986 earnings and profits that were previously deferred from U.S. income taxes. The transition tax will be finalized during a measurement period not to extend beyond one year of the enactment date of the 2017 Tax Act. The Company does not believe the tax will be material to its results of operations.</w:t>
      </w:r>
    </w:p>
    <w:p>
      <w:pPr>
        <w:spacing w:after="0" w:line="376"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The 2017 Tax Act also changed the deduction allowed for executive compensation by expanding the definition of employees subject to the $1 million deduction limitation and by eliminating the exception from the limitation for performance-based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rPr>
          <w:sz w:val="20"/>
          <w:szCs w:val="20"/>
          <w:color w:val="auto"/>
        </w:rPr>
      </w:pPr>
      <w:r>
        <w:rPr>
          <w:rFonts w:ascii="Arial" w:cs="Arial" w:eastAsia="Arial" w:hAnsi="Arial"/>
          <w:sz w:val="16"/>
          <w:szCs w:val="16"/>
          <w:color w:val="auto"/>
        </w:rPr>
        <w:t>compensation. The 2017 Tax Act includes a transition rule that exempts from these changes compensation provided pursuant to a written binding contract in effect on November 2, 2017. The Company has interpreted this transition rule such that there is no impact to its current provision or to its deferred tax assets recorded for employee benefits. However, should the Internal Revenue Service issue further guidance on what qualifies as a written binding contract, the Company may have to recognize additional tax expense.</w:t>
      </w:r>
    </w:p>
    <w:p>
      <w:pPr>
        <w:spacing w:after="0" w:line="37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following table summarizes the Company’s unrecognized tax benefits, excluding interest and correlative effects: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80" w:type="dxa"/>
            <w:vAlign w:val="bottom"/>
          </w:tcPr>
          <w:p>
            <w:pPr>
              <w:spacing w:after="0"/>
              <w:rPr>
                <w:sz w:val="20"/>
                <w:szCs w:val="20"/>
                <w:color w:val="auto"/>
              </w:rPr>
            </w:pPr>
            <w:r>
              <w:rPr>
                <w:rFonts w:ascii="Arial" w:cs="Arial" w:eastAsia="Arial" w:hAnsi="Arial"/>
                <w:sz w:val="14"/>
                <w:szCs w:val="14"/>
                <w:i w:val="1"/>
                <w:iCs w:val="1"/>
                <w:color w:val="auto"/>
              </w:rPr>
              <w:t>years ended December 31</w:t>
            </w:r>
          </w:p>
        </w:tc>
        <w:tc>
          <w:tcPr>
            <w:tcW w:w="420" w:type="dxa"/>
            <w:vAlign w:val="bottom"/>
          </w:tcPr>
          <w:p>
            <w:pPr>
              <w:spacing w:after="0"/>
              <w:rPr>
                <w:sz w:val="14"/>
                <w:szCs w:val="14"/>
                <w:color w:val="auto"/>
              </w:rPr>
            </w:pPr>
          </w:p>
        </w:tc>
        <w:tc>
          <w:tcPr>
            <w:tcW w:w="700" w:type="dxa"/>
            <w:vAlign w:val="bottom"/>
            <w:vMerge w:val="restart"/>
          </w:tcPr>
          <w:p>
            <w:pPr>
              <w:jc w:val="right"/>
              <w:ind w:right="126"/>
              <w:spacing w:after="0"/>
              <w:rPr>
                <w:sz w:val="20"/>
                <w:szCs w:val="20"/>
                <w:color w:val="auto"/>
              </w:rPr>
            </w:pPr>
            <w:r>
              <w:rPr>
                <w:rFonts w:ascii="Arial" w:cs="Arial" w:eastAsia="Arial" w:hAnsi="Arial"/>
                <w:sz w:val="15"/>
                <w:szCs w:val="15"/>
                <w:b w:val="1"/>
                <w:bCs w:val="1"/>
                <w:color w:val="0085CD"/>
              </w:rPr>
              <w:t>2017</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5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(add 000)</w:t>
            </w:r>
          </w:p>
        </w:tc>
        <w:tc>
          <w:tcPr>
            <w:tcW w:w="4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2016</w:t>
            </w:r>
          </w:p>
        </w:tc>
        <w:tc>
          <w:tcPr>
            <w:tcW w:w="3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2015</w:t>
            </w:r>
          </w:p>
        </w:tc>
        <w:tc>
          <w:tcPr>
            <w:tcW w:w="0" w:type="dxa"/>
            <w:vAlign w:val="bottom"/>
          </w:tcPr>
          <w:p>
            <w:pPr>
              <w:spacing w:after="0"/>
              <w:rPr>
                <w:sz w:val="1"/>
                <w:szCs w:val="1"/>
                <w:color w:val="auto"/>
              </w:rPr>
            </w:pPr>
          </w:p>
        </w:tc>
      </w:tr>
      <w:tr>
        <w:trPr>
          <w:trHeight w:val="145"/>
        </w:trPr>
        <w:tc>
          <w:tcPr>
            <w:tcW w:w="2580" w:type="dxa"/>
            <w:vAlign w:val="bottom"/>
            <w:shd w:val="clear" w:color="auto" w:fill="CCEEFF"/>
          </w:tcPr>
          <w:p>
            <w:pPr>
              <w:spacing w:after="0" w:line="146" w:lineRule="exact"/>
              <w:rPr>
                <w:sz w:val="20"/>
                <w:szCs w:val="20"/>
                <w:color w:val="auto"/>
              </w:rPr>
            </w:pPr>
            <w:r>
              <w:rPr>
                <w:rFonts w:ascii="Arial" w:cs="Arial" w:eastAsia="Arial" w:hAnsi="Arial"/>
                <w:sz w:val="15"/>
                <w:szCs w:val="15"/>
                <w:color w:val="auto"/>
              </w:rPr>
              <w:t>Unrecognized tax benefits at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700" w:type="dxa"/>
            <w:vAlign w:val="bottom"/>
            <w:vMerge w:val="restart"/>
            <w:shd w:val="clear" w:color="auto" w:fill="CCEEFF"/>
          </w:tcPr>
          <w:p>
            <w:pPr>
              <w:jc w:val="right"/>
              <w:ind w:right="126"/>
              <w:spacing w:after="0"/>
              <w:rPr>
                <w:sz w:val="20"/>
                <w:szCs w:val="20"/>
                <w:color w:val="auto"/>
              </w:rPr>
            </w:pPr>
            <w:r>
              <w:rPr>
                <w:rFonts w:ascii="Arial" w:cs="Arial" w:eastAsia="Arial" w:hAnsi="Arial"/>
                <w:sz w:val="15"/>
                <w:szCs w:val="15"/>
                <w:b w:val="1"/>
                <w:bCs w:val="1"/>
                <w:color w:val="auto"/>
              </w:rPr>
              <w:t>21,807</w:t>
            </w: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580" w:type="dxa"/>
            <w:vAlign w:val="bottom"/>
            <w:shd w:val="clear" w:color="auto" w:fill="CCEEFF"/>
          </w:tcPr>
          <w:p>
            <w:pPr>
              <w:ind w:left="140"/>
              <w:spacing w:after="0" w:line="159" w:lineRule="exact"/>
              <w:rPr>
                <w:sz w:val="20"/>
                <w:szCs w:val="20"/>
                <w:color w:val="auto"/>
              </w:rPr>
            </w:pPr>
            <w:r>
              <w:rPr>
                <w:rFonts w:ascii="Arial" w:cs="Arial" w:eastAsia="Arial" w:hAnsi="Arial"/>
                <w:sz w:val="15"/>
                <w:szCs w:val="15"/>
                <w:color w:val="auto"/>
              </w:rPr>
              <w:t>beginning of year</w:t>
            </w:r>
          </w:p>
        </w:tc>
        <w:tc>
          <w:tcPr>
            <w:tcW w:w="420" w:type="dxa"/>
            <w:vAlign w:val="bottom"/>
            <w:vMerge w:val="continue"/>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30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ind w:right="126"/>
              <w:spacing w:after="0" w:line="159" w:lineRule="exact"/>
              <w:rPr>
                <w:sz w:val="20"/>
                <w:szCs w:val="20"/>
                <w:color w:val="auto"/>
              </w:rPr>
            </w:pPr>
            <w:r>
              <w:rPr>
                <w:rFonts w:ascii="Arial" w:cs="Arial" w:eastAsia="Arial" w:hAnsi="Arial"/>
                <w:sz w:val="15"/>
                <w:szCs w:val="15"/>
                <w:color w:val="auto"/>
              </w:rPr>
              <w:t>18,727</w:t>
            </w:r>
          </w:p>
        </w:tc>
        <w:tc>
          <w:tcPr>
            <w:tcW w:w="30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ind w:right="6"/>
              <w:spacing w:after="0" w:line="159" w:lineRule="exact"/>
              <w:rPr>
                <w:sz w:val="20"/>
                <w:szCs w:val="20"/>
                <w:color w:val="auto"/>
              </w:rPr>
            </w:pPr>
            <w:r>
              <w:rPr>
                <w:rFonts w:ascii="Arial" w:cs="Arial" w:eastAsia="Arial" w:hAnsi="Arial"/>
                <w:sz w:val="15"/>
                <w:szCs w:val="15"/>
                <w:color w:val="auto"/>
              </w:rPr>
              <w:t>21,107</w:t>
            </w:r>
          </w:p>
        </w:tc>
        <w:tc>
          <w:tcPr>
            <w:tcW w:w="0" w:type="dxa"/>
            <w:vAlign w:val="bottom"/>
          </w:tcPr>
          <w:p>
            <w:pPr>
              <w:spacing w:after="0"/>
              <w:rPr>
                <w:sz w:val="1"/>
                <w:szCs w:val="1"/>
                <w:color w:val="auto"/>
              </w:rPr>
            </w:pPr>
          </w:p>
        </w:tc>
      </w:tr>
      <w:tr>
        <w:trPr>
          <w:trHeight w:val="152"/>
        </w:trPr>
        <w:tc>
          <w:tcPr>
            <w:tcW w:w="2580" w:type="dxa"/>
            <w:vAlign w:val="bottom"/>
          </w:tcPr>
          <w:p>
            <w:pPr>
              <w:spacing w:after="0" w:line="153" w:lineRule="exact"/>
              <w:rPr>
                <w:sz w:val="20"/>
                <w:szCs w:val="20"/>
                <w:color w:val="auto"/>
              </w:rPr>
            </w:pPr>
            <w:r>
              <w:rPr>
                <w:rFonts w:ascii="Arial" w:cs="Arial" w:eastAsia="Arial" w:hAnsi="Arial"/>
                <w:sz w:val="15"/>
                <w:szCs w:val="15"/>
                <w:color w:val="auto"/>
              </w:rPr>
              <w:t>Gross increases – tax positions in</w:t>
            </w:r>
          </w:p>
        </w:tc>
        <w:tc>
          <w:tcPr>
            <w:tcW w:w="420" w:type="dxa"/>
            <w:vAlign w:val="bottom"/>
          </w:tcPr>
          <w:p>
            <w:pPr>
              <w:spacing w:after="0"/>
              <w:rPr>
                <w:sz w:val="13"/>
                <w:szCs w:val="13"/>
                <w:color w:val="auto"/>
              </w:rPr>
            </w:pPr>
          </w:p>
        </w:tc>
        <w:tc>
          <w:tcPr>
            <w:tcW w:w="700" w:type="dxa"/>
            <w:vAlign w:val="bottom"/>
            <w:vMerge w:val="restart"/>
          </w:tcPr>
          <w:p>
            <w:pPr>
              <w:jc w:val="right"/>
              <w:ind w:right="126"/>
              <w:spacing w:after="0"/>
              <w:rPr>
                <w:sz w:val="20"/>
                <w:szCs w:val="20"/>
                <w:color w:val="auto"/>
              </w:rPr>
            </w:pPr>
            <w:r>
              <w:rPr>
                <w:rFonts w:ascii="Arial" w:cs="Arial" w:eastAsia="Arial" w:hAnsi="Arial"/>
                <w:sz w:val="15"/>
                <w:szCs w:val="15"/>
                <w:b w:val="1"/>
                <w:bCs w:val="1"/>
                <w:color w:val="auto"/>
              </w:rPr>
              <w:t>1,396</w:t>
            </w: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580" w:type="dxa"/>
            <w:vAlign w:val="bottom"/>
          </w:tcPr>
          <w:p>
            <w:pPr>
              <w:ind w:left="140"/>
              <w:spacing w:after="0" w:line="159" w:lineRule="exact"/>
              <w:rPr>
                <w:sz w:val="20"/>
                <w:szCs w:val="20"/>
                <w:color w:val="auto"/>
              </w:rPr>
            </w:pPr>
            <w:r>
              <w:rPr>
                <w:rFonts w:ascii="Arial" w:cs="Arial" w:eastAsia="Arial" w:hAnsi="Arial"/>
                <w:sz w:val="15"/>
                <w:szCs w:val="15"/>
                <w:color w:val="auto"/>
              </w:rPr>
              <w:t>prior years</w:t>
            </w:r>
          </w:p>
        </w:tc>
        <w:tc>
          <w:tcPr>
            <w:tcW w:w="42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jc w:val="right"/>
              <w:ind w:right="126"/>
              <w:spacing w:after="0" w:line="159" w:lineRule="exact"/>
              <w:rPr>
                <w:sz w:val="20"/>
                <w:szCs w:val="20"/>
                <w:color w:val="auto"/>
              </w:rPr>
            </w:pPr>
            <w:r>
              <w:rPr>
                <w:rFonts w:ascii="Arial" w:cs="Arial" w:eastAsia="Arial" w:hAnsi="Arial"/>
                <w:sz w:val="15"/>
                <w:szCs w:val="15"/>
                <w:color w:val="auto"/>
              </w:rPr>
              <w:t>2,401</w:t>
            </w:r>
          </w:p>
        </w:tc>
        <w:tc>
          <w:tcPr>
            <w:tcW w:w="300" w:type="dxa"/>
            <w:vAlign w:val="bottom"/>
          </w:tcPr>
          <w:p>
            <w:pPr>
              <w:spacing w:after="0"/>
              <w:rPr>
                <w:sz w:val="13"/>
                <w:szCs w:val="13"/>
                <w:color w:val="auto"/>
              </w:rPr>
            </w:pPr>
          </w:p>
        </w:tc>
        <w:tc>
          <w:tcPr>
            <w:tcW w:w="580" w:type="dxa"/>
            <w:vAlign w:val="bottom"/>
          </w:tcPr>
          <w:p>
            <w:pPr>
              <w:jc w:val="right"/>
              <w:ind w:right="6"/>
              <w:spacing w:after="0" w:line="159" w:lineRule="exact"/>
              <w:rPr>
                <w:sz w:val="20"/>
                <w:szCs w:val="20"/>
                <w:color w:val="auto"/>
              </w:rPr>
            </w:pPr>
            <w:r>
              <w:rPr>
                <w:rFonts w:ascii="Arial" w:cs="Arial" w:eastAsia="Arial" w:hAnsi="Arial"/>
                <w:sz w:val="15"/>
                <w:szCs w:val="15"/>
                <w:color w:val="auto"/>
              </w:rPr>
              <w:t>3,079</w:t>
            </w:r>
          </w:p>
        </w:tc>
        <w:tc>
          <w:tcPr>
            <w:tcW w:w="0" w:type="dxa"/>
            <w:vAlign w:val="bottom"/>
          </w:tcPr>
          <w:p>
            <w:pPr>
              <w:spacing w:after="0"/>
              <w:rPr>
                <w:sz w:val="1"/>
                <w:szCs w:val="1"/>
                <w:color w:val="auto"/>
              </w:rPr>
            </w:pPr>
          </w:p>
        </w:tc>
      </w:tr>
      <w:tr>
        <w:trPr>
          <w:trHeight w:val="152"/>
        </w:trPr>
        <w:tc>
          <w:tcPr>
            <w:tcW w:w="2580" w:type="dxa"/>
            <w:vAlign w:val="bottom"/>
            <w:shd w:val="clear" w:color="auto" w:fill="CCEEFF"/>
          </w:tcPr>
          <w:p>
            <w:pPr>
              <w:spacing w:after="0" w:line="153" w:lineRule="exact"/>
              <w:rPr>
                <w:sz w:val="20"/>
                <w:szCs w:val="20"/>
                <w:color w:val="auto"/>
              </w:rPr>
            </w:pPr>
            <w:r>
              <w:rPr>
                <w:rFonts w:ascii="Arial" w:cs="Arial" w:eastAsia="Arial" w:hAnsi="Arial"/>
                <w:sz w:val="15"/>
                <w:szCs w:val="15"/>
                <w:color w:val="auto"/>
              </w:rPr>
              <w:t>Gross decreases – tax positions in</w:t>
            </w:r>
          </w:p>
        </w:tc>
        <w:tc>
          <w:tcPr>
            <w:tcW w:w="42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ind w:right="86"/>
              <w:spacing w:after="0"/>
              <w:rPr>
                <w:sz w:val="20"/>
                <w:szCs w:val="20"/>
                <w:color w:val="auto"/>
              </w:rPr>
            </w:pPr>
            <w:r>
              <w:rPr>
                <w:rFonts w:ascii="Arial" w:cs="Arial" w:eastAsia="Arial" w:hAnsi="Arial"/>
                <w:sz w:val="15"/>
                <w:szCs w:val="15"/>
                <w:b w:val="1"/>
                <w:bCs w:val="1"/>
                <w:color w:val="auto"/>
              </w:rPr>
              <w:t>(672)</w:t>
            </w:r>
          </w:p>
        </w:tc>
        <w:tc>
          <w:tcPr>
            <w:tcW w:w="3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580" w:type="dxa"/>
            <w:vAlign w:val="bottom"/>
            <w:shd w:val="clear" w:color="auto" w:fill="CCEEFF"/>
          </w:tcPr>
          <w:p>
            <w:pPr>
              <w:ind w:left="140"/>
              <w:spacing w:after="0" w:line="159" w:lineRule="exact"/>
              <w:rPr>
                <w:sz w:val="20"/>
                <w:szCs w:val="20"/>
                <w:color w:val="auto"/>
              </w:rPr>
            </w:pPr>
            <w:r>
              <w:rPr>
                <w:rFonts w:ascii="Arial" w:cs="Arial" w:eastAsia="Arial" w:hAnsi="Arial"/>
                <w:sz w:val="15"/>
                <w:szCs w:val="15"/>
                <w:color w:val="auto"/>
              </w:rPr>
              <w:t>prior years</w:t>
            </w:r>
          </w:p>
        </w:tc>
        <w:tc>
          <w:tcPr>
            <w:tcW w:w="420" w:type="dxa"/>
            <w:vAlign w:val="bottom"/>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86"/>
              <w:spacing w:after="0" w:line="159" w:lineRule="exact"/>
              <w:rPr>
                <w:sz w:val="20"/>
                <w:szCs w:val="20"/>
                <w:color w:val="auto"/>
              </w:rPr>
            </w:pPr>
            <w:r>
              <w:rPr>
                <w:rFonts w:ascii="Arial" w:cs="Arial" w:eastAsia="Arial" w:hAnsi="Arial"/>
                <w:sz w:val="15"/>
                <w:szCs w:val="15"/>
                <w:color w:val="auto"/>
              </w:rPr>
              <w:t>(1,924)</w:t>
            </w:r>
          </w:p>
        </w:tc>
        <w:tc>
          <w:tcPr>
            <w:tcW w:w="3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color w:val="auto"/>
              </w:rPr>
              <w:t>(3,512)</w:t>
            </w:r>
          </w:p>
        </w:tc>
        <w:tc>
          <w:tcPr>
            <w:tcW w:w="0" w:type="dxa"/>
            <w:vAlign w:val="bottom"/>
          </w:tcPr>
          <w:p>
            <w:pPr>
              <w:spacing w:after="0"/>
              <w:rPr>
                <w:sz w:val="1"/>
                <w:szCs w:val="1"/>
                <w:color w:val="auto"/>
              </w:rPr>
            </w:pPr>
          </w:p>
        </w:tc>
      </w:tr>
      <w:tr>
        <w:trPr>
          <w:trHeight w:val="152"/>
        </w:trPr>
        <w:tc>
          <w:tcPr>
            <w:tcW w:w="2580" w:type="dxa"/>
            <w:vAlign w:val="bottom"/>
          </w:tcPr>
          <w:p>
            <w:pPr>
              <w:spacing w:after="0" w:line="153" w:lineRule="exact"/>
              <w:rPr>
                <w:sz w:val="20"/>
                <w:szCs w:val="20"/>
                <w:color w:val="auto"/>
              </w:rPr>
            </w:pPr>
            <w:r>
              <w:rPr>
                <w:rFonts w:ascii="Arial" w:cs="Arial" w:eastAsia="Arial" w:hAnsi="Arial"/>
                <w:sz w:val="15"/>
                <w:szCs w:val="15"/>
                <w:color w:val="auto"/>
              </w:rPr>
              <w:t>Gross increases – tax positions in</w:t>
            </w:r>
          </w:p>
        </w:tc>
        <w:tc>
          <w:tcPr>
            <w:tcW w:w="420" w:type="dxa"/>
            <w:vAlign w:val="bottom"/>
          </w:tcPr>
          <w:p>
            <w:pPr>
              <w:spacing w:after="0"/>
              <w:rPr>
                <w:sz w:val="13"/>
                <w:szCs w:val="13"/>
                <w:color w:val="auto"/>
              </w:rPr>
            </w:pPr>
          </w:p>
        </w:tc>
        <w:tc>
          <w:tcPr>
            <w:tcW w:w="700" w:type="dxa"/>
            <w:vAlign w:val="bottom"/>
            <w:vMerge w:val="restart"/>
          </w:tcPr>
          <w:p>
            <w:pPr>
              <w:jc w:val="right"/>
              <w:ind w:right="126"/>
              <w:spacing w:after="0"/>
              <w:rPr>
                <w:sz w:val="20"/>
                <w:szCs w:val="20"/>
                <w:color w:val="auto"/>
              </w:rPr>
            </w:pPr>
            <w:r>
              <w:rPr>
                <w:rFonts w:ascii="Arial" w:cs="Arial" w:eastAsia="Arial" w:hAnsi="Arial"/>
                <w:sz w:val="15"/>
                <w:szCs w:val="15"/>
                <w:b w:val="1"/>
                <w:bCs w:val="1"/>
                <w:color w:val="auto"/>
              </w:rPr>
              <w:t>4,961</w:t>
            </w: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580" w:type="dxa"/>
            <w:vAlign w:val="bottom"/>
          </w:tcPr>
          <w:p>
            <w:pPr>
              <w:ind w:left="140"/>
              <w:spacing w:after="0" w:line="159" w:lineRule="exact"/>
              <w:rPr>
                <w:sz w:val="20"/>
                <w:szCs w:val="20"/>
                <w:color w:val="auto"/>
              </w:rPr>
            </w:pPr>
            <w:r>
              <w:rPr>
                <w:rFonts w:ascii="Arial" w:cs="Arial" w:eastAsia="Arial" w:hAnsi="Arial"/>
                <w:sz w:val="15"/>
                <w:szCs w:val="15"/>
                <w:color w:val="auto"/>
              </w:rPr>
              <w:t>current year</w:t>
            </w:r>
          </w:p>
        </w:tc>
        <w:tc>
          <w:tcPr>
            <w:tcW w:w="42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jc w:val="right"/>
              <w:ind w:right="126"/>
              <w:spacing w:after="0" w:line="159" w:lineRule="exact"/>
              <w:rPr>
                <w:sz w:val="20"/>
                <w:szCs w:val="20"/>
                <w:color w:val="auto"/>
              </w:rPr>
            </w:pPr>
            <w:r>
              <w:rPr>
                <w:rFonts w:ascii="Arial" w:cs="Arial" w:eastAsia="Arial" w:hAnsi="Arial"/>
                <w:sz w:val="15"/>
                <w:szCs w:val="15"/>
                <w:color w:val="auto"/>
              </w:rPr>
              <w:t>4,650</w:t>
            </w:r>
          </w:p>
        </w:tc>
        <w:tc>
          <w:tcPr>
            <w:tcW w:w="300" w:type="dxa"/>
            <w:vAlign w:val="bottom"/>
          </w:tcPr>
          <w:p>
            <w:pPr>
              <w:spacing w:after="0"/>
              <w:rPr>
                <w:sz w:val="13"/>
                <w:szCs w:val="13"/>
                <w:color w:val="auto"/>
              </w:rPr>
            </w:pPr>
          </w:p>
        </w:tc>
        <w:tc>
          <w:tcPr>
            <w:tcW w:w="580" w:type="dxa"/>
            <w:vAlign w:val="bottom"/>
          </w:tcPr>
          <w:p>
            <w:pPr>
              <w:jc w:val="right"/>
              <w:ind w:right="6"/>
              <w:spacing w:after="0" w:line="159" w:lineRule="exact"/>
              <w:rPr>
                <w:sz w:val="20"/>
                <w:szCs w:val="20"/>
                <w:color w:val="auto"/>
              </w:rPr>
            </w:pPr>
            <w:r>
              <w:rPr>
                <w:rFonts w:ascii="Arial" w:cs="Arial" w:eastAsia="Arial" w:hAnsi="Arial"/>
                <w:sz w:val="15"/>
                <w:szCs w:val="15"/>
                <w:color w:val="auto"/>
              </w:rPr>
              <w:t>4,978</w:t>
            </w:r>
          </w:p>
        </w:tc>
        <w:tc>
          <w:tcPr>
            <w:tcW w:w="0" w:type="dxa"/>
            <w:vAlign w:val="bottom"/>
          </w:tcPr>
          <w:p>
            <w:pPr>
              <w:spacing w:after="0"/>
              <w:rPr>
                <w:sz w:val="1"/>
                <w:szCs w:val="1"/>
                <w:color w:val="auto"/>
              </w:rPr>
            </w:pPr>
          </w:p>
        </w:tc>
      </w:tr>
      <w:tr>
        <w:trPr>
          <w:trHeight w:val="152"/>
        </w:trPr>
        <w:tc>
          <w:tcPr>
            <w:tcW w:w="2580" w:type="dxa"/>
            <w:vAlign w:val="bottom"/>
            <w:shd w:val="clear" w:color="auto" w:fill="CCEEFF"/>
          </w:tcPr>
          <w:p>
            <w:pPr>
              <w:spacing w:after="0" w:line="153" w:lineRule="exact"/>
              <w:rPr>
                <w:sz w:val="20"/>
                <w:szCs w:val="20"/>
                <w:color w:val="auto"/>
              </w:rPr>
            </w:pPr>
            <w:r>
              <w:rPr>
                <w:rFonts w:ascii="Arial" w:cs="Arial" w:eastAsia="Arial" w:hAnsi="Arial"/>
                <w:sz w:val="15"/>
                <w:szCs w:val="15"/>
                <w:color w:val="auto"/>
              </w:rPr>
              <w:t>Gross decreases – tax positions in</w:t>
            </w:r>
          </w:p>
        </w:tc>
        <w:tc>
          <w:tcPr>
            <w:tcW w:w="42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ind w:right="86"/>
              <w:spacing w:after="0"/>
              <w:rPr>
                <w:sz w:val="20"/>
                <w:szCs w:val="20"/>
                <w:color w:val="auto"/>
              </w:rPr>
            </w:pPr>
            <w:r>
              <w:rPr>
                <w:rFonts w:ascii="Arial" w:cs="Arial" w:eastAsia="Arial" w:hAnsi="Arial"/>
                <w:sz w:val="15"/>
                <w:szCs w:val="15"/>
                <w:b w:val="1"/>
                <w:bCs w:val="1"/>
                <w:color w:val="auto"/>
              </w:rPr>
              <w:t>(946)</w:t>
            </w:r>
          </w:p>
        </w:tc>
        <w:tc>
          <w:tcPr>
            <w:tcW w:w="3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580" w:type="dxa"/>
            <w:vAlign w:val="bottom"/>
            <w:shd w:val="clear" w:color="auto" w:fill="CCEEFF"/>
          </w:tcPr>
          <w:p>
            <w:pPr>
              <w:ind w:left="140"/>
              <w:spacing w:after="0" w:line="159" w:lineRule="exact"/>
              <w:rPr>
                <w:sz w:val="20"/>
                <w:szCs w:val="20"/>
                <w:color w:val="auto"/>
              </w:rPr>
            </w:pPr>
            <w:r>
              <w:rPr>
                <w:rFonts w:ascii="Arial" w:cs="Arial" w:eastAsia="Arial" w:hAnsi="Arial"/>
                <w:sz w:val="15"/>
                <w:szCs w:val="15"/>
                <w:color w:val="auto"/>
              </w:rPr>
              <w:t>current year</w:t>
            </w:r>
          </w:p>
        </w:tc>
        <w:tc>
          <w:tcPr>
            <w:tcW w:w="420" w:type="dxa"/>
            <w:vAlign w:val="bottom"/>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86"/>
              <w:spacing w:after="0" w:line="159" w:lineRule="exact"/>
              <w:rPr>
                <w:sz w:val="20"/>
                <w:szCs w:val="20"/>
                <w:color w:val="auto"/>
              </w:rPr>
            </w:pPr>
            <w:r>
              <w:rPr>
                <w:rFonts w:ascii="Arial" w:cs="Arial" w:eastAsia="Arial" w:hAnsi="Arial"/>
                <w:sz w:val="15"/>
                <w:szCs w:val="15"/>
                <w:color w:val="auto"/>
              </w:rPr>
              <w:t>(2,047)</w:t>
            </w:r>
          </w:p>
        </w:tc>
        <w:tc>
          <w:tcPr>
            <w:tcW w:w="3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color w:val="auto"/>
              </w:rPr>
              <w:t>(594)</w:t>
            </w:r>
          </w:p>
        </w:tc>
        <w:tc>
          <w:tcPr>
            <w:tcW w:w="0" w:type="dxa"/>
            <w:vAlign w:val="bottom"/>
          </w:tcPr>
          <w:p>
            <w:pPr>
              <w:spacing w:after="0"/>
              <w:rPr>
                <w:sz w:val="1"/>
                <w:szCs w:val="1"/>
                <w:color w:val="auto"/>
              </w:rPr>
            </w:pPr>
          </w:p>
        </w:tc>
      </w:tr>
      <w:tr>
        <w:trPr>
          <w:trHeight w:val="156"/>
        </w:trPr>
        <w:tc>
          <w:tcPr>
            <w:tcW w:w="2580" w:type="dxa"/>
            <w:vAlign w:val="bottom"/>
            <w:tcBorders>
              <w:bottom w:val="single" w:sz="8" w:color="auto"/>
            </w:tcBorders>
          </w:tcPr>
          <w:p>
            <w:pPr>
              <w:spacing w:after="0" w:line="156" w:lineRule="exact"/>
              <w:rPr>
                <w:sz w:val="20"/>
                <w:szCs w:val="20"/>
                <w:color w:val="auto"/>
              </w:rPr>
            </w:pPr>
            <w:r>
              <w:rPr>
                <w:rFonts w:ascii="Arial" w:cs="Arial" w:eastAsia="Arial" w:hAnsi="Arial"/>
                <w:sz w:val="15"/>
                <w:szCs w:val="15"/>
                <w:color w:val="auto"/>
              </w:rPr>
              <w:t>Lapse of statute of limitations</w:t>
            </w:r>
          </w:p>
        </w:tc>
        <w:tc>
          <w:tcPr>
            <w:tcW w:w="4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86"/>
              <w:spacing w:after="0" w:line="156" w:lineRule="exact"/>
              <w:rPr>
                <w:sz w:val="20"/>
                <w:szCs w:val="20"/>
                <w:color w:val="auto"/>
              </w:rPr>
            </w:pPr>
            <w:r>
              <w:rPr>
                <w:rFonts w:ascii="Arial" w:cs="Arial" w:eastAsia="Arial" w:hAnsi="Arial"/>
                <w:sz w:val="15"/>
                <w:szCs w:val="15"/>
                <w:b w:val="1"/>
                <w:bCs w:val="1"/>
                <w:color w:val="auto"/>
              </w:rPr>
              <w:t>(4,179)</w:t>
            </w:r>
          </w:p>
        </w:tc>
        <w:tc>
          <w:tcPr>
            <w:tcW w:w="3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26"/>
              <w:spacing w:after="0" w:line="156" w:lineRule="exact"/>
              <w:rPr>
                <w:sz w:val="20"/>
                <w:szCs w:val="20"/>
                <w:color w:val="auto"/>
              </w:rPr>
            </w:pPr>
            <w:r>
              <w:rPr>
                <w:rFonts w:ascii="Arial" w:cs="Arial" w:eastAsia="Arial" w:hAnsi="Arial"/>
                <w:sz w:val="15"/>
                <w:szCs w:val="15"/>
                <w:color w:val="auto"/>
              </w:rPr>
              <w:t>–</w:t>
            </w:r>
          </w:p>
        </w:tc>
        <w:tc>
          <w:tcPr>
            <w:tcW w:w="3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(6,331)</w:t>
            </w:r>
          </w:p>
        </w:tc>
        <w:tc>
          <w:tcPr>
            <w:tcW w:w="0" w:type="dxa"/>
            <w:vAlign w:val="bottom"/>
          </w:tcPr>
          <w:p>
            <w:pPr>
              <w:spacing w:after="0"/>
              <w:rPr>
                <w:sz w:val="1"/>
                <w:szCs w:val="1"/>
                <w:color w:val="auto"/>
              </w:rPr>
            </w:pPr>
          </w:p>
        </w:tc>
      </w:tr>
      <w:tr>
        <w:trPr>
          <w:trHeight w:val="145"/>
        </w:trPr>
        <w:tc>
          <w:tcPr>
            <w:tcW w:w="2580" w:type="dxa"/>
            <w:vAlign w:val="bottom"/>
            <w:shd w:val="clear" w:color="auto" w:fill="CCEEFF"/>
          </w:tcPr>
          <w:p>
            <w:pPr>
              <w:spacing w:after="0" w:line="146" w:lineRule="exact"/>
              <w:rPr>
                <w:sz w:val="20"/>
                <w:szCs w:val="20"/>
                <w:color w:val="auto"/>
              </w:rPr>
            </w:pPr>
            <w:r>
              <w:rPr>
                <w:rFonts w:ascii="Arial" w:cs="Arial" w:eastAsia="Arial" w:hAnsi="Arial"/>
                <w:sz w:val="15"/>
                <w:szCs w:val="15"/>
                <w:color w:val="auto"/>
              </w:rPr>
              <w:t>Unrecognized tax benefits at end of</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700" w:type="dxa"/>
            <w:vAlign w:val="bottom"/>
            <w:vMerge w:val="restart"/>
            <w:shd w:val="clear" w:color="auto" w:fill="CCEEFF"/>
          </w:tcPr>
          <w:p>
            <w:pPr>
              <w:jc w:val="right"/>
              <w:ind w:right="126"/>
              <w:spacing w:after="0"/>
              <w:rPr>
                <w:sz w:val="20"/>
                <w:szCs w:val="20"/>
                <w:color w:val="auto"/>
              </w:rPr>
            </w:pPr>
            <w:r>
              <w:rPr>
                <w:rFonts w:ascii="Arial" w:cs="Arial" w:eastAsia="Arial" w:hAnsi="Arial"/>
                <w:sz w:val="15"/>
                <w:szCs w:val="15"/>
                <w:b w:val="1"/>
                <w:bCs w:val="1"/>
                <w:color w:val="auto"/>
              </w:rPr>
              <w:t>22,367</w:t>
            </w: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580" w:type="dxa"/>
            <w:vAlign w:val="bottom"/>
            <w:tcBorders>
              <w:bottom w:val="single" w:sz="8" w:color="auto"/>
            </w:tcBorders>
            <w:shd w:val="clear" w:color="auto" w:fill="CCEEFF"/>
          </w:tcPr>
          <w:p>
            <w:pPr>
              <w:ind w:left="140"/>
              <w:spacing w:after="0" w:line="159" w:lineRule="exact"/>
              <w:rPr>
                <w:sz w:val="20"/>
                <w:szCs w:val="20"/>
                <w:color w:val="auto"/>
              </w:rPr>
            </w:pPr>
            <w:r>
              <w:rPr>
                <w:rFonts w:ascii="Arial" w:cs="Arial" w:eastAsia="Arial" w:hAnsi="Arial"/>
                <w:sz w:val="15"/>
                <w:szCs w:val="15"/>
                <w:color w:val="auto"/>
              </w:rPr>
              <w:t>year</w:t>
            </w:r>
          </w:p>
        </w:tc>
        <w:tc>
          <w:tcPr>
            <w:tcW w:w="420" w:type="dxa"/>
            <w:vAlign w:val="bottom"/>
            <w:tcBorders>
              <w:bottom w:val="single" w:sz="8" w:color="auto"/>
            </w:tcBorders>
            <w:vMerge w:val="continue"/>
            <w:shd w:val="clear" w:color="auto" w:fill="CCEEFF"/>
          </w:tcPr>
          <w:p>
            <w:pPr>
              <w:spacing w:after="0"/>
              <w:rPr>
                <w:sz w:val="14"/>
                <w:szCs w:val="14"/>
                <w:color w:val="auto"/>
              </w:rPr>
            </w:pPr>
          </w:p>
        </w:tc>
        <w:tc>
          <w:tcPr>
            <w:tcW w:w="700" w:type="dxa"/>
            <w:vAlign w:val="bottom"/>
            <w:tcBorders>
              <w:bottom w:val="single" w:sz="8" w:color="auto"/>
            </w:tcBorders>
            <w:vMerge w:val="continue"/>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shd w:val="clear" w:color="auto" w:fill="CCEEFF"/>
          </w:tcPr>
          <w:p>
            <w:pPr>
              <w:jc w:val="right"/>
              <w:ind w:right="126"/>
              <w:spacing w:after="0" w:line="159" w:lineRule="exact"/>
              <w:rPr>
                <w:sz w:val="20"/>
                <w:szCs w:val="20"/>
                <w:color w:val="auto"/>
              </w:rPr>
            </w:pPr>
            <w:r>
              <w:rPr>
                <w:rFonts w:ascii="Arial" w:cs="Arial" w:eastAsia="Arial" w:hAnsi="Arial"/>
                <w:sz w:val="15"/>
                <w:szCs w:val="15"/>
                <w:color w:val="auto"/>
              </w:rPr>
              <w:t>21,807</w:t>
            </w:r>
          </w:p>
        </w:tc>
        <w:tc>
          <w:tcPr>
            <w:tcW w:w="30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5"/>
                <w:szCs w:val="15"/>
                <w:color w:val="auto"/>
              </w:rPr>
              <w:t>$</w:t>
            </w:r>
          </w:p>
        </w:tc>
        <w:tc>
          <w:tcPr>
            <w:tcW w:w="580" w:type="dxa"/>
            <w:vAlign w:val="bottom"/>
            <w:tcBorders>
              <w:bottom w:val="single" w:sz="8" w:color="auto"/>
            </w:tcBorders>
            <w:shd w:val="clear" w:color="auto" w:fill="CCEEFF"/>
          </w:tcPr>
          <w:p>
            <w:pPr>
              <w:jc w:val="right"/>
              <w:ind w:right="6"/>
              <w:spacing w:after="0" w:line="159" w:lineRule="exact"/>
              <w:rPr>
                <w:sz w:val="20"/>
                <w:szCs w:val="20"/>
                <w:color w:val="auto"/>
              </w:rPr>
            </w:pPr>
            <w:r>
              <w:rPr>
                <w:rFonts w:ascii="Arial" w:cs="Arial" w:eastAsia="Arial" w:hAnsi="Arial"/>
                <w:sz w:val="15"/>
                <w:szCs w:val="15"/>
                <w:color w:val="auto"/>
              </w:rPr>
              <w:t>18,727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At December 31, 2017, 2016 and 2015, unrecognized tax benefits of $10,399,000, $11,603,000 and $7,975,000, respectively, related to interest accruals and permanent income tax differences, net of federal tax benefits, would have favorably affected the Company’s effective income tax rate if recognized.</w:t>
      </w:r>
    </w:p>
    <w:p>
      <w:pPr>
        <w:spacing w:after="0" w:line="192"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Unrecognized tax benefits are reversed as a discrete event if an examination of applicable tax returns is not initiated by a federal or state tax authority within the statute of limitations or upon effective settlement with federal or state tax authorities. Management believes its accrual for unrecognized tax benefits is sufficient to cover uncertain tax positions reviewed during audits by taxing authorities. The Company anticipates that it is reasonably possible that its unrecognized tax benefits may decrease up to $3,333,000, excluding indirect benefits, during the twelve-months ending December 31, 2018, due to the expiration of the statute of limitations for the 2014 tax year.</w:t>
      </w:r>
    </w:p>
    <w:p>
      <w:pPr>
        <w:spacing w:after="0" w:line="200" w:lineRule="exact"/>
        <w:rPr>
          <w:sz w:val="20"/>
          <w:szCs w:val="20"/>
          <w:color w:val="auto"/>
        </w:rPr>
      </w:pPr>
    </w:p>
    <w:p>
      <w:pPr>
        <w:sectPr>
          <w:pgSz w:w="11900" w:h="16838" w:orient="portrait"/>
          <w:cols w:equalWidth="0" w:num="2">
            <w:col w:w="5480" w:space="360"/>
            <w:col w:w="5580"/>
          </w:cols>
          <w:pgMar w:left="240" w:top="260" w:right="239" w:bottom="1440" w:gutter="0" w:footer="0" w:header="0"/>
          <w:type w:val="continuous"/>
        </w:sectPr>
      </w:pP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28</w:t>
      </w:r>
    </w:p>
    <w:p>
      <w:pPr>
        <w:sectPr>
          <w:pgSz w:w="11900" w:h="16838" w:orient="portrait"/>
          <w:cols w:equalWidth="0" w:num="1">
            <w:col w:w="11420"/>
          </w:cols>
          <w:pgMar w:left="240" w:top="260" w:right="239" w:bottom="1440" w:gutter="0" w:footer="0" w:header="0"/>
          <w:type w:val="continuous"/>
        </w:sectPr>
      </w:pPr>
    </w:p>
    <w:bookmarkStart w:id="81" w:name="page82"/>
    <w:bookmarkEnd w:id="81"/>
    <w:p>
      <w:pPr>
        <w:jc w:val="center"/>
        <w:ind w:right="-19"/>
        <w:spacing w:after="0"/>
        <w:rPr>
          <w:sz w:val="20"/>
          <w:szCs w:val="20"/>
          <w:color w:val="auto"/>
        </w:rPr>
      </w:pPr>
      <w:r>
        <w:rPr>
          <w:rFonts w:ascii="Arial" w:cs="Arial" w:eastAsia="Arial" w:hAnsi="Arial"/>
          <w:sz w:val="17"/>
          <w:szCs w:val="17"/>
          <w:b w:val="1"/>
          <w:bCs w:val="1"/>
          <w:color w:val="0085CD"/>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7">
                      <a:extLst>
                        <a:ext uri="{28A0092B-C50C-407E-A947-70E740481C1C}"/>
                      </a:extLst>
                    </a:blip>
                    <a:srcRect/>
                    <a:stretch>
                      <a:fillRect/>
                    </a:stretch>
                  </pic:blipFill>
                  <pic:spPr bwMode="auto">
                    <a:xfrm>
                      <a:off x="0" y="0"/>
                      <a:ext cx="7293610" cy="37465"/>
                    </a:xfrm>
                    <a:prstGeom prst="rect">
                      <a:avLst/>
                    </a:prstGeom>
                    <a:noFill/>
                  </pic:spPr>
                </pic:pic>
              </a:graphicData>
            </a:graphic>
          </wp:anchor>
        </w:drawing>
        <w:t xml:space="preserve">NOTES TO FINANCIAL STATEMENTS </w:t>
      </w:r>
      <w:r>
        <w:rPr>
          <w:rFonts w:ascii="Arial" w:cs="Arial" w:eastAsia="Arial" w:hAnsi="Arial"/>
          <w:sz w:val="15"/>
          <w:szCs w:val="15"/>
          <w:color w:val="0085CD"/>
        </w:rPr>
        <w:t>(continued)</w:t>
      </w:r>
    </w:p>
    <w:p>
      <w:pPr>
        <w:sectPr>
          <w:pgSz w:w="11900" w:h="16838" w:orient="portrait"/>
          <w:cols w:equalWidth="0" w:num="1">
            <w:col w:w="11420"/>
          </w:cols>
          <w:pgMar w:left="240" w:top="2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For the years ended December 31, 2017 and 2015, $3,922,000 or $0.06 per diluted share, and $2,364,000 or $0.04 per diluted share, respectively, were reversed into income upon the statute of limitations expiration for the 2010 through 2013 tax years.</w:t>
      </w:r>
    </w:p>
    <w:p>
      <w:pPr>
        <w:spacing w:after="0" w:line="19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Company’s open tax years subject to federal, state or foreign examinations are 2011 through 2017.</w:t>
      </w:r>
    </w:p>
    <w:p>
      <w:pPr>
        <w:spacing w:after="0" w:line="166" w:lineRule="exact"/>
        <w:rPr>
          <w:sz w:val="20"/>
          <w:szCs w:val="20"/>
          <w:color w:val="auto"/>
        </w:rPr>
      </w:pPr>
    </w:p>
    <w:p>
      <w:pPr>
        <w:ind w:right="320"/>
        <w:spacing w:after="0" w:line="249" w:lineRule="auto"/>
        <w:rPr>
          <w:sz w:val="20"/>
          <w:szCs w:val="20"/>
          <w:color w:val="auto"/>
        </w:rPr>
      </w:pPr>
      <w:r>
        <w:rPr>
          <w:rFonts w:ascii="Arial" w:cs="Arial" w:eastAsia="Arial" w:hAnsi="Arial"/>
          <w:sz w:val="17"/>
          <w:szCs w:val="17"/>
          <w:b w:val="1"/>
          <w:bCs w:val="1"/>
          <w:color w:val="0085CD"/>
        </w:rPr>
        <w:t>Note J: Retirement Plans, Postretirement and Postemployment Benefits</w:t>
      </w:r>
    </w:p>
    <w:p>
      <w:pPr>
        <w:spacing w:after="0" w:line="1"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The Company sponsors defined benefit retirement plans that cover substantially all employees. Additionally, the Company provides other postretirement benefits for certain employees, including medical benefits for retirees and their spouses and retiree life insurance. Employees starting on or after January 1, 2002 are not eligible for postretirement welfare plans. The Company also provides certain benefits, such as disability benefits, to former or inactive employees after employment but before retirement.</w:t>
      </w:r>
    </w:p>
    <w:p>
      <w:pPr>
        <w:spacing w:after="0" w:line="197"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The measurement date for the Company’s defined benefit plans, postretirement benefit plans and postemployment benefit plans is December 31.</w:t>
      </w:r>
    </w:p>
    <w:p>
      <w:pPr>
        <w:spacing w:after="0" w:line="169" w:lineRule="exact"/>
        <w:rPr>
          <w:sz w:val="20"/>
          <w:szCs w:val="20"/>
          <w:color w:val="auto"/>
        </w:rPr>
      </w:pPr>
    </w:p>
    <w:p>
      <w:pPr>
        <w:jc w:val="both"/>
        <w:spacing w:after="0" w:line="245" w:lineRule="auto"/>
        <w:rPr>
          <w:sz w:val="20"/>
          <w:szCs w:val="20"/>
          <w:color w:val="auto"/>
        </w:rPr>
      </w:pPr>
      <w:r>
        <w:rPr>
          <w:rFonts w:ascii="Arial" w:cs="Arial" w:eastAsia="Arial" w:hAnsi="Arial"/>
          <w:sz w:val="16"/>
          <w:szCs w:val="16"/>
          <w:b w:val="1"/>
          <w:bCs w:val="1"/>
          <w:i w:val="1"/>
          <w:iCs w:val="1"/>
          <w:color w:val="49B28F"/>
        </w:rPr>
        <w:t xml:space="preserve">Defined Benefit Retirement Plans. </w:t>
      </w:r>
      <w:r>
        <w:rPr>
          <w:rFonts w:ascii="Arial" w:cs="Arial" w:eastAsia="Arial" w:hAnsi="Arial"/>
          <w:sz w:val="16"/>
          <w:szCs w:val="16"/>
          <w:color w:val="000000"/>
        </w:rPr>
        <w:t>Retirement plan assets are invested in</w:t>
      </w:r>
      <w:r>
        <w:rPr>
          <w:rFonts w:ascii="Arial" w:cs="Arial" w:eastAsia="Arial" w:hAnsi="Arial"/>
          <w:sz w:val="16"/>
          <w:szCs w:val="16"/>
          <w:b w:val="1"/>
          <w:bCs w:val="1"/>
          <w:i w:val="1"/>
          <w:iCs w:val="1"/>
          <w:color w:val="49B28F"/>
        </w:rPr>
        <w:t xml:space="preserve"> </w:t>
      </w:r>
      <w:r>
        <w:rPr>
          <w:rFonts w:ascii="Arial" w:cs="Arial" w:eastAsia="Arial" w:hAnsi="Arial"/>
          <w:sz w:val="16"/>
          <w:szCs w:val="16"/>
          <w:color w:val="000000"/>
        </w:rPr>
        <w:t>listed stocks, bonds, hedge funds, real estate and cash equivalents. Defined retirement benefits for salaried employees are based on each employee’s years of service and average compensation for a specified period of time before retirement. Defined retirement benefits for hourly employees are generally stated amounts for specified periods of service.</w:t>
      </w:r>
    </w:p>
    <w:p>
      <w:pPr>
        <w:spacing w:after="0" w:line="191"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The Company sponsors a Supplemental Excess Retirement Plan (SERP) that generally provides for the payment of retirement benefits in excess of allowable Internal Revenue Code limits. The SERP generally provides for a lump-sum payment of vested benefits. When these benefit payments exceed the sum of the service and interest costs for the SERP during a year, the Company recognizes a pro-rata portion of the SERP’s unrecognized actuarial loss as settlement expense.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net periodic retirement benefit cost of defined benefit plans includes the following components: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40" w:type="dxa"/>
            <w:vAlign w:val="bottom"/>
          </w:tcPr>
          <w:p>
            <w:pPr>
              <w:spacing w:after="0"/>
              <w:rPr>
                <w:sz w:val="20"/>
                <w:szCs w:val="20"/>
                <w:color w:val="auto"/>
              </w:rPr>
            </w:pPr>
            <w:r>
              <w:rPr>
                <w:rFonts w:ascii="Arial" w:cs="Arial" w:eastAsia="Arial" w:hAnsi="Arial"/>
                <w:sz w:val="14"/>
                <w:szCs w:val="14"/>
                <w:i w:val="1"/>
                <w:iCs w:val="1"/>
                <w:color w:val="auto"/>
              </w:rPr>
              <w:t>years ended December 31</w:t>
            </w:r>
          </w:p>
        </w:tc>
        <w:tc>
          <w:tcPr>
            <w:tcW w:w="1420" w:type="dxa"/>
            <w:vAlign w:val="bottom"/>
            <w:vMerge w:val="restart"/>
          </w:tcPr>
          <w:p>
            <w:pPr>
              <w:jc w:val="right"/>
              <w:ind w:right="146"/>
              <w:spacing w:after="0"/>
              <w:rPr>
                <w:sz w:val="20"/>
                <w:szCs w:val="20"/>
                <w:color w:val="auto"/>
              </w:rPr>
            </w:pPr>
            <w:r>
              <w:rPr>
                <w:rFonts w:ascii="Arial" w:cs="Arial" w:eastAsia="Arial" w:hAnsi="Arial"/>
                <w:sz w:val="15"/>
                <w:szCs w:val="15"/>
                <w:b w:val="1"/>
                <w:bCs w:val="1"/>
                <w:color w:val="0085CD"/>
              </w:rPr>
              <w:t>2017</w:t>
            </w: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3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(add 000)</w:t>
            </w:r>
          </w:p>
        </w:tc>
        <w:tc>
          <w:tcPr>
            <w:tcW w:w="1420" w:type="dxa"/>
            <w:vAlign w:val="bottom"/>
            <w:tcBorders>
              <w:bottom w:val="single" w:sz="8" w:color="auto"/>
            </w:tcBorders>
            <w:vMerge w:val="continue"/>
          </w:tcPr>
          <w:p>
            <w:pPr>
              <w:spacing w:after="0"/>
              <w:rPr>
                <w:sz w:val="14"/>
                <w:szCs w:val="14"/>
                <w:color w:val="auto"/>
              </w:rPr>
            </w:pPr>
          </w:p>
        </w:tc>
        <w:tc>
          <w:tcPr>
            <w:tcW w:w="98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rPr>
              <w:t>2016</w:t>
            </w:r>
          </w:p>
        </w:tc>
        <w:tc>
          <w:tcPr>
            <w:tcW w:w="84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2015</w:t>
            </w:r>
          </w:p>
        </w:tc>
        <w:tc>
          <w:tcPr>
            <w:tcW w:w="0" w:type="dxa"/>
            <w:vAlign w:val="bottom"/>
          </w:tcPr>
          <w:p>
            <w:pPr>
              <w:spacing w:after="0"/>
              <w:rPr>
                <w:sz w:val="1"/>
                <w:szCs w:val="1"/>
                <w:color w:val="auto"/>
              </w:rPr>
            </w:pPr>
          </w:p>
        </w:tc>
      </w:tr>
      <w:tr>
        <w:trPr>
          <w:trHeight w:val="149"/>
        </w:trPr>
        <w:tc>
          <w:tcPr>
            <w:tcW w:w="234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Service cost</w:t>
            </w:r>
          </w:p>
        </w:tc>
        <w:tc>
          <w:tcPr>
            <w:tcW w:w="1420" w:type="dxa"/>
            <w:vAlign w:val="bottom"/>
            <w:shd w:val="clear" w:color="auto" w:fill="CCEEFF"/>
          </w:tcPr>
          <w:p>
            <w:pPr>
              <w:jc w:val="right"/>
              <w:ind w:right="146"/>
              <w:spacing w:after="0" w:line="149" w:lineRule="exact"/>
              <w:rPr>
                <w:sz w:val="20"/>
                <w:szCs w:val="20"/>
                <w:color w:val="auto"/>
              </w:rPr>
            </w:pPr>
            <w:r>
              <w:rPr>
                <w:rFonts w:ascii="Arial" w:cs="Arial" w:eastAsia="Arial" w:hAnsi="Arial"/>
                <w:sz w:val="15"/>
                <w:szCs w:val="15"/>
                <w:b w:val="1"/>
                <w:bCs w:val="1"/>
                <w:color w:val="auto"/>
              </w:rPr>
              <w:t>$ 26,805</w:t>
            </w:r>
          </w:p>
        </w:tc>
        <w:tc>
          <w:tcPr>
            <w:tcW w:w="980" w:type="dxa"/>
            <w:vAlign w:val="bottom"/>
            <w:shd w:val="clear" w:color="auto" w:fill="CCEEFF"/>
          </w:tcPr>
          <w:p>
            <w:pPr>
              <w:jc w:val="right"/>
              <w:ind w:right="146"/>
              <w:spacing w:after="0" w:line="149" w:lineRule="exact"/>
              <w:rPr>
                <w:sz w:val="20"/>
                <w:szCs w:val="20"/>
                <w:color w:val="auto"/>
              </w:rPr>
            </w:pPr>
            <w:r>
              <w:rPr>
                <w:rFonts w:ascii="Arial" w:cs="Arial" w:eastAsia="Arial" w:hAnsi="Arial"/>
                <w:sz w:val="15"/>
                <w:szCs w:val="15"/>
                <w:color w:val="auto"/>
              </w:rPr>
              <w:t>$ 22,167</w:t>
            </w:r>
          </w:p>
        </w:tc>
        <w:tc>
          <w:tcPr>
            <w:tcW w:w="840" w:type="dxa"/>
            <w:vAlign w:val="bottom"/>
            <w:shd w:val="clear" w:color="auto" w:fill="CCEEFF"/>
          </w:tcPr>
          <w:p>
            <w:pPr>
              <w:jc w:val="right"/>
              <w:ind w:right="6"/>
              <w:spacing w:after="0" w:line="149" w:lineRule="exact"/>
              <w:rPr>
                <w:sz w:val="20"/>
                <w:szCs w:val="20"/>
                <w:color w:val="auto"/>
              </w:rPr>
            </w:pPr>
            <w:r>
              <w:rPr>
                <w:rFonts w:ascii="Arial" w:cs="Arial" w:eastAsia="Arial" w:hAnsi="Arial"/>
                <w:sz w:val="15"/>
                <w:szCs w:val="15"/>
                <w:color w:val="auto"/>
              </w:rPr>
              <w:t>$ 23,001</w:t>
            </w:r>
          </w:p>
        </w:tc>
        <w:tc>
          <w:tcPr>
            <w:tcW w:w="0" w:type="dxa"/>
            <w:vAlign w:val="bottom"/>
          </w:tcPr>
          <w:p>
            <w:pPr>
              <w:spacing w:after="0"/>
              <w:rPr>
                <w:sz w:val="1"/>
                <w:szCs w:val="1"/>
                <w:color w:val="auto"/>
              </w:rPr>
            </w:pPr>
          </w:p>
        </w:tc>
      </w:tr>
      <w:tr>
        <w:trPr>
          <w:trHeight w:val="156"/>
        </w:trPr>
        <w:tc>
          <w:tcPr>
            <w:tcW w:w="2340" w:type="dxa"/>
            <w:vAlign w:val="bottom"/>
          </w:tcPr>
          <w:p>
            <w:pPr>
              <w:spacing w:after="0" w:line="156" w:lineRule="exact"/>
              <w:rPr>
                <w:sz w:val="20"/>
                <w:szCs w:val="20"/>
                <w:color w:val="auto"/>
              </w:rPr>
            </w:pPr>
            <w:r>
              <w:rPr>
                <w:rFonts w:ascii="Arial" w:cs="Arial" w:eastAsia="Arial" w:hAnsi="Arial"/>
                <w:sz w:val="15"/>
                <w:szCs w:val="15"/>
                <w:color w:val="auto"/>
              </w:rPr>
              <w:t>Interest cost</w:t>
            </w:r>
          </w:p>
        </w:tc>
        <w:tc>
          <w:tcPr>
            <w:tcW w:w="1420" w:type="dxa"/>
            <w:vAlign w:val="bottom"/>
          </w:tcPr>
          <w:p>
            <w:pPr>
              <w:jc w:val="right"/>
              <w:ind w:right="146"/>
              <w:spacing w:after="0" w:line="156" w:lineRule="exact"/>
              <w:rPr>
                <w:sz w:val="20"/>
                <w:szCs w:val="20"/>
                <w:color w:val="auto"/>
              </w:rPr>
            </w:pPr>
            <w:r>
              <w:rPr>
                <w:rFonts w:ascii="Arial" w:cs="Arial" w:eastAsia="Arial" w:hAnsi="Arial"/>
                <w:sz w:val="15"/>
                <w:szCs w:val="15"/>
                <w:b w:val="1"/>
                <w:bCs w:val="1"/>
                <w:color w:val="auto"/>
              </w:rPr>
              <w:t>36,101</w:t>
            </w:r>
          </w:p>
        </w:tc>
        <w:tc>
          <w:tcPr>
            <w:tcW w:w="980" w:type="dxa"/>
            <w:vAlign w:val="bottom"/>
          </w:tcPr>
          <w:p>
            <w:pPr>
              <w:jc w:val="right"/>
              <w:ind w:right="146"/>
              <w:spacing w:after="0" w:line="156" w:lineRule="exact"/>
              <w:rPr>
                <w:sz w:val="20"/>
                <w:szCs w:val="20"/>
                <w:color w:val="auto"/>
              </w:rPr>
            </w:pPr>
            <w:r>
              <w:rPr>
                <w:rFonts w:ascii="Arial" w:cs="Arial" w:eastAsia="Arial" w:hAnsi="Arial"/>
                <w:sz w:val="15"/>
                <w:szCs w:val="15"/>
                <w:color w:val="auto"/>
              </w:rPr>
              <w:t>35,879</w:t>
            </w:r>
          </w:p>
        </w:tc>
        <w:tc>
          <w:tcPr>
            <w:tcW w:w="840" w:type="dxa"/>
            <w:vAlign w:val="bottom"/>
          </w:tcPr>
          <w:p>
            <w:pPr>
              <w:jc w:val="right"/>
              <w:ind w:right="6"/>
              <w:spacing w:after="0" w:line="156" w:lineRule="exact"/>
              <w:rPr>
                <w:sz w:val="20"/>
                <w:szCs w:val="20"/>
                <w:color w:val="auto"/>
              </w:rPr>
            </w:pPr>
            <w:r>
              <w:rPr>
                <w:rFonts w:ascii="Arial" w:cs="Arial" w:eastAsia="Arial" w:hAnsi="Arial"/>
                <w:sz w:val="15"/>
                <w:szCs w:val="15"/>
                <w:color w:val="auto"/>
              </w:rPr>
              <w:t>33,151</w:t>
            </w:r>
          </w:p>
        </w:tc>
        <w:tc>
          <w:tcPr>
            <w:tcW w:w="0" w:type="dxa"/>
            <w:vAlign w:val="bottom"/>
          </w:tcPr>
          <w:p>
            <w:pPr>
              <w:spacing w:after="0"/>
              <w:rPr>
                <w:sz w:val="1"/>
                <w:szCs w:val="1"/>
                <w:color w:val="auto"/>
              </w:rPr>
            </w:pPr>
          </w:p>
        </w:tc>
      </w:tr>
      <w:tr>
        <w:trPr>
          <w:trHeight w:val="156"/>
        </w:trPr>
        <w:tc>
          <w:tcPr>
            <w:tcW w:w="234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Expected return on assets</w:t>
            </w:r>
          </w:p>
        </w:tc>
        <w:tc>
          <w:tcPr>
            <w:tcW w:w="1420" w:type="dxa"/>
            <w:vAlign w:val="bottom"/>
            <w:shd w:val="clear" w:color="auto" w:fill="CCEEFF"/>
          </w:tcPr>
          <w:p>
            <w:pPr>
              <w:jc w:val="right"/>
              <w:ind w:right="86"/>
              <w:spacing w:after="0" w:line="156" w:lineRule="exact"/>
              <w:rPr>
                <w:sz w:val="20"/>
                <w:szCs w:val="20"/>
                <w:color w:val="auto"/>
              </w:rPr>
            </w:pPr>
            <w:r>
              <w:rPr>
                <w:rFonts w:ascii="Arial" w:cs="Arial" w:eastAsia="Arial" w:hAnsi="Arial"/>
                <w:sz w:val="15"/>
                <w:szCs w:val="15"/>
                <w:b w:val="1"/>
                <w:bCs w:val="1"/>
                <w:color w:val="auto"/>
              </w:rPr>
              <w:t>(39,759)</w:t>
            </w:r>
          </w:p>
        </w:tc>
        <w:tc>
          <w:tcPr>
            <w:tcW w:w="980" w:type="dxa"/>
            <w:vAlign w:val="bottom"/>
            <w:shd w:val="clear" w:color="auto" w:fill="CCEEFF"/>
          </w:tcPr>
          <w:p>
            <w:pPr>
              <w:jc w:val="right"/>
              <w:ind w:right="106"/>
              <w:spacing w:after="0" w:line="156" w:lineRule="exact"/>
              <w:rPr>
                <w:sz w:val="20"/>
                <w:szCs w:val="20"/>
                <w:color w:val="auto"/>
              </w:rPr>
            </w:pPr>
            <w:r>
              <w:rPr>
                <w:rFonts w:ascii="Arial" w:cs="Arial" w:eastAsia="Arial" w:hAnsi="Arial"/>
                <w:sz w:val="15"/>
                <w:szCs w:val="15"/>
                <w:color w:val="auto"/>
              </w:rPr>
              <w:t>(37,699)</w:t>
            </w:r>
          </w:p>
        </w:tc>
        <w:tc>
          <w:tcPr>
            <w:tcW w:w="84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(36,385)</w:t>
            </w:r>
          </w:p>
        </w:tc>
        <w:tc>
          <w:tcPr>
            <w:tcW w:w="0" w:type="dxa"/>
            <w:vAlign w:val="bottom"/>
          </w:tcPr>
          <w:p>
            <w:pPr>
              <w:spacing w:after="0"/>
              <w:rPr>
                <w:sz w:val="1"/>
                <w:szCs w:val="1"/>
                <w:color w:val="auto"/>
              </w:rPr>
            </w:pPr>
          </w:p>
        </w:tc>
      </w:tr>
      <w:tr>
        <w:trPr>
          <w:trHeight w:val="156"/>
        </w:trPr>
        <w:tc>
          <w:tcPr>
            <w:tcW w:w="2340" w:type="dxa"/>
            <w:vAlign w:val="bottom"/>
          </w:tcPr>
          <w:p>
            <w:pPr>
              <w:spacing w:after="0" w:line="156" w:lineRule="exact"/>
              <w:rPr>
                <w:sz w:val="20"/>
                <w:szCs w:val="20"/>
                <w:color w:val="auto"/>
              </w:rPr>
            </w:pPr>
            <w:r>
              <w:rPr>
                <w:rFonts w:ascii="Arial" w:cs="Arial" w:eastAsia="Arial" w:hAnsi="Arial"/>
                <w:sz w:val="15"/>
                <w:szCs w:val="15"/>
                <w:color w:val="auto"/>
              </w:rPr>
              <w:t>Amortization of:</w:t>
            </w:r>
          </w:p>
        </w:tc>
        <w:tc>
          <w:tcPr>
            <w:tcW w:w="14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340" w:type="dxa"/>
            <w:vAlign w:val="bottom"/>
            <w:shd w:val="clear" w:color="auto" w:fill="CCEEFF"/>
          </w:tcPr>
          <w:p>
            <w:pPr>
              <w:ind w:left="140"/>
              <w:spacing w:after="0" w:line="156" w:lineRule="exact"/>
              <w:rPr>
                <w:sz w:val="20"/>
                <w:szCs w:val="20"/>
                <w:color w:val="auto"/>
              </w:rPr>
            </w:pPr>
            <w:r>
              <w:rPr>
                <w:rFonts w:ascii="Arial" w:cs="Arial" w:eastAsia="Arial" w:hAnsi="Arial"/>
                <w:sz w:val="15"/>
                <w:szCs w:val="15"/>
                <w:color w:val="auto"/>
              </w:rPr>
              <w:t>Prior service cost</w:t>
            </w:r>
          </w:p>
        </w:tc>
        <w:tc>
          <w:tcPr>
            <w:tcW w:w="1420" w:type="dxa"/>
            <w:vAlign w:val="bottom"/>
            <w:shd w:val="clear" w:color="auto" w:fill="CCEEFF"/>
          </w:tcPr>
          <w:p>
            <w:pPr>
              <w:jc w:val="right"/>
              <w:ind w:right="146"/>
              <w:spacing w:after="0" w:line="156" w:lineRule="exact"/>
              <w:rPr>
                <w:sz w:val="20"/>
                <w:szCs w:val="20"/>
                <w:color w:val="auto"/>
              </w:rPr>
            </w:pPr>
            <w:r>
              <w:rPr>
                <w:rFonts w:ascii="Arial" w:cs="Arial" w:eastAsia="Arial" w:hAnsi="Arial"/>
                <w:sz w:val="15"/>
                <w:szCs w:val="15"/>
                <w:b w:val="1"/>
                <w:bCs w:val="1"/>
                <w:color w:val="auto"/>
              </w:rPr>
              <w:t>311</w:t>
            </w:r>
          </w:p>
        </w:tc>
        <w:tc>
          <w:tcPr>
            <w:tcW w:w="980" w:type="dxa"/>
            <w:vAlign w:val="bottom"/>
            <w:shd w:val="clear" w:color="auto" w:fill="CCEEFF"/>
          </w:tcPr>
          <w:p>
            <w:pPr>
              <w:jc w:val="right"/>
              <w:ind w:right="146"/>
              <w:spacing w:after="0" w:line="156" w:lineRule="exact"/>
              <w:rPr>
                <w:sz w:val="20"/>
                <w:szCs w:val="20"/>
                <w:color w:val="auto"/>
              </w:rPr>
            </w:pPr>
            <w:r>
              <w:rPr>
                <w:rFonts w:ascii="Arial" w:cs="Arial" w:eastAsia="Arial" w:hAnsi="Arial"/>
                <w:sz w:val="15"/>
                <w:szCs w:val="15"/>
                <w:color w:val="auto"/>
              </w:rPr>
              <w:t>350</w:t>
            </w:r>
          </w:p>
        </w:tc>
        <w:tc>
          <w:tcPr>
            <w:tcW w:w="840" w:type="dxa"/>
            <w:vAlign w:val="bottom"/>
            <w:shd w:val="clear" w:color="auto" w:fill="CCEEFF"/>
          </w:tcPr>
          <w:p>
            <w:pPr>
              <w:jc w:val="right"/>
              <w:ind w:right="6"/>
              <w:spacing w:after="0" w:line="156" w:lineRule="exact"/>
              <w:rPr>
                <w:sz w:val="20"/>
                <w:szCs w:val="20"/>
                <w:color w:val="auto"/>
              </w:rPr>
            </w:pPr>
            <w:r>
              <w:rPr>
                <w:rFonts w:ascii="Arial" w:cs="Arial" w:eastAsia="Arial" w:hAnsi="Arial"/>
                <w:sz w:val="15"/>
                <w:szCs w:val="15"/>
                <w:color w:val="auto"/>
              </w:rPr>
              <w:t>422</w:t>
            </w:r>
          </w:p>
        </w:tc>
        <w:tc>
          <w:tcPr>
            <w:tcW w:w="0" w:type="dxa"/>
            <w:vAlign w:val="bottom"/>
          </w:tcPr>
          <w:p>
            <w:pPr>
              <w:spacing w:after="0"/>
              <w:rPr>
                <w:sz w:val="1"/>
                <w:szCs w:val="1"/>
                <w:color w:val="auto"/>
              </w:rPr>
            </w:pPr>
          </w:p>
        </w:tc>
      </w:tr>
      <w:tr>
        <w:trPr>
          <w:trHeight w:val="156"/>
        </w:trPr>
        <w:tc>
          <w:tcPr>
            <w:tcW w:w="2340" w:type="dxa"/>
            <w:vAlign w:val="bottom"/>
          </w:tcPr>
          <w:p>
            <w:pPr>
              <w:ind w:left="140"/>
              <w:spacing w:after="0" w:line="156" w:lineRule="exact"/>
              <w:rPr>
                <w:sz w:val="20"/>
                <w:szCs w:val="20"/>
                <w:color w:val="auto"/>
              </w:rPr>
            </w:pPr>
            <w:r>
              <w:rPr>
                <w:rFonts w:ascii="Arial" w:cs="Arial" w:eastAsia="Arial" w:hAnsi="Arial"/>
                <w:sz w:val="15"/>
                <w:szCs w:val="15"/>
                <w:color w:val="auto"/>
              </w:rPr>
              <w:t>Actuarial loss</w:t>
            </w:r>
          </w:p>
        </w:tc>
        <w:tc>
          <w:tcPr>
            <w:tcW w:w="1420" w:type="dxa"/>
            <w:vAlign w:val="bottom"/>
          </w:tcPr>
          <w:p>
            <w:pPr>
              <w:jc w:val="right"/>
              <w:ind w:right="146"/>
              <w:spacing w:after="0" w:line="156" w:lineRule="exact"/>
              <w:rPr>
                <w:sz w:val="20"/>
                <w:szCs w:val="20"/>
                <w:color w:val="auto"/>
              </w:rPr>
            </w:pPr>
            <w:r>
              <w:rPr>
                <w:rFonts w:ascii="Arial" w:cs="Arial" w:eastAsia="Arial" w:hAnsi="Arial"/>
                <w:sz w:val="15"/>
                <w:szCs w:val="15"/>
                <w:b w:val="1"/>
                <w:bCs w:val="1"/>
                <w:color w:val="auto"/>
              </w:rPr>
              <w:t>14,138</w:t>
            </w:r>
          </w:p>
        </w:tc>
        <w:tc>
          <w:tcPr>
            <w:tcW w:w="980" w:type="dxa"/>
            <w:vAlign w:val="bottom"/>
          </w:tcPr>
          <w:p>
            <w:pPr>
              <w:jc w:val="right"/>
              <w:ind w:right="146"/>
              <w:spacing w:after="0" w:line="156" w:lineRule="exact"/>
              <w:rPr>
                <w:sz w:val="20"/>
                <w:szCs w:val="20"/>
                <w:color w:val="auto"/>
              </w:rPr>
            </w:pPr>
            <w:r>
              <w:rPr>
                <w:rFonts w:ascii="Arial" w:cs="Arial" w:eastAsia="Arial" w:hAnsi="Arial"/>
                <w:sz w:val="15"/>
                <w:szCs w:val="15"/>
                <w:color w:val="auto"/>
              </w:rPr>
              <w:t>12,074</w:t>
            </w:r>
          </w:p>
        </w:tc>
        <w:tc>
          <w:tcPr>
            <w:tcW w:w="840" w:type="dxa"/>
            <w:vAlign w:val="bottom"/>
          </w:tcPr>
          <w:p>
            <w:pPr>
              <w:jc w:val="right"/>
              <w:ind w:right="6"/>
              <w:spacing w:after="0" w:line="156" w:lineRule="exact"/>
              <w:rPr>
                <w:sz w:val="20"/>
                <w:szCs w:val="20"/>
                <w:color w:val="auto"/>
              </w:rPr>
            </w:pPr>
            <w:r>
              <w:rPr>
                <w:rFonts w:ascii="Arial" w:cs="Arial" w:eastAsia="Arial" w:hAnsi="Arial"/>
                <w:sz w:val="15"/>
                <w:szCs w:val="15"/>
                <w:color w:val="auto"/>
              </w:rPr>
              <w:t>17,159</w:t>
            </w:r>
          </w:p>
        </w:tc>
        <w:tc>
          <w:tcPr>
            <w:tcW w:w="0" w:type="dxa"/>
            <w:vAlign w:val="bottom"/>
          </w:tcPr>
          <w:p>
            <w:pPr>
              <w:spacing w:after="0"/>
              <w:rPr>
                <w:sz w:val="1"/>
                <w:szCs w:val="1"/>
                <w:color w:val="auto"/>
              </w:rPr>
            </w:pPr>
          </w:p>
        </w:tc>
      </w:tr>
      <w:tr>
        <w:trPr>
          <w:trHeight w:val="156"/>
        </w:trPr>
        <w:tc>
          <w:tcPr>
            <w:tcW w:w="2340" w:type="dxa"/>
            <w:vAlign w:val="bottom"/>
            <w:shd w:val="clear" w:color="auto" w:fill="CCEEFF"/>
          </w:tcPr>
          <w:p>
            <w:pPr>
              <w:ind w:left="140"/>
              <w:spacing w:after="0" w:line="156" w:lineRule="exact"/>
              <w:rPr>
                <w:sz w:val="20"/>
                <w:szCs w:val="20"/>
                <w:color w:val="auto"/>
              </w:rPr>
            </w:pPr>
            <w:r>
              <w:rPr>
                <w:rFonts w:ascii="Arial" w:cs="Arial" w:eastAsia="Arial" w:hAnsi="Arial"/>
                <w:sz w:val="15"/>
                <w:szCs w:val="15"/>
                <w:color w:val="auto"/>
              </w:rPr>
              <w:t>Transition asset</w:t>
            </w:r>
          </w:p>
        </w:tc>
        <w:tc>
          <w:tcPr>
            <w:tcW w:w="1420" w:type="dxa"/>
            <w:vAlign w:val="bottom"/>
            <w:shd w:val="clear" w:color="auto" w:fill="CCEEFF"/>
          </w:tcPr>
          <w:p>
            <w:pPr>
              <w:jc w:val="right"/>
              <w:ind w:right="86"/>
              <w:spacing w:after="0" w:line="156" w:lineRule="exact"/>
              <w:rPr>
                <w:sz w:val="20"/>
                <w:szCs w:val="20"/>
                <w:color w:val="auto"/>
              </w:rPr>
            </w:pPr>
            <w:r>
              <w:rPr>
                <w:rFonts w:ascii="Arial" w:cs="Arial" w:eastAsia="Arial" w:hAnsi="Arial"/>
                <w:sz w:val="15"/>
                <w:szCs w:val="15"/>
                <w:b w:val="1"/>
                <w:bCs w:val="1"/>
                <w:color w:val="auto"/>
              </w:rPr>
              <w:t>(1)</w:t>
            </w:r>
          </w:p>
        </w:tc>
        <w:tc>
          <w:tcPr>
            <w:tcW w:w="980" w:type="dxa"/>
            <w:vAlign w:val="bottom"/>
            <w:shd w:val="clear" w:color="auto" w:fill="CCEEFF"/>
          </w:tcPr>
          <w:p>
            <w:pPr>
              <w:jc w:val="right"/>
              <w:ind w:right="106"/>
              <w:spacing w:after="0" w:line="156" w:lineRule="exact"/>
              <w:rPr>
                <w:sz w:val="20"/>
                <w:szCs w:val="20"/>
                <w:color w:val="auto"/>
              </w:rPr>
            </w:pPr>
            <w:r>
              <w:rPr>
                <w:rFonts w:ascii="Arial" w:cs="Arial" w:eastAsia="Arial" w:hAnsi="Arial"/>
                <w:sz w:val="15"/>
                <w:szCs w:val="15"/>
                <w:color w:val="auto"/>
              </w:rPr>
              <w:t>(1)</w:t>
            </w:r>
          </w:p>
        </w:tc>
        <w:tc>
          <w:tcPr>
            <w:tcW w:w="84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56"/>
        </w:trPr>
        <w:tc>
          <w:tcPr>
            <w:tcW w:w="2340" w:type="dxa"/>
            <w:vAlign w:val="bottom"/>
          </w:tcPr>
          <w:p>
            <w:pPr>
              <w:spacing w:after="0" w:line="156" w:lineRule="exact"/>
              <w:rPr>
                <w:sz w:val="20"/>
                <w:szCs w:val="20"/>
                <w:color w:val="auto"/>
              </w:rPr>
            </w:pPr>
            <w:r>
              <w:rPr>
                <w:rFonts w:ascii="Arial" w:cs="Arial" w:eastAsia="Arial" w:hAnsi="Arial"/>
                <w:sz w:val="15"/>
                <w:szCs w:val="15"/>
                <w:color w:val="auto"/>
              </w:rPr>
              <w:t>Settlement charge</w:t>
            </w:r>
          </w:p>
        </w:tc>
        <w:tc>
          <w:tcPr>
            <w:tcW w:w="1420" w:type="dxa"/>
            <w:vAlign w:val="bottom"/>
          </w:tcPr>
          <w:p>
            <w:pPr>
              <w:jc w:val="right"/>
              <w:ind w:right="146"/>
              <w:spacing w:after="0" w:line="156" w:lineRule="exact"/>
              <w:rPr>
                <w:sz w:val="20"/>
                <w:szCs w:val="20"/>
                <w:color w:val="auto"/>
              </w:rPr>
            </w:pPr>
            <w:r>
              <w:rPr>
                <w:rFonts w:ascii="Arial" w:cs="Arial" w:eastAsia="Arial" w:hAnsi="Arial"/>
                <w:sz w:val="15"/>
                <w:szCs w:val="15"/>
                <w:b w:val="1"/>
                <w:bCs w:val="1"/>
                <w:color w:val="auto"/>
              </w:rPr>
              <w:t>21</w:t>
            </w:r>
          </w:p>
        </w:tc>
        <w:tc>
          <w:tcPr>
            <w:tcW w:w="980" w:type="dxa"/>
            <w:vAlign w:val="bottom"/>
          </w:tcPr>
          <w:p>
            <w:pPr>
              <w:jc w:val="right"/>
              <w:ind w:right="146"/>
              <w:spacing w:after="0" w:line="156" w:lineRule="exact"/>
              <w:rPr>
                <w:sz w:val="20"/>
                <w:szCs w:val="20"/>
                <w:color w:val="auto"/>
              </w:rPr>
            </w:pPr>
            <w:r>
              <w:rPr>
                <w:rFonts w:ascii="Arial" w:cs="Arial" w:eastAsia="Arial" w:hAnsi="Arial"/>
                <w:sz w:val="15"/>
                <w:szCs w:val="15"/>
                <w:color w:val="auto"/>
              </w:rPr>
              <w:t>124</w:t>
            </w:r>
          </w:p>
        </w:tc>
        <w:tc>
          <w:tcPr>
            <w:tcW w:w="840" w:type="dxa"/>
            <w:vAlign w:val="bottom"/>
          </w:tcPr>
          <w:p>
            <w:pPr>
              <w:jc w:val="right"/>
              <w:ind w:right="6"/>
              <w:spacing w:after="0" w:line="15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6"/>
        </w:trPr>
        <w:tc>
          <w:tcPr>
            <w:tcW w:w="234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Termination benefit charge</w:t>
            </w:r>
          </w:p>
        </w:tc>
        <w:tc>
          <w:tcPr>
            <w:tcW w:w="1420" w:type="dxa"/>
            <w:vAlign w:val="bottom"/>
            <w:tcBorders>
              <w:bottom w:val="single" w:sz="8" w:color="auto"/>
            </w:tcBorders>
            <w:shd w:val="clear" w:color="auto" w:fill="CCEEFF"/>
          </w:tcPr>
          <w:p>
            <w:pPr>
              <w:jc w:val="right"/>
              <w:ind w:right="146"/>
              <w:spacing w:after="0" w:line="156" w:lineRule="exact"/>
              <w:rPr>
                <w:sz w:val="20"/>
                <w:szCs w:val="20"/>
                <w:color w:val="auto"/>
              </w:rPr>
            </w:pPr>
            <w:r>
              <w:rPr>
                <w:rFonts w:ascii="Arial" w:cs="Arial" w:eastAsia="Arial" w:hAnsi="Arial"/>
                <w:sz w:val="15"/>
                <w:szCs w:val="15"/>
                <w:b w:val="1"/>
                <w:bCs w:val="1"/>
                <w:color w:val="auto"/>
              </w:rPr>
              <w:t>–</w:t>
            </w:r>
          </w:p>
        </w:tc>
        <w:tc>
          <w:tcPr>
            <w:tcW w:w="980" w:type="dxa"/>
            <w:vAlign w:val="bottom"/>
            <w:tcBorders>
              <w:bottom w:val="single" w:sz="8" w:color="auto"/>
            </w:tcBorders>
            <w:shd w:val="clear" w:color="auto" w:fill="CCEEFF"/>
          </w:tcPr>
          <w:p>
            <w:pPr>
              <w:jc w:val="right"/>
              <w:ind w:right="146"/>
              <w:spacing w:after="0" w:line="156" w:lineRule="exact"/>
              <w:rPr>
                <w:sz w:val="20"/>
                <w:szCs w:val="20"/>
                <w:color w:val="auto"/>
              </w:rPr>
            </w:pPr>
            <w:r>
              <w:rPr>
                <w:rFonts w:ascii="Arial" w:cs="Arial" w:eastAsia="Arial" w:hAnsi="Arial"/>
                <w:sz w:val="15"/>
                <w:szCs w:val="15"/>
                <w:color w:val="auto"/>
              </w:rPr>
              <w:t>764</w:t>
            </w:r>
          </w:p>
        </w:tc>
        <w:tc>
          <w:tcPr>
            <w:tcW w:w="840" w:type="dxa"/>
            <w:vAlign w:val="bottom"/>
            <w:tcBorders>
              <w:bottom w:val="single" w:sz="8" w:color="auto"/>
            </w:tcBorders>
            <w:shd w:val="clear" w:color="auto" w:fill="CCEEFF"/>
          </w:tcPr>
          <w:p>
            <w:pPr>
              <w:jc w:val="right"/>
              <w:ind w:right="6"/>
              <w:spacing w:after="0" w:line="156" w:lineRule="exact"/>
              <w:rPr>
                <w:sz w:val="20"/>
                <w:szCs w:val="20"/>
                <w:color w:val="auto"/>
              </w:rPr>
            </w:pPr>
            <w:r>
              <w:rPr>
                <w:rFonts w:ascii="Arial" w:cs="Arial" w:eastAsia="Arial" w:hAnsi="Arial"/>
                <w:sz w:val="15"/>
                <w:szCs w:val="15"/>
                <w:color w:val="auto"/>
              </w:rPr>
              <w:t>2,085</w:t>
            </w:r>
          </w:p>
        </w:tc>
        <w:tc>
          <w:tcPr>
            <w:tcW w:w="0" w:type="dxa"/>
            <w:vAlign w:val="bottom"/>
          </w:tcPr>
          <w:p>
            <w:pPr>
              <w:spacing w:after="0"/>
              <w:rPr>
                <w:sz w:val="1"/>
                <w:szCs w:val="1"/>
                <w:color w:val="auto"/>
              </w:rPr>
            </w:pPr>
          </w:p>
        </w:tc>
      </w:tr>
      <w:tr>
        <w:trPr>
          <w:trHeight w:val="155"/>
        </w:trPr>
        <w:tc>
          <w:tcPr>
            <w:tcW w:w="2340" w:type="dxa"/>
            <w:vAlign w:val="bottom"/>
            <w:tcBorders>
              <w:bottom w:val="single" w:sz="8" w:color="auto"/>
            </w:tcBorders>
          </w:tcPr>
          <w:p>
            <w:pPr>
              <w:spacing w:after="0" w:line="149" w:lineRule="exact"/>
              <w:rPr>
                <w:sz w:val="20"/>
                <w:szCs w:val="20"/>
                <w:color w:val="auto"/>
              </w:rPr>
            </w:pPr>
            <w:r>
              <w:rPr>
                <w:rFonts w:ascii="Arial" w:cs="Arial" w:eastAsia="Arial" w:hAnsi="Arial"/>
                <w:sz w:val="15"/>
                <w:szCs w:val="15"/>
                <w:color w:val="auto"/>
              </w:rPr>
              <w:t>Net periodic benefit cost</w:t>
            </w:r>
          </w:p>
        </w:tc>
        <w:tc>
          <w:tcPr>
            <w:tcW w:w="1420" w:type="dxa"/>
            <w:vAlign w:val="bottom"/>
            <w:tcBorders>
              <w:bottom w:val="single" w:sz="8" w:color="auto"/>
            </w:tcBorders>
          </w:tcPr>
          <w:p>
            <w:pPr>
              <w:jc w:val="right"/>
              <w:ind w:right="146"/>
              <w:spacing w:after="0" w:line="149" w:lineRule="exact"/>
              <w:rPr>
                <w:sz w:val="20"/>
                <w:szCs w:val="20"/>
                <w:color w:val="auto"/>
              </w:rPr>
            </w:pPr>
            <w:r>
              <w:rPr>
                <w:rFonts w:ascii="Arial" w:cs="Arial" w:eastAsia="Arial" w:hAnsi="Arial"/>
                <w:sz w:val="15"/>
                <w:szCs w:val="15"/>
                <w:b w:val="1"/>
                <w:bCs w:val="1"/>
                <w:color w:val="auto"/>
              </w:rPr>
              <w:t>$ 37,616</w:t>
            </w:r>
          </w:p>
        </w:tc>
        <w:tc>
          <w:tcPr>
            <w:tcW w:w="980" w:type="dxa"/>
            <w:vAlign w:val="bottom"/>
            <w:tcBorders>
              <w:bottom w:val="single" w:sz="8" w:color="auto"/>
            </w:tcBorders>
          </w:tcPr>
          <w:p>
            <w:pPr>
              <w:jc w:val="right"/>
              <w:ind w:right="146"/>
              <w:spacing w:after="0" w:line="149" w:lineRule="exact"/>
              <w:rPr>
                <w:sz w:val="20"/>
                <w:szCs w:val="20"/>
                <w:color w:val="auto"/>
              </w:rPr>
            </w:pPr>
            <w:r>
              <w:rPr>
                <w:rFonts w:ascii="Arial" w:cs="Arial" w:eastAsia="Arial" w:hAnsi="Arial"/>
                <w:sz w:val="15"/>
                <w:szCs w:val="15"/>
                <w:color w:val="auto"/>
              </w:rPr>
              <w:t>$ 33,658</w:t>
            </w:r>
          </w:p>
        </w:tc>
        <w:tc>
          <w:tcPr>
            <w:tcW w:w="840" w:type="dxa"/>
            <w:vAlign w:val="bottom"/>
            <w:tcBorders>
              <w:bottom w:val="single" w:sz="8" w:color="auto"/>
            </w:tcBorders>
          </w:tcPr>
          <w:p>
            <w:pPr>
              <w:jc w:val="right"/>
              <w:ind w:right="6"/>
              <w:spacing w:after="0" w:line="149" w:lineRule="exact"/>
              <w:rPr>
                <w:sz w:val="20"/>
                <w:szCs w:val="20"/>
                <w:color w:val="auto"/>
              </w:rPr>
            </w:pPr>
            <w:r>
              <w:rPr>
                <w:rFonts w:ascii="Arial" w:cs="Arial" w:eastAsia="Arial" w:hAnsi="Arial"/>
                <w:sz w:val="15"/>
                <w:szCs w:val="15"/>
                <w:color w:val="auto"/>
              </w:rPr>
              <w:t>$ 39,432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 xml:space="preserve">The components of net periodic benefit cost other than service cost are included in the line item </w:t>
      </w:r>
      <w:r>
        <w:rPr>
          <w:rFonts w:ascii="Arial" w:cs="Arial" w:eastAsia="Arial" w:hAnsi="Arial"/>
          <w:sz w:val="16"/>
          <w:szCs w:val="16"/>
          <w:i w:val="1"/>
          <w:iCs w:val="1"/>
          <w:color w:val="auto"/>
        </w:rPr>
        <w:t>Other nonoperating (income) and expenses, net,</w:t>
      </w:r>
      <w:r>
        <w:rPr>
          <w:rFonts w:ascii="Arial" w:cs="Arial" w:eastAsia="Arial" w:hAnsi="Arial"/>
          <w:sz w:val="16"/>
          <w:szCs w:val="16"/>
          <w:color w:val="auto"/>
        </w:rPr>
        <w:t xml:space="preserve"> in the consolidated statements of earnings.</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The expected return on assets is a calculation based on applying an annually selected expected rate of return assumption to the estimated fair value of the plan assets, giving consideration to contributions and benefits paid. The termination benefit charge represents the increased benefits payable to former Texas Industries, Inc. (TXI) executives as part of their change-in-control agreements.</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Company recognized the following amounts in consolidated comprehensive earnings: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500" w:type="dxa"/>
            <w:vAlign w:val="bottom"/>
          </w:tcPr>
          <w:p>
            <w:pPr>
              <w:spacing w:after="0"/>
              <w:rPr>
                <w:sz w:val="20"/>
                <w:szCs w:val="20"/>
                <w:color w:val="auto"/>
              </w:rPr>
            </w:pPr>
            <w:r>
              <w:rPr>
                <w:rFonts w:ascii="Arial" w:cs="Arial" w:eastAsia="Arial" w:hAnsi="Arial"/>
                <w:sz w:val="15"/>
                <w:szCs w:val="15"/>
                <w:i w:val="1"/>
                <w:iCs w:val="1"/>
                <w:color w:val="auto"/>
              </w:rPr>
              <w:t>years ended December 31</w:t>
            </w:r>
          </w:p>
        </w:tc>
        <w:tc>
          <w:tcPr>
            <w:tcW w:w="500" w:type="dxa"/>
            <w:vAlign w:val="bottom"/>
          </w:tcPr>
          <w:p>
            <w:pPr>
              <w:spacing w:after="0"/>
              <w:rPr>
                <w:sz w:val="14"/>
                <w:szCs w:val="14"/>
                <w:color w:val="auto"/>
              </w:rPr>
            </w:pPr>
          </w:p>
        </w:tc>
        <w:tc>
          <w:tcPr>
            <w:tcW w:w="740" w:type="dxa"/>
            <w:vAlign w:val="bottom"/>
            <w:vMerge w:val="restart"/>
          </w:tcPr>
          <w:p>
            <w:pPr>
              <w:jc w:val="right"/>
              <w:ind w:right="146"/>
              <w:spacing w:after="0"/>
              <w:rPr>
                <w:sz w:val="20"/>
                <w:szCs w:val="20"/>
                <w:color w:val="auto"/>
              </w:rPr>
            </w:pPr>
            <w:r>
              <w:rPr>
                <w:rFonts w:ascii="Arial" w:cs="Arial" w:eastAsia="Arial" w:hAnsi="Arial"/>
                <w:sz w:val="15"/>
                <w:szCs w:val="15"/>
                <w:b w:val="1"/>
                <w:bCs w:val="1"/>
                <w:color w:val="0085CD"/>
              </w:rPr>
              <w:t>2017</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5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(add 000)</w:t>
            </w:r>
          </w:p>
        </w:tc>
        <w:tc>
          <w:tcPr>
            <w:tcW w:w="5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rPr>
              <w:t>2016</w:t>
            </w:r>
          </w:p>
        </w:tc>
        <w:tc>
          <w:tcPr>
            <w:tcW w:w="2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2015</w:t>
            </w:r>
          </w:p>
        </w:tc>
        <w:tc>
          <w:tcPr>
            <w:tcW w:w="0" w:type="dxa"/>
            <w:vAlign w:val="bottom"/>
          </w:tcPr>
          <w:p>
            <w:pPr>
              <w:spacing w:after="0"/>
              <w:rPr>
                <w:sz w:val="1"/>
                <w:szCs w:val="1"/>
                <w:color w:val="auto"/>
              </w:rPr>
            </w:pPr>
          </w:p>
        </w:tc>
      </w:tr>
      <w:tr>
        <w:trPr>
          <w:trHeight w:val="149"/>
        </w:trPr>
        <w:tc>
          <w:tcPr>
            <w:tcW w:w="250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Actuarial loss</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740" w:type="dxa"/>
            <w:vAlign w:val="bottom"/>
            <w:shd w:val="clear" w:color="auto" w:fill="CCEEFF"/>
          </w:tcPr>
          <w:p>
            <w:pPr>
              <w:jc w:val="right"/>
              <w:ind w:right="146"/>
              <w:spacing w:after="0" w:line="149" w:lineRule="exact"/>
              <w:rPr>
                <w:sz w:val="20"/>
                <w:szCs w:val="20"/>
                <w:color w:val="auto"/>
              </w:rPr>
            </w:pPr>
            <w:r>
              <w:rPr>
                <w:rFonts w:ascii="Arial" w:cs="Arial" w:eastAsia="Arial" w:hAnsi="Arial"/>
                <w:sz w:val="15"/>
                <w:szCs w:val="15"/>
                <w:b w:val="1"/>
                <w:bCs w:val="1"/>
                <w:color w:val="auto"/>
              </w:rPr>
              <w:t>13,343</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ind w:right="146"/>
              <w:spacing w:after="0" w:line="149" w:lineRule="exact"/>
              <w:rPr>
                <w:sz w:val="20"/>
                <w:szCs w:val="20"/>
                <w:color w:val="auto"/>
              </w:rPr>
            </w:pPr>
            <w:r>
              <w:rPr>
                <w:rFonts w:ascii="Arial" w:cs="Arial" w:eastAsia="Arial" w:hAnsi="Arial"/>
                <w:sz w:val="15"/>
                <w:szCs w:val="15"/>
                <w:color w:val="auto"/>
              </w:rPr>
              <w:t>52,028</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600" w:type="dxa"/>
            <w:vAlign w:val="bottom"/>
            <w:shd w:val="clear" w:color="auto" w:fill="CCEEFF"/>
          </w:tcPr>
          <w:p>
            <w:pPr>
              <w:jc w:val="right"/>
              <w:ind w:right="6"/>
              <w:spacing w:after="0" w:line="149" w:lineRule="exact"/>
              <w:rPr>
                <w:sz w:val="20"/>
                <w:szCs w:val="20"/>
                <w:color w:val="auto"/>
              </w:rPr>
            </w:pPr>
            <w:r>
              <w:rPr>
                <w:rFonts w:ascii="Arial" w:cs="Arial" w:eastAsia="Arial" w:hAnsi="Arial"/>
                <w:sz w:val="15"/>
                <w:szCs w:val="15"/>
                <w:color w:val="auto"/>
              </w:rPr>
              <w:t>9,916</w:t>
            </w:r>
          </w:p>
        </w:tc>
        <w:tc>
          <w:tcPr>
            <w:tcW w:w="0" w:type="dxa"/>
            <w:vAlign w:val="bottom"/>
          </w:tcPr>
          <w:p>
            <w:pPr>
              <w:spacing w:after="0"/>
              <w:rPr>
                <w:sz w:val="1"/>
                <w:szCs w:val="1"/>
                <w:color w:val="auto"/>
              </w:rPr>
            </w:pPr>
          </w:p>
        </w:tc>
      </w:tr>
      <w:tr>
        <w:trPr>
          <w:trHeight w:val="156"/>
        </w:trPr>
        <w:tc>
          <w:tcPr>
            <w:tcW w:w="2500" w:type="dxa"/>
            <w:vAlign w:val="bottom"/>
          </w:tcPr>
          <w:p>
            <w:pPr>
              <w:spacing w:after="0" w:line="156" w:lineRule="exact"/>
              <w:rPr>
                <w:sz w:val="20"/>
                <w:szCs w:val="20"/>
                <w:color w:val="auto"/>
              </w:rPr>
            </w:pPr>
            <w:r>
              <w:rPr>
                <w:rFonts w:ascii="Arial" w:cs="Arial" w:eastAsia="Arial" w:hAnsi="Arial"/>
                <w:sz w:val="15"/>
                <w:szCs w:val="15"/>
                <w:color w:val="auto"/>
              </w:rPr>
              <w:t>Amortization of:</w:t>
            </w: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500" w:type="dxa"/>
            <w:vAlign w:val="bottom"/>
            <w:shd w:val="clear" w:color="auto" w:fill="CCEEFF"/>
          </w:tcPr>
          <w:p>
            <w:pPr>
              <w:ind w:left="140"/>
              <w:spacing w:after="0" w:line="156" w:lineRule="exact"/>
              <w:rPr>
                <w:sz w:val="20"/>
                <w:szCs w:val="20"/>
                <w:color w:val="auto"/>
              </w:rPr>
            </w:pPr>
            <w:r>
              <w:rPr>
                <w:rFonts w:ascii="Arial" w:cs="Arial" w:eastAsia="Arial" w:hAnsi="Arial"/>
                <w:sz w:val="15"/>
                <w:szCs w:val="15"/>
                <w:color w:val="auto"/>
              </w:rPr>
              <w:t>Prior service cost</w:t>
            </w:r>
          </w:p>
        </w:tc>
        <w:tc>
          <w:tcPr>
            <w:tcW w:w="50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106"/>
              <w:spacing w:after="0" w:line="156" w:lineRule="exact"/>
              <w:rPr>
                <w:sz w:val="20"/>
                <w:szCs w:val="20"/>
                <w:color w:val="auto"/>
              </w:rPr>
            </w:pPr>
            <w:r>
              <w:rPr>
                <w:rFonts w:ascii="Arial" w:cs="Arial" w:eastAsia="Arial" w:hAnsi="Arial"/>
                <w:sz w:val="15"/>
                <w:szCs w:val="15"/>
                <w:b w:val="1"/>
                <w:bCs w:val="1"/>
                <w:color w:val="auto"/>
              </w:rPr>
              <w:t>(311)</w:t>
            </w:r>
          </w:p>
        </w:tc>
        <w:tc>
          <w:tcPr>
            <w:tcW w:w="26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106"/>
              <w:spacing w:after="0" w:line="156" w:lineRule="exact"/>
              <w:rPr>
                <w:sz w:val="20"/>
                <w:szCs w:val="20"/>
                <w:color w:val="auto"/>
              </w:rPr>
            </w:pPr>
            <w:r>
              <w:rPr>
                <w:rFonts w:ascii="Arial" w:cs="Arial" w:eastAsia="Arial" w:hAnsi="Arial"/>
                <w:sz w:val="15"/>
                <w:szCs w:val="15"/>
                <w:color w:val="auto"/>
              </w:rPr>
              <w:t>(350)</w:t>
            </w:r>
          </w:p>
        </w:tc>
        <w:tc>
          <w:tcPr>
            <w:tcW w:w="2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(422)</w:t>
            </w:r>
          </w:p>
        </w:tc>
        <w:tc>
          <w:tcPr>
            <w:tcW w:w="0" w:type="dxa"/>
            <w:vAlign w:val="bottom"/>
          </w:tcPr>
          <w:p>
            <w:pPr>
              <w:spacing w:after="0"/>
              <w:rPr>
                <w:sz w:val="1"/>
                <w:szCs w:val="1"/>
                <w:color w:val="auto"/>
              </w:rPr>
            </w:pPr>
          </w:p>
        </w:tc>
      </w:tr>
      <w:tr>
        <w:trPr>
          <w:trHeight w:val="156"/>
        </w:trPr>
        <w:tc>
          <w:tcPr>
            <w:tcW w:w="2500" w:type="dxa"/>
            <w:vAlign w:val="bottom"/>
          </w:tcPr>
          <w:p>
            <w:pPr>
              <w:ind w:left="140"/>
              <w:spacing w:after="0" w:line="156" w:lineRule="exact"/>
              <w:rPr>
                <w:sz w:val="20"/>
                <w:szCs w:val="20"/>
                <w:color w:val="auto"/>
              </w:rPr>
            </w:pPr>
            <w:r>
              <w:rPr>
                <w:rFonts w:ascii="Arial" w:cs="Arial" w:eastAsia="Arial" w:hAnsi="Arial"/>
                <w:sz w:val="15"/>
                <w:szCs w:val="15"/>
                <w:color w:val="auto"/>
              </w:rPr>
              <w:t>Actuarial loss</w:t>
            </w:r>
          </w:p>
        </w:tc>
        <w:tc>
          <w:tcPr>
            <w:tcW w:w="500" w:type="dxa"/>
            <w:vAlign w:val="bottom"/>
          </w:tcPr>
          <w:p>
            <w:pPr>
              <w:spacing w:after="0"/>
              <w:rPr>
                <w:sz w:val="13"/>
                <w:szCs w:val="13"/>
                <w:color w:val="auto"/>
              </w:rPr>
            </w:pPr>
          </w:p>
        </w:tc>
        <w:tc>
          <w:tcPr>
            <w:tcW w:w="740" w:type="dxa"/>
            <w:vAlign w:val="bottom"/>
          </w:tcPr>
          <w:p>
            <w:pPr>
              <w:jc w:val="right"/>
              <w:ind w:right="106"/>
              <w:spacing w:after="0" w:line="156" w:lineRule="exact"/>
              <w:rPr>
                <w:sz w:val="20"/>
                <w:szCs w:val="20"/>
                <w:color w:val="auto"/>
              </w:rPr>
            </w:pPr>
            <w:r>
              <w:rPr>
                <w:rFonts w:ascii="Arial" w:cs="Arial" w:eastAsia="Arial" w:hAnsi="Arial"/>
                <w:sz w:val="15"/>
                <w:szCs w:val="15"/>
                <w:b w:val="1"/>
                <w:bCs w:val="1"/>
                <w:color w:val="auto"/>
                <w:w w:val="96"/>
              </w:rPr>
              <w:t>(14,138)</w:t>
            </w:r>
          </w:p>
        </w:tc>
        <w:tc>
          <w:tcPr>
            <w:tcW w:w="260" w:type="dxa"/>
            <w:vAlign w:val="bottom"/>
          </w:tcPr>
          <w:p>
            <w:pPr>
              <w:spacing w:after="0"/>
              <w:rPr>
                <w:sz w:val="13"/>
                <w:szCs w:val="13"/>
                <w:color w:val="auto"/>
              </w:rPr>
            </w:pPr>
          </w:p>
        </w:tc>
        <w:tc>
          <w:tcPr>
            <w:tcW w:w="740" w:type="dxa"/>
            <w:vAlign w:val="bottom"/>
          </w:tcPr>
          <w:p>
            <w:pPr>
              <w:jc w:val="right"/>
              <w:ind w:right="106"/>
              <w:spacing w:after="0" w:line="156" w:lineRule="exact"/>
              <w:rPr>
                <w:sz w:val="20"/>
                <w:szCs w:val="20"/>
                <w:color w:val="auto"/>
              </w:rPr>
            </w:pPr>
            <w:r>
              <w:rPr>
                <w:rFonts w:ascii="Arial" w:cs="Arial" w:eastAsia="Arial" w:hAnsi="Arial"/>
                <w:sz w:val="15"/>
                <w:szCs w:val="15"/>
                <w:color w:val="auto"/>
                <w:w w:val="96"/>
              </w:rPr>
              <w:t>(12,074)</w:t>
            </w:r>
          </w:p>
        </w:tc>
        <w:tc>
          <w:tcPr>
            <w:tcW w:w="240" w:type="dxa"/>
            <w:vAlign w:val="bottom"/>
          </w:tcPr>
          <w:p>
            <w:pPr>
              <w:spacing w:after="0"/>
              <w:rPr>
                <w:sz w:val="13"/>
                <w:szCs w:val="13"/>
                <w:color w:val="auto"/>
              </w:rPr>
            </w:pPr>
          </w:p>
        </w:tc>
        <w:tc>
          <w:tcPr>
            <w:tcW w:w="600" w:type="dxa"/>
            <w:vAlign w:val="bottom"/>
          </w:tcPr>
          <w:p>
            <w:pPr>
              <w:jc w:val="right"/>
              <w:spacing w:after="0" w:line="156" w:lineRule="exact"/>
              <w:rPr>
                <w:sz w:val="20"/>
                <w:szCs w:val="20"/>
                <w:color w:val="auto"/>
              </w:rPr>
            </w:pPr>
            <w:r>
              <w:rPr>
                <w:rFonts w:ascii="Arial" w:cs="Arial" w:eastAsia="Arial" w:hAnsi="Arial"/>
                <w:sz w:val="15"/>
                <w:szCs w:val="15"/>
                <w:color w:val="auto"/>
                <w:w w:val="96"/>
              </w:rPr>
              <w:t>(17,159)</w:t>
            </w:r>
          </w:p>
        </w:tc>
        <w:tc>
          <w:tcPr>
            <w:tcW w:w="0" w:type="dxa"/>
            <w:vAlign w:val="bottom"/>
          </w:tcPr>
          <w:p>
            <w:pPr>
              <w:spacing w:after="0"/>
              <w:rPr>
                <w:sz w:val="1"/>
                <w:szCs w:val="1"/>
                <w:color w:val="auto"/>
              </w:rPr>
            </w:pPr>
          </w:p>
        </w:tc>
      </w:tr>
      <w:tr>
        <w:trPr>
          <w:trHeight w:val="156"/>
        </w:trPr>
        <w:tc>
          <w:tcPr>
            <w:tcW w:w="2500" w:type="dxa"/>
            <w:vAlign w:val="bottom"/>
            <w:shd w:val="clear" w:color="auto" w:fill="CCEEFF"/>
          </w:tcPr>
          <w:p>
            <w:pPr>
              <w:ind w:left="140"/>
              <w:spacing w:after="0" w:line="156" w:lineRule="exact"/>
              <w:rPr>
                <w:sz w:val="20"/>
                <w:szCs w:val="20"/>
                <w:color w:val="auto"/>
              </w:rPr>
            </w:pPr>
            <w:r>
              <w:rPr>
                <w:rFonts w:ascii="Arial" w:cs="Arial" w:eastAsia="Arial" w:hAnsi="Arial"/>
                <w:sz w:val="15"/>
                <w:szCs w:val="15"/>
                <w:color w:val="auto"/>
              </w:rPr>
              <w:t>Transition asset</w:t>
            </w:r>
          </w:p>
        </w:tc>
        <w:tc>
          <w:tcPr>
            <w:tcW w:w="50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146"/>
              <w:spacing w:after="0" w:line="156" w:lineRule="exact"/>
              <w:rPr>
                <w:sz w:val="20"/>
                <w:szCs w:val="20"/>
                <w:color w:val="auto"/>
              </w:rPr>
            </w:pPr>
            <w:r>
              <w:rPr>
                <w:rFonts w:ascii="Arial" w:cs="Arial" w:eastAsia="Arial" w:hAnsi="Arial"/>
                <w:sz w:val="15"/>
                <w:szCs w:val="15"/>
                <w:b w:val="1"/>
                <w:bCs w:val="1"/>
                <w:color w:val="auto"/>
              </w:rPr>
              <w:t>1</w:t>
            </w:r>
          </w:p>
        </w:tc>
        <w:tc>
          <w:tcPr>
            <w:tcW w:w="26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146"/>
              <w:spacing w:after="0" w:line="156" w:lineRule="exact"/>
              <w:rPr>
                <w:sz w:val="20"/>
                <w:szCs w:val="20"/>
                <w:color w:val="auto"/>
              </w:rPr>
            </w:pPr>
            <w:r>
              <w:rPr>
                <w:rFonts w:ascii="Arial" w:cs="Arial" w:eastAsia="Arial" w:hAnsi="Arial"/>
                <w:sz w:val="15"/>
                <w:szCs w:val="15"/>
                <w:color w:val="auto"/>
              </w:rPr>
              <w:t>1</w:t>
            </w:r>
          </w:p>
        </w:tc>
        <w:tc>
          <w:tcPr>
            <w:tcW w:w="24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6"/>
              <w:spacing w:after="0" w:line="156" w:lineRule="exact"/>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56"/>
        </w:trPr>
        <w:tc>
          <w:tcPr>
            <w:tcW w:w="2500" w:type="dxa"/>
            <w:vAlign w:val="bottom"/>
          </w:tcPr>
          <w:p>
            <w:pPr>
              <w:spacing w:after="0" w:line="156" w:lineRule="exact"/>
              <w:rPr>
                <w:sz w:val="20"/>
                <w:szCs w:val="20"/>
                <w:color w:val="auto"/>
              </w:rPr>
            </w:pPr>
            <w:r>
              <w:rPr>
                <w:rFonts w:ascii="Arial" w:cs="Arial" w:eastAsia="Arial" w:hAnsi="Arial"/>
                <w:sz w:val="15"/>
                <w:szCs w:val="15"/>
                <w:color w:val="auto"/>
              </w:rPr>
              <w:t>Special plan termination benefits</w:t>
            </w:r>
          </w:p>
        </w:tc>
        <w:tc>
          <w:tcPr>
            <w:tcW w:w="500" w:type="dxa"/>
            <w:vAlign w:val="bottom"/>
          </w:tcPr>
          <w:p>
            <w:pPr>
              <w:spacing w:after="0"/>
              <w:rPr>
                <w:sz w:val="13"/>
                <w:szCs w:val="13"/>
                <w:color w:val="auto"/>
              </w:rPr>
            </w:pPr>
          </w:p>
        </w:tc>
        <w:tc>
          <w:tcPr>
            <w:tcW w:w="740" w:type="dxa"/>
            <w:vAlign w:val="bottom"/>
          </w:tcPr>
          <w:p>
            <w:pPr>
              <w:jc w:val="right"/>
              <w:ind w:right="146"/>
              <w:spacing w:after="0" w:line="156" w:lineRule="exact"/>
              <w:rPr>
                <w:sz w:val="20"/>
                <w:szCs w:val="20"/>
                <w:color w:val="auto"/>
              </w:rPr>
            </w:pPr>
            <w:r>
              <w:rPr>
                <w:rFonts w:ascii="Arial" w:cs="Arial" w:eastAsia="Arial" w:hAnsi="Arial"/>
                <w:sz w:val="15"/>
                <w:szCs w:val="15"/>
                <w:b w:val="1"/>
                <w:bCs w:val="1"/>
                <w:color w:val="auto"/>
              </w:rPr>
              <w:t>–</w:t>
            </w:r>
          </w:p>
        </w:tc>
        <w:tc>
          <w:tcPr>
            <w:tcW w:w="260" w:type="dxa"/>
            <w:vAlign w:val="bottom"/>
          </w:tcPr>
          <w:p>
            <w:pPr>
              <w:spacing w:after="0"/>
              <w:rPr>
                <w:sz w:val="13"/>
                <w:szCs w:val="13"/>
                <w:color w:val="auto"/>
              </w:rPr>
            </w:pPr>
          </w:p>
        </w:tc>
        <w:tc>
          <w:tcPr>
            <w:tcW w:w="740" w:type="dxa"/>
            <w:vAlign w:val="bottom"/>
          </w:tcPr>
          <w:p>
            <w:pPr>
              <w:jc w:val="right"/>
              <w:ind w:right="106"/>
              <w:spacing w:after="0" w:line="156" w:lineRule="exact"/>
              <w:rPr>
                <w:sz w:val="20"/>
                <w:szCs w:val="20"/>
                <w:color w:val="auto"/>
              </w:rPr>
            </w:pPr>
            <w:r>
              <w:rPr>
                <w:rFonts w:ascii="Arial" w:cs="Arial" w:eastAsia="Arial" w:hAnsi="Arial"/>
                <w:sz w:val="15"/>
                <w:szCs w:val="15"/>
                <w:color w:val="auto"/>
              </w:rPr>
              <w:t>(764)</w:t>
            </w:r>
          </w:p>
        </w:tc>
        <w:tc>
          <w:tcPr>
            <w:tcW w:w="240" w:type="dxa"/>
            <w:vAlign w:val="bottom"/>
          </w:tcPr>
          <w:p>
            <w:pPr>
              <w:spacing w:after="0"/>
              <w:rPr>
                <w:sz w:val="13"/>
                <w:szCs w:val="13"/>
                <w:color w:val="auto"/>
              </w:rPr>
            </w:pPr>
          </w:p>
        </w:tc>
        <w:tc>
          <w:tcPr>
            <w:tcW w:w="600" w:type="dxa"/>
            <w:vAlign w:val="bottom"/>
          </w:tcPr>
          <w:p>
            <w:pPr>
              <w:jc w:val="right"/>
              <w:spacing w:after="0" w:line="156" w:lineRule="exact"/>
              <w:rPr>
                <w:sz w:val="20"/>
                <w:szCs w:val="20"/>
                <w:color w:val="auto"/>
              </w:rPr>
            </w:pPr>
            <w:r>
              <w:rPr>
                <w:rFonts w:ascii="Arial" w:cs="Arial" w:eastAsia="Arial" w:hAnsi="Arial"/>
                <w:sz w:val="15"/>
                <w:szCs w:val="15"/>
                <w:color w:val="auto"/>
              </w:rPr>
              <w:t>(2,085)</w:t>
            </w:r>
          </w:p>
        </w:tc>
        <w:tc>
          <w:tcPr>
            <w:tcW w:w="0" w:type="dxa"/>
            <w:vAlign w:val="bottom"/>
          </w:tcPr>
          <w:p>
            <w:pPr>
              <w:spacing w:after="0"/>
              <w:rPr>
                <w:sz w:val="1"/>
                <w:szCs w:val="1"/>
                <w:color w:val="auto"/>
              </w:rPr>
            </w:pPr>
          </w:p>
        </w:tc>
      </w:tr>
      <w:tr>
        <w:trPr>
          <w:trHeight w:val="156"/>
        </w:trPr>
        <w:tc>
          <w:tcPr>
            <w:tcW w:w="250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Settlement charge</w:t>
            </w:r>
          </w:p>
        </w:tc>
        <w:tc>
          <w:tcPr>
            <w:tcW w:w="50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106"/>
              <w:spacing w:after="0" w:line="156" w:lineRule="exact"/>
              <w:rPr>
                <w:sz w:val="20"/>
                <w:szCs w:val="20"/>
                <w:color w:val="auto"/>
              </w:rPr>
            </w:pPr>
            <w:r>
              <w:rPr>
                <w:rFonts w:ascii="Arial" w:cs="Arial" w:eastAsia="Arial" w:hAnsi="Arial"/>
                <w:sz w:val="15"/>
                <w:szCs w:val="15"/>
                <w:b w:val="1"/>
                <w:bCs w:val="1"/>
                <w:color w:val="auto"/>
              </w:rPr>
              <w:t>(21)</w:t>
            </w:r>
          </w:p>
        </w:tc>
        <w:tc>
          <w:tcPr>
            <w:tcW w:w="26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106"/>
              <w:spacing w:after="0" w:line="156" w:lineRule="exact"/>
              <w:rPr>
                <w:sz w:val="20"/>
                <w:szCs w:val="20"/>
                <w:color w:val="auto"/>
              </w:rPr>
            </w:pPr>
            <w:r>
              <w:rPr>
                <w:rFonts w:ascii="Arial" w:cs="Arial" w:eastAsia="Arial" w:hAnsi="Arial"/>
                <w:sz w:val="15"/>
                <w:szCs w:val="15"/>
                <w:color w:val="auto"/>
              </w:rPr>
              <w:t>(124)</w:t>
            </w:r>
          </w:p>
        </w:tc>
        <w:tc>
          <w:tcPr>
            <w:tcW w:w="24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6"/>
              <w:spacing w:after="0" w:line="15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6"/>
        </w:trPr>
        <w:tc>
          <w:tcPr>
            <w:tcW w:w="2500" w:type="dxa"/>
            <w:vAlign w:val="bottom"/>
            <w:tcBorders>
              <w:bottom w:val="single" w:sz="8" w:color="auto"/>
            </w:tcBorders>
          </w:tcPr>
          <w:p>
            <w:pPr>
              <w:spacing w:after="0" w:line="156" w:lineRule="exact"/>
              <w:rPr>
                <w:sz w:val="20"/>
                <w:szCs w:val="20"/>
                <w:color w:val="auto"/>
              </w:rPr>
            </w:pPr>
            <w:r>
              <w:rPr>
                <w:rFonts w:ascii="Arial" w:cs="Arial" w:eastAsia="Arial" w:hAnsi="Arial"/>
                <w:sz w:val="15"/>
                <w:szCs w:val="15"/>
                <w:color w:val="auto"/>
              </w:rPr>
              <w:t>Net prior service cost</w:t>
            </w:r>
          </w:p>
        </w:tc>
        <w:tc>
          <w:tcPr>
            <w:tcW w:w="5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46"/>
              <w:spacing w:after="0" w:line="156" w:lineRule="exact"/>
              <w:rPr>
                <w:sz w:val="20"/>
                <w:szCs w:val="20"/>
                <w:color w:val="auto"/>
              </w:rPr>
            </w:pPr>
            <w:r>
              <w:rPr>
                <w:rFonts w:ascii="Arial" w:cs="Arial" w:eastAsia="Arial" w:hAnsi="Arial"/>
                <w:sz w:val="15"/>
                <w:szCs w:val="15"/>
                <w:b w:val="1"/>
                <w:bCs w:val="1"/>
                <w:color w:val="auto"/>
              </w:rPr>
              <w:t>–</w:t>
            </w:r>
          </w:p>
        </w:tc>
        <w:tc>
          <w:tcPr>
            <w:tcW w:w="2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46"/>
              <w:spacing w:after="0" w:line="156" w:lineRule="exact"/>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6"/>
              <w:spacing w:after="0" w:line="156" w:lineRule="exact"/>
              <w:rPr>
                <w:sz w:val="20"/>
                <w:szCs w:val="20"/>
                <w:color w:val="auto"/>
              </w:rPr>
            </w:pPr>
            <w:r>
              <w:rPr>
                <w:rFonts w:ascii="Arial" w:cs="Arial" w:eastAsia="Arial" w:hAnsi="Arial"/>
                <w:sz w:val="15"/>
                <w:szCs w:val="15"/>
                <w:color w:val="auto"/>
              </w:rPr>
              <w:t>2,338</w:t>
            </w:r>
          </w:p>
        </w:tc>
        <w:tc>
          <w:tcPr>
            <w:tcW w:w="0" w:type="dxa"/>
            <w:vAlign w:val="bottom"/>
          </w:tcPr>
          <w:p>
            <w:pPr>
              <w:spacing w:after="0"/>
              <w:rPr>
                <w:sz w:val="1"/>
                <w:szCs w:val="1"/>
                <w:color w:val="auto"/>
              </w:rPr>
            </w:pPr>
          </w:p>
        </w:tc>
      </w:tr>
      <w:tr>
        <w:trPr>
          <w:trHeight w:val="155"/>
        </w:trPr>
        <w:tc>
          <w:tcPr>
            <w:tcW w:w="250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5"/>
                <w:szCs w:val="15"/>
                <w:color w:val="auto"/>
              </w:rPr>
              <w:t>Total</w:t>
            </w:r>
          </w:p>
        </w:tc>
        <w:tc>
          <w:tcPr>
            <w:tcW w:w="5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740" w:type="dxa"/>
            <w:vAlign w:val="bottom"/>
            <w:tcBorders>
              <w:bottom w:val="single" w:sz="8" w:color="auto"/>
            </w:tcBorders>
            <w:shd w:val="clear" w:color="auto" w:fill="CCEEFF"/>
          </w:tcPr>
          <w:p>
            <w:pPr>
              <w:jc w:val="right"/>
              <w:ind w:right="106"/>
              <w:spacing w:after="0" w:line="149" w:lineRule="exact"/>
              <w:rPr>
                <w:sz w:val="20"/>
                <w:szCs w:val="20"/>
                <w:color w:val="auto"/>
              </w:rPr>
            </w:pPr>
            <w:r>
              <w:rPr>
                <w:rFonts w:ascii="Arial" w:cs="Arial" w:eastAsia="Arial" w:hAnsi="Arial"/>
                <w:sz w:val="15"/>
                <w:szCs w:val="15"/>
                <w:b w:val="1"/>
                <w:bCs w:val="1"/>
                <w:color w:val="auto"/>
              </w:rPr>
              <w:t>(1,126)</w:t>
            </w:r>
          </w:p>
        </w:tc>
        <w:tc>
          <w:tcPr>
            <w:tcW w:w="2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shd w:val="clear" w:color="auto" w:fill="CCEEFF"/>
          </w:tcPr>
          <w:p>
            <w:pPr>
              <w:jc w:val="right"/>
              <w:ind w:right="146"/>
              <w:spacing w:after="0" w:line="149" w:lineRule="exact"/>
              <w:rPr>
                <w:sz w:val="20"/>
                <w:szCs w:val="20"/>
                <w:color w:val="auto"/>
              </w:rPr>
            </w:pPr>
            <w:r>
              <w:rPr>
                <w:rFonts w:ascii="Arial" w:cs="Arial" w:eastAsia="Arial" w:hAnsi="Arial"/>
                <w:sz w:val="15"/>
                <w:szCs w:val="15"/>
                <w:color w:val="auto"/>
              </w:rPr>
              <w:t>38,717</w:t>
            </w:r>
          </w:p>
        </w:tc>
        <w:tc>
          <w:tcPr>
            <w:tcW w:w="2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(7,411)</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Accumulated other comprehensive loss includes the following amounts that have not yet been recognized in net periodic benefit cost:</w:t>
      </w:r>
    </w:p>
    <w:p>
      <w:pPr>
        <w:spacing w:after="0" w:line="77" w:lineRule="exact"/>
        <w:rPr>
          <w:sz w:val="20"/>
          <w:szCs w:val="20"/>
          <w:color w:val="auto"/>
        </w:rPr>
      </w:pPr>
    </w:p>
    <w:p>
      <w:pPr>
        <w:sectPr>
          <w:pgSz w:w="11900" w:h="16838" w:orient="portrait"/>
          <w:cols w:equalWidth="0" w:num="2">
            <w:col w:w="5480" w:space="360"/>
            <w:col w:w="5580"/>
          </w:cols>
          <w:pgMar w:left="240" w:top="259" w:right="239" w:bottom="1440" w:gutter="0" w:footer="0" w:header="0"/>
          <w:type w:val="continuous"/>
        </w:sectPr>
      </w:pPr>
    </w:p>
    <w:tbl>
      <w:tblPr>
        <w:tblLayout w:type="fixed"/>
        <w:tblInd w:w="5840" w:type="dxa"/>
        <w:tblCellMar>
          <w:top w:w="0" w:type="dxa"/>
          <w:left w:w="0" w:type="dxa"/>
          <w:bottom w:w="0" w:type="dxa"/>
          <w:right w:w="0" w:type="dxa"/>
        </w:tblCellMar>
      </w:tblPr>
      <w:tr>
        <w:trPr>
          <w:trHeight w:val="177"/>
        </w:trPr>
        <w:tc>
          <w:tcPr>
            <w:tcW w:w="2000" w:type="dxa"/>
            <w:vAlign w:val="bottom"/>
          </w:tcPr>
          <w:p>
            <w:pPr>
              <w:spacing w:after="0"/>
              <w:rPr>
                <w:sz w:val="20"/>
                <w:szCs w:val="20"/>
                <w:color w:val="auto"/>
              </w:rPr>
            </w:pPr>
            <w:r>
              <w:rPr>
                <w:rFonts w:ascii="Arial" w:cs="Arial" w:eastAsia="Arial" w:hAnsi="Arial"/>
                <w:sz w:val="15"/>
                <w:szCs w:val="15"/>
                <w:i w:val="1"/>
                <w:iCs w:val="1"/>
                <w:color w:val="auto"/>
              </w:rPr>
              <w:t>December 31</w:t>
            </w: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0085CD"/>
              </w:rPr>
              <w:t>2017</w:t>
            </w:r>
          </w:p>
        </w:tc>
        <w:tc>
          <w:tcPr>
            <w:tcW w:w="7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2016</w:t>
            </w:r>
          </w:p>
        </w:tc>
        <w:tc>
          <w:tcPr>
            <w:tcW w:w="660" w:type="dxa"/>
            <w:vAlign w:val="bottom"/>
            <w:tcBorders>
              <w:bottom w:val="single" w:sz="8" w:color="auto"/>
            </w:tcBorders>
          </w:tcPr>
          <w:p>
            <w:pPr>
              <w:spacing w:after="0"/>
              <w:rPr>
                <w:sz w:val="15"/>
                <w:szCs w:val="15"/>
                <w:color w:val="auto"/>
              </w:rPr>
            </w:pPr>
          </w:p>
        </w:tc>
      </w:tr>
      <w:tr>
        <w:trPr>
          <w:trHeight w:val="149"/>
        </w:trPr>
        <w:tc>
          <w:tcPr>
            <w:tcW w:w="2000" w:type="dxa"/>
            <w:vAlign w:val="bottom"/>
            <w:tcBorders>
              <w:bottom w:val="single" w:sz="8" w:color="auto"/>
            </w:tcBorders>
          </w:tcPr>
          <w:p>
            <w:pPr>
              <w:spacing w:after="0" w:line="149" w:lineRule="exact"/>
              <w:rPr>
                <w:sz w:val="20"/>
                <w:szCs w:val="20"/>
                <w:color w:val="auto"/>
              </w:rPr>
            </w:pPr>
            <w:r>
              <w:rPr>
                <w:rFonts w:ascii="Arial" w:cs="Arial" w:eastAsia="Arial" w:hAnsi="Arial"/>
                <w:sz w:val="15"/>
                <w:szCs w:val="15"/>
                <w:color w:val="auto"/>
              </w:rPr>
              <w:t>(add 000)</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86"/>
              <w:spacing w:after="0" w:line="149" w:lineRule="exact"/>
              <w:rPr>
                <w:sz w:val="20"/>
                <w:szCs w:val="20"/>
                <w:color w:val="auto"/>
              </w:rPr>
            </w:pPr>
            <w:r>
              <w:rPr>
                <w:rFonts w:ascii="Arial" w:cs="Arial" w:eastAsia="Arial" w:hAnsi="Arial"/>
                <w:sz w:val="15"/>
                <w:szCs w:val="15"/>
                <w:b w:val="1"/>
                <w:bCs w:val="1"/>
                <w:color w:val="auto"/>
              </w:rPr>
              <w:t>Gross</w:t>
            </w:r>
          </w:p>
        </w:tc>
        <w:tc>
          <w:tcPr>
            <w:tcW w:w="900" w:type="dxa"/>
            <w:vAlign w:val="bottom"/>
            <w:tcBorders>
              <w:bottom w:val="single" w:sz="8" w:color="auto"/>
            </w:tcBorders>
            <w:gridSpan w:val="2"/>
          </w:tcPr>
          <w:p>
            <w:pPr>
              <w:jc w:val="right"/>
              <w:ind w:right="66"/>
              <w:spacing w:after="0" w:line="149" w:lineRule="exact"/>
              <w:rPr>
                <w:sz w:val="20"/>
                <w:szCs w:val="20"/>
                <w:color w:val="auto"/>
              </w:rPr>
            </w:pPr>
            <w:r>
              <w:rPr>
                <w:rFonts w:ascii="Arial" w:cs="Arial" w:eastAsia="Arial" w:hAnsi="Arial"/>
                <w:sz w:val="15"/>
                <w:szCs w:val="15"/>
                <w:b w:val="1"/>
                <w:bCs w:val="1"/>
                <w:color w:val="auto"/>
              </w:rPr>
              <w:t>Net of tax</w:t>
            </w: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06"/>
              <w:spacing w:after="0" w:line="149" w:lineRule="exact"/>
              <w:rPr>
                <w:sz w:val="20"/>
                <w:szCs w:val="20"/>
                <w:color w:val="auto"/>
              </w:rPr>
            </w:pPr>
            <w:r>
              <w:rPr>
                <w:rFonts w:ascii="Arial" w:cs="Arial" w:eastAsia="Arial" w:hAnsi="Arial"/>
                <w:sz w:val="15"/>
                <w:szCs w:val="15"/>
                <w:color w:val="auto"/>
              </w:rPr>
              <w:t>Gross</w:t>
            </w:r>
          </w:p>
        </w:tc>
        <w:tc>
          <w:tcPr>
            <w:tcW w:w="860" w:type="dxa"/>
            <w:vAlign w:val="bottom"/>
            <w:tcBorders>
              <w:bottom w:val="single" w:sz="8" w:color="auto"/>
            </w:tcBorders>
            <w:gridSpan w:val="2"/>
          </w:tcPr>
          <w:p>
            <w:pPr>
              <w:jc w:val="right"/>
              <w:ind w:right="66"/>
              <w:spacing w:after="0" w:line="149" w:lineRule="exact"/>
              <w:rPr>
                <w:sz w:val="20"/>
                <w:szCs w:val="20"/>
                <w:color w:val="auto"/>
              </w:rPr>
            </w:pPr>
            <w:r>
              <w:rPr>
                <w:rFonts w:ascii="Arial" w:cs="Arial" w:eastAsia="Arial" w:hAnsi="Arial"/>
                <w:sz w:val="15"/>
                <w:szCs w:val="15"/>
                <w:color w:val="auto"/>
              </w:rPr>
              <w:t>Net of tax</w:t>
            </w:r>
          </w:p>
        </w:tc>
      </w:tr>
      <w:tr>
        <w:trPr>
          <w:trHeight w:val="149"/>
        </w:trPr>
        <w:tc>
          <w:tcPr>
            <w:tcW w:w="200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Prior service cost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720" w:type="dxa"/>
            <w:vAlign w:val="bottom"/>
            <w:shd w:val="clear" w:color="auto" w:fill="CCEEFF"/>
          </w:tcPr>
          <w:p>
            <w:pPr>
              <w:jc w:val="right"/>
              <w:ind w:right="46"/>
              <w:spacing w:after="0" w:line="149" w:lineRule="exact"/>
              <w:rPr>
                <w:sz w:val="20"/>
                <w:szCs w:val="20"/>
                <w:color w:val="auto"/>
              </w:rPr>
            </w:pPr>
            <w:r>
              <w:rPr>
                <w:rFonts w:ascii="Arial" w:cs="Arial" w:eastAsia="Arial" w:hAnsi="Arial"/>
                <w:sz w:val="15"/>
                <w:szCs w:val="15"/>
                <w:b w:val="1"/>
                <w:bCs w:val="1"/>
                <w:color w:val="auto"/>
              </w:rPr>
              <w:t>115</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700" w:type="dxa"/>
            <w:vAlign w:val="bottom"/>
            <w:shd w:val="clear" w:color="auto" w:fill="CCEEFF"/>
          </w:tcPr>
          <w:p>
            <w:pPr>
              <w:jc w:val="right"/>
              <w:ind w:right="46"/>
              <w:spacing w:after="0" w:line="149" w:lineRule="exact"/>
              <w:rPr>
                <w:sz w:val="20"/>
                <w:szCs w:val="20"/>
                <w:color w:val="auto"/>
              </w:rPr>
            </w:pPr>
            <w:r>
              <w:rPr>
                <w:rFonts w:ascii="Arial" w:cs="Arial" w:eastAsia="Arial" w:hAnsi="Arial"/>
                <w:sz w:val="15"/>
                <w:szCs w:val="15"/>
                <w:b w:val="1"/>
                <w:bCs w:val="1"/>
                <w:color w:val="auto"/>
              </w:rPr>
              <w:t>71</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ind w:right="46"/>
              <w:spacing w:after="0" w:line="149" w:lineRule="exact"/>
              <w:rPr>
                <w:sz w:val="20"/>
                <w:szCs w:val="20"/>
                <w:color w:val="auto"/>
              </w:rPr>
            </w:pPr>
            <w:r>
              <w:rPr>
                <w:rFonts w:ascii="Arial" w:cs="Arial" w:eastAsia="Arial" w:hAnsi="Arial"/>
                <w:sz w:val="15"/>
                <w:szCs w:val="15"/>
                <w:color w:val="auto"/>
              </w:rPr>
              <w:t>425</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ind w:right="6"/>
              <w:spacing w:after="0" w:line="149" w:lineRule="exact"/>
              <w:rPr>
                <w:sz w:val="20"/>
                <w:szCs w:val="20"/>
                <w:color w:val="auto"/>
              </w:rPr>
            </w:pPr>
            <w:r>
              <w:rPr>
                <w:rFonts w:ascii="Arial" w:cs="Arial" w:eastAsia="Arial" w:hAnsi="Arial"/>
                <w:sz w:val="15"/>
                <w:szCs w:val="15"/>
                <w:color w:val="auto"/>
              </w:rPr>
              <w:t>261</w:t>
            </w:r>
          </w:p>
        </w:tc>
      </w:tr>
      <w:tr>
        <w:trPr>
          <w:trHeight w:val="156"/>
        </w:trPr>
        <w:tc>
          <w:tcPr>
            <w:tcW w:w="2000" w:type="dxa"/>
            <w:vAlign w:val="bottom"/>
          </w:tcPr>
          <w:p>
            <w:pPr>
              <w:spacing w:after="0" w:line="156" w:lineRule="exact"/>
              <w:rPr>
                <w:sz w:val="20"/>
                <w:szCs w:val="20"/>
                <w:color w:val="auto"/>
              </w:rPr>
            </w:pPr>
            <w:r>
              <w:rPr>
                <w:rFonts w:ascii="Arial" w:cs="Arial" w:eastAsia="Arial" w:hAnsi="Arial"/>
                <w:sz w:val="15"/>
                <w:szCs w:val="15"/>
                <w:color w:val="auto"/>
              </w:rPr>
              <w:t>Actuarial loss</w:t>
            </w:r>
          </w:p>
        </w:tc>
        <w:tc>
          <w:tcPr>
            <w:tcW w:w="200" w:type="dxa"/>
            <w:vAlign w:val="bottom"/>
          </w:tcPr>
          <w:p>
            <w:pPr>
              <w:spacing w:after="0"/>
              <w:rPr>
                <w:sz w:val="13"/>
                <w:szCs w:val="13"/>
                <w:color w:val="auto"/>
              </w:rPr>
            </w:pPr>
          </w:p>
        </w:tc>
        <w:tc>
          <w:tcPr>
            <w:tcW w:w="720" w:type="dxa"/>
            <w:vAlign w:val="bottom"/>
          </w:tcPr>
          <w:p>
            <w:pPr>
              <w:jc w:val="right"/>
              <w:ind w:right="46"/>
              <w:spacing w:after="0" w:line="156" w:lineRule="exact"/>
              <w:rPr>
                <w:sz w:val="20"/>
                <w:szCs w:val="20"/>
                <w:color w:val="auto"/>
              </w:rPr>
            </w:pPr>
            <w:r>
              <w:rPr>
                <w:rFonts w:ascii="Arial" w:cs="Arial" w:eastAsia="Arial" w:hAnsi="Arial"/>
                <w:sz w:val="15"/>
                <w:szCs w:val="15"/>
                <w:b w:val="1"/>
                <w:bCs w:val="1"/>
                <w:color w:val="auto"/>
              </w:rPr>
              <w:t>217,240</w:t>
            </w:r>
          </w:p>
        </w:tc>
        <w:tc>
          <w:tcPr>
            <w:tcW w:w="200" w:type="dxa"/>
            <w:vAlign w:val="bottom"/>
          </w:tcPr>
          <w:p>
            <w:pPr>
              <w:spacing w:after="0"/>
              <w:rPr>
                <w:sz w:val="13"/>
                <w:szCs w:val="13"/>
                <w:color w:val="auto"/>
              </w:rPr>
            </w:pPr>
          </w:p>
        </w:tc>
        <w:tc>
          <w:tcPr>
            <w:tcW w:w="700" w:type="dxa"/>
            <w:vAlign w:val="bottom"/>
          </w:tcPr>
          <w:p>
            <w:pPr>
              <w:jc w:val="right"/>
              <w:ind w:right="46"/>
              <w:spacing w:after="0" w:line="156" w:lineRule="exact"/>
              <w:rPr>
                <w:sz w:val="20"/>
                <w:szCs w:val="20"/>
                <w:color w:val="auto"/>
              </w:rPr>
            </w:pPr>
            <w:r>
              <w:rPr>
                <w:rFonts w:ascii="Arial" w:cs="Arial" w:eastAsia="Arial" w:hAnsi="Arial"/>
                <w:sz w:val="15"/>
                <w:szCs w:val="15"/>
                <w:b w:val="1"/>
                <w:bCs w:val="1"/>
                <w:color w:val="auto"/>
              </w:rPr>
              <w:t>134,066</w:t>
            </w:r>
          </w:p>
        </w:tc>
        <w:tc>
          <w:tcPr>
            <w:tcW w:w="180" w:type="dxa"/>
            <w:vAlign w:val="bottom"/>
          </w:tcPr>
          <w:p>
            <w:pPr>
              <w:spacing w:after="0"/>
              <w:rPr>
                <w:sz w:val="13"/>
                <w:szCs w:val="13"/>
                <w:color w:val="auto"/>
              </w:rPr>
            </w:pPr>
          </w:p>
        </w:tc>
        <w:tc>
          <w:tcPr>
            <w:tcW w:w="720" w:type="dxa"/>
            <w:vAlign w:val="bottom"/>
          </w:tcPr>
          <w:p>
            <w:pPr>
              <w:jc w:val="right"/>
              <w:ind w:right="46"/>
              <w:spacing w:after="0" w:line="156" w:lineRule="exact"/>
              <w:rPr>
                <w:sz w:val="20"/>
                <w:szCs w:val="20"/>
                <w:color w:val="auto"/>
              </w:rPr>
            </w:pPr>
            <w:r>
              <w:rPr>
                <w:rFonts w:ascii="Arial" w:cs="Arial" w:eastAsia="Arial" w:hAnsi="Arial"/>
                <w:sz w:val="15"/>
                <w:szCs w:val="15"/>
                <w:color w:val="auto"/>
              </w:rPr>
              <w:t>218,056</w:t>
            </w:r>
          </w:p>
        </w:tc>
        <w:tc>
          <w:tcPr>
            <w:tcW w:w="200" w:type="dxa"/>
            <w:vAlign w:val="bottom"/>
          </w:tcPr>
          <w:p>
            <w:pPr>
              <w:spacing w:after="0"/>
              <w:rPr>
                <w:sz w:val="13"/>
                <w:szCs w:val="13"/>
                <w:color w:val="auto"/>
              </w:rPr>
            </w:pPr>
          </w:p>
        </w:tc>
        <w:tc>
          <w:tcPr>
            <w:tcW w:w="660" w:type="dxa"/>
            <w:vAlign w:val="bottom"/>
          </w:tcPr>
          <w:p>
            <w:pPr>
              <w:jc w:val="right"/>
              <w:ind w:right="6"/>
              <w:spacing w:after="0" w:line="156" w:lineRule="exact"/>
              <w:rPr>
                <w:sz w:val="20"/>
                <w:szCs w:val="20"/>
                <w:color w:val="auto"/>
              </w:rPr>
            </w:pPr>
            <w:r>
              <w:rPr>
                <w:rFonts w:ascii="Arial" w:cs="Arial" w:eastAsia="Arial" w:hAnsi="Arial"/>
                <w:sz w:val="15"/>
                <w:szCs w:val="15"/>
                <w:color w:val="auto"/>
              </w:rPr>
              <w:t>133,083</w:t>
            </w:r>
          </w:p>
        </w:tc>
      </w:tr>
      <w:tr>
        <w:trPr>
          <w:trHeight w:val="156"/>
        </w:trPr>
        <w:tc>
          <w:tcPr>
            <w:tcW w:w="200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Transition asset</w:t>
            </w:r>
          </w:p>
        </w:tc>
        <w:tc>
          <w:tcPr>
            <w:tcW w:w="20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rPr>
              <w:t>(6)</w:t>
            </w:r>
          </w:p>
        </w:tc>
        <w:tc>
          <w:tcPr>
            <w:tcW w:w="20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6"/>
              <w:spacing w:after="0" w:line="156" w:lineRule="exact"/>
              <w:rPr>
                <w:sz w:val="20"/>
                <w:szCs w:val="20"/>
                <w:color w:val="auto"/>
              </w:rPr>
            </w:pPr>
            <w:r>
              <w:rPr>
                <w:rFonts w:ascii="Arial" w:cs="Arial" w:eastAsia="Arial" w:hAnsi="Arial"/>
                <w:sz w:val="15"/>
                <w:szCs w:val="15"/>
                <w:b w:val="1"/>
                <w:bCs w:val="1"/>
                <w:color w:val="auto"/>
              </w:rPr>
              <w:t>(4)</w:t>
            </w:r>
          </w:p>
        </w:tc>
        <w:tc>
          <w:tcPr>
            <w:tcW w:w="1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6"/>
              <w:spacing w:after="0" w:line="156" w:lineRule="exact"/>
              <w:rPr>
                <w:sz w:val="20"/>
                <w:szCs w:val="20"/>
                <w:color w:val="auto"/>
              </w:rPr>
            </w:pPr>
            <w:r>
              <w:rPr>
                <w:rFonts w:ascii="Arial" w:cs="Arial" w:eastAsia="Arial" w:hAnsi="Arial"/>
                <w:sz w:val="15"/>
                <w:szCs w:val="15"/>
                <w:color w:val="auto"/>
              </w:rPr>
              <w:t>(7)</w:t>
            </w:r>
          </w:p>
        </w:tc>
        <w:tc>
          <w:tcPr>
            <w:tcW w:w="20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(4)</w:t>
            </w:r>
          </w:p>
        </w:tc>
      </w:tr>
      <w:tr>
        <w:trPr>
          <w:trHeight w:val="155"/>
        </w:trPr>
        <w:tc>
          <w:tcPr>
            <w:tcW w:w="2000" w:type="dxa"/>
            <w:vAlign w:val="bottom"/>
            <w:tcBorders>
              <w:bottom w:val="single" w:sz="8" w:color="auto"/>
            </w:tcBorders>
          </w:tcPr>
          <w:p>
            <w:pPr>
              <w:spacing w:after="0" w:line="149" w:lineRule="exact"/>
              <w:rPr>
                <w:sz w:val="20"/>
                <w:szCs w:val="20"/>
                <w:color w:val="auto"/>
              </w:rPr>
            </w:pPr>
            <w:r>
              <w:rPr>
                <w:rFonts w:ascii="Arial" w:cs="Arial" w:eastAsia="Arial" w:hAnsi="Arial"/>
                <w:sz w:val="15"/>
                <w:szCs w:val="15"/>
                <w:color w:val="auto"/>
              </w:rPr>
              <w:t>Total</w:t>
            </w:r>
          </w:p>
        </w:tc>
        <w:tc>
          <w:tcPr>
            <w:tcW w:w="2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720" w:type="dxa"/>
            <w:vAlign w:val="bottom"/>
            <w:tcBorders>
              <w:bottom w:val="single" w:sz="8" w:color="auto"/>
            </w:tcBorders>
          </w:tcPr>
          <w:p>
            <w:pPr>
              <w:jc w:val="right"/>
              <w:ind w:right="46"/>
              <w:spacing w:after="0" w:line="149" w:lineRule="exact"/>
              <w:rPr>
                <w:sz w:val="20"/>
                <w:szCs w:val="20"/>
                <w:color w:val="auto"/>
              </w:rPr>
            </w:pPr>
            <w:r>
              <w:rPr>
                <w:rFonts w:ascii="Arial" w:cs="Arial" w:eastAsia="Arial" w:hAnsi="Arial"/>
                <w:sz w:val="15"/>
                <w:szCs w:val="15"/>
                <w:b w:val="1"/>
                <w:bCs w:val="1"/>
                <w:color w:val="auto"/>
              </w:rPr>
              <w:t>217,349</w:t>
            </w:r>
          </w:p>
        </w:tc>
        <w:tc>
          <w:tcPr>
            <w:tcW w:w="2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700" w:type="dxa"/>
            <w:vAlign w:val="bottom"/>
            <w:tcBorders>
              <w:bottom w:val="single" w:sz="8" w:color="auto"/>
            </w:tcBorders>
          </w:tcPr>
          <w:p>
            <w:pPr>
              <w:jc w:val="right"/>
              <w:ind w:right="46"/>
              <w:spacing w:after="0" w:line="149" w:lineRule="exact"/>
              <w:rPr>
                <w:sz w:val="20"/>
                <w:szCs w:val="20"/>
                <w:color w:val="auto"/>
              </w:rPr>
            </w:pPr>
            <w:r>
              <w:rPr>
                <w:rFonts w:ascii="Arial" w:cs="Arial" w:eastAsia="Arial" w:hAnsi="Arial"/>
                <w:sz w:val="15"/>
                <w:szCs w:val="15"/>
                <w:b w:val="1"/>
                <w:bCs w:val="1"/>
                <w:color w:val="auto"/>
              </w:rPr>
              <w:t>134,133</w:t>
            </w:r>
          </w:p>
        </w:tc>
        <w:tc>
          <w:tcPr>
            <w:tcW w:w="1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tcPr>
          <w:p>
            <w:pPr>
              <w:jc w:val="right"/>
              <w:ind w:right="46"/>
              <w:spacing w:after="0" w:line="149" w:lineRule="exact"/>
              <w:rPr>
                <w:sz w:val="20"/>
                <w:szCs w:val="20"/>
                <w:color w:val="auto"/>
              </w:rPr>
            </w:pPr>
            <w:r>
              <w:rPr>
                <w:rFonts w:ascii="Arial" w:cs="Arial" w:eastAsia="Arial" w:hAnsi="Arial"/>
                <w:sz w:val="15"/>
                <w:szCs w:val="15"/>
                <w:color w:val="auto"/>
              </w:rPr>
              <w:t>218,474</w:t>
            </w:r>
          </w:p>
        </w:tc>
        <w:tc>
          <w:tcPr>
            <w:tcW w:w="2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tcPr>
          <w:p>
            <w:pPr>
              <w:jc w:val="right"/>
              <w:ind w:right="6"/>
              <w:spacing w:after="0" w:line="149" w:lineRule="exact"/>
              <w:rPr>
                <w:sz w:val="20"/>
                <w:szCs w:val="20"/>
                <w:color w:val="auto"/>
              </w:rPr>
            </w:pPr>
            <w:r>
              <w:rPr>
                <w:rFonts w:ascii="Arial" w:cs="Arial" w:eastAsia="Arial" w:hAnsi="Arial"/>
                <w:sz w:val="15"/>
                <w:szCs w:val="15"/>
                <w:color w:val="auto"/>
              </w:rPr>
              <w:t>133,340</w:t>
            </w:r>
          </w:p>
        </w:tc>
      </w:tr>
    </w:tbl>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29</w:t>
      </w:r>
    </w:p>
    <w:p>
      <w:pPr>
        <w:sectPr>
          <w:pgSz w:w="11900" w:h="16838" w:orient="portrait"/>
          <w:cols w:equalWidth="0" w:num="1">
            <w:col w:w="11420"/>
          </w:cols>
          <w:pgMar w:left="240" w:top="259" w:right="239" w:bottom="1440" w:gutter="0" w:footer="0" w:header="0"/>
          <w:type w:val="continuous"/>
        </w:sectPr>
      </w:pPr>
    </w:p>
    <w:bookmarkStart w:id="82" w:name="page83"/>
    <w:bookmarkEnd w:id="82"/>
    <w:p>
      <w:pPr>
        <w:jc w:val="center"/>
        <w:ind w:right="-19"/>
        <w:spacing w:after="0"/>
        <w:rPr>
          <w:sz w:val="20"/>
          <w:szCs w:val="20"/>
          <w:color w:val="auto"/>
        </w:rPr>
      </w:pPr>
      <w:r>
        <w:rPr>
          <w:rFonts w:ascii="Arial" w:cs="Arial" w:eastAsia="Arial" w:hAnsi="Arial"/>
          <w:sz w:val="17"/>
          <w:szCs w:val="17"/>
          <w:b w:val="1"/>
          <w:bCs w:val="1"/>
          <w:color w:val="0085CD"/>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8">
                      <a:extLst>
                        <a:ext uri="{28A0092B-C50C-407E-A947-70E740481C1C}"/>
                      </a:extLst>
                    </a:blip>
                    <a:srcRect/>
                    <a:stretch>
                      <a:fillRect/>
                    </a:stretch>
                  </pic:blipFill>
                  <pic:spPr bwMode="auto">
                    <a:xfrm>
                      <a:off x="0" y="0"/>
                      <a:ext cx="7293610" cy="37465"/>
                    </a:xfrm>
                    <a:prstGeom prst="rect">
                      <a:avLst/>
                    </a:prstGeom>
                    <a:noFill/>
                  </pic:spPr>
                </pic:pic>
              </a:graphicData>
            </a:graphic>
          </wp:anchor>
        </w:drawing>
        <w:t xml:space="preserve">NOTES TO FINANCIAL STATEMENTS </w:t>
      </w:r>
      <w:r>
        <w:rPr>
          <w:rFonts w:ascii="Arial" w:cs="Arial" w:eastAsia="Arial" w:hAnsi="Arial"/>
          <w:sz w:val="15"/>
          <w:szCs w:val="15"/>
          <w:color w:val="0085CD"/>
        </w:rPr>
        <w:t>(continued)</w:t>
      </w:r>
    </w:p>
    <w:p>
      <w:pPr>
        <w:sectPr>
          <w:pgSz w:w="11900" w:h="16838" w:orient="portrait"/>
          <w:cols w:equalWidth="0" w:num="1">
            <w:col w:w="11420"/>
          </w:cols>
          <w:pgMar w:left="240" w:top="2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The prior service cost, actuarial loss and transition asset expected to be recognized in net periodic benefit cost during 2018 are $104,000 (net of deferred taxes of $26,000), $13,184,000 (net of deferred taxes of $3,263,000) and $1,000, respectively. These amounts are included in accumulated other comprehensive loss at December 31, 2017.</w:t>
      </w:r>
    </w:p>
    <w:p>
      <w:pPr>
        <w:spacing w:after="0" w:line="192"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The defined benefit plans’ change in projected benefit obligation is as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Benefit obligations and fair value of plan assets for pension plans with accumulated benefit obligations in excess of plan assets are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00" w:type="dxa"/>
            <w:vAlign w:val="bottom"/>
          </w:tcPr>
          <w:p>
            <w:pPr>
              <w:spacing w:after="0"/>
              <w:rPr>
                <w:sz w:val="20"/>
                <w:szCs w:val="20"/>
                <w:color w:val="auto"/>
              </w:rPr>
            </w:pPr>
            <w:r>
              <w:rPr>
                <w:rFonts w:ascii="Arial" w:cs="Arial" w:eastAsia="Arial" w:hAnsi="Arial"/>
                <w:sz w:val="14"/>
                <w:szCs w:val="14"/>
                <w:i w:val="1"/>
                <w:iCs w:val="1"/>
                <w:color w:val="auto"/>
              </w:rPr>
              <w:t>December 31</w:t>
            </w:r>
          </w:p>
        </w:tc>
        <w:tc>
          <w:tcPr>
            <w:tcW w:w="1780" w:type="dxa"/>
            <w:vAlign w:val="bottom"/>
            <w:vMerge w:val="restart"/>
          </w:tcPr>
          <w:p>
            <w:pPr>
              <w:jc w:val="right"/>
              <w:ind w:right="106"/>
              <w:spacing w:after="0"/>
              <w:rPr>
                <w:sz w:val="20"/>
                <w:szCs w:val="20"/>
                <w:color w:val="auto"/>
              </w:rPr>
            </w:pPr>
            <w:r>
              <w:rPr>
                <w:rFonts w:ascii="Arial" w:cs="Arial" w:eastAsia="Arial" w:hAnsi="Arial"/>
                <w:sz w:val="15"/>
                <w:szCs w:val="15"/>
                <w:b w:val="1"/>
                <w:bCs w:val="1"/>
                <w:color w:val="0085CD"/>
              </w:rPr>
              <w:t>2017</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9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(add 000)</w:t>
            </w:r>
          </w:p>
        </w:tc>
        <w:tc>
          <w:tcPr>
            <w:tcW w:w="1780" w:type="dxa"/>
            <w:vAlign w:val="bottom"/>
            <w:tcBorders>
              <w:bottom w:val="single" w:sz="8" w:color="auto"/>
            </w:tcBorders>
            <w:vMerge w:val="continue"/>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2016</w:t>
            </w:r>
          </w:p>
        </w:tc>
        <w:tc>
          <w:tcPr>
            <w:tcW w:w="0" w:type="dxa"/>
            <w:vAlign w:val="bottom"/>
          </w:tcPr>
          <w:p>
            <w:pPr>
              <w:spacing w:after="0"/>
              <w:rPr>
                <w:sz w:val="1"/>
                <w:szCs w:val="1"/>
                <w:color w:val="auto"/>
              </w:rPr>
            </w:pPr>
          </w:p>
        </w:tc>
      </w:tr>
      <w:tr>
        <w:trPr>
          <w:trHeight w:val="149"/>
        </w:trPr>
        <w:tc>
          <w:tcPr>
            <w:tcW w:w="290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Projected benefit obligation</w:t>
            </w:r>
          </w:p>
        </w:tc>
        <w:tc>
          <w:tcPr>
            <w:tcW w:w="1780" w:type="dxa"/>
            <w:vAlign w:val="bottom"/>
            <w:shd w:val="clear" w:color="auto" w:fill="CCEEFF"/>
          </w:tcPr>
          <w:p>
            <w:pPr>
              <w:jc w:val="right"/>
              <w:ind w:right="106"/>
              <w:spacing w:after="0" w:line="149" w:lineRule="exact"/>
              <w:rPr>
                <w:sz w:val="20"/>
                <w:szCs w:val="20"/>
                <w:color w:val="auto"/>
              </w:rPr>
            </w:pPr>
            <w:r>
              <w:rPr>
                <w:rFonts w:ascii="Arial" w:cs="Arial" w:eastAsia="Arial" w:hAnsi="Arial"/>
                <w:sz w:val="15"/>
                <w:szCs w:val="15"/>
                <w:b w:val="1"/>
                <w:bCs w:val="1"/>
                <w:color w:val="auto"/>
              </w:rPr>
              <w:t>$ 879,335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$ 831,849</w:t>
            </w:r>
          </w:p>
        </w:tc>
        <w:tc>
          <w:tcPr>
            <w:tcW w:w="0" w:type="dxa"/>
            <w:vAlign w:val="bottom"/>
          </w:tcPr>
          <w:p>
            <w:pPr>
              <w:spacing w:after="0"/>
              <w:rPr>
                <w:sz w:val="1"/>
                <w:szCs w:val="1"/>
                <w:color w:val="auto"/>
              </w:rPr>
            </w:pPr>
          </w:p>
        </w:tc>
      </w:tr>
      <w:tr>
        <w:trPr>
          <w:trHeight w:val="156"/>
        </w:trPr>
        <w:tc>
          <w:tcPr>
            <w:tcW w:w="2900" w:type="dxa"/>
            <w:vAlign w:val="bottom"/>
          </w:tcPr>
          <w:p>
            <w:pPr>
              <w:spacing w:after="0" w:line="156" w:lineRule="exact"/>
              <w:rPr>
                <w:sz w:val="20"/>
                <w:szCs w:val="20"/>
                <w:color w:val="auto"/>
              </w:rPr>
            </w:pPr>
            <w:r>
              <w:rPr>
                <w:rFonts w:ascii="Arial" w:cs="Arial" w:eastAsia="Arial" w:hAnsi="Arial"/>
                <w:sz w:val="15"/>
                <w:szCs w:val="15"/>
                <w:color w:val="auto"/>
              </w:rPr>
              <w:t>Accumulated benefit obligation</w:t>
            </w:r>
          </w:p>
        </w:tc>
        <w:tc>
          <w:tcPr>
            <w:tcW w:w="1780" w:type="dxa"/>
            <w:vAlign w:val="bottom"/>
          </w:tcPr>
          <w:p>
            <w:pPr>
              <w:jc w:val="right"/>
              <w:ind w:right="106"/>
              <w:spacing w:after="0" w:line="156" w:lineRule="exact"/>
              <w:rPr>
                <w:sz w:val="20"/>
                <w:szCs w:val="20"/>
                <w:color w:val="auto"/>
              </w:rPr>
            </w:pPr>
            <w:r>
              <w:rPr>
                <w:rFonts w:ascii="Arial" w:cs="Arial" w:eastAsia="Arial" w:hAnsi="Arial"/>
                <w:sz w:val="15"/>
                <w:szCs w:val="15"/>
                <w:b w:val="1"/>
                <w:bCs w:val="1"/>
                <w:color w:val="auto"/>
              </w:rPr>
              <w:t>$ 792,912</w:t>
            </w:r>
          </w:p>
        </w:tc>
        <w:tc>
          <w:tcPr>
            <w:tcW w:w="900" w:type="dxa"/>
            <w:vAlign w:val="bottom"/>
          </w:tcPr>
          <w:p>
            <w:pPr>
              <w:jc w:val="right"/>
              <w:spacing w:after="0" w:line="156" w:lineRule="exact"/>
              <w:rPr>
                <w:sz w:val="20"/>
                <w:szCs w:val="20"/>
                <w:color w:val="auto"/>
              </w:rPr>
            </w:pPr>
            <w:r>
              <w:rPr>
                <w:rFonts w:ascii="Arial" w:cs="Arial" w:eastAsia="Arial" w:hAnsi="Arial"/>
                <w:sz w:val="15"/>
                <w:szCs w:val="15"/>
                <w:color w:val="auto"/>
              </w:rPr>
              <w:t>$ 752,659</w:t>
            </w:r>
          </w:p>
        </w:tc>
        <w:tc>
          <w:tcPr>
            <w:tcW w:w="0" w:type="dxa"/>
            <w:vAlign w:val="bottom"/>
          </w:tcPr>
          <w:p>
            <w:pPr>
              <w:spacing w:after="0"/>
              <w:rPr>
                <w:sz w:val="1"/>
                <w:szCs w:val="1"/>
                <w:color w:val="auto"/>
              </w:rPr>
            </w:pPr>
          </w:p>
        </w:tc>
      </w:tr>
      <w:tr>
        <w:trPr>
          <w:trHeight w:val="156"/>
        </w:trPr>
        <w:tc>
          <w:tcPr>
            <w:tcW w:w="290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Fair value of plan assets</w:t>
            </w:r>
          </w:p>
        </w:tc>
        <w:tc>
          <w:tcPr>
            <w:tcW w:w="1780" w:type="dxa"/>
            <w:vAlign w:val="bottom"/>
            <w:shd w:val="clear" w:color="auto" w:fill="CCEEFF"/>
          </w:tcPr>
          <w:p>
            <w:pPr>
              <w:jc w:val="right"/>
              <w:ind w:right="106"/>
              <w:spacing w:after="0" w:line="156" w:lineRule="exact"/>
              <w:rPr>
                <w:sz w:val="20"/>
                <w:szCs w:val="20"/>
                <w:color w:val="auto"/>
              </w:rPr>
            </w:pPr>
            <w:r>
              <w:rPr>
                <w:rFonts w:ascii="Arial" w:cs="Arial" w:eastAsia="Arial" w:hAnsi="Arial"/>
                <w:sz w:val="15"/>
                <w:szCs w:val="15"/>
                <w:b w:val="1"/>
                <w:bCs w:val="1"/>
                <w:color w:val="auto"/>
              </w:rPr>
              <w:t>$ 638,106</w:t>
            </w:r>
          </w:p>
        </w:tc>
        <w:tc>
          <w:tcPr>
            <w:tcW w:w="90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$ 596,207</w:t>
            </w:r>
          </w:p>
        </w:tc>
        <w:tc>
          <w:tcPr>
            <w:tcW w:w="0" w:type="dxa"/>
            <w:vAlign w:val="bottom"/>
          </w:tcPr>
          <w:p>
            <w:pPr>
              <w:spacing w:after="0"/>
              <w:rPr>
                <w:sz w:val="1"/>
                <w:szCs w:val="1"/>
                <w:color w:val="auto"/>
              </w:rPr>
            </w:pPr>
          </w:p>
        </w:tc>
      </w:tr>
    </w:tbl>
    <w:p>
      <w:pPr>
        <w:spacing w:after="0" w:line="199" w:lineRule="exact"/>
        <w:rPr>
          <w:sz w:val="20"/>
          <w:szCs w:val="20"/>
          <w:color w:val="auto"/>
        </w:rPr>
      </w:pPr>
    </w:p>
    <w:p>
      <w:pPr>
        <w:sectPr>
          <w:pgSz w:w="11900" w:h="16838" w:orient="portrait"/>
          <w:cols w:equalWidth="0" w:num="2">
            <w:col w:w="5480" w:space="360"/>
            <w:col w:w="5580"/>
          </w:cols>
          <w:pgMar w:left="240" w:top="259" w:right="239" w:bottom="1440" w:gutter="0" w:footer="0" w:header="0"/>
          <w:type w:val="continuous"/>
        </w:sectPr>
      </w:pP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00" w:type="dxa"/>
            <w:vAlign w:val="bottom"/>
          </w:tcPr>
          <w:p>
            <w:pPr>
              <w:spacing w:after="0"/>
              <w:rPr>
                <w:sz w:val="20"/>
                <w:szCs w:val="20"/>
                <w:color w:val="auto"/>
              </w:rPr>
            </w:pPr>
            <w:r>
              <w:rPr>
                <w:rFonts w:ascii="Arial" w:cs="Arial" w:eastAsia="Arial" w:hAnsi="Arial"/>
                <w:sz w:val="14"/>
                <w:szCs w:val="14"/>
                <w:i w:val="1"/>
                <w:iCs w:val="1"/>
                <w:color w:val="auto"/>
              </w:rPr>
              <w:t>years ended December 31</w:t>
            </w:r>
          </w:p>
        </w:tc>
        <w:tc>
          <w:tcPr>
            <w:tcW w:w="400" w:type="dxa"/>
            <w:vAlign w:val="bottom"/>
          </w:tcPr>
          <w:p>
            <w:pPr>
              <w:spacing w:after="0"/>
              <w:rPr>
                <w:sz w:val="14"/>
                <w:szCs w:val="14"/>
                <w:color w:val="auto"/>
              </w:rPr>
            </w:pPr>
          </w:p>
        </w:tc>
        <w:tc>
          <w:tcPr>
            <w:tcW w:w="800" w:type="dxa"/>
            <w:vAlign w:val="bottom"/>
            <w:vMerge w:val="restart"/>
          </w:tcPr>
          <w:p>
            <w:pPr>
              <w:jc w:val="right"/>
              <w:ind w:right="146"/>
              <w:spacing w:after="0"/>
              <w:rPr>
                <w:sz w:val="20"/>
                <w:szCs w:val="20"/>
                <w:color w:val="auto"/>
              </w:rPr>
            </w:pPr>
            <w:r>
              <w:rPr>
                <w:rFonts w:ascii="Arial" w:cs="Arial" w:eastAsia="Arial" w:hAnsi="Arial"/>
                <w:sz w:val="15"/>
                <w:szCs w:val="15"/>
                <w:b w:val="1"/>
                <w:bCs w:val="1"/>
                <w:color w:val="0085CD"/>
              </w:rPr>
              <w:t>2017</w:t>
            </w: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3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(add 000)</w:t>
            </w:r>
          </w:p>
        </w:tc>
        <w:tc>
          <w:tcPr>
            <w:tcW w:w="4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2016</w:t>
            </w:r>
          </w:p>
        </w:tc>
        <w:tc>
          <w:tcPr>
            <w:tcW w:w="0" w:type="dxa"/>
            <w:vAlign w:val="bottom"/>
          </w:tcPr>
          <w:p>
            <w:pPr>
              <w:spacing w:after="0"/>
              <w:rPr>
                <w:sz w:val="1"/>
                <w:szCs w:val="1"/>
                <w:color w:val="auto"/>
              </w:rPr>
            </w:pPr>
          </w:p>
        </w:tc>
      </w:tr>
      <w:tr>
        <w:trPr>
          <w:trHeight w:val="145"/>
        </w:trPr>
        <w:tc>
          <w:tcPr>
            <w:tcW w:w="3300" w:type="dxa"/>
            <w:vAlign w:val="bottom"/>
            <w:shd w:val="clear" w:color="auto" w:fill="CCEEFF"/>
          </w:tcPr>
          <w:p>
            <w:pPr>
              <w:spacing w:after="0" w:line="146" w:lineRule="exact"/>
              <w:rPr>
                <w:sz w:val="20"/>
                <w:szCs w:val="20"/>
                <w:color w:val="auto"/>
              </w:rPr>
            </w:pPr>
            <w:r>
              <w:rPr>
                <w:rFonts w:ascii="Arial" w:cs="Arial" w:eastAsia="Arial" w:hAnsi="Arial"/>
                <w:sz w:val="15"/>
                <w:szCs w:val="15"/>
                <w:color w:val="auto"/>
              </w:rPr>
              <w:t>Net projected benefit obligation at beginning of</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800" w:type="dxa"/>
            <w:vAlign w:val="bottom"/>
            <w:vMerge w:val="restart"/>
            <w:shd w:val="clear" w:color="auto" w:fill="CCEEFF"/>
          </w:tcPr>
          <w:p>
            <w:pPr>
              <w:jc w:val="right"/>
              <w:ind w:right="146"/>
              <w:spacing w:after="0"/>
              <w:rPr>
                <w:sz w:val="20"/>
                <w:szCs w:val="20"/>
                <w:color w:val="auto"/>
              </w:rPr>
            </w:pPr>
            <w:r>
              <w:rPr>
                <w:rFonts w:ascii="Arial" w:cs="Arial" w:eastAsia="Arial" w:hAnsi="Arial"/>
                <w:sz w:val="15"/>
                <w:szCs w:val="15"/>
                <w:b w:val="1"/>
                <w:bCs w:val="1"/>
                <w:color w:val="auto"/>
              </w:rPr>
              <w:t>831,849</w:t>
            </w: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300" w:type="dxa"/>
            <w:vAlign w:val="bottom"/>
            <w:shd w:val="clear" w:color="auto" w:fill="CCEEFF"/>
          </w:tcPr>
          <w:p>
            <w:pPr>
              <w:ind w:left="160"/>
              <w:spacing w:after="0" w:line="159" w:lineRule="exact"/>
              <w:rPr>
                <w:sz w:val="20"/>
                <w:szCs w:val="20"/>
                <w:color w:val="auto"/>
              </w:rPr>
            </w:pPr>
            <w:r>
              <w:rPr>
                <w:rFonts w:ascii="Arial" w:cs="Arial" w:eastAsia="Arial" w:hAnsi="Arial"/>
                <w:sz w:val="15"/>
                <w:szCs w:val="15"/>
                <w:color w:val="auto"/>
              </w:rPr>
              <w:t>year</w:t>
            </w:r>
          </w:p>
        </w:tc>
        <w:tc>
          <w:tcPr>
            <w:tcW w:w="400" w:type="dxa"/>
            <w:vAlign w:val="bottom"/>
            <w:vMerge w:val="continue"/>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32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ind w:right="6"/>
              <w:spacing w:after="0" w:line="159" w:lineRule="exact"/>
              <w:rPr>
                <w:sz w:val="20"/>
                <w:szCs w:val="20"/>
                <w:color w:val="auto"/>
              </w:rPr>
            </w:pPr>
            <w:r>
              <w:rPr>
                <w:rFonts w:ascii="Arial" w:cs="Arial" w:eastAsia="Arial" w:hAnsi="Arial"/>
                <w:sz w:val="15"/>
                <w:szCs w:val="15"/>
                <w:color w:val="auto"/>
              </w:rPr>
              <w:t>754,543</w:t>
            </w:r>
          </w:p>
        </w:tc>
        <w:tc>
          <w:tcPr>
            <w:tcW w:w="0" w:type="dxa"/>
            <w:vAlign w:val="bottom"/>
          </w:tcPr>
          <w:p>
            <w:pPr>
              <w:spacing w:after="0"/>
              <w:rPr>
                <w:sz w:val="1"/>
                <w:szCs w:val="1"/>
                <w:color w:val="auto"/>
              </w:rPr>
            </w:pPr>
          </w:p>
        </w:tc>
      </w:tr>
      <w:tr>
        <w:trPr>
          <w:trHeight w:val="156"/>
        </w:trPr>
        <w:tc>
          <w:tcPr>
            <w:tcW w:w="3300" w:type="dxa"/>
            <w:vAlign w:val="bottom"/>
          </w:tcPr>
          <w:p>
            <w:pPr>
              <w:spacing w:after="0" w:line="156" w:lineRule="exact"/>
              <w:rPr>
                <w:sz w:val="20"/>
                <w:szCs w:val="20"/>
                <w:color w:val="auto"/>
              </w:rPr>
            </w:pPr>
            <w:r>
              <w:rPr>
                <w:rFonts w:ascii="Arial" w:cs="Arial" w:eastAsia="Arial" w:hAnsi="Arial"/>
                <w:sz w:val="15"/>
                <w:szCs w:val="15"/>
                <w:color w:val="auto"/>
              </w:rPr>
              <w:t>Service cost</w:t>
            </w:r>
          </w:p>
        </w:tc>
        <w:tc>
          <w:tcPr>
            <w:tcW w:w="400" w:type="dxa"/>
            <w:vAlign w:val="bottom"/>
          </w:tcPr>
          <w:p>
            <w:pPr>
              <w:spacing w:after="0"/>
              <w:rPr>
                <w:sz w:val="13"/>
                <w:szCs w:val="13"/>
                <w:color w:val="auto"/>
              </w:rPr>
            </w:pPr>
          </w:p>
        </w:tc>
        <w:tc>
          <w:tcPr>
            <w:tcW w:w="800" w:type="dxa"/>
            <w:vAlign w:val="bottom"/>
          </w:tcPr>
          <w:p>
            <w:pPr>
              <w:jc w:val="right"/>
              <w:ind w:right="146"/>
              <w:spacing w:after="0" w:line="156" w:lineRule="exact"/>
              <w:rPr>
                <w:sz w:val="20"/>
                <w:szCs w:val="20"/>
                <w:color w:val="auto"/>
              </w:rPr>
            </w:pPr>
            <w:r>
              <w:rPr>
                <w:rFonts w:ascii="Arial" w:cs="Arial" w:eastAsia="Arial" w:hAnsi="Arial"/>
                <w:sz w:val="15"/>
                <w:szCs w:val="15"/>
                <w:b w:val="1"/>
                <w:bCs w:val="1"/>
                <w:color w:val="auto"/>
              </w:rPr>
              <w:t>26,805</w:t>
            </w:r>
          </w:p>
        </w:tc>
        <w:tc>
          <w:tcPr>
            <w:tcW w:w="320" w:type="dxa"/>
            <w:vAlign w:val="bottom"/>
          </w:tcPr>
          <w:p>
            <w:pPr>
              <w:spacing w:after="0"/>
              <w:rPr>
                <w:sz w:val="13"/>
                <w:szCs w:val="13"/>
                <w:color w:val="auto"/>
              </w:rPr>
            </w:pPr>
          </w:p>
        </w:tc>
        <w:tc>
          <w:tcPr>
            <w:tcW w:w="660" w:type="dxa"/>
            <w:vAlign w:val="bottom"/>
          </w:tcPr>
          <w:p>
            <w:pPr>
              <w:jc w:val="right"/>
              <w:ind w:right="6"/>
              <w:spacing w:after="0" w:line="156" w:lineRule="exact"/>
              <w:rPr>
                <w:sz w:val="20"/>
                <w:szCs w:val="20"/>
                <w:color w:val="auto"/>
              </w:rPr>
            </w:pPr>
            <w:r>
              <w:rPr>
                <w:rFonts w:ascii="Arial" w:cs="Arial" w:eastAsia="Arial" w:hAnsi="Arial"/>
                <w:sz w:val="15"/>
                <w:szCs w:val="15"/>
                <w:color w:val="auto"/>
              </w:rPr>
              <w:t>22,167</w:t>
            </w:r>
          </w:p>
        </w:tc>
        <w:tc>
          <w:tcPr>
            <w:tcW w:w="0" w:type="dxa"/>
            <w:vAlign w:val="bottom"/>
          </w:tcPr>
          <w:p>
            <w:pPr>
              <w:spacing w:after="0"/>
              <w:rPr>
                <w:sz w:val="1"/>
                <w:szCs w:val="1"/>
                <w:color w:val="auto"/>
              </w:rPr>
            </w:pPr>
          </w:p>
        </w:tc>
      </w:tr>
      <w:tr>
        <w:trPr>
          <w:trHeight w:val="156"/>
        </w:trPr>
        <w:tc>
          <w:tcPr>
            <w:tcW w:w="330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Interest cost</w:t>
            </w:r>
          </w:p>
        </w:tc>
        <w:tc>
          <w:tcPr>
            <w:tcW w:w="40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146"/>
              <w:spacing w:after="0" w:line="156" w:lineRule="exact"/>
              <w:rPr>
                <w:sz w:val="20"/>
                <w:szCs w:val="20"/>
                <w:color w:val="auto"/>
              </w:rPr>
            </w:pPr>
            <w:r>
              <w:rPr>
                <w:rFonts w:ascii="Arial" w:cs="Arial" w:eastAsia="Arial" w:hAnsi="Arial"/>
                <w:sz w:val="15"/>
                <w:szCs w:val="15"/>
                <w:b w:val="1"/>
                <w:bCs w:val="1"/>
                <w:color w:val="auto"/>
              </w:rPr>
              <w:t>36,101</w:t>
            </w:r>
          </w:p>
        </w:tc>
        <w:tc>
          <w:tcPr>
            <w:tcW w:w="32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6"/>
              <w:spacing w:after="0" w:line="156" w:lineRule="exact"/>
              <w:rPr>
                <w:sz w:val="20"/>
                <w:szCs w:val="20"/>
                <w:color w:val="auto"/>
              </w:rPr>
            </w:pPr>
            <w:r>
              <w:rPr>
                <w:rFonts w:ascii="Arial" w:cs="Arial" w:eastAsia="Arial" w:hAnsi="Arial"/>
                <w:sz w:val="15"/>
                <w:szCs w:val="15"/>
                <w:color w:val="auto"/>
              </w:rPr>
              <w:t>35,879</w:t>
            </w:r>
          </w:p>
        </w:tc>
        <w:tc>
          <w:tcPr>
            <w:tcW w:w="0" w:type="dxa"/>
            <w:vAlign w:val="bottom"/>
          </w:tcPr>
          <w:p>
            <w:pPr>
              <w:spacing w:after="0"/>
              <w:rPr>
                <w:sz w:val="1"/>
                <w:szCs w:val="1"/>
                <w:color w:val="auto"/>
              </w:rPr>
            </w:pPr>
          </w:p>
        </w:tc>
      </w:tr>
      <w:tr>
        <w:trPr>
          <w:trHeight w:val="156"/>
        </w:trPr>
        <w:tc>
          <w:tcPr>
            <w:tcW w:w="3300" w:type="dxa"/>
            <w:vAlign w:val="bottom"/>
          </w:tcPr>
          <w:p>
            <w:pPr>
              <w:spacing w:after="0" w:line="156" w:lineRule="exact"/>
              <w:rPr>
                <w:sz w:val="20"/>
                <w:szCs w:val="20"/>
                <w:color w:val="auto"/>
              </w:rPr>
            </w:pPr>
            <w:r>
              <w:rPr>
                <w:rFonts w:ascii="Arial" w:cs="Arial" w:eastAsia="Arial" w:hAnsi="Arial"/>
                <w:sz w:val="15"/>
                <w:szCs w:val="15"/>
                <w:color w:val="auto"/>
              </w:rPr>
              <w:t>Actuarial loss</w:t>
            </w:r>
          </w:p>
        </w:tc>
        <w:tc>
          <w:tcPr>
            <w:tcW w:w="400" w:type="dxa"/>
            <w:vAlign w:val="bottom"/>
          </w:tcPr>
          <w:p>
            <w:pPr>
              <w:spacing w:after="0"/>
              <w:rPr>
                <w:sz w:val="13"/>
                <w:szCs w:val="13"/>
                <w:color w:val="auto"/>
              </w:rPr>
            </w:pPr>
          </w:p>
        </w:tc>
        <w:tc>
          <w:tcPr>
            <w:tcW w:w="800" w:type="dxa"/>
            <w:vAlign w:val="bottom"/>
          </w:tcPr>
          <w:p>
            <w:pPr>
              <w:jc w:val="right"/>
              <w:ind w:right="146"/>
              <w:spacing w:after="0" w:line="156" w:lineRule="exact"/>
              <w:rPr>
                <w:sz w:val="20"/>
                <w:szCs w:val="20"/>
                <w:color w:val="auto"/>
              </w:rPr>
            </w:pPr>
            <w:r>
              <w:rPr>
                <w:rFonts w:ascii="Arial" w:cs="Arial" w:eastAsia="Arial" w:hAnsi="Arial"/>
                <w:sz w:val="15"/>
                <w:szCs w:val="15"/>
                <w:b w:val="1"/>
                <w:bCs w:val="1"/>
                <w:color w:val="auto"/>
              </w:rPr>
              <w:t>56,675</w:t>
            </w:r>
          </w:p>
        </w:tc>
        <w:tc>
          <w:tcPr>
            <w:tcW w:w="320" w:type="dxa"/>
            <w:vAlign w:val="bottom"/>
          </w:tcPr>
          <w:p>
            <w:pPr>
              <w:spacing w:after="0"/>
              <w:rPr>
                <w:sz w:val="13"/>
                <w:szCs w:val="13"/>
                <w:color w:val="auto"/>
              </w:rPr>
            </w:pPr>
          </w:p>
        </w:tc>
        <w:tc>
          <w:tcPr>
            <w:tcW w:w="660" w:type="dxa"/>
            <w:vAlign w:val="bottom"/>
          </w:tcPr>
          <w:p>
            <w:pPr>
              <w:jc w:val="right"/>
              <w:ind w:right="6"/>
              <w:spacing w:after="0" w:line="156" w:lineRule="exact"/>
              <w:rPr>
                <w:sz w:val="20"/>
                <w:szCs w:val="20"/>
                <w:color w:val="auto"/>
              </w:rPr>
            </w:pPr>
            <w:r>
              <w:rPr>
                <w:rFonts w:ascii="Arial" w:cs="Arial" w:eastAsia="Arial" w:hAnsi="Arial"/>
                <w:sz w:val="15"/>
                <w:szCs w:val="15"/>
                <w:color w:val="auto"/>
              </w:rPr>
              <w:t>49,760</w:t>
            </w:r>
          </w:p>
        </w:tc>
        <w:tc>
          <w:tcPr>
            <w:tcW w:w="0" w:type="dxa"/>
            <w:vAlign w:val="bottom"/>
          </w:tcPr>
          <w:p>
            <w:pPr>
              <w:spacing w:after="0"/>
              <w:rPr>
                <w:sz w:val="1"/>
                <w:szCs w:val="1"/>
                <w:color w:val="auto"/>
              </w:rPr>
            </w:pPr>
          </w:p>
        </w:tc>
      </w:tr>
      <w:tr>
        <w:trPr>
          <w:trHeight w:val="156"/>
        </w:trPr>
        <w:tc>
          <w:tcPr>
            <w:tcW w:w="330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Gross benefits paid</w:t>
            </w:r>
          </w:p>
        </w:tc>
        <w:tc>
          <w:tcPr>
            <w:tcW w:w="40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106"/>
              <w:spacing w:after="0" w:line="156" w:lineRule="exact"/>
              <w:rPr>
                <w:sz w:val="20"/>
                <w:szCs w:val="20"/>
                <w:color w:val="auto"/>
              </w:rPr>
            </w:pPr>
            <w:r>
              <w:rPr>
                <w:rFonts w:ascii="Arial" w:cs="Arial" w:eastAsia="Arial" w:hAnsi="Arial"/>
                <w:sz w:val="15"/>
                <w:szCs w:val="15"/>
                <w:b w:val="1"/>
                <w:bCs w:val="1"/>
                <w:color w:val="auto"/>
              </w:rPr>
              <w:t>(72,095)</w:t>
            </w:r>
          </w:p>
        </w:tc>
        <w:tc>
          <w:tcPr>
            <w:tcW w:w="32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(30,500)</w:t>
            </w:r>
          </w:p>
        </w:tc>
        <w:tc>
          <w:tcPr>
            <w:tcW w:w="0" w:type="dxa"/>
            <w:vAlign w:val="bottom"/>
          </w:tcPr>
          <w:p>
            <w:pPr>
              <w:spacing w:after="0"/>
              <w:rPr>
                <w:sz w:val="1"/>
                <w:szCs w:val="1"/>
                <w:color w:val="auto"/>
              </w:rPr>
            </w:pPr>
          </w:p>
        </w:tc>
      </w:tr>
      <w:tr>
        <w:trPr>
          <w:trHeight w:val="155"/>
        </w:trPr>
        <w:tc>
          <w:tcPr>
            <w:tcW w:w="3300" w:type="dxa"/>
            <w:vAlign w:val="bottom"/>
            <w:tcBorders>
              <w:bottom w:val="single" w:sz="8" w:color="auto"/>
            </w:tcBorders>
          </w:tcPr>
          <w:p>
            <w:pPr>
              <w:spacing w:after="0" w:line="149" w:lineRule="exact"/>
              <w:rPr>
                <w:sz w:val="20"/>
                <w:szCs w:val="20"/>
                <w:color w:val="auto"/>
              </w:rPr>
            </w:pPr>
            <w:r>
              <w:rPr>
                <w:rFonts w:ascii="Arial" w:cs="Arial" w:eastAsia="Arial" w:hAnsi="Arial"/>
                <w:sz w:val="15"/>
                <w:szCs w:val="15"/>
                <w:color w:val="auto"/>
              </w:rPr>
              <w:t>Net projected benefit obligation at end of year</w:t>
            </w:r>
          </w:p>
        </w:tc>
        <w:tc>
          <w:tcPr>
            <w:tcW w:w="4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800" w:type="dxa"/>
            <w:vAlign w:val="bottom"/>
            <w:tcBorders>
              <w:bottom w:val="single" w:sz="8" w:color="auto"/>
            </w:tcBorders>
          </w:tcPr>
          <w:p>
            <w:pPr>
              <w:jc w:val="right"/>
              <w:ind w:right="146"/>
              <w:spacing w:after="0" w:line="149" w:lineRule="exact"/>
              <w:rPr>
                <w:sz w:val="20"/>
                <w:szCs w:val="20"/>
                <w:color w:val="auto"/>
              </w:rPr>
            </w:pPr>
            <w:r>
              <w:rPr>
                <w:rFonts w:ascii="Arial" w:cs="Arial" w:eastAsia="Arial" w:hAnsi="Arial"/>
                <w:sz w:val="15"/>
                <w:szCs w:val="15"/>
                <w:b w:val="1"/>
                <w:bCs w:val="1"/>
                <w:color w:val="auto"/>
              </w:rPr>
              <w:t>879,335</w:t>
            </w:r>
          </w:p>
        </w:tc>
        <w:tc>
          <w:tcPr>
            <w:tcW w:w="3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tcPr>
          <w:p>
            <w:pPr>
              <w:jc w:val="right"/>
              <w:ind w:right="6"/>
              <w:spacing w:after="0" w:line="149" w:lineRule="exact"/>
              <w:rPr>
                <w:sz w:val="20"/>
                <w:szCs w:val="20"/>
                <w:color w:val="auto"/>
              </w:rPr>
            </w:pPr>
            <w:r>
              <w:rPr>
                <w:rFonts w:ascii="Arial" w:cs="Arial" w:eastAsia="Arial" w:hAnsi="Arial"/>
                <w:sz w:val="15"/>
                <w:szCs w:val="15"/>
                <w:color w:val="auto"/>
              </w:rPr>
              <w:t>831,849</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Company’s change in plan assets, funded status and amounts recognized on the Company’s consolidated balance sheets are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00" w:type="dxa"/>
            <w:vAlign w:val="bottom"/>
          </w:tcPr>
          <w:p>
            <w:pPr>
              <w:spacing w:after="0"/>
              <w:rPr>
                <w:sz w:val="20"/>
                <w:szCs w:val="20"/>
                <w:color w:val="auto"/>
              </w:rPr>
            </w:pPr>
            <w:r>
              <w:rPr>
                <w:rFonts w:ascii="Arial" w:cs="Arial" w:eastAsia="Arial" w:hAnsi="Arial"/>
                <w:sz w:val="14"/>
                <w:szCs w:val="14"/>
                <w:i w:val="1"/>
                <w:iCs w:val="1"/>
                <w:color w:val="auto"/>
              </w:rPr>
              <w:t>years ended December 31</w:t>
            </w:r>
          </w:p>
        </w:tc>
        <w:tc>
          <w:tcPr>
            <w:tcW w:w="440" w:type="dxa"/>
            <w:vAlign w:val="bottom"/>
          </w:tcPr>
          <w:p>
            <w:pPr>
              <w:spacing w:after="0"/>
              <w:rPr>
                <w:sz w:val="14"/>
                <w:szCs w:val="14"/>
                <w:color w:val="auto"/>
              </w:rPr>
            </w:pPr>
          </w:p>
        </w:tc>
        <w:tc>
          <w:tcPr>
            <w:tcW w:w="820" w:type="dxa"/>
            <w:vAlign w:val="bottom"/>
            <w:vMerge w:val="restart"/>
          </w:tcPr>
          <w:p>
            <w:pPr>
              <w:jc w:val="right"/>
              <w:ind w:right="126"/>
              <w:spacing w:after="0"/>
              <w:rPr>
                <w:sz w:val="20"/>
                <w:szCs w:val="20"/>
                <w:color w:val="auto"/>
              </w:rPr>
            </w:pPr>
            <w:r>
              <w:rPr>
                <w:rFonts w:ascii="Arial" w:cs="Arial" w:eastAsia="Arial" w:hAnsi="Arial"/>
                <w:sz w:val="15"/>
                <w:szCs w:val="15"/>
                <w:b w:val="1"/>
                <w:bCs w:val="1"/>
                <w:color w:val="0085CD"/>
              </w:rPr>
              <w:t>2017</w:t>
            </w: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3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(add 000)</w:t>
            </w: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2016</w:t>
            </w:r>
          </w:p>
        </w:tc>
        <w:tc>
          <w:tcPr>
            <w:tcW w:w="0" w:type="dxa"/>
            <w:vAlign w:val="bottom"/>
          </w:tcPr>
          <w:p>
            <w:pPr>
              <w:spacing w:after="0"/>
              <w:rPr>
                <w:sz w:val="1"/>
                <w:szCs w:val="1"/>
                <w:color w:val="auto"/>
              </w:rPr>
            </w:pPr>
          </w:p>
        </w:tc>
      </w:tr>
      <w:tr>
        <w:trPr>
          <w:trHeight w:val="149"/>
        </w:trPr>
        <w:tc>
          <w:tcPr>
            <w:tcW w:w="330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Change in plan assets:</w:t>
            </w:r>
          </w:p>
        </w:tc>
        <w:tc>
          <w:tcPr>
            <w:tcW w:w="4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300" w:type="dxa"/>
            <w:vAlign w:val="bottom"/>
          </w:tcPr>
          <w:p>
            <w:pPr>
              <w:spacing w:after="0" w:line="156" w:lineRule="exact"/>
              <w:rPr>
                <w:sz w:val="20"/>
                <w:szCs w:val="20"/>
                <w:color w:val="auto"/>
              </w:rPr>
            </w:pPr>
            <w:r>
              <w:rPr>
                <w:rFonts w:ascii="Arial" w:cs="Arial" w:eastAsia="Arial" w:hAnsi="Arial"/>
                <w:sz w:val="15"/>
                <w:szCs w:val="15"/>
                <w:color w:val="auto"/>
              </w:rPr>
              <w:t>Fair value of plan assets at beginning of year</w:t>
            </w:r>
          </w:p>
        </w:tc>
        <w:tc>
          <w:tcPr>
            <w:tcW w:w="440" w:type="dxa"/>
            <w:vAlign w:val="bottom"/>
          </w:tcPr>
          <w:p>
            <w:pPr>
              <w:jc w:val="right"/>
              <w:spacing w:after="0" w:line="156" w:lineRule="exact"/>
              <w:rPr>
                <w:sz w:val="20"/>
                <w:szCs w:val="20"/>
                <w:color w:val="auto"/>
              </w:rPr>
            </w:pPr>
            <w:r>
              <w:rPr>
                <w:rFonts w:ascii="Arial" w:cs="Arial" w:eastAsia="Arial" w:hAnsi="Arial"/>
                <w:sz w:val="15"/>
                <w:szCs w:val="15"/>
                <w:b w:val="1"/>
                <w:bCs w:val="1"/>
                <w:color w:val="auto"/>
              </w:rPr>
              <w:t>$</w:t>
            </w:r>
          </w:p>
        </w:tc>
        <w:tc>
          <w:tcPr>
            <w:tcW w:w="820" w:type="dxa"/>
            <w:vAlign w:val="bottom"/>
          </w:tcPr>
          <w:p>
            <w:pPr>
              <w:jc w:val="right"/>
              <w:ind w:right="126"/>
              <w:spacing w:after="0" w:line="156" w:lineRule="exact"/>
              <w:rPr>
                <w:sz w:val="20"/>
                <w:szCs w:val="20"/>
                <w:color w:val="auto"/>
              </w:rPr>
            </w:pPr>
            <w:r>
              <w:rPr>
                <w:rFonts w:ascii="Arial" w:cs="Arial" w:eastAsia="Arial" w:hAnsi="Arial"/>
                <w:sz w:val="15"/>
                <w:szCs w:val="15"/>
                <w:b w:val="1"/>
                <w:bCs w:val="1"/>
                <w:color w:val="auto"/>
              </w:rPr>
              <w:t>596,207</w:t>
            </w:r>
          </w:p>
        </w:tc>
        <w:tc>
          <w:tcPr>
            <w:tcW w:w="240" w:type="dxa"/>
            <w:vAlign w:val="bottom"/>
          </w:tcPr>
          <w:p>
            <w:pPr>
              <w:jc w:val="right"/>
              <w:spacing w:after="0" w:line="156" w:lineRule="exact"/>
              <w:rPr>
                <w:sz w:val="20"/>
                <w:szCs w:val="20"/>
                <w:color w:val="auto"/>
              </w:rPr>
            </w:pPr>
            <w:r>
              <w:rPr>
                <w:rFonts w:ascii="Arial" w:cs="Arial" w:eastAsia="Arial" w:hAnsi="Arial"/>
                <w:sz w:val="15"/>
                <w:szCs w:val="15"/>
                <w:color w:val="auto"/>
              </w:rPr>
              <w:t>$</w:t>
            </w:r>
          </w:p>
        </w:tc>
        <w:tc>
          <w:tcPr>
            <w:tcW w:w="680" w:type="dxa"/>
            <w:vAlign w:val="bottom"/>
          </w:tcPr>
          <w:p>
            <w:pPr>
              <w:jc w:val="right"/>
              <w:ind w:right="6"/>
              <w:spacing w:after="0" w:line="156" w:lineRule="exact"/>
              <w:rPr>
                <w:sz w:val="20"/>
                <w:szCs w:val="20"/>
                <w:color w:val="auto"/>
              </w:rPr>
            </w:pPr>
            <w:r>
              <w:rPr>
                <w:rFonts w:ascii="Arial" w:cs="Arial" w:eastAsia="Arial" w:hAnsi="Arial"/>
                <w:sz w:val="15"/>
                <w:szCs w:val="15"/>
                <w:color w:val="auto"/>
              </w:rPr>
              <w:t>546,512</w:t>
            </w:r>
          </w:p>
        </w:tc>
        <w:tc>
          <w:tcPr>
            <w:tcW w:w="0" w:type="dxa"/>
            <w:vAlign w:val="bottom"/>
          </w:tcPr>
          <w:p>
            <w:pPr>
              <w:spacing w:after="0"/>
              <w:rPr>
                <w:sz w:val="1"/>
                <w:szCs w:val="1"/>
                <w:color w:val="auto"/>
              </w:rPr>
            </w:pPr>
          </w:p>
        </w:tc>
      </w:tr>
      <w:tr>
        <w:trPr>
          <w:trHeight w:val="156"/>
        </w:trPr>
        <w:tc>
          <w:tcPr>
            <w:tcW w:w="330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Actual return on plan assets, net</w:t>
            </w:r>
          </w:p>
        </w:tc>
        <w:tc>
          <w:tcPr>
            <w:tcW w:w="44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126"/>
              <w:spacing w:after="0" w:line="156" w:lineRule="exact"/>
              <w:rPr>
                <w:sz w:val="20"/>
                <w:szCs w:val="20"/>
                <w:color w:val="auto"/>
              </w:rPr>
            </w:pPr>
            <w:r>
              <w:rPr>
                <w:rFonts w:ascii="Arial" w:cs="Arial" w:eastAsia="Arial" w:hAnsi="Arial"/>
                <w:sz w:val="15"/>
                <w:szCs w:val="15"/>
                <w:b w:val="1"/>
                <w:bCs w:val="1"/>
                <w:color w:val="auto"/>
              </w:rPr>
              <w:t>83,091</w:t>
            </w: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6"/>
              <w:spacing w:after="0" w:line="156" w:lineRule="exact"/>
              <w:rPr>
                <w:sz w:val="20"/>
                <w:szCs w:val="20"/>
                <w:color w:val="auto"/>
              </w:rPr>
            </w:pPr>
            <w:r>
              <w:rPr>
                <w:rFonts w:ascii="Arial" w:cs="Arial" w:eastAsia="Arial" w:hAnsi="Arial"/>
                <w:sz w:val="15"/>
                <w:szCs w:val="15"/>
                <w:color w:val="auto"/>
              </w:rPr>
              <w:t>35,432</w:t>
            </w:r>
          </w:p>
        </w:tc>
        <w:tc>
          <w:tcPr>
            <w:tcW w:w="0" w:type="dxa"/>
            <w:vAlign w:val="bottom"/>
          </w:tcPr>
          <w:p>
            <w:pPr>
              <w:spacing w:after="0"/>
              <w:rPr>
                <w:sz w:val="1"/>
                <w:szCs w:val="1"/>
                <w:color w:val="auto"/>
              </w:rPr>
            </w:pPr>
          </w:p>
        </w:tc>
      </w:tr>
      <w:tr>
        <w:trPr>
          <w:trHeight w:val="156"/>
        </w:trPr>
        <w:tc>
          <w:tcPr>
            <w:tcW w:w="3300" w:type="dxa"/>
            <w:vAlign w:val="bottom"/>
          </w:tcPr>
          <w:p>
            <w:pPr>
              <w:spacing w:after="0" w:line="156" w:lineRule="exact"/>
              <w:rPr>
                <w:sz w:val="20"/>
                <w:szCs w:val="20"/>
                <w:color w:val="auto"/>
              </w:rPr>
            </w:pPr>
            <w:r>
              <w:rPr>
                <w:rFonts w:ascii="Arial" w:cs="Arial" w:eastAsia="Arial" w:hAnsi="Arial"/>
                <w:sz w:val="15"/>
                <w:szCs w:val="15"/>
                <w:color w:val="auto"/>
              </w:rPr>
              <w:t>Employer contributions</w:t>
            </w:r>
          </w:p>
        </w:tc>
        <w:tc>
          <w:tcPr>
            <w:tcW w:w="440" w:type="dxa"/>
            <w:vAlign w:val="bottom"/>
          </w:tcPr>
          <w:p>
            <w:pPr>
              <w:spacing w:after="0"/>
              <w:rPr>
                <w:sz w:val="13"/>
                <w:szCs w:val="13"/>
                <w:color w:val="auto"/>
              </w:rPr>
            </w:pPr>
          </w:p>
        </w:tc>
        <w:tc>
          <w:tcPr>
            <w:tcW w:w="820" w:type="dxa"/>
            <w:vAlign w:val="bottom"/>
          </w:tcPr>
          <w:p>
            <w:pPr>
              <w:jc w:val="right"/>
              <w:ind w:right="126"/>
              <w:spacing w:after="0" w:line="156" w:lineRule="exact"/>
              <w:rPr>
                <w:sz w:val="20"/>
                <w:szCs w:val="20"/>
                <w:color w:val="auto"/>
              </w:rPr>
            </w:pPr>
            <w:r>
              <w:rPr>
                <w:rFonts w:ascii="Arial" w:cs="Arial" w:eastAsia="Arial" w:hAnsi="Arial"/>
                <w:sz w:val="15"/>
                <w:szCs w:val="15"/>
                <w:b w:val="1"/>
                <w:bCs w:val="1"/>
                <w:color w:val="auto"/>
              </w:rPr>
              <w:t>30,903</w:t>
            </w:r>
          </w:p>
        </w:tc>
        <w:tc>
          <w:tcPr>
            <w:tcW w:w="240" w:type="dxa"/>
            <w:vAlign w:val="bottom"/>
          </w:tcPr>
          <w:p>
            <w:pPr>
              <w:spacing w:after="0"/>
              <w:rPr>
                <w:sz w:val="13"/>
                <w:szCs w:val="13"/>
                <w:color w:val="auto"/>
              </w:rPr>
            </w:pPr>
          </w:p>
        </w:tc>
        <w:tc>
          <w:tcPr>
            <w:tcW w:w="680" w:type="dxa"/>
            <w:vAlign w:val="bottom"/>
          </w:tcPr>
          <w:p>
            <w:pPr>
              <w:jc w:val="right"/>
              <w:ind w:right="6"/>
              <w:spacing w:after="0" w:line="156" w:lineRule="exact"/>
              <w:rPr>
                <w:sz w:val="20"/>
                <w:szCs w:val="20"/>
                <w:color w:val="auto"/>
              </w:rPr>
            </w:pPr>
            <w:r>
              <w:rPr>
                <w:rFonts w:ascii="Arial" w:cs="Arial" w:eastAsia="Arial" w:hAnsi="Arial"/>
                <w:sz w:val="15"/>
                <w:szCs w:val="15"/>
                <w:color w:val="auto"/>
              </w:rPr>
              <w:t>44,763</w:t>
            </w:r>
          </w:p>
        </w:tc>
        <w:tc>
          <w:tcPr>
            <w:tcW w:w="0" w:type="dxa"/>
            <w:vAlign w:val="bottom"/>
          </w:tcPr>
          <w:p>
            <w:pPr>
              <w:spacing w:after="0"/>
              <w:rPr>
                <w:sz w:val="1"/>
                <w:szCs w:val="1"/>
                <w:color w:val="auto"/>
              </w:rPr>
            </w:pPr>
          </w:p>
        </w:tc>
      </w:tr>
      <w:tr>
        <w:trPr>
          <w:trHeight w:val="156"/>
        </w:trPr>
        <w:tc>
          <w:tcPr>
            <w:tcW w:w="330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Gross benefits paid</w:t>
            </w:r>
          </w:p>
        </w:tc>
        <w:tc>
          <w:tcPr>
            <w:tcW w:w="44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ind w:right="86"/>
              <w:spacing w:after="0" w:line="156" w:lineRule="exact"/>
              <w:rPr>
                <w:sz w:val="20"/>
                <w:szCs w:val="20"/>
                <w:color w:val="auto"/>
              </w:rPr>
            </w:pPr>
            <w:r>
              <w:rPr>
                <w:rFonts w:ascii="Arial" w:cs="Arial" w:eastAsia="Arial" w:hAnsi="Arial"/>
                <w:sz w:val="15"/>
                <w:szCs w:val="15"/>
                <w:b w:val="1"/>
                <w:bCs w:val="1"/>
                <w:color w:val="auto"/>
              </w:rPr>
              <w:t>(72,095)</w:t>
            </w:r>
          </w:p>
        </w:tc>
        <w:tc>
          <w:tcPr>
            <w:tcW w:w="2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(30,500)</w:t>
            </w:r>
          </w:p>
        </w:tc>
        <w:tc>
          <w:tcPr>
            <w:tcW w:w="0" w:type="dxa"/>
            <w:vAlign w:val="bottom"/>
          </w:tcPr>
          <w:p>
            <w:pPr>
              <w:spacing w:after="0"/>
              <w:rPr>
                <w:sz w:val="1"/>
                <w:szCs w:val="1"/>
                <w:color w:val="auto"/>
              </w:rPr>
            </w:pPr>
          </w:p>
        </w:tc>
      </w:tr>
      <w:tr>
        <w:trPr>
          <w:trHeight w:val="155"/>
        </w:trPr>
        <w:tc>
          <w:tcPr>
            <w:tcW w:w="3300" w:type="dxa"/>
            <w:vAlign w:val="bottom"/>
            <w:tcBorders>
              <w:bottom w:val="single" w:sz="8" w:color="auto"/>
            </w:tcBorders>
          </w:tcPr>
          <w:p>
            <w:pPr>
              <w:spacing w:after="0" w:line="149" w:lineRule="exact"/>
              <w:rPr>
                <w:sz w:val="20"/>
                <w:szCs w:val="20"/>
                <w:color w:val="auto"/>
              </w:rPr>
            </w:pPr>
            <w:r>
              <w:rPr>
                <w:rFonts w:ascii="Arial" w:cs="Arial" w:eastAsia="Arial" w:hAnsi="Arial"/>
                <w:sz w:val="15"/>
                <w:szCs w:val="15"/>
                <w:color w:val="auto"/>
              </w:rPr>
              <w:t>Fair value of plan assets at end of year</w:t>
            </w:r>
          </w:p>
        </w:tc>
        <w:tc>
          <w:tcPr>
            <w:tcW w:w="4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820" w:type="dxa"/>
            <w:vAlign w:val="bottom"/>
            <w:tcBorders>
              <w:bottom w:val="single" w:sz="8" w:color="auto"/>
            </w:tcBorders>
          </w:tcPr>
          <w:p>
            <w:pPr>
              <w:jc w:val="right"/>
              <w:ind w:right="126"/>
              <w:spacing w:after="0" w:line="149" w:lineRule="exact"/>
              <w:rPr>
                <w:sz w:val="20"/>
                <w:szCs w:val="20"/>
                <w:color w:val="auto"/>
              </w:rPr>
            </w:pPr>
            <w:r>
              <w:rPr>
                <w:rFonts w:ascii="Arial" w:cs="Arial" w:eastAsia="Arial" w:hAnsi="Arial"/>
                <w:sz w:val="15"/>
                <w:szCs w:val="15"/>
                <w:b w:val="1"/>
                <w:bCs w:val="1"/>
                <w:color w:val="auto"/>
              </w:rPr>
              <w:t>638,106</w:t>
            </w:r>
          </w:p>
        </w:tc>
        <w:tc>
          <w:tcPr>
            <w:tcW w:w="2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color w:val="auto"/>
              </w:rPr>
              <w:t>$</w:t>
            </w:r>
          </w:p>
        </w:tc>
        <w:tc>
          <w:tcPr>
            <w:tcW w:w="680" w:type="dxa"/>
            <w:vAlign w:val="bottom"/>
            <w:tcBorders>
              <w:bottom w:val="single" w:sz="8" w:color="auto"/>
            </w:tcBorders>
          </w:tcPr>
          <w:p>
            <w:pPr>
              <w:jc w:val="right"/>
              <w:ind w:right="6"/>
              <w:spacing w:after="0" w:line="149" w:lineRule="exact"/>
              <w:rPr>
                <w:sz w:val="20"/>
                <w:szCs w:val="20"/>
                <w:color w:val="auto"/>
              </w:rPr>
            </w:pPr>
            <w:r>
              <w:rPr>
                <w:rFonts w:ascii="Arial" w:cs="Arial" w:eastAsia="Arial" w:hAnsi="Arial"/>
                <w:sz w:val="15"/>
                <w:szCs w:val="15"/>
                <w:color w:val="auto"/>
              </w:rPr>
              <w:t>596,207</w:t>
            </w:r>
          </w:p>
        </w:tc>
        <w:tc>
          <w:tcPr>
            <w:tcW w:w="0" w:type="dxa"/>
            <w:vAlign w:val="bottom"/>
          </w:tcPr>
          <w:p>
            <w:pPr>
              <w:spacing w:after="0"/>
              <w:rPr>
                <w:sz w:val="1"/>
                <w:szCs w:val="1"/>
                <w:color w:val="auto"/>
              </w:rPr>
            </w:pPr>
          </w:p>
        </w:tc>
      </w:tr>
      <w:tr>
        <w:trPr>
          <w:trHeight w:val="308"/>
        </w:trPr>
        <w:tc>
          <w:tcPr>
            <w:tcW w:w="3300" w:type="dxa"/>
            <w:vAlign w:val="bottom"/>
          </w:tcPr>
          <w:p>
            <w:pPr>
              <w:spacing w:after="0"/>
              <w:rPr>
                <w:sz w:val="20"/>
                <w:szCs w:val="20"/>
                <w:color w:val="auto"/>
              </w:rPr>
            </w:pPr>
            <w:r>
              <w:rPr>
                <w:rFonts w:ascii="Arial" w:cs="Arial" w:eastAsia="Arial" w:hAnsi="Arial"/>
                <w:sz w:val="14"/>
                <w:szCs w:val="14"/>
                <w:i w:val="1"/>
                <w:iCs w:val="1"/>
                <w:color w:val="auto"/>
              </w:rPr>
              <w:t>December 31</w:t>
            </w:r>
          </w:p>
        </w:tc>
        <w:tc>
          <w:tcPr>
            <w:tcW w:w="440" w:type="dxa"/>
            <w:vAlign w:val="bottom"/>
          </w:tcPr>
          <w:p>
            <w:pPr>
              <w:spacing w:after="0"/>
              <w:rPr>
                <w:sz w:val="24"/>
                <w:szCs w:val="24"/>
                <w:color w:val="auto"/>
              </w:rPr>
            </w:pPr>
          </w:p>
        </w:tc>
        <w:tc>
          <w:tcPr>
            <w:tcW w:w="820" w:type="dxa"/>
            <w:vAlign w:val="bottom"/>
            <w:vMerge w:val="restart"/>
          </w:tcPr>
          <w:p>
            <w:pPr>
              <w:jc w:val="right"/>
              <w:ind w:right="126"/>
              <w:spacing w:after="0"/>
              <w:rPr>
                <w:sz w:val="20"/>
                <w:szCs w:val="20"/>
                <w:color w:val="auto"/>
              </w:rPr>
            </w:pPr>
            <w:r>
              <w:rPr>
                <w:rFonts w:ascii="Arial" w:cs="Arial" w:eastAsia="Arial" w:hAnsi="Arial"/>
                <w:sz w:val="15"/>
                <w:szCs w:val="15"/>
                <w:b w:val="1"/>
                <w:bCs w:val="1"/>
                <w:color w:val="0085CD"/>
              </w:rPr>
              <w:t>2017</w:t>
            </w: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33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(add 000)</w:t>
            </w: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2016</w:t>
            </w:r>
          </w:p>
        </w:tc>
        <w:tc>
          <w:tcPr>
            <w:tcW w:w="0" w:type="dxa"/>
            <w:vAlign w:val="bottom"/>
          </w:tcPr>
          <w:p>
            <w:pPr>
              <w:spacing w:after="0"/>
              <w:rPr>
                <w:sz w:val="1"/>
                <w:szCs w:val="1"/>
                <w:color w:val="auto"/>
              </w:rPr>
            </w:pPr>
          </w:p>
        </w:tc>
      </w:tr>
      <w:tr>
        <w:trPr>
          <w:trHeight w:val="149"/>
        </w:trPr>
        <w:tc>
          <w:tcPr>
            <w:tcW w:w="330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5"/>
                <w:szCs w:val="15"/>
                <w:color w:val="auto"/>
              </w:rPr>
              <w:t>Funded status of the plan at end of year</w:t>
            </w:r>
          </w:p>
        </w:tc>
        <w:tc>
          <w:tcPr>
            <w:tcW w:w="4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820" w:type="dxa"/>
            <w:vAlign w:val="bottom"/>
            <w:tcBorders>
              <w:bottom w:val="single" w:sz="8" w:color="auto"/>
            </w:tcBorders>
            <w:shd w:val="clear" w:color="auto" w:fill="CCEEFF"/>
          </w:tcPr>
          <w:p>
            <w:pPr>
              <w:jc w:val="right"/>
              <w:ind w:right="86"/>
              <w:spacing w:after="0" w:line="149" w:lineRule="exact"/>
              <w:rPr>
                <w:sz w:val="20"/>
                <w:szCs w:val="20"/>
                <w:color w:val="auto"/>
              </w:rPr>
            </w:pPr>
            <w:r>
              <w:rPr>
                <w:rFonts w:ascii="Arial" w:cs="Arial" w:eastAsia="Arial" w:hAnsi="Arial"/>
                <w:sz w:val="15"/>
                <w:szCs w:val="15"/>
                <w:b w:val="1"/>
                <w:bCs w:val="1"/>
                <w:color w:val="auto"/>
                <w:w w:val="99"/>
              </w:rPr>
              <w:t>(241,229)</w:t>
            </w:r>
          </w:p>
        </w:tc>
        <w:tc>
          <w:tcPr>
            <w:tcW w:w="2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w w:val="96"/>
              </w:rPr>
              <w:t>(235,642)</w:t>
            </w:r>
          </w:p>
        </w:tc>
        <w:tc>
          <w:tcPr>
            <w:tcW w:w="0" w:type="dxa"/>
            <w:vAlign w:val="bottom"/>
          </w:tcPr>
          <w:p>
            <w:pPr>
              <w:spacing w:after="0"/>
              <w:rPr>
                <w:sz w:val="1"/>
                <w:szCs w:val="1"/>
                <w:color w:val="auto"/>
              </w:rPr>
            </w:pPr>
          </w:p>
        </w:tc>
      </w:tr>
      <w:tr>
        <w:trPr>
          <w:trHeight w:val="155"/>
        </w:trPr>
        <w:tc>
          <w:tcPr>
            <w:tcW w:w="3300" w:type="dxa"/>
            <w:vAlign w:val="bottom"/>
            <w:tcBorders>
              <w:bottom w:val="single" w:sz="8" w:color="auto"/>
            </w:tcBorders>
          </w:tcPr>
          <w:p>
            <w:pPr>
              <w:spacing w:after="0" w:line="149" w:lineRule="exact"/>
              <w:rPr>
                <w:sz w:val="20"/>
                <w:szCs w:val="20"/>
                <w:color w:val="auto"/>
              </w:rPr>
            </w:pPr>
            <w:r>
              <w:rPr>
                <w:rFonts w:ascii="Arial" w:cs="Arial" w:eastAsia="Arial" w:hAnsi="Arial"/>
                <w:sz w:val="15"/>
                <w:szCs w:val="15"/>
                <w:color w:val="auto"/>
              </w:rPr>
              <w:t>Accrued benefit cost</w:t>
            </w:r>
          </w:p>
        </w:tc>
        <w:tc>
          <w:tcPr>
            <w:tcW w:w="4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820" w:type="dxa"/>
            <w:vAlign w:val="bottom"/>
            <w:tcBorders>
              <w:bottom w:val="single" w:sz="8" w:color="auto"/>
            </w:tcBorders>
          </w:tcPr>
          <w:p>
            <w:pPr>
              <w:jc w:val="right"/>
              <w:ind w:right="86"/>
              <w:spacing w:after="0" w:line="149" w:lineRule="exact"/>
              <w:rPr>
                <w:sz w:val="20"/>
                <w:szCs w:val="20"/>
                <w:color w:val="auto"/>
              </w:rPr>
            </w:pPr>
            <w:r>
              <w:rPr>
                <w:rFonts w:ascii="Arial" w:cs="Arial" w:eastAsia="Arial" w:hAnsi="Arial"/>
                <w:sz w:val="15"/>
                <w:szCs w:val="15"/>
                <w:b w:val="1"/>
                <w:bCs w:val="1"/>
                <w:color w:val="auto"/>
                <w:w w:val="99"/>
              </w:rPr>
              <w:t>(241,229)</w:t>
            </w:r>
          </w:p>
        </w:tc>
        <w:tc>
          <w:tcPr>
            <w:tcW w:w="2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color w:val="auto"/>
              </w:rPr>
              <w:t>$</w:t>
            </w: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color w:val="auto"/>
                <w:w w:val="96"/>
              </w:rPr>
              <w:t>(235,642)</w:t>
            </w:r>
          </w:p>
        </w:tc>
        <w:tc>
          <w:tcPr>
            <w:tcW w:w="0" w:type="dxa"/>
            <w:vAlign w:val="bottom"/>
          </w:tcPr>
          <w:p>
            <w:pPr>
              <w:spacing w:after="0"/>
              <w:rPr>
                <w:sz w:val="1"/>
                <w:szCs w:val="1"/>
                <w:color w:val="auto"/>
              </w:rPr>
            </w:pPr>
          </w:p>
        </w:tc>
      </w:tr>
      <w:tr>
        <w:trPr>
          <w:trHeight w:val="308"/>
        </w:trPr>
        <w:tc>
          <w:tcPr>
            <w:tcW w:w="3300" w:type="dxa"/>
            <w:vAlign w:val="bottom"/>
          </w:tcPr>
          <w:p>
            <w:pPr>
              <w:spacing w:after="0"/>
              <w:rPr>
                <w:sz w:val="20"/>
                <w:szCs w:val="20"/>
                <w:color w:val="auto"/>
              </w:rPr>
            </w:pPr>
            <w:r>
              <w:rPr>
                <w:rFonts w:ascii="Arial" w:cs="Arial" w:eastAsia="Arial" w:hAnsi="Arial"/>
                <w:sz w:val="15"/>
                <w:szCs w:val="15"/>
                <w:i w:val="1"/>
                <w:iCs w:val="1"/>
                <w:color w:val="auto"/>
              </w:rPr>
              <w:t>December 31</w:t>
            </w:r>
          </w:p>
        </w:tc>
        <w:tc>
          <w:tcPr>
            <w:tcW w:w="440" w:type="dxa"/>
            <w:vAlign w:val="bottom"/>
          </w:tcPr>
          <w:p>
            <w:pPr>
              <w:spacing w:after="0"/>
              <w:rPr>
                <w:sz w:val="24"/>
                <w:szCs w:val="24"/>
                <w:color w:val="auto"/>
              </w:rPr>
            </w:pPr>
          </w:p>
        </w:tc>
        <w:tc>
          <w:tcPr>
            <w:tcW w:w="820" w:type="dxa"/>
            <w:vAlign w:val="bottom"/>
            <w:vMerge w:val="restart"/>
          </w:tcPr>
          <w:p>
            <w:pPr>
              <w:jc w:val="right"/>
              <w:ind w:right="126"/>
              <w:spacing w:after="0"/>
              <w:rPr>
                <w:sz w:val="20"/>
                <w:szCs w:val="20"/>
                <w:color w:val="auto"/>
              </w:rPr>
            </w:pPr>
            <w:r>
              <w:rPr>
                <w:rFonts w:ascii="Arial" w:cs="Arial" w:eastAsia="Arial" w:hAnsi="Arial"/>
                <w:sz w:val="15"/>
                <w:szCs w:val="15"/>
                <w:b w:val="1"/>
                <w:bCs w:val="1"/>
                <w:color w:val="0085CD"/>
              </w:rPr>
              <w:t>2017</w:t>
            </w: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33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(add 000)</w:t>
            </w: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2016</w:t>
            </w:r>
          </w:p>
        </w:tc>
        <w:tc>
          <w:tcPr>
            <w:tcW w:w="0" w:type="dxa"/>
            <w:vAlign w:val="bottom"/>
          </w:tcPr>
          <w:p>
            <w:pPr>
              <w:spacing w:after="0"/>
              <w:rPr>
                <w:sz w:val="1"/>
                <w:szCs w:val="1"/>
                <w:color w:val="auto"/>
              </w:rPr>
            </w:pPr>
          </w:p>
        </w:tc>
      </w:tr>
      <w:tr>
        <w:trPr>
          <w:trHeight w:val="145"/>
        </w:trPr>
        <w:tc>
          <w:tcPr>
            <w:tcW w:w="3300" w:type="dxa"/>
            <w:vAlign w:val="bottom"/>
            <w:shd w:val="clear" w:color="auto" w:fill="CCEEFF"/>
          </w:tcPr>
          <w:p>
            <w:pPr>
              <w:spacing w:after="0" w:line="146" w:lineRule="exact"/>
              <w:rPr>
                <w:sz w:val="20"/>
                <w:szCs w:val="20"/>
                <w:color w:val="auto"/>
              </w:rPr>
            </w:pPr>
            <w:r>
              <w:rPr>
                <w:rFonts w:ascii="Arial" w:cs="Arial" w:eastAsia="Arial" w:hAnsi="Arial"/>
                <w:sz w:val="15"/>
                <w:szCs w:val="15"/>
                <w:color w:val="auto"/>
              </w:rPr>
              <w:t>Amounts recognized on consolidated balance</w:t>
            </w:r>
          </w:p>
        </w:tc>
        <w:tc>
          <w:tcPr>
            <w:tcW w:w="4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300" w:type="dxa"/>
            <w:vAlign w:val="bottom"/>
            <w:shd w:val="clear" w:color="auto" w:fill="CCEEFF"/>
          </w:tcPr>
          <w:p>
            <w:pPr>
              <w:ind w:left="160"/>
              <w:spacing w:after="0" w:line="159" w:lineRule="exact"/>
              <w:rPr>
                <w:sz w:val="20"/>
                <w:szCs w:val="20"/>
                <w:color w:val="auto"/>
              </w:rPr>
            </w:pPr>
            <w:r>
              <w:rPr>
                <w:rFonts w:ascii="Arial" w:cs="Arial" w:eastAsia="Arial" w:hAnsi="Arial"/>
                <w:sz w:val="15"/>
                <w:szCs w:val="15"/>
                <w:color w:val="auto"/>
              </w:rPr>
              <w:t>sheets consist of:</w:t>
            </w:r>
          </w:p>
        </w:tc>
        <w:tc>
          <w:tcPr>
            <w:tcW w:w="4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300" w:type="dxa"/>
            <w:vAlign w:val="bottom"/>
          </w:tcPr>
          <w:p>
            <w:pPr>
              <w:spacing w:after="0" w:line="156" w:lineRule="exact"/>
              <w:rPr>
                <w:sz w:val="20"/>
                <w:szCs w:val="20"/>
                <w:color w:val="auto"/>
              </w:rPr>
            </w:pPr>
            <w:r>
              <w:rPr>
                <w:rFonts w:ascii="Arial" w:cs="Arial" w:eastAsia="Arial" w:hAnsi="Arial"/>
                <w:sz w:val="15"/>
                <w:szCs w:val="15"/>
                <w:color w:val="auto"/>
              </w:rPr>
              <w:t>Current liability</w:t>
            </w:r>
          </w:p>
        </w:tc>
        <w:tc>
          <w:tcPr>
            <w:tcW w:w="440" w:type="dxa"/>
            <w:vAlign w:val="bottom"/>
          </w:tcPr>
          <w:p>
            <w:pPr>
              <w:jc w:val="right"/>
              <w:spacing w:after="0" w:line="156" w:lineRule="exact"/>
              <w:rPr>
                <w:sz w:val="20"/>
                <w:szCs w:val="20"/>
                <w:color w:val="auto"/>
              </w:rPr>
            </w:pPr>
            <w:r>
              <w:rPr>
                <w:rFonts w:ascii="Arial" w:cs="Arial" w:eastAsia="Arial" w:hAnsi="Arial"/>
                <w:sz w:val="15"/>
                <w:szCs w:val="15"/>
                <w:b w:val="1"/>
                <w:bCs w:val="1"/>
                <w:color w:val="auto"/>
              </w:rPr>
              <w:t>$</w:t>
            </w:r>
          </w:p>
        </w:tc>
        <w:tc>
          <w:tcPr>
            <w:tcW w:w="820" w:type="dxa"/>
            <w:vAlign w:val="bottom"/>
          </w:tcPr>
          <w:p>
            <w:pPr>
              <w:jc w:val="right"/>
              <w:ind w:right="86"/>
              <w:spacing w:after="0" w:line="156" w:lineRule="exact"/>
              <w:rPr>
                <w:sz w:val="20"/>
                <w:szCs w:val="20"/>
                <w:color w:val="auto"/>
              </w:rPr>
            </w:pPr>
            <w:r>
              <w:rPr>
                <w:rFonts w:ascii="Arial" w:cs="Arial" w:eastAsia="Arial" w:hAnsi="Arial"/>
                <w:sz w:val="15"/>
                <w:szCs w:val="15"/>
                <w:b w:val="1"/>
                <w:bCs w:val="1"/>
                <w:color w:val="auto"/>
              </w:rPr>
              <w:t>(11,092)</w:t>
            </w:r>
          </w:p>
        </w:tc>
        <w:tc>
          <w:tcPr>
            <w:tcW w:w="240" w:type="dxa"/>
            <w:vAlign w:val="bottom"/>
          </w:tcPr>
          <w:p>
            <w:pPr>
              <w:jc w:val="right"/>
              <w:spacing w:after="0" w:line="156" w:lineRule="exact"/>
              <w:rPr>
                <w:sz w:val="20"/>
                <w:szCs w:val="20"/>
                <w:color w:val="auto"/>
              </w:rPr>
            </w:pPr>
            <w:r>
              <w:rPr>
                <w:rFonts w:ascii="Arial" w:cs="Arial" w:eastAsia="Arial" w:hAnsi="Arial"/>
                <w:sz w:val="15"/>
                <w:szCs w:val="15"/>
                <w:color w:val="auto"/>
              </w:rPr>
              <w:t>$</w:t>
            </w:r>
          </w:p>
        </w:tc>
        <w:tc>
          <w:tcPr>
            <w:tcW w:w="680" w:type="dxa"/>
            <w:vAlign w:val="bottom"/>
          </w:tcPr>
          <w:p>
            <w:pPr>
              <w:jc w:val="right"/>
              <w:spacing w:after="0" w:line="156" w:lineRule="exact"/>
              <w:rPr>
                <w:sz w:val="20"/>
                <w:szCs w:val="20"/>
                <w:color w:val="auto"/>
              </w:rPr>
            </w:pPr>
            <w:r>
              <w:rPr>
                <w:rFonts w:ascii="Arial" w:cs="Arial" w:eastAsia="Arial" w:hAnsi="Arial"/>
                <w:sz w:val="15"/>
                <w:szCs w:val="15"/>
                <w:color w:val="auto"/>
              </w:rPr>
              <w:t>(6,223)</w:t>
            </w:r>
          </w:p>
        </w:tc>
        <w:tc>
          <w:tcPr>
            <w:tcW w:w="0" w:type="dxa"/>
            <w:vAlign w:val="bottom"/>
          </w:tcPr>
          <w:p>
            <w:pPr>
              <w:spacing w:after="0"/>
              <w:rPr>
                <w:sz w:val="1"/>
                <w:szCs w:val="1"/>
                <w:color w:val="auto"/>
              </w:rPr>
            </w:pPr>
          </w:p>
        </w:tc>
      </w:tr>
      <w:tr>
        <w:trPr>
          <w:trHeight w:val="156"/>
        </w:trPr>
        <w:tc>
          <w:tcPr>
            <w:tcW w:w="330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Noncurrent liability</w:t>
            </w:r>
          </w:p>
        </w:tc>
        <w:tc>
          <w:tcPr>
            <w:tcW w:w="44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ind w:right="86"/>
              <w:spacing w:after="0" w:line="156" w:lineRule="exact"/>
              <w:rPr>
                <w:sz w:val="20"/>
                <w:szCs w:val="20"/>
                <w:color w:val="auto"/>
              </w:rPr>
            </w:pPr>
            <w:r>
              <w:rPr>
                <w:rFonts w:ascii="Arial" w:cs="Arial" w:eastAsia="Arial" w:hAnsi="Arial"/>
                <w:sz w:val="15"/>
                <w:szCs w:val="15"/>
                <w:b w:val="1"/>
                <w:bCs w:val="1"/>
                <w:color w:val="auto"/>
                <w:w w:val="99"/>
              </w:rPr>
              <w:t>(230,137)</w:t>
            </w:r>
          </w:p>
        </w:tc>
        <w:tc>
          <w:tcPr>
            <w:tcW w:w="2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6"/>
              </w:rPr>
              <w:t>(229,419)</w:t>
            </w:r>
          </w:p>
        </w:tc>
        <w:tc>
          <w:tcPr>
            <w:tcW w:w="0" w:type="dxa"/>
            <w:vAlign w:val="bottom"/>
          </w:tcPr>
          <w:p>
            <w:pPr>
              <w:spacing w:after="0"/>
              <w:rPr>
                <w:sz w:val="1"/>
                <w:szCs w:val="1"/>
                <w:color w:val="auto"/>
              </w:rPr>
            </w:pPr>
          </w:p>
        </w:tc>
      </w:tr>
      <w:tr>
        <w:trPr>
          <w:trHeight w:val="155"/>
        </w:trPr>
        <w:tc>
          <w:tcPr>
            <w:tcW w:w="3300" w:type="dxa"/>
            <w:vAlign w:val="bottom"/>
            <w:tcBorders>
              <w:bottom w:val="single" w:sz="8" w:color="auto"/>
            </w:tcBorders>
          </w:tcPr>
          <w:p>
            <w:pPr>
              <w:spacing w:after="0" w:line="149" w:lineRule="exact"/>
              <w:rPr>
                <w:sz w:val="20"/>
                <w:szCs w:val="20"/>
                <w:color w:val="auto"/>
              </w:rPr>
            </w:pPr>
            <w:r>
              <w:rPr>
                <w:rFonts w:ascii="Arial" w:cs="Arial" w:eastAsia="Arial" w:hAnsi="Arial"/>
                <w:sz w:val="15"/>
                <w:szCs w:val="15"/>
                <w:color w:val="auto"/>
              </w:rPr>
              <w:t>Net amount recognized at end of year</w:t>
            </w:r>
          </w:p>
        </w:tc>
        <w:tc>
          <w:tcPr>
            <w:tcW w:w="4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820" w:type="dxa"/>
            <w:vAlign w:val="bottom"/>
            <w:tcBorders>
              <w:bottom w:val="single" w:sz="8" w:color="auto"/>
            </w:tcBorders>
          </w:tcPr>
          <w:p>
            <w:pPr>
              <w:jc w:val="right"/>
              <w:ind w:right="86"/>
              <w:spacing w:after="0" w:line="149" w:lineRule="exact"/>
              <w:rPr>
                <w:sz w:val="20"/>
                <w:szCs w:val="20"/>
                <w:color w:val="auto"/>
              </w:rPr>
            </w:pPr>
            <w:r>
              <w:rPr>
                <w:rFonts w:ascii="Arial" w:cs="Arial" w:eastAsia="Arial" w:hAnsi="Arial"/>
                <w:sz w:val="15"/>
                <w:szCs w:val="15"/>
                <w:b w:val="1"/>
                <w:bCs w:val="1"/>
                <w:color w:val="auto"/>
                <w:w w:val="99"/>
              </w:rPr>
              <w:t>(241,229)</w:t>
            </w:r>
          </w:p>
        </w:tc>
        <w:tc>
          <w:tcPr>
            <w:tcW w:w="2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color w:val="auto"/>
              </w:rPr>
              <w:t>$</w:t>
            </w: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color w:val="auto"/>
                <w:w w:val="96"/>
              </w:rPr>
              <w:t>(235,642)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The accumulated benefit obligation for all defined benefit pension plans was $792,912,000 and $752,659,000 at December 31, 2017 and 2016, respectively.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Weighted-average assumptions used to determine benefit obligations as of</w:t>
      </w:r>
    </w:p>
    <w:p>
      <w:pPr>
        <w:spacing w:after="0"/>
        <w:rPr>
          <w:sz w:val="20"/>
          <w:szCs w:val="20"/>
          <w:color w:val="auto"/>
        </w:rPr>
      </w:pPr>
      <w:r>
        <w:rPr>
          <w:rFonts w:ascii="Arial" w:cs="Arial" w:eastAsia="Arial" w:hAnsi="Arial"/>
          <w:sz w:val="16"/>
          <w:szCs w:val="16"/>
          <w:color w:val="auto"/>
        </w:rPr>
        <w:t>December 31 are:</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7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b w:val="1"/>
                <w:bCs w:val="1"/>
                <w:color w:val="0085CD"/>
              </w:rPr>
              <w:t>2017</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2016</w:t>
            </w:r>
          </w:p>
        </w:tc>
      </w:tr>
      <w:tr>
        <w:trPr>
          <w:trHeight w:val="149"/>
        </w:trPr>
        <w:tc>
          <w:tcPr>
            <w:tcW w:w="372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Discount rate</w:t>
            </w:r>
          </w:p>
        </w:tc>
        <w:tc>
          <w:tcPr>
            <w:tcW w:w="1260" w:type="dxa"/>
            <w:vAlign w:val="bottom"/>
            <w:shd w:val="clear" w:color="auto" w:fill="CCEEFF"/>
          </w:tcPr>
          <w:p>
            <w:pPr>
              <w:jc w:val="right"/>
              <w:ind w:right="66"/>
              <w:spacing w:after="0" w:line="149" w:lineRule="exact"/>
              <w:rPr>
                <w:sz w:val="20"/>
                <w:szCs w:val="20"/>
                <w:color w:val="auto"/>
              </w:rPr>
            </w:pPr>
            <w:r>
              <w:rPr>
                <w:rFonts w:ascii="Arial" w:cs="Arial" w:eastAsia="Arial" w:hAnsi="Arial"/>
                <w:sz w:val="15"/>
                <w:szCs w:val="15"/>
                <w:b w:val="1"/>
                <w:bCs w:val="1"/>
                <w:color w:val="auto"/>
              </w:rPr>
              <w:t>3.76%</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4.29%</w:t>
            </w:r>
          </w:p>
        </w:tc>
      </w:tr>
      <w:tr>
        <w:trPr>
          <w:trHeight w:val="195"/>
        </w:trPr>
        <w:tc>
          <w:tcPr>
            <w:tcW w:w="3720" w:type="dxa"/>
            <w:vAlign w:val="bottom"/>
          </w:tcPr>
          <w:p>
            <w:pPr>
              <w:spacing w:after="0"/>
              <w:rPr>
                <w:sz w:val="20"/>
                <w:szCs w:val="20"/>
                <w:color w:val="auto"/>
              </w:rPr>
            </w:pPr>
            <w:r>
              <w:rPr>
                <w:rFonts w:ascii="Arial" w:cs="Arial" w:eastAsia="Arial" w:hAnsi="Arial"/>
                <w:sz w:val="15"/>
                <w:szCs w:val="15"/>
                <w:color w:val="auto"/>
              </w:rPr>
              <w:t>Rate of increase in future compensation levels</w:t>
            </w:r>
          </w:p>
        </w:tc>
        <w:tc>
          <w:tcPr>
            <w:tcW w:w="1260" w:type="dxa"/>
            <w:vAlign w:val="bottom"/>
          </w:tcPr>
          <w:p>
            <w:pPr>
              <w:jc w:val="right"/>
              <w:ind w:right="66"/>
              <w:spacing w:after="0"/>
              <w:rPr>
                <w:sz w:val="20"/>
                <w:szCs w:val="20"/>
                <w:color w:val="auto"/>
              </w:rPr>
            </w:pPr>
            <w:r>
              <w:rPr>
                <w:rFonts w:ascii="Arial" w:cs="Arial" w:eastAsia="Arial" w:hAnsi="Arial"/>
                <w:sz w:val="15"/>
                <w:szCs w:val="15"/>
                <w:b w:val="1"/>
                <w:bCs w:val="1"/>
                <w:color w:val="auto"/>
              </w:rPr>
              <w:t>4.50%</w:t>
            </w:r>
          </w:p>
        </w:tc>
        <w:tc>
          <w:tcPr>
            <w:tcW w:w="600" w:type="dxa"/>
            <w:vAlign w:val="bottom"/>
          </w:tcPr>
          <w:p>
            <w:pPr>
              <w:jc w:val="right"/>
              <w:spacing w:after="0"/>
              <w:rPr>
                <w:sz w:val="20"/>
                <w:szCs w:val="20"/>
                <w:color w:val="auto"/>
              </w:rPr>
            </w:pPr>
            <w:r>
              <w:rPr>
                <w:rFonts w:ascii="Arial" w:cs="Arial" w:eastAsia="Arial" w:hAnsi="Arial"/>
                <w:sz w:val="15"/>
                <w:szCs w:val="15"/>
                <w:color w:val="auto"/>
              </w:rPr>
              <w:t>4.50%</w:t>
            </w:r>
          </w:p>
        </w:tc>
      </w:tr>
    </w:tbl>
    <w:p>
      <w:pPr>
        <w:spacing w:after="0" w:line="16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Weighted-average assumptions used to determine net periodic benefit cost for years ended December 31 are:</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3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b w:val="1"/>
                <w:bCs w:val="1"/>
                <w:color w:val="0085CD"/>
              </w:rPr>
              <w:t>2017</w:t>
            </w:r>
          </w:p>
        </w:tc>
        <w:tc>
          <w:tcPr>
            <w:tcW w:w="68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2016</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2015</w:t>
            </w:r>
          </w:p>
        </w:tc>
      </w:tr>
      <w:tr>
        <w:trPr>
          <w:trHeight w:val="149"/>
        </w:trPr>
        <w:tc>
          <w:tcPr>
            <w:tcW w:w="338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Discount rate</w:t>
            </w:r>
          </w:p>
        </w:tc>
        <w:tc>
          <w:tcPr>
            <w:tcW w:w="920" w:type="dxa"/>
            <w:vAlign w:val="bottom"/>
            <w:shd w:val="clear" w:color="auto" w:fill="CCEEFF"/>
          </w:tcPr>
          <w:p>
            <w:pPr>
              <w:jc w:val="right"/>
              <w:ind w:right="66"/>
              <w:spacing w:after="0" w:line="149" w:lineRule="exact"/>
              <w:rPr>
                <w:sz w:val="20"/>
                <w:szCs w:val="20"/>
                <w:color w:val="auto"/>
              </w:rPr>
            </w:pPr>
            <w:r>
              <w:rPr>
                <w:rFonts w:ascii="Arial" w:cs="Arial" w:eastAsia="Arial" w:hAnsi="Arial"/>
                <w:sz w:val="15"/>
                <w:szCs w:val="15"/>
                <w:b w:val="1"/>
                <w:bCs w:val="1"/>
                <w:color w:val="auto"/>
              </w:rPr>
              <w:t>4.29%</w:t>
            </w:r>
          </w:p>
        </w:tc>
        <w:tc>
          <w:tcPr>
            <w:tcW w:w="680" w:type="dxa"/>
            <w:vAlign w:val="bottom"/>
            <w:shd w:val="clear" w:color="auto" w:fill="CCEEFF"/>
          </w:tcPr>
          <w:p>
            <w:pPr>
              <w:jc w:val="right"/>
              <w:ind w:right="66"/>
              <w:spacing w:after="0" w:line="149" w:lineRule="exact"/>
              <w:rPr>
                <w:sz w:val="20"/>
                <w:szCs w:val="20"/>
                <w:color w:val="auto"/>
              </w:rPr>
            </w:pPr>
            <w:r>
              <w:rPr>
                <w:rFonts w:ascii="Arial" w:cs="Arial" w:eastAsia="Arial" w:hAnsi="Arial"/>
                <w:sz w:val="15"/>
                <w:szCs w:val="15"/>
                <w:color w:val="auto"/>
              </w:rPr>
              <w:t>4.67%</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4.25%</w:t>
            </w:r>
          </w:p>
        </w:tc>
      </w:tr>
      <w:tr>
        <w:trPr>
          <w:trHeight w:val="156"/>
        </w:trPr>
        <w:tc>
          <w:tcPr>
            <w:tcW w:w="3380" w:type="dxa"/>
            <w:vAlign w:val="bottom"/>
          </w:tcPr>
          <w:p>
            <w:pPr>
              <w:spacing w:after="0" w:line="156" w:lineRule="exact"/>
              <w:rPr>
                <w:sz w:val="20"/>
                <w:szCs w:val="20"/>
                <w:color w:val="auto"/>
              </w:rPr>
            </w:pPr>
            <w:r>
              <w:rPr>
                <w:rFonts w:ascii="Arial" w:cs="Arial" w:eastAsia="Arial" w:hAnsi="Arial"/>
                <w:sz w:val="15"/>
                <w:szCs w:val="15"/>
                <w:color w:val="auto"/>
              </w:rPr>
              <w:t>Rate of increase in future compensation levels</w:t>
            </w:r>
          </w:p>
        </w:tc>
        <w:tc>
          <w:tcPr>
            <w:tcW w:w="920" w:type="dxa"/>
            <w:vAlign w:val="bottom"/>
          </w:tcPr>
          <w:p>
            <w:pPr>
              <w:jc w:val="right"/>
              <w:ind w:right="66"/>
              <w:spacing w:after="0" w:line="156" w:lineRule="exact"/>
              <w:rPr>
                <w:sz w:val="20"/>
                <w:szCs w:val="20"/>
                <w:color w:val="auto"/>
              </w:rPr>
            </w:pPr>
            <w:r>
              <w:rPr>
                <w:rFonts w:ascii="Arial" w:cs="Arial" w:eastAsia="Arial" w:hAnsi="Arial"/>
                <w:sz w:val="15"/>
                <w:szCs w:val="15"/>
                <w:b w:val="1"/>
                <w:bCs w:val="1"/>
                <w:color w:val="auto"/>
              </w:rPr>
              <w:t>4.50%</w:t>
            </w:r>
          </w:p>
        </w:tc>
        <w:tc>
          <w:tcPr>
            <w:tcW w:w="680" w:type="dxa"/>
            <w:vAlign w:val="bottom"/>
          </w:tcPr>
          <w:p>
            <w:pPr>
              <w:jc w:val="right"/>
              <w:ind w:right="66"/>
              <w:spacing w:after="0" w:line="156" w:lineRule="exact"/>
              <w:rPr>
                <w:sz w:val="20"/>
                <w:szCs w:val="20"/>
                <w:color w:val="auto"/>
              </w:rPr>
            </w:pPr>
            <w:r>
              <w:rPr>
                <w:rFonts w:ascii="Arial" w:cs="Arial" w:eastAsia="Arial" w:hAnsi="Arial"/>
                <w:sz w:val="15"/>
                <w:szCs w:val="15"/>
                <w:color w:val="auto"/>
              </w:rPr>
              <w:t>4.50%</w:t>
            </w:r>
          </w:p>
        </w:tc>
        <w:tc>
          <w:tcPr>
            <w:tcW w:w="600" w:type="dxa"/>
            <w:vAlign w:val="bottom"/>
          </w:tcPr>
          <w:p>
            <w:pPr>
              <w:jc w:val="right"/>
              <w:spacing w:after="0" w:line="156" w:lineRule="exact"/>
              <w:rPr>
                <w:sz w:val="20"/>
                <w:szCs w:val="20"/>
                <w:color w:val="auto"/>
              </w:rPr>
            </w:pPr>
            <w:r>
              <w:rPr>
                <w:rFonts w:ascii="Arial" w:cs="Arial" w:eastAsia="Arial" w:hAnsi="Arial"/>
                <w:sz w:val="15"/>
                <w:szCs w:val="15"/>
                <w:color w:val="auto"/>
              </w:rPr>
              <w:t>4.50%</w:t>
            </w:r>
          </w:p>
        </w:tc>
      </w:tr>
      <w:tr>
        <w:trPr>
          <w:trHeight w:val="156"/>
        </w:trPr>
        <w:tc>
          <w:tcPr>
            <w:tcW w:w="338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Expected long-term rate of return on assets</w:t>
            </w:r>
          </w:p>
        </w:tc>
        <w:tc>
          <w:tcPr>
            <w:tcW w:w="920" w:type="dxa"/>
            <w:vAlign w:val="bottom"/>
            <w:shd w:val="clear" w:color="auto" w:fill="CCEEFF"/>
          </w:tcPr>
          <w:p>
            <w:pPr>
              <w:jc w:val="right"/>
              <w:ind w:right="66"/>
              <w:spacing w:after="0" w:line="156" w:lineRule="exact"/>
              <w:rPr>
                <w:sz w:val="20"/>
                <w:szCs w:val="20"/>
                <w:color w:val="auto"/>
              </w:rPr>
            </w:pPr>
            <w:r>
              <w:rPr>
                <w:rFonts w:ascii="Arial" w:cs="Arial" w:eastAsia="Arial" w:hAnsi="Arial"/>
                <w:sz w:val="15"/>
                <w:szCs w:val="15"/>
                <w:b w:val="1"/>
                <w:bCs w:val="1"/>
                <w:color w:val="auto"/>
              </w:rPr>
              <w:t>6.75%</w:t>
            </w:r>
          </w:p>
        </w:tc>
        <w:tc>
          <w:tcPr>
            <w:tcW w:w="680" w:type="dxa"/>
            <w:vAlign w:val="bottom"/>
            <w:shd w:val="clear" w:color="auto" w:fill="CCEEFF"/>
          </w:tcPr>
          <w:p>
            <w:pPr>
              <w:jc w:val="right"/>
              <w:ind w:right="66"/>
              <w:spacing w:after="0" w:line="156" w:lineRule="exact"/>
              <w:rPr>
                <w:sz w:val="20"/>
                <w:szCs w:val="20"/>
                <w:color w:val="auto"/>
              </w:rPr>
            </w:pPr>
            <w:r>
              <w:rPr>
                <w:rFonts w:ascii="Arial" w:cs="Arial" w:eastAsia="Arial" w:hAnsi="Arial"/>
                <w:sz w:val="15"/>
                <w:szCs w:val="15"/>
                <w:color w:val="auto"/>
              </w:rPr>
              <w:t>7.00%</w:t>
            </w:r>
          </w:p>
        </w:tc>
        <w:tc>
          <w:tcPr>
            <w:tcW w:w="60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7.00%</w:t>
            </w:r>
          </w:p>
        </w:tc>
      </w:tr>
    </w:tbl>
    <w:p>
      <w:pPr>
        <w:spacing w:after="0" w:line="202"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The expected long-term rate of return on assets is based on a building-block approach, whereby the components are weighted based on the allocation of pension plan assets.</w:t>
      </w:r>
    </w:p>
    <w:p>
      <w:pPr>
        <w:spacing w:after="0" w:line="189"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For 2017 and 2016, the Company estimated the remaining lives of participants in the pension plans using the RP-2014 Base Table. The no-collar table was used for salaried participants and the blue-collar table, reflecting the experience of the Company’s participants, was used for hourly participants. The Company used mortality improvement scales MP-2017 and MP-2016 for the years 2017 and 2016, respectively. The change in mortality improvement scale in 2017 did not have a material impact on the projected benefit obligation.</w:t>
      </w:r>
    </w:p>
    <w:p>
      <w:pPr>
        <w:spacing w:after="0" w:line="19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target allocation for 2017 and the actual pension plan asset allocation by asset class are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400" w:type="dxa"/>
            <w:vAlign w:val="bottom"/>
          </w:tcPr>
          <w:p>
            <w:pPr>
              <w:spacing w:after="0"/>
              <w:rPr>
                <w:sz w:val="15"/>
                <w:szCs w:val="15"/>
                <w:color w:val="auto"/>
              </w:rPr>
            </w:pPr>
          </w:p>
        </w:tc>
        <w:tc>
          <w:tcPr>
            <w:tcW w:w="2180" w:type="dxa"/>
            <w:vAlign w:val="bottom"/>
            <w:tcBorders>
              <w:bottom w:val="single" w:sz="8" w:color="auto"/>
            </w:tcBorders>
            <w:gridSpan w:val="3"/>
          </w:tcPr>
          <w:p>
            <w:pPr>
              <w:ind w:left="220"/>
              <w:spacing w:after="0"/>
              <w:rPr>
                <w:sz w:val="20"/>
                <w:szCs w:val="20"/>
                <w:color w:val="auto"/>
              </w:rPr>
            </w:pPr>
            <w:r>
              <w:rPr>
                <w:rFonts w:ascii="Arial" w:cs="Arial" w:eastAsia="Arial" w:hAnsi="Arial"/>
                <w:sz w:val="15"/>
                <w:szCs w:val="15"/>
                <w:b w:val="1"/>
                <w:bCs w:val="1"/>
                <w:color w:val="auto"/>
              </w:rPr>
              <w:t>Percentage of Plan Assets</w:t>
            </w:r>
          </w:p>
        </w:tc>
      </w:tr>
      <w:tr>
        <w:trPr>
          <w:trHeight w:val="149"/>
        </w:trPr>
        <w:tc>
          <w:tcPr>
            <w:tcW w:w="3400" w:type="dxa"/>
            <w:vAlign w:val="bottom"/>
          </w:tcPr>
          <w:p>
            <w:pPr>
              <w:spacing w:after="0"/>
              <w:rPr>
                <w:sz w:val="12"/>
                <w:szCs w:val="12"/>
                <w:color w:val="auto"/>
              </w:rPr>
            </w:pPr>
          </w:p>
        </w:tc>
        <w:tc>
          <w:tcPr>
            <w:tcW w:w="920" w:type="dxa"/>
            <w:vAlign w:val="bottom"/>
          </w:tcPr>
          <w:p>
            <w:pPr>
              <w:jc w:val="right"/>
              <w:ind w:right="166"/>
              <w:spacing w:after="0" w:line="149" w:lineRule="exact"/>
              <w:rPr>
                <w:sz w:val="20"/>
                <w:szCs w:val="20"/>
                <w:color w:val="auto"/>
              </w:rPr>
            </w:pPr>
            <w:r>
              <w:rPr>
                <w:rFonts w:ascii="Arial" w:cs="Arial" w:eastAsia="Arial" w:hAnsi="Arial"/>
                <w:sz w:val="15"/>
                <w:szCs w:val="15"/>
                <w:b w:val="1"/>
                <w:bCs w:val="1"/>
                <w:color w:val="0085CD"/>
              </w:rPr>
              <w:t>2017</w:t>
            </w:r>
          </w:p>
        </w:tc>
        <w:tc>
          <w:tcPr>
            <w:tcW w:w="1260" w:type="dxa"/>
            <w:vAlign w:val="bottom"/>
            <w:tcBorders>
              <w:bottom w:val="single" w:sz="8" w:color="auto"/>
            </w:tcBorders>
            <w:gridSpan w:val="2"/>
          </w:tcPr>
          <w:p>
            <w:pPr>
              <w:ind w:left="220"/>
              <w:spacing w:after="0" w:line="149" w:lineRule="exact"/>
              <w:rPr>
                <w:sz w:val="20"/>
                <w:szCs w:val="20"/>
                <w:color w:val="auto"/>
              </w:rPr>
            </w:pPr>
            <w:r>
              <w:rPr>
                <w:rFonts w:ascii="Arial" w:cs="Arial" w:eastAsia="Arial" w:hAnsi="Arial"/>
                <w:sz w:val="15"/>
                <w:szCs w:val="15"/>
                <w:b w:val="1"/>
                <w:bCs w:val="1"/>
                <w:color w:val="auto"/>
              </w:rPr>
              <w:t>December 31</w:t>
            </w:r>
          </w:p>
        </w:tc>
      </w:tr>
      <w:tr>
        <w:trPr>
          <w:trHeight w:val="149"/>
        </w:trPr>
        <w:tc>
          <w:tcPr>
            <w:tcW w:w="3400" w:type="dxa"/>
            <w:vAlign w:val="bottom"/>
          </w:tcPr>
          <w:p>
            <w:pPr>
              <w:spacing w:after="0"/>
              <w:rPr>
                <w:sz w:val="12"/>
                <w:szCs w:val="12"/>
                <w:color w:val="auto"/>
              </w:rPr>
            </w:pPr>
          </w:p>
        </w:tc>
        <w:tc>
          <w:tcPr>
            <w:tcW w:w="920" w:type="dxa"/>
            <w:vAlign w:val="bottom"/>
          </w:tcPr>
          <w:p>
            <w:pPr>
              <w:jc w:val="right"/>
              <w:ind w:right="126"/>
              <w:spacing w:after="0" w:line="149" w:lineRule="exact"/>
              <w:rPr>
                <w:sz w:val="20"/>
                <w:szCs w:val="20"/>
                <w:color w:val="auto"/>
              </w:rPr>
            </w:pPr>
            <w:r>
              <w:rPr>
                <w:rFonts w:ascii="Arial" w:cs="Arial" w:eastAsia="Arial" w:hAnsi="Arial"/>
                <w:sz w:val="15"/>
                <w:szCs w:val="15"/>
                <w:color w:val="auto"/>
              </w:rPr>
              <w:t>Target</w:t>
            </w: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56"/>
        </w:trPr>
        <w:tc>
          <w:tcPr>
            <w:tcW w:w="340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Asset Class</w:t>
            </w:r>
          </w:p>
        </w:tc>
        <w:tc>
          <w:tcPr>
            <w:tcW w:w="920" w:type="dxa"/>
            <w:vAlign w:val="bottom"/>
            <w:tcBorders>
              <w:bottom w:val="single" w:sz="8" w:color="auto"/>
            </w:tcBorders>
            <w:shd w:val="clear" w:color="auto" w:fill="CCEEFF"/>
          </w:tcPr>
          <w:p>
            <w:pPr>
              <w:ind w:left="220"/>
              <w:spacing w:after="0" w:line="156" w:lineRule="exact"/>
              <w:rPr>
                <w:sz w:val="20"/>
                <w:szCs w:val="20"/>
                <w:color w:val="auto"/>
              </w:rPr>
            </w:pPr>
            <w:r>
              <w:rPr>
                <w:rFonts w:ascii="Arial" w:cs="Arial" w:eastAsia="Arial" w:hAnsi="Arial"/>
                <w:sz w:val="15"/>
                <w:szCs w:val="15"/>
                <w:color w:val="auto"/>
              </w:rPr>
              <w:t>Allocation</w:t>
            </w:r>
          </w:p>
        </w:tc>
        <w:tc>
          <w:tcPr>
            <w:tcW w:w="700" w:type="dxa"/>
            <w:vAlign w:val="bottom"/>
            <w:tcBorders>
              <w:bottom w:val="single" w:sz="8" w:color="auto"/>
            </w:tcBorders>
            <w:shd w:val="clear" w:color="auto" w:fill="CCEEFF"/>
          </w:tcPr>
          <w:p>
            <w:pPr>
              <w:ind w:left="220"/>
              <w:spacing w:after="0" w:line="156" w:lineRule="exact"/>
              <w:rPr>
                <w:sz w:val="20"/>
                <w:szCs w:val="20"/>
                <w:color w:val="auto"/>
              </w:rPr>
            </w:pPr>
            <w:r>
              <w:rPr>
                <w:rFonts w:ascii="Arial" w:cs="Arial" w:eastAsia="Arial" w:hAnsi="Arial"/>
                <w:sz w:val="15"/>
                <w:szCs w:val="15"/>
                <w:b w:val="1"/>
                <w:bCs w:val="1"/>
                <w:color w:val="0085CD"/>
              </w:rPr>
              <w:t>2017</w:t>
            </w:r>
          </w:p>
        </w:tc>
        <w:tc>
          <w:tcPr>
            <w:tcW w:w="5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2016</w:t>
            </w:r>
          </w:p>
        </w:tc>
      </w:tr>
      <w:tr>
        <w:trPr>
          <w:trHeight w:val="149"/>
        </w:trPr>
        <w:tc>
          <w:tcPr>
            <w:tcW w:w="3400" w:type="dxa"/>
            <w:vAlign w:val="bottom"/>
          </w:tcPr>
          <w:p>
            <w:pPr>
              <w:spacing w:after="0" w:line="149" w:lineRule="exact"/>
              <w:rPr>
                <w:sz w:val="20"/>
                <w:szCs w:val="20"/>
                <w:color w:val="auto"/>
              </w:rPr>
            </w:pPr>
            <w:r>
              <w:rPr>
                <w:rFonts w:ascii="Arial" w:cs="Arial" w:eastAsia="Arial" w:hAnsi="Arial"/>
                <w:sz w:val="15"/>
                <w:szCs w:val="15"/>
                <w:color w:val="auto"/>
              </w:rPr>
              <w:t>Equity securities</w:t>
            </w:r>
          </w:p>
        </w:tc>
        <w:tc>
          <w:tcPr>
            <w:tcW w:w="920" w:type="dxa"/>
            <w:vAlign w:val="bottom"/>
          </w:tcPr>
          <w:p>
            <w:pPr>
              <w:jc w:val="right"/>
              <w:spacing w:after="0" w:line="149" w:lineRule="exact"/>
              <w:rPr>
                <w:sz w:val="20"/>
                <w:szCs w:val="20"/>
                <w:color w:val="auto"/>
              </w:rPr>
            </w:pPr>
            <w:r>
              <w:rPr>
                <w:rFonts w:ascii="Arial" w:cs="Arial" w:eastAsia="Arial" w:hAnsi="Arial"/>
                <w:sz w:val="15"/>
                <w:szCs w:val="15"/>
                <w:color w:val="auto"/>
              </w:rPr>
              <w:t>54%</w:t>
            </w:r>
          </w:p>
        </w:tc>
        <w:tc>
          <w:tcPr>
            <w:tcW w:w="700" w:type="dxa"/>
            <w:vAlign w:val="bottom"/>
          </w:tcPr>
          <w:p>
            <w:pPr>
              <w:jc w:val="right"/>
              <w:ind w:right="46"/>
              <w:spacing w:after="0" w:line="149" w:lineRule="exact"/>
              <w:rPr>
                <w:sz w:val="20"/>
                <w:szCs w:val="20"/>
                <w:color w:val="auto"/>
              </w:rPr>
            </w:pPr>
            <w:r>
              <w:rPr>
                <w:rFonts w:ascii="Arial" w:cs="Arial" w:eastAsia="Arial" w:hAnsi="Arial"/>
                <w:sz w:val="15"/>
                <w:szCs w:val="15"/>
                <w:b w:val="1"/>
                <w:bCs w:val="1"/>
                <w:color w:val="auto"/>
              </w:rPr>
              <w:t>57%</w:t>
            </w:r>
          </w:p>
        </w:tc>
        <w:tc>
          <w:tcPr>
            <w:tcW w:w="560" w:type="dxa"/>
            <w:vAlign w:val="bottom"/>
          </w:tcPr>
          <w:p>
            <w:pPr>
              <w:jc w:val="right"/>
              <w:spacing w:after="0" w:line="149" w:lineRule="exact"/>
              <w:rPr>
                <w:sz w:val="20"/>
                <w:szCs w:val="20"/>
                <w:color w:val="auto"/>
              </w:rPr>
            </w:pPr>
            <w:r>
              <w:rPr>
                <w:rFonts w:ascii="Arial" w:cs="Arial" w:eastAsia="Arial" w:hAnsi="Arial"/>
                <w:sz w:val="15"/>
                <w:szCs w:val="15"/>
                <w:color w:val="auto"/>
              </w:rPr>
              <w:t>57%</w:t>
            </w:r>
          </w:p>
        </w:tc>
      </w:tr>
      <w:tr>
        <w:trPr>
          <w:trHeight w:val="156"/>
        </w:trPr>
        <w:tc>
          <w:tcPr>
            <w:tcW w:w="340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Debt securities</w:t>
            </w:r>
          </w:p>
        </w:tc>
        <w:tc>
          <w:tcPr>
            <w:tcW w:w="92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30%</w:t>
            </w:r>
          </w:p>
        </w:tc>
        <w:tc>
          <w:tcPr>
            <w:tcW w:w="700" w:type="dxa"/>
            <w:vAlign w:val="bottom"/>
            <w:shd w:val="clear" w:color="auto" w:fill="CCEEFF"/>
          </w:tcPr>
          <w:p>
            <w:pPr>
              <w:jc w:val="right"/>
              <w:ind w:right="46"/>
              <w:spacing w:after="0" w:line="156" w:lineRule="exact"/>
              <w:rPr>
                <w:sz w:val="20"/>
                <w:szCs w:val="20"/>
                <w:color w:val="auto"/>
              </w:rPr>
            </w:pPr>
            <w:r>
              <w:rPr>
                <w:rFonts w:ascii="Arial" w:cs="Arial" w:eastAsia="Arial" w:hAnsi="Arial"/>
                <w:sz w:val="15"/>
                <w:szCs w:val="15"/>
                <w:b w:val="1"/>
                <w:bCs w:val="1"/>
                <w:color w:val="auto"/>
              </w:rPr>
              <w:t>29%</w:t>
            </w:r>
          </w:p>
        </w:tc>
        <w:tc>
          <w:tcPr>
            <w:tcW w:w="56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28%</w:t>
            </w:r>
          </w:p>
        </w:tc>
      </w:tr>
      <w:tr>
        <w:trPr>
          <w:trHeight w:val="156"/>
        </w:trPr>
        <w:tc>
          <w:tcPr>
            <w:tcW w:w="3400" w:type="dxa"/>
            <w:vAlign w:val="bottom"/>
          </w:tcPr>
          <w:p>
            <w:pPr>
              <w:spacing w:after="0" w:line="156" w:lineRule="exact"/>
              <w:rPr>
                <w:sz w:val="20"/>
                <w:szCs w:val="20"/>
                <w:color w:val="auto"/>
              </w:rPr>
            </w:pPr>
            <w:r>
              <w:rPr>
                <w:rFonts w:ascii="Arial" w:cs="Arial" w:eastAsia="Arial" w:hAnsi="Arial"/>
                <w:sz w:val="15"/>
                <w:szCs w:val="15"/>
                <w:color w:val="auto"/>
              </w:rPr>
              <w:t>Hedge funds</w:t>
            </w:r>
          </w:p>
        </w:tc>
        <w:tc>
          <w:tcPr>
            <w:tcW w:w="920" w:type="dxa"/>
            <w:vAlign w:val="bottom"/>
          </w:tcPr>
          <w:p>
            <w:pPr>
              <w:jc w:val="right"/>
              <w:spacing w:after="0" w:line="156" w:lineRule="exact"/>
              <w:rPr>
                <w:sz w:val="20"/>
                <w:szCs w:val="20"/>
                <w:color w:val="auto"/>
              </w:rPr>
            </w:pPr>
            <w:r>
              <w:rPr>
                <w:rFonts w:ascii="Arial" w:cs="Arial" w:eastAsia="Arial" w:hAnsi="Arial"/>
                <w:sz w:val="15"/>
                <w:szCs w:val="15"/>
                <w:color w:val="auto"/>
              </w:rPr>
              <w:t>8%</w:t>
            </w:r>
          </w:p>
        </w:tc>
        <w:tc>
          <w:tcPr>
            <w:tcW w:w="700" w:type="dxa"/>
            <w:vAlign w:val="bottom"/>
          </w:tcPr>
          <w:p>
            <w:pPr>
              <w:jc w:val="right"/>
              <w:ind w:right="46"/>
              <w:spacing w:after="0" w:line="156" w:lineRule="exact"/>
              <w:rPr>
                <w:sz w:val="20"/>
                <w:szCs w:val="20"/>
                <w:color w:val="auto"/>
              </w:rPr>
            </w:pPr>
            <w:r>
              <w:rPr>
                <w:rFonts w:ascii="Arial" w:cs="Arial" w:eastAsia="Arial" w:hAnsi="Arial"/>
                <w:sz w:val="15"/>
                <w:szCs w:val="15"/>
                <w:b w:val="1"/>
                <w:bCs w:val="1"/>
                <w:color w:val="auto"/>
              </w:rPr>
              <w:t>7%</w:t>
            </w:r>
          </w:p>
        </w:tc>
        <w:tc>
          <w:tcPr>
            <w:tcW w:w="560" w:type="dxa"/>
            <w:vAlign w:val="bottom"/>
          </w:tcPr>
          <w:p>
            <w:pPr>
              <w:jc w:val="right"/>
              <w:spacing w:after="0" w:line="156" w:lineRule="exact"/>
              <w:rPr>
                <w:sz w:val="20"/>
                <w:szCs w:val="20"/>
                <w:color w:val="auto"/>
              </w:rPr>
            </w:pPr>
            <w:r>
              <w:rPr>
                <w:rFonts w:ascii="Arial" w:cs="Arial" w:eastAsia="Arial" w:hAnsi="Arial"/>
                <w:sz w:val="15"/>
                <w:szCs w:val="15"/>
                <w:color w:val="auto"/>
              </w:rPr>
              <w:t>7%</w:t>
            </w:r>
          </w:p>
        </w:tc>
      </w:tr>
      <w:tr>
        <w:trPr>
          <w:trHeight w:val="156"/>
        </w:trPr>
        <w:tc>
          <w:tcPr>
            <w:tcW w:w="340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Real estate</w:t>
            </w:r>
          </w:p>
        </w:tc>
        <w:tc>
          <w:tcPr>
            <w:tcW w:w="92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8%</w:t>
            </w:r>
          </w:p>
        </w:tc>
        <w:tc>
          <w:tcPr>
            <w:tcW w:w="700" w:type="dxa"/>
            <w:vAlign w:val="bottom"/>
            <w:tcBorders>
              <w:bottom w:val="single" w:sz="8" w:color="auto"/>
            </w:tcBorders>
            <w:shd w:val="clear" w:color="auto" w:fill="CCEEFF"/>
          </w:tcPr>
          <w:p>
            <w:pPr>
              <w:jc w:val="right"/>
              <w:ind w:right="46"/>
              <w:spacing w:after="0" w:line="156" w:lineRule="exact"/>
              <w:rPr>
                <w:sz w:val="20"/>
                <w:szCs w:val="20"/>
                <w:color w:val="auto"/>
              </w:rPr>
            </w:pPr>
            <w:r>
              <w:rPr>
                <w:rFonts w:ascii="Arial" w:cs="Arial" w:eastAsia="Arial" w:hAnsi="Arial"/>
                <w:sz w:val="15"/>
                <w:szCs w:val="15"/>
                <w:b w:val="1"/>
                <w:bCs w:val="1"/>
                <w:color w:val="auto"/>
              </w:rPr>
              <w:t>7%</w:t>
            </w:r>
          </w:p>
        </w:tc>
        <w:tc>
          <w:tcPr>
            <w:tcW w:w="5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8%</w:t>
            </w:r>
          </w:p>
        </w:tc>
      </w:tr>
      <w:tr>
        <w:trPr>
          <w:trHeight w:val="155"/>
        </w:trPr>
        <w:tc>
          <w:tcPr>
            <w:tcW w:w="3400" w:type="dxa"/>
            <w:vAlign w:val="bottom"/>
            <w:tcBorders>
              <w:bottom w:val="single" w:sz="8" w:color="auto"/>
            </w:tcBorders>
          </w:tcPr>
          <w:p>
            <w:pPr>
              <w:spacing w:after="0" w:line="149" w:lineRule="exact"/>
              <w:rPr>
                <w:sz w:val="20"/>
                <w:szCs w:val="20"/>
                <w:color w:val="auto"/>
              </w:rPr>
            </w:pPr>
            <w:r>
              <w:rPr>
                <w:rFonts w:ascii="Arial" w:cs="Arial" w:eastAsia="Arial" w:hAnsi="Arial"/>
                <w:sz w:val="15"/>
                <w:szCs w:val="15"/>
                <w:color w:val="auto"/>
              </w:rPr>
              <w:t>Total</w:t>
            </w:r>
          </w:p>
        </w:tc>
        <w:tc>
          <w:tcPr>
            <w:tcW w:w="9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color w:val="auto"/>
              </w:rPr>
              <w:t>100%</w:t>
            </w:r>
          </w:p>
        </w:tc>
        <w:tc>
          <w:tcPr>
            <w:tcW w:w="700" w:type="dxa"/>
            <w:vAlign w:val="bottom"/>
            <w:tcBorders>
              <w:bottom w:val="single" w:sz="8" w:color="auto"/>
            </w:tcBorders>
          </w:tcPr>
          <w:p>
            <w:pPr>
              <w:jc w:val="right"/>
              <w:ind w:right="46"/>
              <w:spacing w:after="0" w:line="149" w:lineRule="exact"/>
              <w:rPr>
                <w:sz w:val="20"/>
                <w:szCs w:val="20"/>
                <w:color w:val="auto"/>
              </w:rPr>
            </w:pPr>
            <w:r>
              <w:rPr>
                <w:rFonts w:ascii="Arial" w:cs="Arial" w:eastAsia="Arial" w:hAnsi="Arial"/>
                <w:sz w:val="15"/>
                <w:szCs w:val="15"/>
                <w:b w:val="1"/>
                <w:bCs w:val="1"/>
                <w:color w:val="auto"/>
              </w:rPr>
              <w:t>100%</w:t>
            </w: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color w:val="auto"/>
              </w:rPr>
              <w:t>100%</w:t>
            </w:r>
          </w:p>
        </w:tc>
      </w:tr>
    </w:tbl>
    <w:p>
      <w:pPr>
        <w:spacing w:after="0" w:line="200" w:lineRule="exact"/>
        <w:rPr>
          <w:sz w:val="20"/>
          <w:szCs w:val="20"/>
          <w:color w:val="auto"/>
        </w:rPr>
      </w:pPr>
    </w:p>
    <w:p>
      <w:pPr>
        <w:sectPr>
          <w:pgSz w:w="11900" w:h="16838" w:orient="portrait"/>
          <w:cols w:equalWidth="0" w:num="2">
            <w:col w:w="5480" w:space="360"/>
            <w:col w:w="5580"/>
          </w:cols>
          <w:pgMar w:left="240" w:top="259" w:right="239" w:bottom="1440" w:gutter="0" w:footer="0" w:header="0"/>
          <w:type w:val="continuous"/>
        </w:sectPr>
      </w:pP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30</w:t>
      </w:r>
    </w:p>
    <w:p>
      <w:pPr>
        <w:sectPr>
          <w:pgSz w:w="11900" w:h="16838" w:orient="portrait"/>
          <w:cols w:equalWidth="0" w:num="1">
            <w:col w:w="11420"/>
          </w:cols>
          <w:pgMar w:left="240" w:top="259" w:right="239" w:bottom="1440" w:gutter="0" w:footer="0" w:header="0"/>
          <w:type w:val="continuous"/>
        </w:sectPr>
      </w:pPr>
    </w:p>
    <w:bookmarkStart w:id="83" w:name="page84"/>
    <w:bookmarkEnd w:id="83"/>
    <w:p>
      <w:pPr>
        <w:jc w:val="center"/>
        <w:ind w:right="-19"/>
        <w:spacing w:after="0"/>
        <w:rPr>
          <w:sz w:val="20"/>
          <w:szCs w:val="20"/>
          <w:color w:val="auto"/>
        </w:rPr>
      </w:pPr>
      <w:r>
        <w:rPr>
          <w:rFonts w:ascii="Arial" w:cs="Arial" w:eastAsia="Arial" w:hAnsi="Arial"/>
          <w:sz w:val="17"/>
          <w:szCs w:val="17"/>
          <w:b w:val="1"/>
          <w:bCs w:val="1"/>
          <w:color w:val="0085CD"/>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9">
                      <a:extLst>
                        <a:ext uri="{28A0092B-C50C-407E-A947-70E740481C1C}"/>
                      </a:extLst>
                    </a:blip>
                    <a:srcRect/>
                    <a:stretch>
                      <a:fillRect/>
                    </a:stretch>
                  </pic:blipFill>
                  <pic:spPr bwMode="auto">
                    <a:xfrm>
                      <a:off x="0" y="0"/>
                      <a:ext cx="7293610" cy="37465"/>
                    </a:xfrm>
                    <a:prstGeom prst="rect">
                      <a:avLst/>
                    </a:prstGeom>
                    <a:noFill/>
                  </pic:spPr>
                </pic:pic>
              </a:graphicData>
            </a:graphic>
          </wp:anchor>
        </w:drawing>
        <w:t xml:space="preserve">NOTES TO FINANCIAL STATEMENTS </w:t>
      </w:r>
      <w:r>
        <w:rPr>
          <w:rFonts w:ascii="Arial" w:cs="Arial" w:eastAsia="Arial" w:hAnsi="Arial"/>
          <w:sz w:val="15"/>
          <w:szCs w:val="15"/>
          <w:color w:val="0085CD"/>
        </w:rPr>
        <w:t>(continued)</w:t>
      </w:r>
    </w:p>
    <w:p>
      <w:pPr>
        <w:sectPr>
          <w:pgSz w:w="11900" w:h="16838" w:orient="portrait"/>
          <w:cols w:equalWidth="0" w:num="1">
            <w:col w:w="11420"/>
          </w:cols>
          <w:pgMar w:left="240" w:top="2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The Company’s investment strategy is for approximately 50% of equity securities to be invested in mid-sized to large capitalization U.S. funds, with the remaining invested in small capitalization, emerging markets and international funds. Debt securities, or fixed income investments, are invested in funds benchmarked to the Barclays U.S. Aggregate Bond Index.</w:t>
      </w:r>
    </w:p>
    <w:p>
      <w:pPr>
        <w:spacing w:after="0" w:line="37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fair values of pension plan assets by asset class and fair value hierarchy level are as follows: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380" w:type="dxa"/>
            <w:vAlign w:val="bottom"/>
          </w:tcPr>
          <w:p>
            <w:pPr>
              <w:spacing w:after="0"/>
              <w:rPr>
                <w:sz w:val="13"/>
                <w:szCs w:val="13"/>
                <w:color w:val="auto"/>
              </w:rPr>
            </w:pPr>
          </w:p>
        </w:tc>
        <w:tc>
          <w:tcPr>
            <w:tcW w:w="1140" w:type="dxa"/>
            <w:vAlign w:val="bottom"/>
            <w:gridSpan w:val="2"/>
          </w:tcPr>
          <w:p>
            <w:pPr>
              <w:ind w:left="160"/>
              <w:spacing w:after="0"/>
              <w:rPr>
                <w:sz w:val="20"/>
                <w:szCs w:val="20"/>
                <w:color w:val="auto"/>
              </w:rPr>
            </w:pPr>
            <w:r>
              <w:rPr>
                <w:rFonts w:ascii="Arial" w:cs="Arial" w:eastAsia="Arial" w:hAnsi="Arial"/>
                <w:sz w:val="13"/>
                <w:szCs w:val="13"/>
                <w:b w:val="1"/>
                <w:bCs w:val="1"/>
                <w:color w:val="auto"/>
              </w:rPr>
              <w:t>Quoted Prices</w:t>
            </w: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center"/>
              <w:ind w:right="129"/>
              <w:spacing w:after="0" w:line="143" w:lineRule="exact"/>
              <w:rPr>
                <w:sz w:val="20"/>
                <w:szCs w:val="20"/>
                <w:color w:val="auto"/>
              </w:rPr>
            </w:pPr>
            <w:r>
              <w:rPr>
                <w:rFonts w:ascii="Arial" w:cs="Arial" w:eastAsia="Arial" w:hAnsi="Arial"/>
                <w:sz w:val="13"/>
                <w:szCs w:val="13"/>
                <w:b w:val="1"/>
                <w:bCs w:val="1"/>
                <w:color w:val="auto"/>
                <w:w w:val="99"/>
              </w:rPr>
              <w:t>in Active</w:t>
            </w: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center"/>
              <w:ind w:right="129"/>
              <w:spacing w:after="0" w:line="143" w:lineRule="exact"/>
              <w:rPr>
                <w:sz w:val="20"/>
                <w:szCs w:val="20"/>
                <w:color w:val="auto"/>
              </w:rPr>
            </w:pPr>
            <w:r>
              <w:rPr>
                <w:rFonts w:ascii="Arial" w:cs="Arial" w:eastAsia="Arial" w:hAnsi="Arial"/>
                <w:sz w:val="13"/>
                <w:szCs w:val="13"/>
                <w:b w:val="1"/>
                <w:bCs w:val="1"/>
                <w:color w:val="auto"/>
                <w:w w:val="99"/>
              </w:rPr>
              <w:t>Markets for</w:t>
            </w:r>
          </w:p>
        </w:tc>
        <w:tc>
          <w:tcPr>
            <w:tcW w:w="860" w:type="dxa"/>
            <w:vAlign w:val="bottom"/>
            <w:gridSpan w:val="2"/>
          </w:tcPr>
          <w:p>
            <w:pPr>
              <w:jc w:val="center"/>
              <w:ind w:left="9"/>
              <w:spacing w:after="0" w:line="143" w:lineRule="exact"/>
              <w:rPr>
                <w:sz w:val="20"/>
                <w:szCs w:val="20"/>
                <w:color w:val="auto"/>
              </w:rPr>
            </w:pPr>
            <w:r>
              <w:rPr>
                <w:rFonts w:ascii="Arial" w:cs="Arial" w:eastAsia="Arial" w:hAnsi="Arial"/>
                <w:sz w:val="13"/>
                <w:szCs w:val="13"/>
                <w:b w:val="1"/>
                <w:bCs w:val="1"/>
                <w:color w:val="auto"/>
                <w:w w:val="99"/>
              </w:rPr>
              <w:t>Significant</w:t>
            </w:r>
          </w:p>
        </w:tc>
        <w:tc>
          <w:tcPr>
            <w:tcW w:w="380" w:type="dxa"/>
            <w:vAlign w:val="bottom"/>
          </w:tcPr>
          <w:p>
            <w:pPr>
              <w:spacing w:after="0"/>
              <w:rPr>
                <w:sz w:val="12"/>
                <w:szCs w:val="12"/>
                <w:color w:val="auto"/>
              </w:rPr>
            </w:pPr>
          </w:p>
        </w:tc>
        <w:tc>
          <w:tcPr>
            <w:tcW w:w="880" w:type="dxa"/>
            <w:vAlign w:val="bottom"/>
          </w:tcPr>
          <w:p>
            <w:pPr>
              <w:jc w:val="center"/>
              <w:ind w:right="128"/>
              <w:spacing w:after="0" w:line="143" w:lineRule="exact"/>
              <w:rPr>
                <w:sz w:val="20"/>
                <w:szCs w:val="20"/>
                <w:color w:val="auto"/>
              </w:rPr>
            </w:pPr>
            <w:r>
              <w:rPr>
                <w:rFonts w:ascii="Arial" w:cs="Arial" w:eastAsia="Arial" w:hAnsi="Arial"/>
                <w:sz w:val="13"/>
                <w:szCs w:val="13"/>
                <w:b w:val="1"/>
                <w:bCs w:val="1"/>
                <w:color w:val="auto"/>
              </w:rPr>
              <w:t>Significant</w:t>
            </w:r>
          </w:p>
        </w:tc>
        <w:tc>
          <w:tcPr>
            <w:tcW w:w="8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33"/>
        </w:trPr>
        <w:tc>
          <w:tcPr>
            <w:tcW w:w="1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jc w:val="center"/>
              <w:ind w:right="109"/>
              <w:spacing w:after="0" w:line="134" w:lineRule="exact"/>
              <w:rPr>
                <w:sz w:val="20"/>
                <w:szCs w:val="20"/>
                <w:color w:val="auto"/>
              </w:rPr>
            </w:pPr>
            <w:r>
              <w:rPr>
                <w:rFonts w:ascii="Arial" w:cs="Arial" w:eastAsia="Arial" w:hAnsi="Arial"/>
                <w:sz w:val="13"/>
                <w:szCs w:val="13"/>
                <w:b w:val="1"/>
                <w:bCs w:val="1"/>
                <w:color w:val="auto"/>
                <w:w w:val="98"/>
              </w:rPr>
              <w:t>Identical</w:t>
            </w:r>
          </w:p>
        </w:tc>
        <w:tc>
          <w:tcPr>
            <w:tcW w:w="860" w:type="dxa"/>
            <w:vAlign w:val="bottom"/>
            <w:gridSpan w:val="2"/>
          </w:tcPr>
          <w:p>
            <w:pPr>
              <w:ind w:left="120"/>
              <w:spacing w:after="0" w:line="134" w:lineRule="exact"/>
              <w:rPr>
                <w:sz w:val="20"/>
                <w:szCs w:val="20"/>
                <w:color w:val="auto"/>
              </w:rPr>
            </w:pPr>
            <w:r>
              <w:rPr>
                <w:rFonts w:ascii="Arial" w:cs="Arial" w:eastAsia="Arial" w:hAnsi="Arial"/>
                <w:sz w:val="13"/>
                <w:szCs w:val="13"/>
                <w:b w:val="1"/>
                <w:bCs w:val="1"/>
                <w:color w:val="auto"/>
              </w:rPr>
              <w:t>Observable</w:t>
            </w:r>
          </w:p>
        </w:tc>
        <w:tc>
          <w:tcPr>
            <w:tcW w:w="1260" w:type="dxa"/>
            <w:vAlign w:val="bottom"/>
            <w:gridSpan w:val="2"/>
          </w:tcPr>
          <w:p>
            <w:pPr>
              <w:ind w:left="300"/>
              <w:spacing w:after="0" w:line="134" w:lineRule="exact"/>
              <w:rPr>
                <w:sz w:val="20"/>
                <w:szCs w:val="20"/>
                <w:color w:val="auto"/>
              </w:rPr>
            </w:pPr>
            <w:r>
              <w:rPr>
                <w:rFonts w:ascii="Arial" w:cs="Arial" w:eastAsia="Arial" w:hAnsi="Arial"/>
                <w:sz w:val="13"/>
                <w:szCs w:val="13"/>
                <w:b w:val="1"/>
                <w:bCs w:val="1"/>
                <w:color w:val="auto"/>
              </w:rPr>
              <w:t>Unobservable</w:t>
            </w: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380" w:type="dxa"/>
            <w:vAlign w:val="bottom"/>
            <w:vMerge w:val="restart"/>
          </w:tcPr>
          <w:p>
            <w:pPr>
              <w:spacing w:after="0"/>
              <w:rPr>
                <w:sz w:val="20"/>
                <w:szCs w:val="20"/>
                <w:color w:val="auto"/>
              </w:rPr>
            </w:pPr>
            <w:r>
              <w:rPr>
                <w:rFonts w:ascii="Arial" w:cs="Arial" w:eastAsia="Arial" w:hAnsi="Arial"/>
                <w:sz w:val="14"/>
                <w:szCs w:val="14"/>
                <w:i w:val="1"/>
                <w:iCs w:val="1"/>
                <w:color w:val="auto"/>
              </w:rPr>
              <w:t>December 31</w:t>
            </w:r>
          </w:p>
        </w:tc>
        <w:tc>
          <w:tcPr>
            <w:tcW w:w="240" w:type="dxa"/>
            <w:vAlign w:val="bottom"/>
          </w:tcPr>
          <w:p>
            <w:pPr>
              <w:spacing w:after="0"/>
              <w:rPr>
                <w:sz w:val="12"/>
                <w:szCs w:val="12"/>
                <w:color w:val="auto"/>
              </w:rPr>
            </w:pPr>
          </w:p>
        </w:tc>
        <w:tc>
          <w:tcPr>
            <w:tcW w:w="900" w:type="dxa"/>
            <w:vAlign w:val="bottom"/>
          </w:tcPr>
          <w:p>
            <w:pPr>
              <w:jc w:val="center"/>
              <w:ind w:right="109"/>
              <w:spacing w:after="0" w:line="143" w:lineRule="exact"/>
              <w:rPr>
                <w:sz w:val="20"/>
                <w:szCs w:val="20"/>
                <w:color w:val="auto"/>
              </w:rPr>
            </w:pPr>
            <w:r>
              <w:rPr>
                <w:rFonts w:ascii="Arial" w:cs="Arial" w:eastAsia="Arial" w:hAnsi="Arial"/>
                <w:sz w:val="13"/>
                <w:szCs w:val="13"/>
                <w:b w:val="1"/>
                <w:bCs w:val="1"/>
                <w:color w:val="auto"/>
              </w:rPr>
              <w:t>Assets</w:t>
            </w:r>
          </w:p>
        </w:tc>
        <w:tc>
          <w:tcPr>
            <w:tcW w:w="200" w:type="dxa"/>
            <w:vAlign w:val="bottom"/>
          </w:tcPr>
          <w:p>
            <w:pPr>
              <w:spacing w:after="0"/>
              <w:rPr>
                <w:sz w:val="12"/>
                <w:szCs w:val="12"/>
                <w:color w:val="auto"/>
              </w:rPr>
            </w:pPr>
          </w:p>
        </w:tc>
        <w:tc>
          <w:tcPr>
            <w:tcW w:w="660" w:type="dxa"/>
            <w:vAlign w:val="bottom"/>
          </w:tcPr>
          <w:p>
            <w:pPr>
              <w:jc w:val="center"/>
              <w:ind w:right="48"/>
              <w:spacing w:after="0" w:line="143" w:lineRule="exact"/>
              <w:rPr>
                <w:sz w:val="20"/>
                <w:szCs w:val="20"/>
                <w:color w:val="auto"/>
              </w:rPr>
            </w:pPr>
            <w:r>
              <w:rPr>
                <w:rFonts w:ascii="Arial" w:cs="Arial" w:eastAsia="Arial" w:hAnsi="Arial"/>
                <w:sz w:val="13"/>
                <w:szCs w:val="13"/>
                <w:b w:val="1"/>
                <w:bCs w:val="1"/>
                <w:color w:val="auto"/>
                <w:w w:val="97"/>
              </w:rPr>
              <w:t>Inputs</w:t>
            </w:r>
          </w:p>
        </w:tc>
        <w:tc>
          <w:tcPr>
            <w:tcW w:w="380" w:type="dxa"/>
            <w:vAlign w:val="bottom"/>
          </w:tcPr>
          <w:p>
            <w:pPr>
              <w:spacing w:after="0"/>
              <w:rPr>
                <w:sz w:val="12"/>
                <w:szCs w:val="12"/>
                <w:color w:val="auto"/>
              </w:rPr>
            </w:pPr>
          </w:p>
        </w:tc>
        <w:tc>
          <w:tcPr>
            <w:tcW w:w="880" w:type="dxa"/>
            <w:vAlign w:val="bottom"/>
          </w:tcPr>
          <w:p>
            <w:pPr>
              <w:jc w:val="center"/>
              <w:ind w:right="128"/>
              <w:spacing w:after="0" w:line="143" w:lineRule="exact"/>
              <w:rPr>
                <w:sz w:val="20"/>
                <w:szCs w:val="20"/>
                <w:color w:val="auto"/>
              </w:rPr>
            </w:pPr>
            <w:r>
              <w:rPr>
                <w:rFonts w:ascii="Arial" w:cs="Arial" w:eastAsia="Arial" w:hAnsi="Arial"/>
                <w:sz w:val="13"/>
                <w:szCs w:val="13"/>
                <w:b w:val="1"/>
                <w:bCs w:val="1"/>
                <w:color w:val="auto"/>
              </w:rPr>
              <w:t>Inputs</w:t>
            </w:r>
          </w:p>
        </w:tc>
        <w:tc>
          <w:tcPr>
            <w:tcW w:w="840" w:type="dxa"/>
            <w:vAlign w:val="bottom"/>
          </w:tcPr>
          <w:p>
            <w:pPr>
              <w:jc w:val="center"/>
              <w:ind w:left="8"/>
              <w:spacing w:after="0" w:line="143" w:lineRule="exact"/>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65"/>
        </w:trPr>
        <w:tc>
          <w:tcPr>
            <w:tcW w:w="1380" w:type="dxa"/>
            <w:vAlign w:val="bottom"/>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09"/>
              <w:spacing w:after="0"/>
              <w:rPr>
                <w:sz w:val="20"/>
                <w:szCs w:val="20"/>
                <w:color w:val="auto"/>
              </w:rPr>
            </w:pPr>
            <w:r>
              <w:rPr>
                <w:rFonts w:ascii="Arial" w:cs="Arial" w:eastAsia="Arial" w:hAnsi="Arial"/>
                <w:sz w:val="13"/>
                <w:szCs w:val="13"/>
                <w:b w:val="1"/>
                <w:bCs w:val="1"/>
                <w:color w:val="auto"/>
                <w:w w:val="98"/>
              </w:rPr>
              <w:t>(Level 1)</w:t>
            </w: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68"/>
              <w:spacing w:after="0"/>
              <w:rPr>
                <w:sz w:val="20"/>
                <w:szCs w:val="20"/>
                <w:color w:val="auto"/>
              </w:rPr>
            </w:pPr>
            <w:r>
              <w:rPr>
                <w:rFonts w:ascii="Arial" w:cs="Arial" w:eastAsia="Arial" w:hAnsi="Arial"/>
                <w:sz w:val="13"/>
                <w:szCs w:val="13"/>
                <w:b w:val="1"/>
                <w:bCs w:val="1"/>
                <w:color w:val="auto"/>
                <w:w w:val="98"/>
              </w:rPr>
              <w:t>(Level 2)</w:t>
            </w:r>
          </w:p>
        </w:tc>
        <w:tc>
          <w:tcPr>
            <w:tcW w:w="3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28"/>
              <w:spacing w:after="0"/>
              <w:rPr>
                <w:sz w:val="20"/>
                <w:szCs w:val="20"/>
                <w:color w:val="auto"/>
              </w:rPr>
            </w:pPr>
            <w:r>
              <w:rPr>
                <w:rFonts w:ascii="Arial" w:cs="Arial" w:eastAsia="Arial" w:hAnsi="Arial"/>
                <w:sz w:val="13"/>
                <w:szCs w:val="13"/>
                <w:b w:val="1"/>
                <w:bCs w:val="1"/>
                <w:color w:val="auto"/>
                <w:w w:val="98"/>
              </w:rPr>
              <w:t>(Level 3)</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Value</w:t>
            </w:r>
          </w:p>
        </w:tc>
        <w:tc>
          <w:tcPr>
            <w:tcW w:w="0" w:type="dxa"/>
            <w:vAlign w:val="bottom"/>
          </w:tcPr>
          <w:p>
            <w:pPr>
              <w:spacing w:after="0"/>
              <w:rPr>
                <w:sz w:val="1"/>
                <w:szCs w:val="1"/>
                <w:color w:val="auto"/>
              </w:rPr>
            </w:pPr>
          </w:p>
        </w:tc>
      </w:tr>
      <w:tr>
        <w:trPr>
          <w:trHeight w:val="152"/>
        </w:trPr>
        <w:tc>
          <w:tcPr>
            <w:tcW w:w="1380" w:type="dxa"/>
            <w:vAlign w:val="bottom"/>
            <w:tcBorders>
              <w:bottom w:val="single" w:sz="8" w:color="auto"/>
            </w:tcBorders>
          </w:tcPr>
          <w:p>
            <w:pPr>
              <w:spacing w:after="0" w:line="152" w:lineRule="exact"/>
              <w:rPr>
                <w:sz w:val="20"/>
                <w:szCs w:val="20"/>
                <w:color w:val="auto"/>
              </w:rPr>
            </w:pPr>
            <w:r>
              <w:rPr>
                <w:rFonts w:ascii="Arial" w:cs="Arial" w:eastAsia="Arial" w:hAnsi="Arial"/>
                <w:sz w:val="15"/>
                <w:szCs w:val="15"/>
                <w:color w:val="auto"/>
              </w:rPr>
              <w:t>(add 000)</w:t>
            </w: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ind w:left="20"/>
              <w:spacing w:after="0" w:line="152" w:lineRule="exact"/>
              <w:rPr>
                <w:sz w:val="20"/>
                <w:szCs w:val="20"/>
                <w:color w:val="auto"/>
              </w:rPr>
            </w:pPr>
            <w:r>
              <w:rPr>
                <w:rFonts w:ascii="Arial" w:cs="Arial" w:eastAsia="Arial" w:hAnsi="Arial"/>
                <w:sz w:val="15"/>
                <w:szCs w:val="15"/>
                <w:b w:val="1"/>
                <w:bCs w:val="1"/>
                <w:color w:val="0085CD"/>
              </w:rPr>
              <w:t>2017</w:t>
            </w:r>
          </w:p>
        </w:tc>
        <w:tc>
          <w:tcPr>
            <w:tcW w:w="8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38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Equity securities:</w:t>
            </w: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1380" w:type="dxa"/>
            <w:vAlign w:val="bottom"/>
          </w:tcPr>
          <w:p>
            <w:pPr>
              <w:ind w:left="80"/>
              <w:spacing w:after="0" w:line="153" w:lineRule="exact"/>
              <w:rPr>
                <w:sz w:val="20"/>
                <w:szCs w:val="20"/>
                <w:color w:val="auto"/>
              </w:rPr>
            </w:pPr>
            <w:r>
              <w:rPr>
                <w:rFonts w:ascii="Arial" w:cs="Arial" w:eastAsia="Arial" w:hAnsi="Arial"/>
                <w:sz w:val="15"/>
                <w:szCs w:val="15"/>
                <w:color w:val="auto"/>
              </w:rPr>
              <w:t>Mid-sized to large</w:t>
            </w:r>
          </w:p>
        </w:tc>
        <w:tc>
          <w:tcPr>
            <w:tcW w:w="240" w:type="dxa"/>
            <w:vAlign w:val="bottom"/>
            <w:vMerge w:val="restart"/>
          </w:tcPr>
          <w:p>
            <w:pPr>
              <w:ind w:left="160"/>
              <w:spacing w:after="0"/>
              <w:rPr>
                <w:sz w:val="20"/>
                <w:szCs w:val="20"/>
                <w:color w:val="auto"/>
              </w:rPr>
            </w:pPr>
            <w:r>
              <w:rPr>
                <w:rFonts w:ascii="Arial" w:cs="Arial" w:eastAsia="Arial" w:hAnsi="Arial"/>
                <w:sz w:val="15"/>
                <w:szCs w:val="15"/>
                <w:b w:val="1"/>
                <w:bCs w:val="1"/>
                <w:color w:val="auto"/>
                <w:w w:val="71"/>
              </w:rPr>
              <w:t>$</w:t>
            </w:r>
          </w:p>
        </w:tc>
        <w:tc>
          <w:tcPr>
            <w:tcW w:w="900" w:type="dxa"/>
            <w:vAlign w:val="bottom"/>
            <w:vMerge w:val="restart"/>
          </w:tcPr>
          <w:p>
            <w:pPr>
              <w:jc w:val="right"/>
              <w:ind w:right="29"/>
              <w:spacing w:after="0"/>
              <w:rPr>
                <w:sz w:val="20"/>
                <w:szCs w:val="20"/>
                <w:color w:val="auto"/>
              </w:rPr>
            </w:pPr>
            <w:r>
              <w:rPr>
                <w:rFonts w:ascii="Arial" w:cs="Arial" w:eastAsia="Arial" w:hAnsi="Arial"/>
                <w:sz w:val="15"/>
                <w:szCs w:val="15"/>
                <w:b w:val="1"/>
                <w:bCs w:val="1"/>
                <w:color w:val="auto"/>
              </w:rPr>
              <w:t>–</w:t>
            </w:r>
          </w:p>
        </w:tc>
        <w:tc>
          <w:tcPr>
            <w:tcW w:w="200" w:type="dxa"/>
            <w:vAlign w:val="bottom"/>
            <w:vMerge w:val="restart"/>
          </w:tcPr>
          <w:p>
            <w:pPr>
              <w:ind w:left="100"/>
              <w:spacing w:after="0"/>
              <w:rPr>
                <w:sz w:val="20"/>
                <w:szCs w:val="20"/>
                <w:color w:val="auto"/>
              </w:rPr>
            </w:pPr>
            <w:r>
              <w:rPr>
                <w:rFonts w:ascii="Arial" w:cs="Arial" w:eastAsia="Arial" w:hAnsi="Arial"/>
                <w:sz w:val="15"/>
                <w:szCs w:val="15"/>
                <w:b w:val="1"/>
                <w:bCs w:val="1"/>
                <w:color w:val="auto"/>
                <w:w w:val="95"/>
              </w:rPr>
              <w:t>$</w:t>
            </w:r>
          </w:p>
        </w:tc>
        <w:tc>
          <w:tcPr>
            <w:tcW w:w="6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177,497</w:t>
            </w:r>
          </w:p>
        </w:tc>
        <w:tc>
          <w:tcPr>
            <w:tcW w:w="380" w:type="dxa"/>
            <w:vAlign w:val="bottom"/>
            <w:vMerge w:val="restart"/>
          </w:tcPr>
          <w:p>
            <w:pPr>
              <w:ind w:left="280"/>
              <w:spacing w:after="0"/>
              <w:rPr>
                <w:sz w:val="20"/>
                <w:szCs w:val="20"/>
                <w:color w:val="auto"/>
              </w:rPr>
            </w:pPr>
            <w:r>
              <w:rPr>
                <w:rFonts w:ascii="Arial" w:cs="Arial" w:eastAsia="Arial" w:hAnsi="Arial"/>
                <w:sz w:val="15"/>
                <w:szCs w:val="15"/>
                <w:b w:val="1"/>
                <w:bCs w:val="1"/>
                <w:color w:val="auto"/>
                <w:w w:val="95"/>
              </w:rPr>
              <w:t>$</w:t>
            </w:r>
          </w:p>
        </w:tc>
        <w:tc>
          <w:tcPr>
            <w:tcW w:w="880" w:type="dxa"/>
            <w:vAlign w:val="bottom"/>
            <w:vMerge w:val="restart"/>
          </w:tcPr>
          <w:p>
            <w:pPr>
              <w:jc w:val="right"/>
              <w:ind w:right="28"/>
              <w:spacing w:after="0"/>
              <w:rPr>
                <w:sz w:val="20"/>
                <w:szCs w:val="20"/>
                <w:color w:val="auto"/>
              </w:rPr>
            </w:pPr>
            <w:r>
              <w:rPr>
                <w:rFonts w:ascii="Arial" w:cs="Arial" w:eastAsia="Arial" w:hAnsi="Arial"/>
                <w:sz w:val="15"/>
                <w:szCs w:val="15"/>
                <w:b w:val="1"/>
                <w:bCs w:val="1"/>
                <w:color w:val="auto"/>
              </w:rPr>
              <w:t>–</w:t>
            </w:r>
          </w:p>
        </w:tc>
        <w:tc>
          <w:tcPr>
            <w:tcW w:w="8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$ 177,497</w:t>
            </w:r>
          </w:p>
        </w:tc>
        <w:tc>
          <w:tcPr>
            <w:tcW w:w="0" w:type="dxa"/>
            <w:vAlign w:val="bottom"/>
          </w:tcPr>
          <w:p>
            <w:pPr>
              <w:spacing w:after="0"/>
              <w:rPr>
                <w:sz w:val="1"/>
                <w:szCs w:val="1"/>
                <w:color w:val="auto"/>
              </w:rPr>
            </w:pPr>
          </w:p>
        </w:tc>
      </w:tr>
      <w:tr>
        <w:trPr>
          <w:trHeight w:val="159"/>
        </w:trPr>
        <w:tc>
          <w:tcPr>
            <w:tcW w:w="1380" w:type="dxa"/>
            <w:vAlign w:val="bottom"/>
          </w:tcPr>
          <w:p>
            <w:pPr>
              <w:ind w:left="160"/>
              <w:spacing w:after="0" w:line="159" w:lineRule="exact"/>
              <w:rPr>
                <w:sz w:val="20"/>
                <w:szCs w:val="20"/>
                <w:color w:val="auto"/>
              </w:rPr>
            </w:pPr>
            <w:r>
              <w:rPr>
                <w:rFonts w:ascii="Arial" w:cs="Arial" w:eastAsia="Arial" w:hAnsi="Arial"/>
                <w:sz w:val="15"/>
                <w:szCs w:val="15"/>
                <w:color w:val="auto"/>
              </w:rPr>
              <w:t>cap</w:t>
            </w:r>
          </w:p>
        </w:tc>
        <w:tc>
          <w:tcPr>
            <w:tcW w:w="24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38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380" w:type="dxa"/>
            <w:vAlign w:val="bottom"/>
            <w:shd w:val="clear" w:color="auto" w:fill="CCEEFF"/>
          </w:tcPr>
          <w:p>
            <w:pPr>
              <w:ind w:left="80"/>
              <w:spacing w:after="0" w:line="153" w:lineRule="exact"/>
              <w:rPr>
                <w:sz w:val="20"/>
                <w:szCs w:val="20"/>
                <w:color w:val="auto"/>
              </w:rPr>
            </w:pPr>
            <w:r>
              <w:rPr>
                <w:rFonts w:ascii="Arial" w:cs="Arial" w:eastAsia="Arial" w:hAnsi="Arial"/>
                <w:sz w:val="15"/>
                <w:szCs w:val="15"/>
                <w:color w:val="auto"/>
              </w:rPr>
              <w:t>Small cap,</w:t>
            </w: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80" w:type="dxa"/>
            <w:vAlign w:val="bottom"/>
            <w:shd w:val="clear" w:color="auto" w:fill="CCEEFF"/>
          </w:tcPr>
          <w:p>
            <w:pPr>
              <w:ind w:left="160"/>
              <w:spacing w:after="0" w:line="156" w:lineRule="exact"/>
              <w:rPr>
                <w:sz w:val="20"/>
                <w:szCs w:val="20"/>
                <w:color w:val="auto"/>
              </w:rPr>
            </w:pPr>
            <w:r>
              <w:rPr>
                <w:rFonts w:ascii="Arial" w:cs="Arial" w:eastAsia="Arial" w:hAnsi="Arial"/>
                <w:sz w:val="15"/>
                <w:szCs w:val="15"/>
                <w:color w:val="auto"/>
              </w:rPr>
              <w:t>international and</w:t>
            </w: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80" w:type="dxa"/>
            <w:vAlign w:val="bottom"/>
            <w:shd w:val="clear" w:color="auto" w:fill="CCEEFF"/>
          </w:tcPr>
          <w:p>
            <w:pPr>
              <w:ind w:left="160"/>
              <w:spacing w:after="0" w:line="156" w:lineRule="exact"/>
              <w:rPr>
                <w:sz w:val="20"/>
                <w:szCs w:val="20"/>
                <w:color w:val="auto"/>
              </w:rPr>
            </w:pPr>
            <w:r>
              <w:rPr>
                <w:rFonts w:ascii="Arial" w:cs="Arial" w:eastAsia="Arial" w:hAnsi="Arial"/>
                <w:sz w:val="15"/>
                <w:szCs w:val="15"/>
                <w:color w:val="auto"/>
              </w:rPr>
              <w:t>emerging growth</w:t>
            </w:r>
          </w:p>
        </w:tc>
        <w:tc>
          <w:tcPr>
            <w:tcW w:w="24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29"/>
              <w:spacing w:after="0"/>
              <w:rPr>
                <w:sz w:val="20"/>
                <w:szCs w:val="20"/>
                <w:color w:val="auto"/>
              </w:rPr>
            </w:pPr>
            <w:r>
              <w:rPr>
                <w:rFonts w:ascii="Arial" w:cs="Arial" w:eastAsia="Arial" w:hAnsi="Arial"/>
                <w:sz w:val="15"/>
                <w:szCs w:val="15"/>
                <w:b w:val="1"/>
                <w:bCs w:val="1"/>
                <w:color w:val="auto"/>
              </w:rPr>
              <w:t>–</w:t>
            </w:r>
          </w:p>
        </w:tc>
        <w:tc>
          <w:tcPr>
            <w:tcW w:w="20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186,272</w:t>
            </w:r>
          </w:p>
        </w:tc>
        <w:tc>
          <w:tcPr>
            <w:tcW w:w="38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5"/>
                <w:szCs w:val="15"/>
                <w:b w:val="1"/>
                <w:bCs w:val="1"/>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186,272</w:t>
            </w:r>
          </w:p>
        </w:tc>
        <w:tc>
          <w:tcPr>
            <w:tcW w:w="0" w:type="dxa"/>
            <w:vAlign w:val="bottom"/>
          </w:tcPr>
          <w:p>
            <w:pPr>
              <w:spacing w:after="0"/>
              <w:rPr>
                <w:sz w:val="1"/>
                <w:szCs w:val="1"/>
                <w:color w:val="auto"/>
              </w:rPr>
            </w:pPr>
          </w:p>
        </w:tc>
      </w:tr>
      <w:tr>
        <w:trPr>
          <w:trHeight w:val="159"/>
        </w:trPr>
        <w:tc>
          <w:tcPr>
            <w:tcW w:w="1380" w:type="dxa"/>
            <w:vAlign w:val="bottom"/>
            <w:shd w:val="clear" w:color="auto" w:fill="CCEEFF"/>
          </w:tcPr>
          <w:p>
            <w:pPr>
              <w:ind w:left="160"/>
              <w:spacing w:after="0" w:line="159" w:lineRule="exact"/>
              <w:rPr>
                <w:sz w:val="20"/>
                <w:szCs w:val="20"/>
                <w:color w:val="auto"/>
              </w:rPr>
            </w:pPr>
            <w:r>
              <w:rPr>
                <w:rFonts w:ascii="Arial" w:cs="Arial" w:eastAsia="Arial" w:hAnsi="Arial"/>
                <w:sz w:val="15"/>
                <w:szCs w:val="15"/>
                <w:color w:val="auto"/>
              </w:rPr>
              <w:t>funds</w:t>
            </w:r>
          </w:p>
        </w:tc>
        <w:tc>
          <w:tcPr>
            <w:tcW w:w="240" w:type="dxa"/>
            <w:vAlign w:val="bottom"/>
            <w:shd w:val="clear" w:color="auto" w:fill="CCEEFF"/>
          </w:tcPr>
          <w:p>
            <w:pPr>
              <w:spacing w:after="0"/>
              <w:rPr>
                <w:sz w:val="13"/>
                <w:szCs w:val="13"/>
                <w:color w:val="auto"/>
              </w:rPr>
            </w:pPr>
          </w:p>
        </w:tc>
        <w:tc>
          <w:tcPr>
            <w:tcW w:w="900" w:type="dxa"/>
            <w:vAlign w:val="bottom"/>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8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80" w:type="dxa"/>
            <w:vAlign w:val="bottom"/>
          </w:tcPr>
          <w:p>
            <w:pPr>
              <w:spacing w:after="0" w:line="156" w:lineRule="exact"/>
              <w:rPr>
                <w:sz w:val="20"/>
                <w:szCs w:val="20"/>
                <w:color w:val="auto"/>
              </w:rPr>
            </w:pPr>
            <w:r>
              <w:rPr>
                <w:rFonts w:ascii="Arial" w:cs="Arial" w:eastAsia="Arial" w:hAnsi="Arial"/>
                <w:sz w:val="15"/>
                <w:szCs w:val="15"/>
                <w:color w:val="auto"/>
              </w:rPr>
              <w:t>Debt securities:</w:t>
            </w: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80" w:type="dxa"/>
            <w:vAlign w:val="bottom"/>
            <w:shd w:val="clear" w:color="auto" w:fill="CCEEFF"/>
          </w:tcPr>
          <w:p>
            <w:pPr>
              <w:ind w:left="80"/>
              <w:spacing w:after="0" w:line="156" w:lineRule="exact"/>
              <w:rPr>
                <w:sz w:val="20"/>
                <w:szCs w:val="20"/>
                <w:color w:val="auto"/>
              </w:rPr>
            </w:pPr>
            <w:r>
              <w:rPr>
                <w:rFonts w:ascii="Arial" w:cs="Arial" w:eastAsia="Arial" w:hAnsi="Arial"/>
                <w:sz w:val="15"/>
                <w:szCs w:val="15"/>
                <w:color w:val="auto"/>
              </w:rPr>
              <w:t>Core fixed income</w:t>
            </w: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29"/>
              <w:spacing w:after="0" w:line="156" w:lineRule="exact"/>
              <w:rPr>
                <w:sz w:val="20"/>
                <w:szCs w:val="20"/>
                <w:color w:val="auto"/>
              </w:rPr>
            </w:pPr>
            <w:r>
              <w:rPr>
                <w:rFonts w:ascii="Arial" w:cs="Arial" w:eastAsia="Arial" w:hAnsi="Arial"/>
                <w:sz w:val="15"/>
                <w:szCs w:val="15"/>
                <w:b w:val="1"/>
                <w:bCs w:val="1"/>
                <w:color w:val="auto"/>
              </w:rPr>
              <w:t>–</w:t>
            </w: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rPr>
              <w:t>182,225</w:t>
            </w:r>
          </w:p>
        </w:tc>
        <w:tc>
          <w:tcPr>
            <w:tcW w:w="3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28"/>
              <w:spacing w:after="0" w:line="156" w:lineRule="exact"/>
              <w:rPr>
                <w:sz w:val="20"/>
                <w:szCs w:val="20"/>
                <w:color w:val="auto"/>
              </w:rPr>
            </w:pPr>
            <w:r>
              <w:rPr>
                <w:rFonts w:ascii="Arial" w:cs="Arial" w:eastAsia="Arial" w:hAnsi="Arial"/>
                <w:sz w:val="15"/>
                <w:szCs w:val="15"/>
                <w:b w:val="1"/>
                <w:bCs w:val="1"/>
                <w:color w:val="auto"/>
              </w:rPr>
              <w:t>–</w:t>
            </w:r>
          </w:p>
        </w:tc>
        <w:tc>
          <w:tcPr>
            <w:tcW w:w="84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rPr>
              <w:t>182,225</w:t>
            </w:r>
          </w:p>
        </w:tc>
        <w:tc>
          <w:tcPr>
            <w:tcW w:w="0" w:type="dxa"/>
            <w:vAlign w:val="bottom"/>
          </w:tcPr>
          <w:p>
            <w:pPr>
              <w:spacing w:after="0"/>
              <w:rPr>
                <w:sz w:val="1"/>
                <w:szCs w:val="1"/>
                <w:color w:val="auto"/>
              </w:rPr>
            </w:pPr>
          </w:p>
        </w:tc>
      </w:tr>
      <w:tr>
        <w:trPr>
          <w:trHeight w:val="156"/>
        </w:trPr>
        <w:tc>
          <w:tcPr>
            <w:tcW w:w="1380" w:type="dxa"/>
            <w:vAlign w:val="bottom"/>
          </w:tcPr>
          <w:p>
            <w:pPr>
              <w:spacing w:after="0" w:line="156" w:lineRule="exact"/>
              <w:rPr>
                <w:sz w:val="20"/>
                <w:szCs w:val="20"/>
                <w:color w:val="auto"/>
              </w:rPr>
            </w:pPr>
            <w:r>
              <w:rPr>
                <w:rFonts w:ascii="Arial" w:cs="Arial" w:eastAsia="Arial" w:hAnsi="Arial"/>
                <w:sz w:val="15"/>
                <w:szCs w:val="15"/>
                <w:color w:val="auto"/>
              </w:rPr>
              <w:t>Real estate</w:t>
            </w:r>
          </w:p>
        </w:tc>
        <w:tc>
          <w:tcPr>
            <w:tcW w:w="240" w:type="dxa"/>
            <w:vAlign w:val="bottom"/>
          </w:tcPr>
          <w:p>
            <w:pPr>
              <w:spacing w:after="0"/>
              <w:rPr>
                <w:sz w:val="13"/>
                <w:szCs w:val="13"/>
                <w:color w:val="auto"/>
              </w:rPr>
            </w:pPr>
          </w:p>
        </w:tc>
        <w:tc>
          <w:tcPr>
            <w:tcW w:w="900" w:type="dxa"/>
            <w:vAlign w:val="bottom"/>
          </w:tcPr>
          <w:p>
            <w:pPr>
              <w:jc w:val="right"/>
              <w:ind w:right="29"/>
              <w:spacing w:after="0" w:line="156" w:lineRule="exact"/>
              <w:rPr>
                <w:sz w:val="20"/>
                <w:szCs w:val="20"/>
                <w:color w:val="auto"/>
              </w:rPr>
            </w:pPr>
            <w:r>
              <w:rPr>
                <w:rFonts w:ascii="Arial" w:cs="Arial" w:eastAsia="Arial" w:hAnsi="Arial"/>
                <w:sz w:val="15"/>
                <w:szCs w:val="15"/>
                <w:b w:val="1"/>
                <w:bCs w:val="1"/>
                <w:color w:val="auto"/>
              </w:rPr>
              <w:t>–</w:t>
            </w:r>
          </w:p>
        </w:tc>
        <w:tc>
          <w:tcPr>
            <w:tcW w:w="200" w:type="dxa"/>
            <w:vAlign w:val="bottom"/>
          </w:tcPr>
          <w:p>
            <w:pPr>
              <w:spacing w:after="0"/>
              <w:rPr>
                <w:sz w:val="13"/>
                <w:szCs w:val="13"/>
                <w:color w:val="auto"/>
              </w:rPr>
            </w:pPr>
          </w:p>
        </w:tc>
        <w:tc>
          <w:tcPr>
            <w:tcW w:w="660" w:type="dxa"/>
            <w:vAlign w:val="bottom"/>
          </w:tcPr>
          <w:p>
            <w:pPr>
              <w:jc w:val="right"/>
              <w:spacing w:after="0" w:line="156" w:lineRule="exact"/>
              <w:rPr>
                <w:sz w:val="20"/>
                <w:szCs w:val="20"/>
                <w:color w:val="auto"/>
              </w:rPr>
            </w:pPr>
            <w:r>
              <w:rPr>
                <w:rFonts w:ascii="Arial" w:cs="Arial" w:eastAsia="Arial" w:hAnsi="Arial"/>
                <w:sz w:val="15"/>
                <w:szCs w:val="15"/>
                <w:b w:val="1"/>
                <w:bCs w:val="1"/>
                <w:color w:val="auto"/>
              </w:rPr>
              <w:t>–</w:t>
            </w:r>
          </w:p>
        </w:tc>
        <w:tc>
          <w:tcPr>
            <w:tcW w:w="380" w:type="dxa"/>
            <w:vAlign w:val="bottom"/>
          </w:tcPr>
          <w:p>
            <w:pPr>
              <w:spacing w:after="0"/>
              <w:rPr>
                <w:sz w:val="13"/>
                <w:szCs w:val="13"/>
                <w:color w:val="auto"/>
              </w:rPr>
            </w:pPr>
          </w:p>
        </w:tc>
        <w:tc>
          <w:tcPr>
            <w:tcW w:w="880" w:type="dxa"/>
            <w:vAlign w:val="bottom"/>
          </w:tcPr>
          <w:p>
            <w:pPr>
              <w:jc w:val="right"/>
              <w:ind w:right="28"/>
              <w:spacing w:after="0" w:line="156" w:lineRule="exact"/>
              <w:rPr>
                <w:sz w:val="20"/>
                <w:szCs w:val="20"/>
                <w:color w:val="auto"/>
              </w:rPr>
            </w:pPr>
            <w:r>
              <w:rPr>
                <w:rFonts w:ascii="Arial" w:cs="Arial" w:eastAsia="Arial" w:hAnsi="Arial"/>
                <w:sz w:val="15"/>
                <w:szCs w:val="15"/>
                <w:b w:val="1"/>
                <w:bCs w:val="1"/>
                <w:color w:val="auto"/>
              </w:rPr>
              <w:t>46,467</w:t>
            </w:r>
          </w:p>
        </w:tc>
        <w:tc>
          <w:tcPr>
            <w:tcW w:w="840" w:type="dxa"/>
            <w:vAlign w:val="bottom"/>
          </w:tcPr>
          <w:p>
            <w:pPr>
              <w:jc w:val="right"/>
              <w:spacing w:after="0" w:line="156" w:lineRule="exact"/>
              <w:rPr>
                <w:sz w:val="20"/>
                <w:szCs w:val="20"/>
                <w:color w:val="auto"/>
              </w:rPr>
            </w:pPr>
            <w:r>
              <w:rPr>
                <w:rFonts w:ascii="Arial" w:cs="Arial" w:eastAsia="Arial" w:hAnsi="Arial"/>
                <w:sz w:val="15"/>
                <w:szCs w:val="15"/>
                <w:b w:val="1"/>
                <w:bCs w:val="1"/>
                <w:color w:val="auto"/>
              </w:rPr>
              <w:t>46,467</w:t>
            </w:r>
          </w:p>
        </w:tc>
        <w:tc>
          <w:tcPr>
            <w:tcW w:w="0" w:type="dxa"/>
            <w:vAlign w:val="bottom"/>
          </w:tcPr>
          <w:p>
            <w:pPr>
              <w:spacing w:after="0"/>
              <w:rPr>
                <w:sz w:val="1"/>
                <w:szCs w:val="1"/>
                <w:color w:val="auto"/>
              </w:rPr>
            </w:pPr>
          </w:p>
        </w:tc>
      </w:tr>
      <w:tr>
        <w:trPr>
          <w:trHeight w:val="156"/>
        </w:trPr>
        <w:tc>
          <w:tcPr>
            <w:tcW w:w="138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Hedge funds</w:t>
            </w: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29"/>
              <w:spacing w:after="0" w:line="156" w:lineRule="exact"/>
              <w:rPr>
                <w:sz w:val="20"/>
                <w:szCs w:val="20"/>
                <w:color w:val="auto"/>
              </w:rPr>
            </w:pPr>
            <w:r>
              <w:rPr>
                <w:rFonts w:ascii="Arial" w:cs="Arial" w:eastAsia="Arial" w:hAnsi="Arial"/>
                <w:sz w:val="15"/>
                <w:szCs w:val="15"/>
                <w:b w:val="1"/>
                <w:bCs w:val="1"/>
                <w:color w:val="auto"/>
              </w:rPr>
              <w:t>–</w:t>
            </w: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rPr>
              <w:t>–</w:t>
            </w:r>
          </w:p>
        </w:tc>
        <w:tc>
          <w:tcPr>
            <w:tcW w:w="3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28"/>
              <w:spacing w:after="0" w:line="156" w:lineRule="exact"/>
              <w:rPr>
                <w:sz w:val="20"/>
                <w:szCs w:val="20"/>
                <w:color w:val="auto"/>
              </w:rPr>
            </w:pPr>
            <w:r>
              <w:rPr>
                <w:rFonts w:ascii="Arial" w:cs="Arial" w:eastAsia="Arial" w:hAnsi="Arial"/>
                <w:sz w:val="15"/>
                <w:szCs w:val="15"/>
                <w:b w:val="1"/>
                <w:bCs w:val="1"/>
                <w:color w:val="auto"/>
              </w:rPr>
              <w:t>45,604</w:t>
            </w:r>
          </w:p>
        </w:tc>
        <w:tc>
          <w:tcPr>
            <w:tcW w:w="84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rPr>
              <w:t>45,604</w:t>
            </w:r>
          </w:p>
        </w:tc>
        <w:tc>
          <w:tcPr>
            <w:tcW w:w="0" w:type="dxa"/>
            <w:vAlign w:val="bottom"/>
          </w:tcPr>
          <w:p>
            <w:pPr>
              <w:spacing w:after="0"/>
              <w:rPr>
                <w:sz w:val="1"/>
                <w:szCs w:val="1"/>
                <w:color w:val="auto"/>
              </w:rPr>
            </w:pPr>
          </w:p>
        </w:tc>
      </w:tr>
      <w:tr>
        <w:trPr>
          <w:trHeight w:val="156"/>
        </w:trPr>
        <w:tc>
          <w:tcPr>
            <w:tcW w:w="1380" w:type="dxa"/>
            <w:vAlign w:val="bottom"/>
            <w:tcBorders>
              <w:bottom w:val="single" w:sz="8" w:color="auto"/>
            </w:tcBorders>
          </w:tcPr>
          <w:p>
            <w:pPr>
              <w:spacing w:after="0" w:line="156" w:lineRule="exact"/>
              <w:rPr>
                <w:sz w:val="20"/>
                <w:szCs w:val="20"/>
                <w:color w:val="auto"/>
              </w:rPr>
            </w:pPr>
            <w:r>
              <w:rPr>
                <w:rFonts w:ascii="Arial" w:cs="Arial" w:eastAsia="Arial" w:hAnsi="Arial"/>
                <w:sz w:val="15"/>
                <w:szCs w:val="15"/>
                <w:color w:val="auto"/>
              </w:rPr>
              <w:t>Cash</w:t>
            </w: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9"/>
              <w:spacing w:after="0" w:line="156" w:lineRule="exact"/>
              <w:rPr>
                <w:sz w:val="20"/>
                <w:szCs w:val="20"/>
                <w:color w:val="auto"/>
              </w:rPr>
            </w:pPr>
            <w:r>
              <w:rPr>
                <w:rFonts w:ascii="Arial" w:cs="Arial" w:eastAsia="Arial" w:hAnsi="Arial"/>
                <w:sz w:val="15"/>
                <w:szCs w:val="15"/>
                <w:b w:val="1"/>
                <w:bCs w:val="1"/>
                <w:color w:val="auto"/>
              </w:rPr>
              <w:t>41</w:t>
            </w: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b w:val="1"/>
                <w:bCs w:val="1"/>
                <w:color w:val="auto"/>
              </w:rPr>
              <w:t>–</w:t>
            </w:r>
          </w:p>
        </w:tc>
        <w:tc>
          <w:tcPr>
            <w:tcW w:w="3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8"/>
              <w:spacing w:after="0" w:line="156" w:lineRule="exact"/>
              <w:rPr>
                <w:sz w:val="20"/>
                <w:szCs w:val="20"/>
                <w:color w:val="auto"/>
              </w:rPr>
            </w:pPr>
            <w:r>
              <w:rPr>
                <w:rFonts w:ascii="Arial" w:cs="Arial" w:eastAsia="Arial" w:hAnsi="Arial"/>
                <w:sz w:val="15"/>
                <w:szCs w:val="15"/>
                <w:b w:val="1"/>
                <w:bCs w:val="1"/>
                <w:color w:val="auto"/>
              </w:rPr>
              <w:t>–</w:t>
            </w:r>
          </w:p>
        </w:tc>
        <w:tc>
          <w:tcPr>
            <w:tcW w:w="8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b w:val="1"/>
                <w:bCs w:val="1"/>
                <w:color w:val="auto"/>
              </w:rPr>
              <w:t>41</w:t>
            </w:r>
          </w:p>
        </w:tc>
        <w:tc>
          <w:tcPr>
            <w:tcW w:w="0" w:type="dxa"/>
            <w:vAlign w:val="bottom"/>
          </w:tcPr>
          <w:p>
            <w:pPr>
              <w:spacing w:after="0"/>
              <w:rPr>
                <w:sz w:val="1"/>
                <w:szCs w:val="1"/>
                <w:color w:val="auto"/>
              </w:rPr>
            </w:pPr>
          </w:p>
        </w:tc>
      </w:tr>
      <w:tr>
        <w:trPr>
          <w:trHeight w:val="155"/>
        </w:trPr>
        <w:tc>
          <w:tcPr>
            <w:tcW w:w="138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5"/>
                <w:szCs w:val="15"/>
                <w:color w:val="auto"/>
              </w:rPr>
              <w:t>Total</w:t>
            </w:r>
          </w:p>
        </w:tc>
        <w:tc>
          <w:tcPr>
            <w:tcW w:w="240" w:type="dxa"/>
            <w:vAlign w:val="bottom"/>
            <w:tcBorders>
              <w:bottom w:val="single" w:sz="8" w:color="auto"/>
            </w:tcBorders>
            <w:shd w:val="clear" w:color="auto" w:fill="CCEEFF"/>
          </w:tcPr>
          <w:p>
            <w:pPr>
              <w:ind w:left="160"/>
              <w:spacing w:after="0" w:line="149" w:lineRule="exact"/>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shd w:val="clear" w:color="auto" w:fill="CCEEFF"/>
          </w:tcPr>
          <w:p>
            <w:pPr>
              <w:jc w:val="right"/>
              <w:ind w:right="29"/>
              <w:spacing w:after="0" w:line="149" w:lineRule="exact"/>
              <w:rPr>
                <w:sz w:val="20"/>
                <w:szCs w:val="20"/>
                <w:color w:val="auto"/>
              </w:rPr>
            </w:pPr>
            <w:r>
              <w:rPr>
                <w:rFonts w:ascii="Arial" w:cs="Arial" w:eastAsia="Arial" w:hAnsi="Arial"/>
                <w:sz w:val="15"/>
                <w:szCs w:val="15"/>
                <w:b w:val="1"/>
                <w:bCs w:val="1"/>
                <w:color w:val="auto"/>
              </w:rPr>
              <w:t>41</w:t>
            </w:r>
          </w:p>
        </w:tc>
        <w:tc>
          <w:tcPr>
            <w:tcW w:w="200" w:type="dxa"/>
            <w:vAlign w:val="bottom"/>
            <w:tcBorders>
              <w:bottom w:val="single" w:sz="8" w:color="auto"/>
            </w:tcBorders>
            <w:shd w:val="clear" w:color="auto" w:fill="CCEEFF"/>
          </w:tcPr>
          <w:p>
            <w:pPr>
              <w:ind w:left="100"/>
              <w:spacing w:after="0" w:line="149" w:lineRule="exact"/>
              <w:rPr>
                <w:sz w:val="20"/>
                <w:szCs w:val="20"/>
                <w:color w:val="auto"/>
              </w:rPr>
            </w:pPr>
            <w:r>
              <w:rPr>
                <w:rFonts w:ascii="Arial" w:cs="Arial" w:eastAsia="Arial" w:hAnsi="Arial"/>
                <w:sz w:val="15"/>
                <w:szCs w:val="15"/>
                <w:b w:val="1"/>
                <w:bCs w:val="1"/>
                <w:color w:val="auto"/>
                <w:w w:val="95"/>
              </w:rPr>
              <w:t>$</w:t>
            </w: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b w:val="1"/>
                <w:bCs w:val="1"/>
                <w:color w:val="auto"/>
              </w:rPr>
              <w:t>545,994</w:t>
            </w:r>
          </w:p>
        </w:tc>
        <w:tc>
          <w:tcPr>
            <w:tcW w:w="380" w:type="dxa"/>
            <w:vAlign w:val="bottom"/>
            <w:tcBorders>
              <w:bottom w:val="single" w:sz="8" w:color="auto"/>
            </w:tcBorders>
            <w:shd w:val="clear" w:color="auto" w:fill="CCEEFF"/>
          </w:tcPr>
          <w:p>
            <w:pPr>
              <w:ind w:left="280"/>
              <w:spacing w:after="0" w:line="149" w:lineRule="exact"/>
              <w:rPr>
                <w:sz w:val="20"/>
                <w:szCs w:val="20"/>
                <w:color w:val="auto"/>
              </w:rPr>
            </w:pPr>
            <w:r>
              <w:rPr>
                <w:rFonts w:ascii="Arial" w:cs="Arial" w:eastAsia="Arial" w:hAnsi="Arial"/>
                <w:sz w:val="15"/>
                <w:szCs w:val="15"/>
                <w:b w:val="1"/>
                <w:bCs w:val="1"/>
                <w:color w:val="auto"/>
                <w:w w:val="95"/>
              </w:rPr>
              <w:t>$</w:t>
            </w:r>
          </w:p>
        </w:tc>
        <w:tc>
          <w:tcPr>
            <w:tcW w:w="88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5"/>
                <w:szCs w:val="15"/>
                <w:b w:val="1"/>
                <w:bCs w:val="1"/>
                <w:color w:val="auto"/>
              </w:rPr>
              <w:t>92,071</w:t>
            </w: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b w:val="1"/>
                <w:bCs w:val="1"/>
                <w:color w:val="auto"/>
              </w:rPr>
              <w:t>$ 638,106</w:t>
            </w:r>
          </w:p>
        </w:tc>
        <w:tc>
          <w:tcPr>
            <w:tcW w:w="0" w:type="dxa"/>
            <w:vAlign w:val="bottom"/>
          </w:tcPr>
          <w:p>
            <w:pPr>
              <w:spacing w:after="0"/>
              <w:rPr>
                <w:sz w:val="1"/>
                <w:szCs w:val="1"/>
                <w:color w:val="auto"/>
              </w:rPr>
            </w:pPr>
          </w:p>
        </w:tc>
      </w:tr>
      <w:tr>
        <w:trPr>
          <w:trHeight w:val="247"/>
        </w:trPr>
        <w:tc>
          <w:tcPr>
            <w:tcW w:w="13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2016</w:t>
            </w:r>
          </w:p>
        </w:tc>
        <w:tc>
          <w:tcPr>
            <w:tcW w:w="8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138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Equity securities:</w:t>
            </w: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1380" w:type="dxa"/>
            <w:vAlign w:val="bottom"/>
          </w:tcPr>
          <w:p>
            <w:pPr>
              <w:ind w:left="80"/>
              <w:spacing w:after="0" w:line="153" w:lineRule="exact"/>
              <w:rPr>
                <w:sz w:val="20"/>
                <w:szCs w:val="20"/>
                <w:color w:val="auto"/>
              </w:rPr>
            </w:pPr>
            <w:r>
              <w:rPr>
                <w:rFonts w:ascii="Arial" w:cs="Arial" w:eastAsia="Arial" w:hAnsi="Arial"/>
                <w:sz w:val="15"/>
                <w:szCs w:val="15"/>
                <w:color w:val="auto"/>
              </w:rPr>
              <w:t>Mid-sized to large</w:t>
            </w: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380" w:type="dxa"/>
            <w:vAlign w:val="bottom"/>
          </w:tcPr>
          <w:p>
            <w:pPr>
              <w:ind w:left="160"/>
              <w:spacing w:after="0" w:line="159" w:lineRule="exact"/>
              <w:rPr>
                <w:sz w:val="20"/>
                <w:szCs w:val="20"/>
                <w:color w:val="auto"/>
              </w:rPr>
            </w:pPr>
            <w:r>
              <w:rPr>
                <w:rFonts w:ascii="Arial" w:cs="Arial" w:eastAsia="Arial" w:hAnsi="Arial"/>
                <w:sz w:val="15"/>
                <w:szCs w:val="15"/>
                <w:color w:val="auto"/>
              </w:rPr>
              <w:t>cap</w:t>
            </w:r>
          </w:p>
        </w:tc>
        <w:tc>
          <w:tcPr>
            <w:tcW w:w="240" w:type="dxa"/>
            <w:vAlign w:val="bottom"/>
          </w:tcPr>
          <w:p>
            <w:pPr>
              <w:ind w:left="160"/>
              <w:spacing w:after="0" w:line="159" w:lineRule="exact"/>
              <w:rPr>
                <w:sz w:val="20"/>
                <w:szCs w:val="20"/>
                <w:color w:val="auto"/>
              </w:rPr>
            </w:pPr>
            <w:r>
              <w:rPr>
                <w:rFonts w:ascii="Arial" w:cs="Arial" w:eastAsia="Arial" w:hAnsi="Arial"/>
                <w:sz w:val="15"/>
                <w:szCs w:val="15"/>
                <w:color w:val="auto"/>
                <w:w w:val="71"/>
              </w:rPr>
              <w:t>$</w:t>
            </w:r>
          </w:p>
        </w:tc>
        <w:tc>
          <w:tcPr>
            <w:tcW w:w="900" w:type="dxa"/>
            <w:vAlign w:val="bottom"/>
          </w:tcPr>
          <w:p>
            <w:pPr>
              <w:jc w:val="right"/>
              <w:ind w:right="29"/>
              <w:spacing w:after="0" w:line="159" w:lineRule="exact"/>
              <w:rPr>
                <w:sz w:val="20"/>
                <w:szCs w:val="20"/>
                <w:color w:val="auto"/>
              </w:rPr>
            </w:pPr>
            <w:r>
              <w:rPr>
                <w:rFonts w:ascii="Arial" w:cs="Arial" w:eastAsia="Arial" w:hAnsi="Arial"/>
                <w:sz w:val="15"/>
                <w:szCs w:val="15"/>
                <w:color w:val="auto"/>
              </w:rPr>
              <w:t>–</w:t>
            </w:r>
          </w:p>
        </w:tc>
        <w:tc>
          <w:tcPr>
            <w:tcW w:w="200" w:type="dxa"/>
            <w:vAlign w:val="bottom"/>
          </w:tcPr>
          <w:p>
            <w:pPr>
              <w:ind w:left="100"/>
              <w:spacing w:after="0" w:line="159" w:lineRule="exact"/>
              <w:rPr>
                <w:sz w:val="20"/>
                <w:szCs w:val="20"/>
                <w:color w:val="auto"/>
              </w:rPr>
            </w:pPr>
            <w:r>
              <w:rPr>
                <w:rFonts w:ascii="Arial" w:cs="Arial" w:eastAsia="Arial" w:hAnsi="Arial"/>
                <w:sz w:val="15"/>
                <w:szCs w:val="15"/>
                <w:color w:val="auto"/>
                <w:w w:val="95"/>
              </w:rPr>
              <w:t>$</w:t>
            </w:r>
          </w:p>
        </w:tc>
        <w:tc>
          <w:tcPr>
            <w:tcW w:w="660" w:type="dxa"/>
            <w:vAlign w:val="bottom"/>
          </w:tcPr>
          <w:p>
            <w:pPr>
              <w:jc w:val="right"/>
              <w:spacing w:after="0" w:line="159" w:lineRule="exact"/>
              <w:rPr>
                <w:sz w:val="20"/>
                <w:szCs w:val="20"/>
                <w:color w:val="auto"/>
              </w:rPr>
            </w:pPr>
            <w:r>
              <w:rPr>
                <w:rFonts w:ascii="Arial" w:cs="Arial" w:eastAsia="Arial" w:hAnsi="Arial"/>
                <w:sz w:val="15"/>
                <w:szCs w:val="15"/>
                <w:color w:val="auto"/>
              </w:rPr>
              <w:t>169,176</w:t>
            </w:r>
          </w:p>
        </w:tc>
        <w:tc>
          <w:tcPr>
            <w:tcW w:w="380" w:type="dxa"/>
            <w:vAlign w:val="bottom"/>
          </w:tcPr>
          <w:p>
            <w:pPr>
              <w:ind w:left="280"/>
              <w:spacing w:after="0" w:line="159" w:lineRule="exact"/>
              <w:rPr>
                <w:sz w:val="20"/>
                <w:szCs w:val="20"/>
                <w:color w:val="auto"/>
              </w:rPr>
            </w:pPr>
            <w:r>
              <w:rPr>
                <w:rFonts w:ascii="Arial" w:cs="Arial" w:eastAsia="Arial" w:hAnsi="Arial"/>
                <w:sz w:val="15"/>
                <w:szCs w:val="15"/>
                <w:color w:val="auto"/>
                <w:w w:val="95"/>
              </w:rPr>
              <w:t>$</w:t>
            </w:r>
          </w:p>
        </w:tc>
        <w:tc>
          <w:tcPr>
            <w:tcW w:w="880" w:type="dxa"/>
            <w:vAlign w:val="bottom"/>
          </w:tcPr>
          <w:p>
            <w:pPr>
              <w:jc w:val="right"/>
              <w:ind w:right="28"/>
              <w:spacing w:after="0" w:line="159" w:lineRule="exact"/>
              <w:rPr>
                <w:sz w:val="20"/>
                <w:szCs w:val="20"/>
                <w:color w:val="auto"/>
              </w:rPr>
            </w:pPr>
            <w:r>
              <w:rPr>
                <w:rFonts w:ascii="Arial" w:cs="Arial" w:eastAsia="Arial" w:hAnsi="Arial"/>
                <w:sz w:val="15"/>
                <w:szCs w:val="15"/>
                <w:color w:val="auto"/>
              </w:rPr>
              <w:t>–</w:t>
            </w:r>
          </w:p>
        </w:tc>
        <w:tc>
          <w:tcPr>
            <w:tcW w:w="840" w:type="dxa"/>
            <w:vAlign w:val="bottom"/>
          </w:tcPr>
          <w:p>
            <w:pPr>
              <w:jc w:val="right"/>
              <w:spacing w:after="0" w:line="159" w:lineRule="exact"/>
              <w:rPr>
                <w:sz w:val="20"/>
                <w:szCs w:val="20"/>
                <w:color w:val="auto"/>
              </w:rPr>
            </w:pPr>
            <w:r>
              <w:rPr>
                <w:rFonts w:ascii="Arial" w:cs="Arial" w:eastAsia="Arial" w:hAnsi="Arial"/>
                <w:sz w:val="15"/>
                <w:szCs w:val="15"/>
                <w:color w:val="auto"/>
              </w:rPr>
              <w:t>$ 169,176</w:t>
            </w:r>
          </w:p>
        </w:tc>
        <w:tc>
          <w:tcPr>
            <w:tcW w:w="0" w:type="dxa"/>
            <w:vAlign w:val="bottom"/>
          </w:tcPr>
          <w:p>
            <w:pPr>
              <w:spacing w:after="0"/>
              <w:rPr>
                <w:sz w:val="1"/>
                <w:szCs w:val="1"/>
                <w:color w:val="auto"/>
              </w:rPr>
            </w:pPr>
          </w:p>
        </w:tc>
      </w:tr>
      <w:tr>
        <w:trPr>
          <w:trHeight w:val="152"/>
        </w:trPr>
        <w:tc>
          <w:tcPr>
            <w:tcW w:w="1380" w:type="dxa"/>
            <w:vAlign w:val="bottom"/>
            <w:shd w:val="clear" w:color="auto" w:fill="CCEEFF"/>
          </w:tcPr>
          <w:p>
            <w:pPr>
              <w:ind w:left="80"/>
              <w:spacing w:after="0" w:line="153" w:lineRule="exact"/>
              <w:rPr>
                <w:sz w:val="20"/>
                <w:szCs w:val="20"/>
                <w:color w:val="auto"/>
              </w:rPr>
            </w:pPr>
            <w:r>
              <w:rPr>
                <w:rFonts w:ascii="Arial" w:cs="Arial" w:eastAsia="Arial" w:hAnsi="Arial"/>
                <w:sz w:val="15"/>
                <w:szCs w:val="15"/>
                <w:color w:val="auto"/>
              </w:rPr>
              <w:t>Small cap,</w:t>
            </w: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80" w:type="dxa"/>
            <w:vAlign w:val="bottom"/>
            <w:shd w:val="clear" w:color="auto" w:fill="CCEEFF"/>
          </w:tcPr>
          <w:p>
            <w:pPr>
              <w:ind w:left="160"/>
              <w:spacing w:after="0" w:line="156" w:lineRule="exact"/>
              <w:rPr>
                <w:sz w:val="20"/>
                <w:szCs w:val="20"/>
                <w:color w:val="auto"/>
              </w:rPr>
            </w:pPr>
            <w:r>
              <w:rPr>
                <w:rFonts w:ascii="Arial" w:cs="Arial" w:eastAsia="Arial" w:hAnsi="Arial"/>
                <w:sz w:val="15"/>
                <w:szCs w:val="15"/>
                <w:color w:val="auto"/>
              </w:rPr>
              <w:t>international and</w:t>
            </w: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80" w:type="dxa"/>
            <w:vAlign w:val="bottom"/>
            <w:shd w:val="clear" w:color="auto" w:fill="CCEEFF"/>
          </w:tcPr>
          <w:p>
            <w:pPr>
              <w:ind w:left="160"/>
              <w:spacing w:after="0" w:line="156" w:lineRule="exact"/>
              <w:rPr>
                <w:sz w:val="20"/>
                <w:szCs w:val="20"/>
                <w:color w:val="auto"/>
              </w:rPr>
            </w:pPr>
            <w:r>
              <w:rPr>
                <w:rFonts w:ascii="Arial" w:cs="Arial" w:eastAsia="Arial" w:hAnsi="Arial"/>
                <w:sz w:val="15"/>
                <w:szCs w:val="15"/>
                <w:color w:val="auto"/>
              </w:rPr>
              <w:t>emerging growth</w:t>
            </w: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380" w:type="dxa"/>
            <w:vAlign w:val="bottom"/>
            <w:shd w:val="clear" w:color="auto" w:fill="CCEEFF"/>
          </w:tcPr>
          <w:p>
            <w:pPr>
              <w:ind w:left="160"/>
              <w:spacing w:after="0" w:line="159" w:lineRule="exact"/>
              <w:rPr>
                <w:sz w:val="20"/>
                <w:szCs w:val="20"/>
                <w:color w:val="auto"/>
              </w:rPr>
            </w:pPr>
            <w:r>
              <w:rPr>
                <w:rFonts w:ascii="Arial" w:cs="Arial" w:eastAsia="Arial" w:hAnsi="Arial"/>
                <w:sz w:val="15"/>
                <w:szCs w:val="15"/>
                <w:color w:val="auto"/>
              </w:rPr>
              <w:t>funds</w:t>
            </w: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29"/>
              <w:spacing w:after="0" w:line="159" w:lineRule="exact"/>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color w:val="auto"/>
              </w:rPr>
              <w:t>169,678</w:t>
            </w:r>
          </w:p>
        </w:tc>
        <w:tc>
          <w:tcPr>
            <w:tcW w:w="3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28"/>
              <w:spacing w:after="0" w:line="159" w:lineRule="exact"/>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color w:val="auto"/>
              </w:rPr>
              <w:t>169,678</w:t>
            </w:r>
          </w:p>
        </w:tc>
        <w:tc>
          <w:tcPr>
            <w:tcW w:w="0" w:type="dxa"/>
            <w:vAlign w:val="bottom"/>
          </w:tcPr>
          <w:p>
            <w:pPr>
              <w:spacing w:after="0"/>
              <w:rPr>
                <w:sz w:val="1"/>
                <w:szCs w:val="1"/>
                <w:color w:val="auto"/>
              </w:rPr>
            </w:pPr>
          </w:p>
        </w:tc>
      </w:tr>
      <w:tr>
        <w:trPr>
          <w:trHeight w:val="156"/>
        </w:trPr>
        <w:tc>
          <w:tcPr>
            <w:tcW w:w="1380" w:type="dxa"/>
            <w:vAlign w:val="bottom"/>
          </w:tcPr>
          <w:p>
            <w:pPr>
              <w:spacing w:after="0" w:line="156" w:lineRule="exact"/>
              <w:rPr>
                <w:sz w:val="20"/>
                <w:szCs w:val="20"/>
                <w:color w:val="auto"/>
              </w:rPr>
            </w:pPr>
            <w:r>
              <w:rPr>
                <w:rFonts w:ascii="Arial" w:cs="Arial" w:eastAsia="Arial" w:hAnsi="Arial"/>
                <w:sz w:val="15"/>
                <w:szCs w:val="15"/>
                <w:color w:val="auto"/>
              </w:rPr>
              <w:t>Debt securities:</w:t>
            </w: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80" w:type="dxa"/>
            <w:vAlign w:val="bottom"/>
            <w:shd w:val="clear" w:color="auto" w:fill="CCEEFF"/>
          </w:tcPr>
          <w:p>
            <w:pPr>
              <w:ind w:left="80"/>
              <w:spacing w:after="0" w:line="156" w:lineRule="exact"/>
              <w:rPr>
                <w:sz w:val="20"/>
                <w:szCs w:val="20"/>
                <w:color w:val="auto"/>
              </w:rPr>
            </w:pPr>
            <w:r>
              <w:rPr>
                <w:rFonts w:ascii="Arial" w:cs="Arial" w:eastAsia="Arial" w:hAnsi="Arial"/>
                <w:sz w:val="15"/>
                <w:szCs w:val="15"/>
                <w:color w:val="auto"/>
              </w:rPr>
              <w:t>Core fixed income</w:t>
            </w: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29"/>
              <w:spacing w:after="0" w:line="156" w:lineRule="exact"/>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168,282</w:t>
            </w:r>
          </w:p>
        </w:tc>
        <w:tc>
          <w:tcPr>
            <w:tcW w:w="3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28"/>
              <w:spacing w:after="0" w:line="156" w:lineRule="exact"/>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168,282</w:t>
            </w:r>
          </w:p>
        </w:tc>
        <w:tc>
          <w:tcPr>
            <w:tcW w:w="0" w:type="dxa"/>
            <w:vAlign w:val="bottom"/>
          </w:tcPr>
          <w:p>
            <w:pPr>
              <w:spacing w:after="0"/>
              <w:rPr>
                <w:sz w:val="1"/>
                <w:szCs w:val="1"/>
                <w:color w:val="auto"/>
              </w:rPr>
            </w:pPr>
          </w:p>
        </w:tc>
      </w:tr>
      <w:tr>
        <w:trPr>
          <w:trHeight w:val="156"/>
        </w:trPr>
        <w:tc>
          <w:tcPr>
            <w:tcW w:w="1380" w:type="dxa"/>
            <w:vAlign w:val="bottom"/>
          </w:tcPr>
          <w:p>
            <w:pPr>
              <w:spacing w:after="0" w:line="156" w:lineRule="exact"/>
              <w:rPr>
                <w:sz w:val="20"/>
                <w:szCs w:val="20"/>
                <w:color w:val="auto"/>
              </w:rPr>
            </w:pPr>
            <w:r>
              <w:rPr>
                <w:rFonts w:ascii="Arial" w:cs="Arial" w:eastAsia="Arial" w:hAnsi="Arial"/>
                <w:sz w:val="15"/>
                <w:szCs w:val="15"/>
                <w:color w:val="auto"/>
              </w:rPr>
              <w:t>Real estate</w:t>
            </w:r>
          </w:p>
        </w:tc>
        <w:tc>
          <w:tcPr>
            <w:tcW w:w="240" w:type="dxa"/>
            <w:vAlign w:val="bottom"/>
          </w:tcPr>
          <w:p>
            <w:pPr>
              <w:spacing w:after="0"/>
              <w:rPr>
                <w:sz w:val="13"/>
                <w:szCs w:val="13"/>
                <w:color w:val="auto"/>
              </w:rPr>
            </w:pPr>
          </w:p>
        </w:tc>
        <w:tc>
          <w:tcPr>
            <w:tcW w:w="900" w:type="dxa"/>
            <w:vAlign w:val="bottom"/>
          </w:tcPr>
          <w:p>
            <w:pPr>
              <w:jc w:val="right"/>
              <w:ind w:right="29"/>
              <w:spacing w:after="0" w:line="156"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3"/>
                <w:szCs w:val="13"/>
                <w:color w:val="auto"/>
              </w:rPr>
            </w:pPr>
          </w:p>
        </w:tc>
        <w:tc>
          <w:tcPr>
            <w:tcW w:w="660" w:type="dxa"/>
            <w:vAlign w:val="bottom"/>
          </w:tcPr>
          <w:p>
            <w:pPr>
              <w:jc w:val="right"/>
              <w:spacing w:after="0" w:line="156" w:lineRule="exact"/>
              <w:rPr>
                <w:sz w:val="20"/>
                <w:szCs w:val="20"/>
                <w:color w:val="auto"/>
              </w:rPr>
            </w:pPr>
            <w:r>
              <w:rPr>
                <w:rFonts w:ascii="Arial" w:cs="Arial" w:eastAsia="Arial" w:hAnsi="Arial"/>
                <w:sz w:val="15"/>
                <w:szCs w:val="15"/>
                <w:color w:val="auto"/>
              </w:rPr>
              <w:t>–</w:t>
            </w:r>
          </w:p>
        </w:tc>
        <w:tc>
          <w:tcPr>
            <w:tcW w:w="380" w:type="dxa"/>
            <w:vAlign w:val="bottom"/>
          </w:tcPr>
          <w:p>
            <w:pPr>
              <w:spacing w:after="0"/>
              <w:rPr>
                <w:sz w:val="13"/>
                <w:szCs w:val="13"/>
                <w:color w:val="auto"/>
              </w:rPr>
            </w:pPr>
          </w:p>
        </w:tc>
        <w:tc>
          <w:tcPr>
            <w:tcW w:w="880" w:type="dxa"/>
            <w:vAlign w:val="bottom"/>
          </w:tcPr>
          <w:p>
            <w:pPr>
              <w:jc w:val="right"/>
              <w:ind w:right="28"/>
              <w:spacing w:after="0" w:line="156" w:lineRule="exact"/>
              <w:rPr>
                <w:sz w:val="20"/>
                <w:szCs w:val="20"/>
                <w:color w:val="auto"/>
              </w:rPr>
            </w:pPr>
            <w:r>
              <w:rPr>
                <w:rFonts w:ascii="Arial" w:cs="Arial" w:eastAsia="Arial" w:hAnsi="Arial"/>
                <w:sz w:val="15"/>
                <w:szCs w:val="15"/>
                <w:color w:val="auto"/>
              </w:rPr>
              <w:t>44,890</w:t>
            </w:r>
          </w:p>
        </w:tc>
        <w:tc>
          <w:tcPr>
            <w:tcW w:w="840" w:type="dxa"/>
            <w:vAlign w:val="bottom"/>
          </w:tcPr>
          <w:p>
            <w:pPr>
              <w:jc w:val="right"/>
              <w:spacing w:after="0" w:line="156" w:lineRule="exact"/>
              <w:rPr>
                <w:sz w:val="20"/>
                <w:szCs w:val="20"/>
                <w:color w:val="auto"/>
              </w:rPr>
            </w:pPr>
            <w:r>
              <w:rPr>
                <w:rFonts w:ascii="Arial" w:cs="Arial" w:eastAsia="Arial" w:hAnsi="Arial"/>
                <w:sz w:val="15"/>
                <w:szCs w:val="15"/>
                <w:color w:val="auto"/>
              </w:rPr>
              <w:t>44,890</w:t>
            </w:r>
          </w:p>
        </w:tc>
        <w:tc>
          <w:tcPr>
            <w:tcW w:w="0" w:type="dxa"/>
            <w:vAlign w:val="bottom"/>
          </w:tcPr>
          <w:p>
            <w:pPr>
              <w:spacing w:after="0"/>
              <w:rPr>
                <w:sz w:val="1"/>
                <w:szCs w:val="1"/>
                <w:color w:val="auto"/>
              </w:rPr>
            </w:pPr>
          </w:p>
        </w:tc>
      </w:tr>
      <w:tr>
        <w:trPr>
          <w:trHeight w:val="156"/>
        </w:trPr>
        <w:tc>
          <w:tcPr>
            <w:tcW w:w="138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Hedge funds</w:t>
            </w: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29"/>
              <w:spacing w:after="0" w:line="156" w:lineRule="exact"/>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28"/>
              <w:spacing w:after="0" w:line="156" w:lineRule="exact"/>
              <w:rPr>
                <w:sz w:val="20"/>
                <w:szCs w:val="20"/>
                <w:color w:val="auto"/>
              </w:rPr>
            </w:pPr>
            <w:r>
              <w:rPr>
                <w:rFonts w:ascii="Arial" w:cs="Arial" w:eastAsia="Arial" w:hAnsi="Arial"/>
                <w:sz w:val="15"/>
                <w:szCs w:val="15"/>
                <w:color w:val="auto"/>
              </w:rPr>
              <w:t>44,036</w:t>
            </w:r>
          </w:p>
        </w:tc>
        <w:tc>
          <w:tcPr>
            <w:tcW w:w="84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44,036</w:t>
            </w:r>
          </w:p>
        </w:tc>
        <w:tc>
          <w:tcPr>
            <w:tcW w:w="0" w:type="dxa"/>
            <w:vAlign w:val="bottom"/>
          </w:tcPr>
          <w:p>
            <w:pPr>
              <w:spacing w:after="0"/>
              <w:rPr>
                <w:sz w:val="1"/>
                <w:szCs w:val="1"/>
                <w:color w:val="auto"/>
              </w:rPr>
            </w:pPr>
          </w:p>
        </w:tc>
      </w:tr>
      <w:tr>
        <w:trPr>
          <w:trHeight w:val="156"/>
        </w:trPr>
        <w:tc>
          <w:tcPr>
            <w:tcW w:w="1380" w:type="dxa"/>
            <w:vAlign w:val="bottom"/>
            <w:tcBorders>
              <w:bottom w:val="single" w:sz="8" w:color="auto"/>
            </w:tcBorders>
          </w:tcPr>
          <w:p>
            <w:pPr>
              <w:spacing w:after="0" w:line="156" w:lineRule="exact"/>
              <w:rPr>
                <w:sz w:val="20"/>
                <w:szCs w:val="20"/>
                <w:color w:val="auto"/>
              </w:rPr>
            </w:pPr>
            <w:r>
              <w:rPr>
                <w:rFonts w:ascii="Arial" w:cs="Arial" w:eastAsia="Arial" w:hAnsi="Arial"/>
                <w:sz w:val="15"/>
                <w:szCs w:val="15"/>
                <w:color w:val="auto"/>
              </w:rPr>
              <w:t>Cash</w:t>
            </w: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9"/>
              <w:spacing w:after="0" w:line="156" w:lineRule="exact"/>
              <w:rPr>
                <w:sz w:val="20"/>
                <w:szCs w:val="20"/>
                <w:color w:val="auto"/>
              </w:rPr>
            </w:pPr>
            <w:r>
              <w:rPr>
                <w:rFonts w:ascii="Arial" w:cs="Arial" w:eastAsia="Arial" w:hAnsi="Arial"/>
                <w:sz w:val="15"/>
                <w:szCs w:val="15"/>
                <w:color w:val="auto"/>
              </w:rPr>
              <w:t>145</w:t>
            </w: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w:t>
            </w:r>
          </w:p>
        </w:tc>
        <w:tc>
          <w:tcPr>
            <w:tcW w:w="3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8"/>
              <w:spacing w:after="0" w:line="156"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145</w:t>
            </w:r>
          </w:p>
        </w:tc>
        <w:tc>
          <w:tcPr>
            <w:tcW w:w="0" w:type="dxa"/>
            <w:vAlign w:val="bottom"/>
          </w:tcPr>
          <w:p>
            <w:pPr>
              <w:spacing w:after="0"/>
              <w:rPr>
                <w:sz w:val="1"/>
                <w:szCs w:val="1"/>
                <w:color w:val="auto"/>
              </w:rPr>
            </w:pPr>
          </w:p>
        </w:tc>
      </w:tr>
      <w:tr>
        <w:trPr>
          <w:trHeight w:val="155"/>
        </w:trPr>
        <w:tc>
          <w:tcPr>
            <w:tcW w:w="138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5"/>
                <w:szCs w:val="15"/>
                <w:color w:val="auto"/>
              </w:rPr>
              <w:t>Total</w:t>
            </w:r>
          </w:p>
        </w:tc>
        <w:tc>
          <w:tcPr>
            <w:tcW w:w="240" w:type="dxa"/>
            <w:vAlign w:val="bottom"/>
            <w:tcBorders>
              <w:bottom w:val="single" w:sz="8" w:color="auto"/>
            </w:tcBorders>
            <w:shd w:val="clear" w:color="auto" w:fill="CCEEFF"/>
          </w:tcPr>
          <w:p>
            <w:pPr>
              <w:ind w:left="160"/>
              <w:spacing w:after="0" w:line="149" w:lineRule="exact"/>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ind w:right="29"/>
              <w:spacing w:after="0" w:line="149" w:lineRule="exact"/>
              <w:rPr>
                <w:sz w:val="20"/>
                <w:szCs w:val="20"/>
                <w:color w:val="auto"/>
              </w:rPr>
            </w:pPr>
            <w:r>
              <w:rPr>
                <w:rFonts w:ascii="Arial" w:cs="Arial" w:eastAsia="Arial" w:hAnsi="Arial"/>
                <w:sz w:val="15"/>
                <w:szCs w:val="15"/>
                <w:color w:val="auto"/>
              </w:rPr>
              <w:t>145</w:t>
            </w:r>
          </w:p>
        </w:tc>
        <w:tc>
          <w:tcPr>
            <w:tcW w:w="200" w:type="dxa"/>
            <w:vAlign w:val="bottom"/>
            <w:tcBorders>
              <w:bottom w:val="single" w:sz="8" w:color="auto"/>
            </w:tcBorders>
            <w:shd w:val="clear" w:color="auto" w:fill="CCEEFF"/>
          </w:tcPr>
          <w:p>
            <w:pPr>
              <w:ind w:left="100"/>
              <w:spacing w:after="0" w:line="149" w:lineRule="exact"/>
              <w:rPr>
                <w:sz w:val="20"/>
                <w:szCs w:val="20"/>
                <w:color w:val="auto"/>
              </w:rPr>
            </w:pPr>
            <w:r>
              <w:rPr>
                <w:rFonts w:ascii="Arial" w:cs="Arial" w:eastAsia="Arial" w:hAnsi="Arial"/>
                <w:sz w:val="15"/>
                <w:szCs w:val="15"/>
                <w:color w:val="auto"/>
                <w:w w:val="95"/>
              </w:rPr>
              <w:t>$</w:t>
            </w: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507,136</w:t>
            </w:r>
          </w:p>
        </w:tc>
        <w:tc>
          <w:tcPr>
            <w:tcW w:w="380" w:type="dxa"/>
            <w:vAlign w:val="bottom"/>
            <w:tcBorders>
              <w:bottom w:val="single" w:sz="8" w:color="auto"/>
            </w:tcBorders>
            <w:shd w:val="clear" w:color="auto" w:fill="CCEEFF"/>
          </w:tcPr>
          <w:p>
            <w:pPr>
              <w:ind w:left="280"/>
              <w:spacing w:after="0" w:line="149" w:lineRule="exact"/>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5"/>
                <w:szCs w:val="15"/>
                <w:color w:val="auto"/>
              </w:rPr>
              <w:t>88,926</w:t>
            </w: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$ 596,207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Real estate investments are stated at estimated fair value, which is the price that would be received to sell an asset or paid to transfer a liability in an orderly transaction between market participants at the measurement date. The fair values of real estate investments generally do not reflect transaction costs which may be incurred upon disposition of the real estate investments and do not necessarily represent the prices at which the real estate investments would be sold or repaid, since market prices of real estate investments can only be determined by negotiation between a willing buyer and seller. An independent valuation consultant is employed to determine the fair value of the real estate investments. The value of hedge funds is based on the values of the sub-fund investments. 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determining the fair value of each sub-fund’s investment, the hedge funds’ Board of Trustees uses the values provided by the sub-funds and any other considerations that may, in its judgment, increase or decrease such estimated value.</w:t>
      </w:r>
    </w:p>
    <w:p>
      <w:pPr>
        <w:spacing w:after="0" w:line="19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change in the fair value of pension plan assets valued using significant unobservable inputs (Level 3) is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jc w:val="right"/>
              <w:ind w:right="107"/>
              <w:spacing w:after="0"/>
              <w:rPr>
                <w:sz w:val="20"/>
                <w:szCs w:val="20"/>
                <w:color w:val="auto"/>
              </w:rPr>
            </w:pPr>
            <w:r>
              <w:rPr>
                <w:rFonts w:ascii="Arial" w:cs="Arial" w:eastAsia="Arial" w:hAnsi="Arial"/>
                <w:sz w:val="14"/>
                <w:szCs w:val="14"/>
                <w:b w:val="1"/>
                <w:bCs w:val="1"/>
                <w:color w:val="auto"/>
              </w:rPr>
              <w:t>Real</w:t>
            </w:r>
          </w:p>
        </w:tc>
        <w:tc>
          <w:tcPr>
            <w:tcW w:w="480" w:type="dxa"/>
            <w:vAlign w:val="bottom"/>
          </w:tcPr>
          <w:p>
            <w:pPr>
              <w:spacing w:after="0"/>
              <w:rPr>
                <w:sz w:val="14"/>
                <w:szCs w:val="14"/>
                <w:color w:val="auto"/>
              </w:rPr>
            </w:pPr>
          </w:p>
        </w:tc>
        <w:tc>
          <w:tcPr>
            <w:tcW w:w="580" w:type="dxa"/>
            <w:vAlign w:val="bottom"/>
          </w:tcPr>
          <w:p>
            <w:pPr>
              <w:jc w:val="right"/>
              <w:ind w:right="67"/>
              <w:spacing w:after="0"/>
              <w:rPr>
                <w:sz w:val="20"/>
                <w:szCs w:val="20"/>
                <w:color w:val="auto"/>
              </w:rPr>
            </w:pPr>
            <w:r>
              <w:rPr>
                <w:rFonts w:ascii="Arial" w:cs="Arial" w:eastAsia="Arial" w:hAnsi="Arial"/>
                <w:sz w:val="14"/>
                <w:szCs w:val="14"/>
                <w:b w:val="1"/>
                <w:bCs w:val="1"/>
                <w:color w:val="auto"/>
                <w:w w:val="98"/>
              </w:rPr>
              <w:t>Hedge</w:t>
            </w:r>
          </w:p>
        </w:tc>
      </w:tr>
      <w:tr>
        <w:trPr>
          <w:trHeight w:val="164"/>
        </w:trPr>
        <w:tc>
          <w:tcPr>
            <w:tcW w:w="3500" w:type="dxa"/>
            <w:vAlign w:val="bottom"/>
          </w:tcPr>
          <w:p>
            <w:pPr>
              <w:spacing w:after="0"/>
              <w:rPr>
                <w:sz w:val="20"/>
                <w:szCs w:val="20"/>
                <w:color w:val="auto"/>
              </w:rPr>
            </w:pPr>
            <w:r>
              <w:rPr>
                <w:rFonts w:ascii="Arial" w:cs="Arial" w:eastAsia="Arial" w:hAnsi="Arial"/>
                <w:sz w:val="14"/>
                <w:szCs w:val="14"/>
                <w:i w:val="1"/>
                <w:iCs w:val="1"/>
                <w:color w:val="auto"/>
              </w:rPr>
              <w:t>years ended December 31</w:t>
            </w:r>
          </w:p>
        </w:tc>
        <w:tc>
          <w:tcPr>
            <w:tcW w:w="4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b w:val="1"/>
                <w:bCs w:val="1"/>
                <w:color w:val="auto"/>
                <w:w w:val="95"/>
              </w:rPr>
              <w:t>Estate</w:t>
            </w:r>
          </w:p>
        </w:tc>
        <w:tc>
          <w:tcPr>
            <w:tcW w:w="4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87"/>
              <w:spacing w:after="0"/>
              <w:rPr>
                <w:sz w:val="20"/>
                <w:szCs w:val="20"/>
                <w:color w:val="auto"/>
              </w:rPr>
            </w:pPr>
            <w:r>
              <w:rPr>
                <w:rFonts w:ascii="Arial" w:cs="Arial" w:eastAsia="Arial" w:hAnsi="Arial"/>
                <w:sz w:val="14"/>
                <w:szCs w:val="14"/>
                <w:b w:val="1"/>
                <w:bCs w:val="1"/>
                <w:color w:val="auto"/>
                <w:w w:val="95"/>
              </w:rPr>
              <w:t>Funds</w:t>
            </w:r>
          </w:p>
        </w:tc>
      </w:tr>
      <w:tr>
        <w:trPr>
          <w:trHeight w:val="152"/>
        </w:trPr>
        <w:tc>
          <w:tcPr>
            <w:tcW w:w="3500" w:type="dxa"/>
            <w:vAlign w:val="bottom"/>
            <w:tcBorders>
              <w:bottom w:val="single" w:sz="8" w:color="auto"/>
            </w:tcBorders>
          </w:tcPr>
          <w:p>
            <w:pPr>
              <w:spacing w:after="0" w:line="152" w:lineRule="exact"/>
              <w:rPr>
                <w:sz w:val="20"/>
                <w:szCs w:val="20"/>
                <w:color w:val="auto"/>
              </w:rPr>
            </w:pPr>
            <w:r>
              <w:rPr>
                <w:rFonts w:ascii="Arial" w:cs="Arial" w:eastAsia="Arial" w:hAnsi="Arial"/>
                <w:sz w:val="15"/>
                <w:szCs w:val="15"/>
                <w:color w:val="auto"/>
              </w:rPr>
              <w:t>(add 000)</w:t>
            </w:r>
          </w:p>
        </w:tc>
        <w:tc>
          <w:tcPr>
            <w:tcW w:w="4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46"/>
              <w:spacing w:after="0" w:line="152" w:lineRule="exact"/>
              <w:rPr>
                <w:sz w:val="20"/>
                <w:szCs w:val="20"/>
                <w:color w:val="auto"/>
              </w:rPr>
            </w:pPr>
            <w:r>
              <w:rPr>
                <w:rFonts w:ascii="Arial" w:cs="Arial" w:eastAsia="Arial" w:hAnsi="Arial"/>
                <w:sz w:val="15"/>
                <w:szCs w:val="15"/>
                <w:b w:val="1"/>
                <w:bCs w:val="1"/>
                <w:color w:val="0085CD"/>
              </w:rPr>
              <w:t>2017</w:t>
            </w:r>
          </w:p>
        </w:tc>
        <w:tc>
          <w:tcPr>
            <w:tcW w:w="580" w:type="dxa"/>
            <w:vAlign w:val="bottom"/>
            <w:tcBorders>
              <w:bottom w:val="single" w:sz="8" w:color="auto"/>
            </w:tcBorders>
          </w:tcPr>
          <w:p>
            <w:pPr>
              <w:spacing w:after="0"/>
              <w:rPr>
                <w:sz w:val="13"/>
                <w:szCs w:val="13"/>
                <w:color w:val="auto"/>
              </w:rPr>
            </w:pPr>
          </w:p>
        </w:tc>
      </w:tr>
      <w:tr>
        <w:trPr>
          <w:trHeight w:val="149"/>
        </w:trPr>
        <w:tc>
          <w:tcPr>
            <w:tcW w:w="350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Balance at beginning of year</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b w:val="1"/>
                <w:bCs w:val="1"/>
                <w:color w:val="auto"/>
              </w:rPr>
              <w:t>44,890</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b w:val="1"/>
                <w:bCs w:val="1"/>
                <w:color w:val="auto"/>
              </w:rPr>
              <w:t>44,036</w:t>
            </w:r>
          </w:p>
        </w:tc>
      </w:tr>
      <w:tr>
        <w:trPr>
          <w:trHeight w:val="156"/>
        </w:trPr>
        <w:tc>
          <w:tcPr>
            <w:tcW w:w="3500" w:type="dxa"/>
            <w:vAlign w:val="bottom"/>
          </w:tcPr>
          <w:p>
            <w:pPr>
              <w:spacing w:after="0" w:line="156" w:lineRule="exact"/>
              <w:rPr>
                <w:sz w:val="20"/>
                <w:szCs w:val="20"/>
                <w:color w:val="auto"/>
              </w:rPr>
            </w:pPr>
            <w:r>
              <w:rPr>
                <w:rFonts w:ascii="Arial" w:cs="Arial" w:eastAsia="Arial" w:hAnsi="Arial"/>
                <w:sz w:val="15"/>
                <w:szCs w:val="15"/>
                <w:color w:val="auto"/>
              </w:rPr>
              <w:t>Purchases, sales, settlements, net</w:t>
            </w:r>
          </w:p>
        </w:tc>
        <w:tc>
          <w:tcPr>
            <w:tcW w:w="480" w:type="dxa"/>
            <w:vAlign w:val="bottom"/>
          </w:tcPr>
          <w:p>
            <w:pPr>
              <w:spacing w:after="0"/>
              <w:rPr>
                <w:sz w:val="13"/>
                <w:szCs w:val="13"/>
                <w:color w:val="auto"/>
              </w:rPr>
            </w:pPr>
          </w:p>
        </w:tc>
        <w:tc>
          <w:tcPr>
            <w:tcW w:w="1020" w:type="dxa"/>
            <w:vAlign w:val="bottom"/>
            <w:gridSpan w:val="2"/>
          </w:tcPr>
          <w:p>
            <w:pPr>
              <w:jc w:val="right"/>
              <w:ind w:right="366"/>
              <w:spacing w:after="0" w:line="156" w:lineRule="exact"/>
              <w:rPr>
                <w:sz w:val="20"/>
                <w:szCs w:val="20"/>
                <w:color w:val="auto"/>
              </w:rPr>
            </w:pPr>
            <w:r>
              <w:rPr>
                <w:rFonts w:ascii="Arial" w:cs="Arial" w:eastAsia="Arial" w:hAnsi="Arial"/>
                <w:sz w:val="15"/>
                <w:szCs w:val="15"/>
                <w:b w:val="1"/>
                <w:bCs w:val="1"/>
                <w:color w:val="auto"/>
              </w:rPr>
              <w:t>(83)</w:t>
            </w:r>
          </w:p>
        </w:tc>
        <w:tc>
          <w:tcPr>
            <w:tcW w:w="580" w:type="dxa"/>
            <w:vAlign w:val="bottom"/>
          </w:tcPr>
          <w:p>
            <w:pPr>
              <w:jc w:val="right"/>
              <w:spacing w:after="0" w:line="156" w:lineRule="exact"/>
              <w:rPr>
                <w:sz w:val="20"/>
                <w:szCs w:val="20"/>
                <w:color w:val="auto"/>
              </w:rPr>
            </w:pPr>
            <w:r>
              <w:rPr>
                <w:rFonts w:ascii="Arial" w:cs="Arial" w:eastAsia="Arial" w:hAnsi="Arial"/>
                <w:sz w:val="15"/>
                <w:szCs w:val="15"/>
                <w:b w:val="1"/>
                <w:bCs w:val="1"/>
                <w:color w:val="auto"/>
              </w:rPr>
              <w:t>–</w:t>
            </w:r>
          </w:p>
        </w:tc>
      </w:tr>
      <w:tr>
        <w:trPr>
          <w:trHeight w:val="156"/>
        </w:trPr>
        <w:tc>
          <w:tcPr>
            <w:tcW w:w="350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Actual return on plan assets held at period end</w:t>
            </w:r>
          </w:p>
        </w:tc>
        <w:tc>
          <w:tcPr>
            <w:tcW w:w="48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rPr>
              <w:t>1,660</w:t>
            </w:r>
          </w:p>
        </w:tc>
        <w:tc>
          <w:tcPr>
            <w:tcW w:w="48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rPr>
              <w:t>1,568</w:t>
            </w:r>
          </w:p>
        </w:tc>
      </w:tr>
      <w:tr>
        <w:trPr>
          <w:trHeight w:val="155"/>
        </w:trPr>
        <w:tc>
          <w:tcPr>
            <w:tcW w:w="3500" w:type="dxa"/>
            <w:vAlign w:val="bottom"/>
            <w:tcBorders>
              <w:bottom w:val="single" w:sz="8" w:color="auto"/>
            </w:tcBorders>
          </w:tcPr>
          <w:p>
            <w:pPr>
              <w:spacing w:after="0" w:line="149" w:lineRule="exact"/>
              <w:rPr>
                <w:sz w:val="20"/>
                <w:szCs w:val="20"/>
                <w:color w:val="auto"/>
              </w:rPr>
            </w:pPr>
            <w:r>
              <w:rPr>
                <w:rFonts w:ascii="Arial" w:cs="Arial" w:eastAsia="Arial" w:hAnsi="Arial"/>
                <w:sz w:val="15"/>
                <w:szCs w:val="15"/>
                <w:color w:val="auto"/>
              </w:rPr>
              <w:t>Balance at end of year</w:t>
            </w: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b w:val="1"/>
                <w:bCs w:val="1"/>
                <w:color w:val="auto"/>
              </w:rPr>
              <w:t>46,467</w:t>
            </w: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b w:val="1"/>
                <w:bCs w:val="1"/>
                <w:color w:val="auto"/>
              </w:rPr>
              <w:t>45,604</w:t>
            </w:r>
          </w:p>
        </w:tc>
      </w:tr>
      <w:tr>
        <w:trPr>
          <w:trHeight w:val="247"/>
        </w:trPr>
        <w:tc>
          <w:tcPr>
            <w:tcW w:w="35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2016</w:t>
            </w:r>
          </w:p>
        </w:tc>
        <w:tc>
          <w:tcPr>
            <w:tcW w:w="580" w:type="dxa"/>
            <w:vAlign w:val="bottom"/>
            <w:tcBorders>
              <w:bottom w:val="single" w:sz="8" w:color="auto"/>
            </w:tcBorders>
          </w:tcPr>
          <w:p>
            <w:pPr>
              <w:spacing w:after="0"/>
              <w:rPr>
                <w:sz w:val="21"/>
                <w:szCs w:val="21"/>
                <w:color w:val="auto"/>
              </w:rPr>
            </w:pPr>
          </w:p>
        </w:tc>
      </w:tr>
      <w:tr>
        <w:trPr>
          <w:trHeight w:val="149"/>
        </w:trPr>
        <w:tc>
          <w:tcPr>
            <w:tcW w:w="350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Balance at beginning of year</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23,242</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39,219</w:t>
            </w:r>
          </w:p>
        </w:tc>
      </w:tr>
      <w:tr>
        <w:trPr>
          <w:trHeight w:val="156"/>
        </w:trPr>
        <w:tc>
          <w:tcPr>
            <w:tcW w:w="3500" w:type="dxa"/>
            <w:vAlign w:val="bottom"/>
          </w:tcPr>
          <w:p>
            <w:pPr>
              <w:spacing w:after="0" w:line="156" w:lineRule="exact"/>
              <w:rPr>
                <w:sz w:val="20"/>
                <w:szCs w:val="20"/>
                <w:color w:val="auto"/>
              </w:rPr>
            </w:pPr>
            <w:r>
              <w:rPr>
                <w:rFonts w:ascii="Arial" w:cs="Arial" w:eastAsia="Arial" w:hAnsi="Arial"/>
                <w:sz w:val="15"/>
                <w:szCs w:val="15"/>
                <w:color w:val="auto"/>
              </w:rPr>
              <w:t>Purchases, sales, settlements, net</w:t>
            </w:r>
          </w:p>
        </w:tc>
        <w:tc>
          <w:tcPr>
            <w:tcW w:w="480" w:type="dxa"/>
            <w:vAlign w:val="bottom"/>
          </w:tcPr>
          <w:p>
            <w:pPr>
              <w:spacing w:after="0"/>
              <w:rPr>
                <w:sz w:val="13"/>
                <w:szCs w:val="13"/>
                <w:color w:val="auto"/>
              </w:rPr>
            </w:pPr>
          </w:p>
        </w:tc>
        <w:tc>
          <w:tcPr>
            <w:tcW w:w="540" w:type="dxa"/>
            <w:vAlign w:val="bottom"/>
          </w:tcPr>
          <w:p>
            <w:pPr>
              <w:jc w:val="right"/>
              <w:spacing w:after="0" w:line="156" w:lineRule="exact"/>
              <w:rPr>
                <w:sz w:val="20"/>
                <w:szCs w:val="20"/>
                <w:color w:val="auto"/>
              </w:rPr>
            </w:pPr>
            <w:r>
              <w:rPr>
                <w:rFonts w:ascii="Arial" w:cs="Arial" w:eastAsia="Arial" w:hAnsi="Arial"/>
                <w:sz w:val="15"/>
                <w:szCs w:val="15"/>
                <w:color w:val="auto"/>
              </w:rPr>
              <w:t>18,579</w:t>
            </w:r>
          </w:p>
        </w:tc>
        <w:tc>
          <w:tcPr>
            <w:tcW w:w="480" w:type="dxa"/>
            <w:vAlign w:val="bottom"/>
          </w:tcPr>
          <w:p>
            <w:pPr>
              <w:spacing w:after="0"/>
              <w:rPr>
                <w:sz w:val="13"/>
                <w:szCs w:val="13"/>
                <w:color w:val="auto"/>
              </w:rPr>
            </w:pPr>
          </w:p>
        </w:tc>
        <w:tc>
          <w:tcPr>
            <w:tcW w:w="580" w:type="dxa"/>
            <w:vAlign w:val="bottom"/>
          </w:tcPr>
          <w:p>
            <w:pPr>
              <w:jc w:val="right"/>
              <w:spacing w:after="0" w:line="156" w:lineRule="exact"/>
              <w:rPr>
                <w:sz w:val="20"/>
                <w:szCs w:val="20"/>
                <w:color w:val="auto"/>
              </w:rPr>
            </w:pPr>
            <w:r>
              <w:rPr>
                <w:rFonts w:ascii="Arial" w:cs="Arial" w:eastAsia="Arial" w:hAnsi="Arial"/>
                <w:sz w:val="15"/>
                <w:szCs w:val="15"/>
                <w:color w:val="auto"/>
              </w:rPr>
              <w:t>3,100</w:t>
            </w:r>
          </w:p>
        </w:tc>
      </w:tr>
      <w:tr>
        <w:trPr>
          <w:trHeight w:val="156"/>
        </w:trPr>
        <w:tc>
          <w:tcPr>
            <w:tcW w:w="350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Actual return on plan assets held at period end</w:t>
            </w:r>
          </w:p>
        </w:tc>
        <w:tc>
          <w:tcPr>
            <w:tcW w:w="48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3,069</w:t>
            </w:r>
          </w:p>
        </w:tc>
        <w:tc>
          <w:tcPr>
            <w:tcW w:w="48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1,717</w:t>
            </w:r>
          </w:p>
        </w:tc>
      </w:tr>
      <w:tr>
        <w:trPr>
          <w:trHeight w:val="155"/>
        </w:trPr>
        <w:tc>
          <w:tcPr>
            <w:tcW w:w="3500" w:type="dxa"/>
            <w:vAlign w:val="bottom"/>
            <w:tcBorders>
              <w:bottom w:val="single" w:sz="8" w:color="auto"/>
            </w:tcBorders>
          </w:tcPr>
          <w:p>
            <w:pPr>
              <w:spacing w:after="0" w:line="149" w:lineRule="exact"/>
              <w:rPr>
                <w:sz w:val="20"/>
                <w:szCs w:val="20"/>
                <w:color w:val="auto"/>
              </w:rPr>
            </w:pPr>
            <w:r>
              <w:rPr>
                <w:rFonts w:ascii="Arial" w:cs="Arial" w:eastAsia="Arial" w:hAnsi="Arial"/>
                <w:sz w:val="15"/>
                <w:szCs w:val="15"/>
                <w:color w:val="auto"/>
              </w:rPr>
              <w:t>Balance at end of year</w:t>
            </w: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color w:val="auto"/>
              </w:rPr>
              <w:t>44,890</w:t>
            </w: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color w:val="auto"/>
              </w:rPr>
              <w:t>$</w:t>
            </w: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color w:val="auto"/>
              </w:rPr>
              <w:t>44,036</w:t>
            </w:r>
          </w:p>
        </w:tc>
      </w:tr>
    </w:tbl>
    <w:p>
      <w:pPr>
        <w:spacing w:after="0" w:line="202"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In 2017 and 2016, the Company made combined pension plan and SERP contributions of $30,903,000 and $44,763,000, respectively. The Company currently estimates that it will contribute $37,400,000 to its pension and SERP plans in 2018.</w:t>
      </w:r>
    </w:p>
    <w:p>
      <w:pPr>
        <w:spacing w:after="0" w:line="19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expected benefit payments to be paid from plan assets for each of the next five years and the five-year period thereafter are as follows:</w:t>
      </w:r>
    </w:p>
    <w:p>
      <w:pPr>
        <w:spacing w:after="0" w:line="81" w:lineRule="exact"/>
        <w:rPr>
          <w:sz w:val="20"/>
          <w:szCs w:val="20"/>
          <w:color w:val="auto"/>
        </w:rPr>
      </w:pPr>
    </w:p>
    <w:p>
      <w:pPr>
        <w:spacing w:after="0"/>
        <w:rPr>
          <w:sz w:val="20"/>
          <w:szCs w:val="20"/>
          <w:color w:val="auto"/>
        </w:rPr>
      </w:pPr>
      <w:r>
        <w:rPr>
          <w:rFonts w:ascii="Arial" w:cs="Arial" w:eastAsia="Arial" w:hAnsi="Arial"/>
          <w:sz w:val="15"/>
          <w:szCs w:val="15"/>
          <w:color w:val="auto"/>
        </w:rPr>
        <w:t>(add 000)</w:t>
      </w:r>
    </w:p>
    <w:tbl>
      <w:tblPr>
        <w:tblLayout w:type="fixed"/>
        <w:tblInd w:w="0" w:type="dxa"/>
        <w:tblCellMar>
          <w:top w:w="0" w:type="dxa"/>
          <w:left w:w="0" w:type="dxa"/>
          <w:bottom w:w="0" w:type="dxa"/>
          <w:right w:w="0" w:type="dxa"/>
        </w:tblCellMar>
      </w:tblPr>
      <w:tr>
        <w:trPr>
          <w:trHeight w:val="149"/>
        </w:trPr>
        <w:tc>
          <w:tcPr>
            <w:tcW w:w="300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5"/>
                <w:szCs w:val="15"/>
                <w:color w:val="auto"/>
              </w:rPr>
              <w:t>2018</w:t>
            </w:r>
          </w:p>
        </w:tc>
        <w:tc>
          <w:tcPr>
            <w:tcW w:w="19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6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43,090</w:t>
            </w:r>
          </w:p>
        </w:tc>
      </w:tr>
      <w:tr>
        <w:trPr>
          <w:trHeight w:val="156"/>
        </w:trPr>
        <w:tc>
          <w:tcPr>
            <w:tcW w:w="3000" w:type="dxa"/>
            <w:vAlign w:val="bottom"/>
          </w:tcPr>
          <w:p>
            <w:pPr>
              <w:spacing w:after="0" w:line="156" w:lineRule="exact"/>
              <w:rPr>
                <w:sz w:val="20"/>
                <w:szCs w:val="20"/>
                <w:color w:val="auto"/>
              </w:rPr>
            </w:pPr>
            <w:r>
              <w:rPr>
                <w:rFonts w:ascii="Arial" w:cs="Arial" w:eastAsia="Arial" w:hAnsi="Arial"/>
                <w:sz w:val="15"/>
                <w:szCs w:val="15"/>
                <w:color w:val="auto"/>
              </w:rPr>
              <w:t>2019</w:t>
            </w:r>
          </w:p>
        </w:tc>
        <w:tc>
          <w:tcPr>
            <w:tcW w:w="1940" w:type="dxa"/>
            <w:vAlign w:val="bottom"/>
          </w:tcPr>
          <w:p>
            <w:pPr>
              <w:jc w:val="right"/>
              <w:spacing w:after="0" w:line="156" w:lineRule="exact"/>
              <w:rPr>
                <w:sz w:val="20"/>
                <w:szCs w:val="20"/>
                <w:color w:val="auto"/>
              </w:rPr>
            </w:pPr>
            <w:r>
              <w:rPr>
                <w:rFonts w:ascii="Arial" w:cs="Arial" w:eastAsia="Arial" w:hAnsi="Arial"/>
                <w:sz w:val="15"/>
                <w:szCs w:val="15"/>
                <w:color w:val="auto"/>
              </w:rPr>
              <w:t>$</w:t>
            </w:r>
          </w:p>
        </w:tc>
        <w:tc>
          <w:tcPr>
            <w:tcW w:w="640" w:type="dxa"/>
            <w:vAlign w:val="bottom"/>
          </w:tcPr>
          <w:p>
            <w:pPr>
              <w:jc w:val="right"/>
              <w:spacing w:after="0" w:line="156" w:lineRule="exact"/>
              <w:rPr>
                <w:sz w:val="20"/>
                <w:szCs w:val="20"/>
                <w:color w:val="auto"/>
              </w:rPr>
            </w:pPr>
            <w:r>
              <w:rPr>
                <w:rFonts w:ascii="Arial" w:cs="Arial" w:eastAsia="Arial" w:hAnsi="Arial"/>
                <w:sz w:val="15"/>
                <w:szCs w:val="15"/>
                <w:color w:val="auto"/>
              </w:rPr>
              <w:t>40,894</w:t>
            </w:r>
          </w:p>
        </w:tc>
      </w:tr>
      <w:tr>
        <w:trPr>
          <w:trHeight w:val="156"/>
        </w:trPr>
        <w:tc>
          <w:tcPr>
            <w:tcW w:w="300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2020</w:t>
            </w:r>
          </w:p>
        </w:tc>
        <w:tc>
          <w:tcPr>
            <w:tcW w:w="194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43,143</w:t>
            </w:r>
          </w:p>
        </w:tc>
      </w:tr>
      <w:tr>
        <w:trPr>
          <w:trHeight w:val="156"/>
        </w:trPr>
        <w:tc>
          <w:tcPr>
            <w:tcW w:w="3000" w:type="dxa"/>
            <w:vAlign w:val="bottom"/>
          </w:tcPr>
          <w:p>
            <w:pPr>
              <w:spacing w:after="0" w:line="156" w:lineRule="exact"/>
              <w:rPr>
                <w:sz w:val="20"/>
                <w:szCs w:val="20"/>
                <w:color w:val="auto"/>
              </w:rPr>
            </w:pPr>
            <w:r>
              <w:rPr>
                <w:rFonts w:ascii="Arial" w:cs="Arial" w:eastAsia="Arial" w:hAnsi="Arial"/>
                <w:sz w:val="15"/>
                <w:szCs w:val="15"/>
                <w:color w:val="auto"/>
              </w:rPr>
              <w:t>2021</w:t>
            </w:r>
          </w:p>
        </w:tc>
        <w:tc>
          <w:tcPr>
            <w:tcW w:w="1940" w:type="dxa"/>
            <w:vAlign w:val="bottom"/>
          </w:tcPr>
          <w:p>
            <w:pPr>
              <w:jc w:val="right"/>
              <w:spacing w:after="0" w:line="156" w:lineRule="exact"/>
              <w:rPr>
                <w:sz w:val="20"/>
                <w:szCs w:val="20"/>
                <w:color w:val="auto"/>
              </w:rPr>
            </w:pPr>
            <w:r>
              <w:rPr>
                <w:rFonts w:ascii="Arial" w:cs="Arial" w:eastAsia="Arial" w:hAnsi="Arial"/>
                <w:sz w:val="15"/>
                <w:szCs w:val="15"/>
                <w:color w:val="auto"/>
              </w:rPr>
              <w:t>$</w:t>
            </w:r>
          </w:p>
        </w:tc>
        <w:tc>
          <w:tcPr>
            <w:tcW w:w="640" w:type="dxa"/>
            <w:vAlign w:val="bottom"/>
          </w:tcPr>
          <w:p>
            <w:pPr>
              <w:jc w:val="right"/>
              <w:spacing w:after="0" w:line="156" w:lineRule="exact"/>
              <w:rPr>
                <w:sz w:val="20"/>
                <w:szCs w:val="20"/>
                <w:color w:val="auto"/>
              </w:rPr>
            </w:pPr>
            <w:r>
              <w:rPr>
                <w:rFonts w:ascii="Arial" w:cs="Arial" w:eastAsia="Arial" w:hAnsi="Arial"/>
                <w:sz w:val="15"/>
                <w:szCs w:val="15"/>
                <w:color w:val="auto"/>
              </w:rPr>
              <w:t>44,568</w:t>
            </w:r>
          </w:p>
        </w:tc>
      </w:tr>
      <w:tr>
        <w:trPr>
          <w:trHeight w:val="156"/>
        </w:trPr>
        <w:tc>
          <w:tcPr>
            <w:tcW w:w="300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2022</w:t>
            </w:r>
          </w:p>
        </w:tc>
        <w:tc>
          <w:tcPr>
            <w:tcW w:w="194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46,359</w:t>
            </w:r>
          </w:p>
        </w:tc>
      </w:tr>
      <w:tr>
        <w:trPr>
          <w:trHeight w:val="177"/>
        </w:trPr>
        <w:tc>
          <w:tcPr>
            <w:tcW w:w="3000" w:type="dxa"/>
            <w:vAlign w:val="bottom"/>
          </w:tcPr>
          <w:p>
            <w:pPr>
              <w:spacing w:after="0"/>
              <w:rPr>
                <w:sz w:val="20"/>
                <w:szCs w:val="20"/>
                <w:color w:val="auto"/>
              </w:rPr>
            </w:pPr>
            <w:r>
              <w:rPr>
                <w:rFonts w:ascii="Arial" w:cs="Arial" w:eastAsia="Arial" w:hAnsi="Arial"/>
                <w:sz w:val="15"/>
                <w:szCs w:val="15"/>
                <w:color w:val="auto"/>
              </w:rPr>
              <w:t>Years 2023 - 2027</w:t>
            </w:r>
          </w:p>
        </w:tc>
        <w:tc>
          <w:tcPr>
            <w:tcW w:w="1940" w:type="dxa"/>
            <w:vAlign w:val="bottom"/>
          </w:tcPr>
          <w:p>
            <w:pPr>
              <w:jc w:val="right"/>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261,475</w:t>
            </w:r>
          </w:p>
        </w:tc>
      </w:tr>
    </w:tbl>
    <w:p>
      <w:pPr>
        <w:spacing w:after="0" w:line="160" w:lineRule="exact"/>
        <w:rPr>
          <w:sz w:val="20"/>
          <w:szCs w:val="20"/>
          <w:color w:val="auto"/>
        </w:rPr>
      </w:pPr>
    </w:p>
    <w:p>
      <w:pPr>
        <w:jc w:val="both"/>
        <w:spacing w:after="0" w:line="279" w:lineRule="auto"/>
        <w:rPr>
          <w:sz w:val="20"/>
          <w:szCs w:val="20"/>
          <w:color w:val="auto"/>
        </w:rPr>
      </w:pPr>
      <w:r>
        <w:rPr>
          <w:rFonts w:ascii="Arial" w:cs="Arial" w:eastAsia="Arial" w:hAnsi="Arial"/>
          <w:sz w:val="16"/>
          <w:szCs w:val="16"/>
          <w:b w:val="1"/>
          <w:bCs w:val="1"/>
          <w:i w:val="1"/>
          <w:iCs w:val="1"/>
          <w:color w:val="49B28F"/>
        </w:rPr>
        <w:t xml:space="preserve">Postretirement Benefits. </w:t>
      </w:r>
      <w:r>
        <w:rPr>
          <w:rFonts w:ascii="Arial" w:cs="Arial" w:eastAsia="Arial" w:hAnsi="Arial"/>
          <w:sz w:val="16"/>
          <w:szCs w:val="16"/>
          <w:color w:val="000000"/>
        </w:rPr>
        <w:t>The net periodic postretirement benefit credit cost</w:t>
      </w:r>
      <w:r>
        <w:rPr>
          <w:rFonts w:ascii="Arial" w:cs="Arial" w:eastAsia="Arial" w:hAnsi="Arial"/>
          <w:sz w:val="16"/>
          <w:szCs w:val="16"/>
          <w:b w:val="1"/>
          <w:bCs w:val="1"/>
          <w:i w:val="1"/>
          <w:iCs w:val="1"/>
          <w:color w:val="49B28F"/>
        </w:rPr>
        <w:t xml:space="preserve"> </w:t>
      </w:r>
      <w:r>
        <w:rPr>
          <w:rFonts w:ascii="Arial" w:cs="Arial" w:eastAsia="Arial" w:hAnsi="Arial"/>
          <w:sz w:val="16"/>
          <w:szCs w:val="16"/>
          <w:color w:val="000000"/>
        </w:rPr>
        <w:t>for postretirement plans includes the following components: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00" w:type="dxa"/>
            <w:vAlign w:val="bottom"/>
          </w:tcPr>
          <w:p>
            <w:pPr>
              <w:spacing w:after="0"/>
              <w:rPr>
                <w:sz w:val="20"/>
                <w:szCs w:val="20"/>
                <w:color w:val="auto"/>
              </w:rPr>
            </w:pPr>
            <w:r>
              <w:rPr>
                <w:rFonts w:ascii="Arial" w:cs="Arial" w:eastAsia="Arial" w:hAnsi="Arial"/>
                <w:sz w:val="14"/>
                <w:szCs w:val="14"/>
                <w:i w:val="1"/>
                <w:iCs w:val="1"/>
                <w:color w:val="auto"/>
              </w:rPr>
              <w:t>years ended December 31</w:t>
            </w:r>
          </w:p>
        </w:tc>
        <w:tc>
          <w:tcPr>
            <w:tcW w:w="640" w:type="dxa"/>
            <w:vAlign w:val="bottom"/>
          </w:tcPr>
          <w:p>
            <w:pPr>
              <w:spacing w:after="0"/>
              <w:rPr>
                <w:sz w:val="14"/>
                <w:szCs w:val="14"/>
                <w:color w:val="auto"/>
              </w:rPr>
            </w:pPr>
          </w:p>
        </w:tc>
        <w:tc>
          <w:tcPr>
            <w:tcW w:w="660" w:type="dxa"/>
            <w:vAlign w:val="bottom"/>
            <w:vMerge w:val="restart"/>
          </w:tcPr>
          <w:p>
            <w:pPr>
              <w:jc w:val="right"/>
              <w:ind w:right="126"/>
              <w:spacing w:after="0"/>
              <w:rPr>
                <w:sz w:val="20"/>
                <w:szCs w:val="20"/>
                <w:color w:val="auto"/>
              </w:rPr>
            </w:pPr>
            <w:r>
              <w:rPr>
                <w:rFonts w:ascii="Arial" w:cs="Arial" w:eastAsia="Arial" w:hAnsi="Arial"/>
                <w:sz w:val="15"/>
                <w:szCs w:val="15"/>
                <w:b w:val="1"/>
                <w:bCs w:val="1"/>
                <w:color w:val="0085CD"/>
              </w:rPr>
              <w:t>2017</w:t>
            </w: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500" w:type="dxa"/>
            <w:vAlign w:val="bottom"/>
            <w:tcBorders>
              <w:bottom w:val="single" w:sz="8" w:color="auto"/>
            </w:tcBorders>
          </w:tcPr>
          <w:p>
            <w:pPr>
              <w:spacing w:after="0" w:line="159" w:lineRule="exact"/>
              <w:rPr>
                <w:sz w:val="20"/>
                <w:szCs w:val="20"/>
                <w:color w:val="auto"/>
              </w:rPr>
            </w:pPr>
            <w:r>
              <w:rPr>
                <w:rFonts w:ascii="Arial" w:cs="Arial" w:eastAsia="Arial" w:hAnsi="Arial"/>
                <w:sz w:val="15"/>
                <w:szCs w:val="15"/>
                <w:color w:val="auto"/>
              </w:rPr>
              <w:t>(add 000)</w:t>
            </w:r>
          </w:p>
        </w:tc>
        <w:tc>
          <w:tcPr>
            <w:tcW w:w="6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46"/>
              <w:spacing w:after="0" w:line="159" w:lineRule="exact"/>
              <w:rPr>
                <w:sz w:val="20"/>
                <w:szCs w:val="20"/>
                <w:color w:val="auto"/>
              </w:rPr>
            </w:pPr>
            <w:r>
              <w:rPr>
                <w:rFonts w:ascii="Arial" w:cs="Arial" w:eastAsia="Arial" w:hAnsi="Arial"/>
                <w:sz w:val="15"/>
                <w:szCs w:val="15"/>
                <w:color w:val="auto"/>
              </w:rPr>
              <w:t>2016</w:t>
            </w:r>
          </w:p>
        </w:tc>
        <w:tc>
          <w:tcPr>
            <w:tcW w:w="2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6"/>
              <w:spacing w:after="0" w:line="159" w:lineRule="exact"/>
              <w:rPr>
                <w:sz w:val="20"/>
                <w:szCs w:val="20"/>
                <w:color w:val="auto"/>
              </w:rPr>
            </w:pPr>
            <w:r>
              <w:rPr>
                <w:rFonts w:ascii="Arial" w:cs="Arial" w:eastAsia="Arial" w:hAnsi="Arial"/>
                <w:sz w:val="15"/>
                <w:szCs w:val="15"/>
                <w:color w:val="auto"/>
              </w:rPr>
              <w:t>2015</w:t>
            </w:r>
          </w:p>
        </w:tc>
        <w:tc>
          <w:tcPr>
            <w:tcW w:w="0" w:type="dxa"/>
            <w:vAlign w:val="bottom"/>
          </w:tcPr>
          <w:p>
            <w:pPr>
              <w:spacing w:after="0"/>
              <w:rPr>
                <w:sz w:val="1"/>
                <w:szCs w:val="1"/>
                <w:color w:val="auto"/>
              </w:rPr>
            </w:pPr>
          </w:p>
        </w:tc>
      </w:tr>
      <w:tr>
        <w:trPr>
          <w:trHeight w:val="149"/>
        </w:trPr>
        <w:tc>
          <w:tcPr>
            <w:tcW w:w="250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Service cost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660" w:type="dxa"/>
            <w:vAlign w:val="bottom"/>
            <w:shd w:val="clear" w:color="auto" w:fill="CCEEFF"/>
          </w:tcPr>
          <w:p>
            <w:pPr>
              <w:jc w:val="right"/>
              <w:ind w:right="126"/>
              <w:spacing w:after="0" w:line="149" w:lineRule="exact"/>
              <w:rPr>
                <w:sz w:val="20"/>
                <w:szCs w:val="20"/>
                <w:color w:val="auto"/>
              </w:rPr>
            </w:pPr>
            <w:r>
              <w:rPr>
                <w:rFonts w:ascii="Arial" w:cs="Arial" w:eastAsia="Arial" w:hAnsi="Arial"/>
                <w:sz w:val="15"/>
                <w:szCs w:val="15"/>
                <w:b w:val="1"/>
                <w:bCs w:val="1"/>
                <w:color w:val="auto"/>
              </w:rPr>
              <w:t>80</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ind w:right="146"/>
              <w:spacing w:after="0" w:line="149" w:lineRule="exact"/>
              <w:rPr>
                <w:sz w:val="20"/>
                <w:szCs w:val="20"/>
                <w:color w:val="auto"/>
              </w:rPr>
            </w:pPr>
            <w:r>
              <w:rPr>
                <w:rFonts w:ascii="Arial" w:cs="Arial" w:eastAsia="Arial" w:hAnsi="Arial"/>
                <w:sz w:val="15"/>
                <w:szCs w:val="15"/>
                <w:color w:val="auto"/>
              </w:rPr>
              <w:t>85</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ind w:right="6"/>
              <w:spacing w:after="0" w:line="149" w:lineRule="exact"/>
              <w:rPr>
                <w:sz w:val="20"/>
                <w:szCs w:val="20"/>
                <w:color w:val="auto"/>
              </w:rPr>
            </w:pPr>
            <w:r>
              <w:rPr>
                <w:rFonts w:ascii="Arial" w:cs="Arial" w:eastAsia="Arial" w:hAnsi="Arial"/>
                <w:sz w:val="15"/>
                <w:szCs w:val="15"/>
                <w:color w:val="auto"/>
              </w:rPr>
              <w:t>137</w:t>
            </w:r>
          </w:p>
        </w:tc>
        <w:tc>
          <w:tcPr>
            <w:tcW w:w="0" w:type="dxa"/>
            <w:vAlign w:val="bottom"/>
          </w:tcPr>
          <w:p>
            <w:pPr>
              <w:spacing w:after="0"/>
              <w:rPr>
                <w:sz w:val="1"/>
                <w:szCs w:val="1"/>
                <w:color w:val="auto"/>
              </w:rPr>
            </w:pPr>
          </w:p>
        </w:tc>
      </w:tr>
      <w:tr>
        <w:trPr>
          <w:trHeight w:val="156"/>
        </w:trPr>
        <w:tc>
          <w:tcPr>
            <w:tcW w:w="2500" w:type="dxa"/>
            <w:vAlign w:val="bottom"/>
          </w:tcPr>
          <w:p>
            <w:pPr>
              <w:spacing w:after="0" w:line="156" w:lineRule="exact"/>
              <w:rPr>
                <w:sz w:val="20"/>
                <w:szCs w:val="20"/>
                <w:color w:val="auto"/>
              </w:rPr>
            </w:pPr>
            <w:r>
              <w:rPr>
                <w:rFonts w:ascii="Arial" w:cs="Arial" w:eastAsia="Arial" w:hAnsi="Arial"/>
                <w:sz w:val="15"/>
                <w:szCs w:val="15"/>
                <w:color w:val="auto"/>
              </w:rPr>
              <w:t>Interest cost</w:t>
            </w:r>
          </w:p>
        </w:tc>
        <w:tc>
          <w:tcPr>
            <w:tcW w:w="640" w:type="dxa"/>
            <w:vAlign w:val="bottom"/>
          </w:tcPr>
          <w:p>
            <w:pPr>
              <w:spacing w:after="0"/>
              <w:rPr>
                <w:sz w:val="13"/>
                <w:szCs w:val="13"/>
                <w:color w:val="auto"/>
              </w:rPr>
            </w:pPr>
          </w:p>
        </w:tc>
        <w:tc>
          <w:tcPr>
            <w:tcW w:w="660" w:type="dxa"/>
            <w:vAlign w:val="bottom"/>
          </w:tcPr>
          <w:p>
            <w:pPr>
              <w:jc w:val="right"/>
              <w:ind w:right="126"/>
              <w:spacing w:after="0" w:line="156" w:lineRule="exact"/>
              <w:rPr>
                <w:sz w:val="20"/>
                <w:szCs w:val="20"/>
                <w:color w:val="auto"/>
              </w:rPr>
            </w:pPr>
            <w:r>
              <w:rPr>
                <w:rFonts w:ascii="Arial" w:cs="Arial" w:eastAsia="Arial" w:hAnsi="Arial"/>
                <w:sz w:val="15"/>
                <w:szCs w:val="15"/>
                <w:b w:val="1"/>
                <w:bCs w:val="1"/>
                <w:color w:val="auto"/>
              </w:rPr>
              <w:t>727</w:t>
            </w:r>
          </w:p>
        </w:tc>
        <w:tc>
          <w:tcPr>
            <w:tcW w:w="280" w:type="dxa"/>
            <w:vAlign w:val="bottom"/>
          </w:tcPr>
          <w:p>
            <w:pPr>
              <w:spacing w:after="0"/>
              <w:rPr>
                <w:sz w:val="13"/>
                <w:szCs w:val="13"/>
                <w:color w:val="auto"/>
              </w:rPr>
            </w:pPr>
          </w:p>
        </w:tc>
        <w:tc>
          <w:tcPr>
            <w:tcW w:w="680" w:type="dxa"/>
            <w:vAlign w:val="bottom"/>
          </w:tcPr>
          <w:p>
            <w:pPr>
              <w:jc w:val="right"/>
              <w:ind w:right="146"/>
              <w:spacing w:after="0" w:line="156" w:lineRule="exact"/>
              <w:rPr>
                <w:sz w:val="20"/>
                <w:szCs w:val="20"/>
                <w:color w:val="auto"/>
              </w:rPr>
            </w:pPr>
            <w:r>
              <w:rPr>
                <w:rFonts w:ascii="Arial" w:cs="Arial" w:eastAsia="Arial" w:hAnsi="Arial"/>
                <w:sz w:val="15"/>
                <w:szCs w:val="15"/>
                <w:color w:val="auto"/>
              </w:rPr>
              <w:t>863</w:t>
            </w:r>
          </w:p>
        </w:tc>
        <w:tc>
          <w:tcPr>
            <w:tcW w:w="280" w:type="dxa"/>
            <w:vAlign w:val="bottom"/>
          </w:tcPr>
          <w:p>
            <w:pPr>
              <w:spacing w:after="0"/>
              <w:rPr>
                <w:sz w:val="13"/>
                <w:szCs w:val="13"/>
                <w:color w:val="auto"/>
              </w:rPr>
            </w:pPr>
          </w:p>
        </w:tc>
        <w:tc>
          <w:tcPr>
            <w:tcW w:w="540" w:type="dxa"/>
            <w:vAlign w:val="bottom"/>
          </w:tcPr>
          <w:p>
            <w:pPr>
              <w:jc w:val="right"/>
              <w:ind w:right="6"/>
              <w:spacing w:after="0" w:line="156" w:lineRule="exact"/>
              <w:rPr>
                <w:sz w:val="20"/>
                <w:szCs w:val="20"/>
                <w:color w:val="auto"/>
              </w:rPr>
            </w:pPr>
            <w:r>
              <w:rPr>
                <w:rFonts w:ascii="Arial" w:cs="Arial" w:eastAsia="Arial" w:hAnsi="Arial"/>
                <w:sz w:val="15"/>
                <w:szCs w:val="15"/>
                <w:color w:val="auto"/>
              </w:rPr>
              <w:t>928</w:t>
            </w:r>
          </w:p>
        </w:tc>
        <w:tc>
          <w:tcPr>
            <w:tcW w:w="0" w:type="dxa"/>
            <w:vAlign w:val="bottom"/>
          </w:tcPr>
          <w:p>
            <w:pPr>
              <w:spacing w:after="0"/>
              <w:rPr>
                <w:sz w:val="1"/>
                <w:szCs w:val="1"/>
                <w:color w:val="auto"/>
              </w:rPr>
            </w:pPr>
          </w:p>
        </w:tc>
      </w:tr>
      <w:tr>
        <w:trPr>
          <w:trHeight w:val="156"/>
        </w:trPr>
        <w:tc>
          <w:tcPr>
            <w:tcW w:w="250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Amortization of:</w:t>
            </w:r>
          </w:p>
        </w:tc>
        <w:tc>
          <w:tcPr>
            <w:tcW w:w="6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500" w:type="dxa"/>
            <w:vAlign w:val="bottom"/>
          </w:tcPr>
          <w:p>
            <w:pPr>
              <w:ind w:left="80"/>
              <w:spacing w:after="0" w:line="156" w:lineRule="exact"/>
              <w:rPr>
                <w:sz w:val="20"/>
                <w:szCs w:val="20"/>
                <w:color w:val="auto"/>
              </w:rPr>
            </w:pPr>
            <w:r>
              <w:rPr>
                <w:rFonts w:ascii="Arial" w:cs="Arial" w:eastAsia="Arial" w:hAnsi="Arial"/>
                <w:sz w:val="15"/>
                <w:szCs w:val="15"/>
                <w:color w:val="auto"/>
              </w:rPr>
              <w:t>Prior service credit</w:t>
            </w:r>
          </w:p>
        </w:tc>
        <w:tc>
          <w:tcPr>
            <w:tcW w:w="640" w:type="dxa"/>
            <w:vAlign w:val="bottom"/>
          </w:tcPr>
          <w:p>
            <w:pPr>
              <w:spacing w:after="0"/>
              <w:rPr>
                <w:sz w:val="13"/>
                <w:szCs w:val="13"/>
                <w:color w:val="auto"/>
              </w:rPr>
            </w:pPr>
          </w:p>
        </w:tc>
        <w:tc>
          <w:tcPr>
            <w:tcW w:w="660" w:type="dxa"/>
            <w:vAlign w:val="bottom"/>
          </w:tcPr>
          <w:p>
            <w:pPr>
              <w:jc w:val="right"/>
              <w:ind w:right="86"/>
              <w:spacing w:after="0" w:line="156" w:lineRule="exact"/>
              <w:rPr>
                <w:sz w:val="20"/>
                <w:szCs w:val="20"/>
                <w:color w:val="auto"/>
              </w:rPr>
            </w:pPr>
            <w:r>
              <w:rPr>
                <w:rFonts w:ascii="Arial" w:cs="Arial" w:eastAsia="Arial" w:hAnsi="Arial"/>
                <w:sz w:val="15"/>
                <w:szCs w:val="15"/>
                <w:b w:val="1"/>
                <w:bCs w:val="1"/>
                <w:color w:val="auto"/>
              </w:rPr>
              <w:t>(1,741)</w:t>
            </w:r>
          </w:p>
        </w:tc>
        <w:tc>
          <w:tcPr>
            <w:tcW w:w="280" w:type="dxa"/>
            <w:vAlign w:val="bottom"/>
          </w:tcPr>
          <w:p>
            <w:pPr>
              <w:spacing w:after="0"/>
              <w:rPr>
                <w:sz w:val="13"/>
                <w:szCs w:val="13"/>
                <w:color w:val="auto"/>
              </w:rPr>
            </w:pPr>
          </w:p>
        </w:tc>
        <w:tc>
          <w:tcPr>
            <w:tcW w:w="680" w:type="dxa"/>
            <w:vAlign w:val="bottom"/>
          </w:tcPr>
          <w:p>
            <w:pPr>
              <w:jc w:val="right"/>
              <w:ind w:right="86"/>
              <w:spacing w:after="0" w:line="156" w:lineRule="exact"/>
              <w:rPr>
                <w:sz w:val="20"/>
                <w:szCs w:val="20"/>
                <w:color w:val="auto"/>
              </w:rPr>
            </w:pPr>
            <w:r>
              <w:rPr>
                <w:rFonts w:ascii="Arial" w:cs="Arial" w:eastAsia="Arial" w:hAnsi="Arial"/>
                <w:sz w:val="15"/>
                <w:szCs w:val="15"/>
                <w:color w:val="auto"/>
              </w:rPr>
              <w:t>(1,959)</w:t>
            </w:r>
          </w:p>
        </w:tc>
        <w:tc>
          <w:tcPr>
            <w:tcW w:w="280" w:type="dxa"/>
            <w:vAlign w:val="bottom"/>
          </w:tcPr>
          <w:p>
            <w:pPr>
              <w:spacing w:after="0"/>
              <w:rPr>
                <w:sz w:val="13"/>
                <w:szCs w:val="13"/>
                <w:color w:val="auto"/>
              </w:rPr>
            </w:pPr>
          </w:p>
        </w:tc>
        <w:tc>
          <w:tcPr>
            <w:tcW w:w="540" w:type="dxa"/>
            <w:vAlign w:val="bottom"/>
          </w:tcPr>
          <w:p>
            <w:pPr>
              <w:jc w:val="right"/>
              <w:spacing w:after="0" w:line="156" w:lineRule="exact"/>
              <w:rPr>
                <w:sz w:val="20"/>
                <w:szCs w:val="20"/>
                <w:color w:val="auto"/>
              </w:rPr>
            </w:pPr>
            <w:r>
              <w:rPr>
                <w:rFonts w:ascii="Arial" w:cs="Arial" w:eastAsia="Arial" w:hAnsi="Arial"/>
                <w:sz w:val="15"/>
                <w:szCs w:val="15"/>
                <w:color w:val="auto"/>
              </w:rPr>
              <w:t>(2,302)</w:t>
            </w:r>
          </w:p>
        </w:tc>
        <w:tc>
          <w:tcPr>
            <w:tcW w:w="0" w:type="dxa"/>
            <w:vAlign w:val="bottom"/>
          </w:tcPr>
          <w:p>
            <w:pPr>
              <w:spacing w:after="0"/>
              <w:rPr>
                <w:sz w:val="1"/>
                <w:szCs w:val="1"/>
                <w:color w:val="auto"/>
              </w:rPr>
            </w:pPr>
          </w:p>
        </w:tc>
      </w:tr>
      <w:tr>
        <w:trPr>
          <w:trHeight w:val="156"/>
        </w:trPr>
        <w:tc>
          <w:tcPr>
            <w:tcW w:w="2500" w:type="dxa"/>
            <w:vAlign w:val="bottom"/>
            <w:shd w:val="clear" w:color="auto" w:fill="CCEEFF"/>
          </w:tcPr>
          <w:p>
            <w:pPr>
              <w:ind w:left="60"/>
              <w:spacing w:after="0" w:line="156" w:lineRule="exact"/>
              <w:rPr>
                <w:sz w:val="20"/>
                <w:szCs w:val="20"/>
                <w:color w:val="auto"/>
              </w:rPr>
            </w:pPr>
            <w:r>
              <w:rPr>
                <w:rFonts w:ascii="Arial" w:cs="Arial" w:eastAsia="Arial" w:hAnsi="Arial"/>
                <w:sz w:val="15"/>
                <w:szCs w:val="15"/>
                <w:color w:val="auto"/>
              </w:rPr>
              <w:t>Actuarial gain</w:t>
            </w:r>
          </w:p>
        </w:tc>
        <w:tc>
          <w:tcPr>
            <w:tcW w:w="64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86"/>
              <w:spacing w:after="0" w:line="156" w:lineRule="exact"/>
              <w:rPr>
                <w:sz w:val="20"/>
                <w:szCs w:val="20"/>
                <w:color w:val="auto"/>
              </w:rPr>
            </w:pPr>
            <w:r>
              <w:rPr>
                <w:rFonts w:ascii="Arial" w:cs="Arial" w:eastAsia="Arial" w:hAnsi="Arial"/>
                <w:sz w:val="15"/>
                <w:szCs w:val="15"/>
                <w:b w:val="1"/>
                <w:bCs w:val="1"/>
                <w:color w:val="auto"/>
              </w:rPr>
              <w:t>(364)</w:t>
            </w:r>
          </w:p>
        </w:tc>
        <w:tc>
          <w:tcPr>
            <w:tcW w:w="28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86"/>
              <w:spacing w:after="0" w:line="156" w:lineRule="exact"/>
              <w:rPr>
                <w:sz w:val="20"/>
                <w:szCs w:val="20"/>
                <w:color w:val="auto"/>
              </w:rPr>
            </w:pPr>
            <w:r>
              <w:rPr>
                <w:rFonts w:ascii="Arial" w:cs="Arial" w:eastAsia="Arial" w:hAnsi="Arial"/>
                <w:sz w:val="15"/>
                <w:szCs w:val="15"/>
                <w:color w:val="auto"/>
              </w:rPr>
              <w:t>(499)</w:t>
            </w:r>
          </w:p>
        </w:tc>
        <w:tc>
          <w:tcPr>
            <w:tcW w:w="2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(309)</w:t>
            </w:r>
          </w:p>
        </w:tc>
        <w:tc>
          <w:tcPr>
            <w:tcW w:w="0" w:type="dxa"/>
            <w:vAlign w:val="bottom"/>
          </w:tcPr>
          <w:p>
            <w:pPr>
              <w:spacing w:after="0"/>
              <w:rPr>
                <w:sz w:val="1"/>
                <w:szCs w:val="1"/>
                <w:color w:val="auto"/>
              </w:rPr>
            </w:pPr>
          </w:p>
        </w:tc>
      </w:tr>
      <w:tr>
        <w:trPr>
          <w:trHeight w:val="156"/>
        </w:trPr>
        <w:tc>
          <w:tcPr>
            <w:tcW w:w="2500" w:type="dxa"/>
            <w:vAlign w:val="bottom"/>
            <w:tcBorders>
              <w:bottom w:val="single" w:sz="8" w:color="auto"/>
            </w:tcBorders>
          </w:tcPr>
          <w:p>
            <w:pPr>
              <w:ind w:left="80"/>
              <w:spacing w:after="0" w:line="156" w:lineRule="exact"/>
              <w:rPr>
                <w:sz w:val="20"/>
                <w:szCs w:val="20"/>
                <w:color w:val="auto"/>
              </w:rPr>
            </w:pPr>
            <w:r>
              <w:rPr>
                <w:rFonts w:ascii="Arial" w:cs="Arial" w:eastAsia="Arial" w:hAnsi="Arial"/>
                <w:sz w:val="15"/>
                <w:szCs w:val="15"/>
                <w:color w:val="auto"/>
              </w:rPr>
              <w:t>Settlement credit</w:t>
            </w:r>
          </w:p>
        </w:tc>
        <w:tc>
          <w:tcPr>
            <w:tcW w:w="6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26"/>
              <w:spacing w:after="0" w:line="156" w:lineRule="exact"/>
              <w:rPr>
                <w:sz w:val="20"/>
                <w:szCs w:val="20"/>
                <w:color w:val="auto"/>
              </w:rPr>
            </w:pPr>
            <w:r>
              <w:rPr>
                <w:rFonts w:ascii="Arial" w:cs="Arial" w:eastAsia="Arial" w:hAnsi="Arial"/>
                <w:sz w:val="15"/>
                <w:szCs w:val="15"/>
                <w:b w:val="1"/>
                <w:bCs w:val="1"/>
                <w:color w:val="auto"/>
              </w:rPr>
              <w:t>–</w:t>
            </w:r>
          </w:p>
        </w:tc>
        <w:tc>
          <w:tcPr>
            <w:tcW w:w="2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86"/>
              <w:spacing w:after="0" w:line="156" w:lineRule="exact"/>
              <w:rPr>
                <w:sz w:val="20"/>
                <w:szCs w:val="20"/>
                <w:color w:val="auto"/>
              </w:rPr>
            </w:pPr>
            <w:r>
              <w:rPr>
                <w:rFonts w:ascii="Arial" w:cs="Arial" w:eastAsia="Arial" w:hAnsi="Arial"/>
                <w:sz w:val="15"/>
                <w:szCs w:val="15"/>
                <w:color w:val="auto"/>
              </w:rPr>
              <w:t>(9)</w:t>
            </w:r>
          </w:p>
        </w:tc>
        <w:tc>
          <w:tcPr>
            <w:tcW w:w="2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6"/>
              <w:spacing w:after="0" w:line="15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5"/>
        </w:trPr>
        <w:tc>
          <w:tcPr>
            <w:tcW w:w="250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5"/>
                <w:szCs w:val="15"/>
                <w:color w:val="auto"/>
              </w:rPr>
              <w:t>Total net periodic benefit credit</w:t>
            </w: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660" w:type="dxa"/>
            <w:vAlign w:val="bottom"/>
            <w:tcBorders>
              <w:bottom w:val="single" w:sz="8" w:color="auto"/>
            </w:tcBorders>
            <w:shd w:val="clear" w:color="auto" w:fill="CCEEFF"/>
          </w:tcPr>
          <w:p>
            <w:pPr>
              <w:jc w:val="right"/>
              <w:ind w:right="86"/>
              <w:spacing w:after="0" w:line="149" w:lineRule="exact"/>
              <w:rPr>
                <w:sz w:val="20"/>
                <w:szCs w:val="20"/>
                <w:color w:val="auto"/>
              </w:rPr>
            </w:pPr>
            <w:r>
              <w:rPr>
                <w:rFonts w:ascii="Arial" w:cs="Arial" w:eastAsia="Arial" w:hAnsi="Arial"/>
                <w:sz w:val="15"/>
                <w:szCs w:val="15"/>
                <w:b w:val="1"/>
                <w:bCs w:val="1"/>
                <w:color w:val="auto"/>
              </w:rPr>
              <w:t>(1,298)</w:t>
            </w:r>
          </w:p>
        </w:tc>
        <w:tc>
          <w:tcPr>
            <w:tcW w:w="2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680" w:type="dxa"/>
            <w:vAlign w:val="bottom"/>
            <w:tcBorders>
              <w:bottom w:val="single" w:sz="8" w:color="auto"/>
            </w:tcBorders>
            <w:shd w:val="clear" w:color="auto" w:fill="CCEEFF"/>
          </w:tcPr>
          <w:p>
            <w:pPr>
              <w:jc w:val="right"/>
              <w:ind w:right="86"/>
              <w:spacing w:after="0" w:line="149" w:lineRule="exact"/>
              <w:rPr>
                <w:sz w:val="20"/>
                <w:szCs w:val="20"/>
                <w:color w:val="auto"/>
              </w:rPr>
            </w:pPr>
            <w:r>
              <w:rPr>
                <w:rFonts w:ascii="Arial" w:cs="Arial" w:eastAsia="Arial" w:hAnsi="Arial"/>
                <w:sz w:val="15"/>
                <w:szCs w:val="15"/>
                <w:color w:val="auto"/>
              </w:rPr>
              <w:t>(1,519)</w:t>
            </w:r>
          </w:p>
        </w:tc>
        <w:tc>
          <w:tcPr>
            <w:tcW w:w="2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(1,546)</w:t>
            </w:r>
          </w:p>
        </w:tc>
        <w:tc>
          <w:tcPr>
            <w:tcW w:w="0" w:type="dxa"/>
            <w:vAlign w:val="bottom"/>
          </w:tcPr>
          <w:p>
            <w:pPr>
              <w:spacing w:after="0"/>
              <w:rPr>
                <w:sz w:val="1"/>
                <w:szCs w:val="1"/>
                <w:color w:val="auto"/>
              </w:rPr>
            </w:pPr>
          </w:p>
        </w:tc>
      </w:tr>
    </w:tbl>
    <w:p>
      <w:pPr>
        <w:spacing w:after="0" w:line="1227" w:lineRule="exact"/>
        <w:rPr>
          <w:sz w:val="20"/>
          <w:szCs w:val="20"/>
          <w:color w:val="auto"/>
        </w:rPr>
      </w:pPr>
    </w:p>
    <w:p>
      <w:pPr>
        <w:sectPr>
          <w:pgSz w:w="11900" w:h="16838" w:orient="portrait"/>
          <w:cols w:equalWidth="0" w:num="2">
            <w:col w:w="5480" w:space="360"/>
            <w:col w:w="5580"/>
          </w:cols>
          <w:pgMar w:left="240" w:top="259" w:right="239" w:bottom="1440" w:gutter="0" w:footer="0" w:header="0"/>
          <w:type w:val="continuous"/>
        </w:sectPr>
      </w:pP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31</w:t>
      </w:r>
    </w:p>
    <w:p>
      <w:pPr>
        <w:sectPr>
          <w:pgSz w:w="11900" w:h="16838" w:orient="portrait"/>
          <w:cols w:equalWidth="0" w:num="1">
            <w:col w:w="11420"/>
          </w:cols>
          <w:pgMar w:left="240" w:top="259" w:right="239" w:bottom="1440" w:gutter="0" w:footer="0" w:header="0"/>
          <w:type w:val="continuous"/>
        </w:sectPr>
      </w:pPr>
    </w:p>
    <w:bookmarkStart w:id="84" w:name="page85"/>
    <w:bookmarkEnd w:id="84"/>
    <w:p>
      <w:pPr>
        <w:jc w:val="center"/>
        <w:ind w:right="-19"/>
        <w:spacing w:after="0"/>
        <w:rPr>
          <w:sz w:val="20"/>
          <w:szCs w:val="20"/>
          <w:color w:val="auto"/>
        </w:rPr>
      </w:pPr>
      <w:r>
        <w:rPr>
          <w:rFonts w:ascii="Arial" w:cs="Arial" w:eastAsia="Arial" w:hAnsi="Arial"/>
          <w:sz w:val="17"/>
          <w:szCs w:val="17"/>
          <w:b w:val="1"/>
          <w:bCs w:val="1"/>
          <w:color w:val="0085CD"/>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0">
                      <a:extLst>
                        <a:ext uri="{28A0092B-C50C-407E-A947-70E740481C1C}"/>
                      </a:extLst>
                    </a:blip>
                    <a:srcRect/>
                    <a:stretch>
                      <a:fillRect/>
                    </a:stretch>
                  </pic:blipFill>
                  <pic:spPr bwMode="auto">
                    <a:xfrm>
                      <a:off x="0" y="0"/>
                      <a:ext cx="7293610" cy="37465"/>
                    </a:xfrm>
                    <a:prstGeom prst="rect">
                      <a:avLst/>
                    </a:prstGeom>
                    <a:noFill/>
                  </pic:spPr>
                </pic:pic>
              </a:graphicData>
            </a:graphic>
          </wp:anchor>
        </w:drawing>
        <w:t xml:space="preserve">NOTES TO FINANCIAL STATEMENTS </w:t>
      </w:r>
      <w:r>
        <w:rPr>
          <w:rFonts w:ascii="Arial" w:cs="Arial" w:eastAsia="Arial" w:hAnsi="Arial"/>
          <w:sz w:val="15"/>
          <w:szCs w:val="15"/>
          <w:color w:val="0085CD"/>
        </w:rPr>
        <w:t>(continued)</w:t>
      </w:r>
    </w:p>
    <w:p>
      <w:pPr>
        <w:sectPr>
          <w:pgSz w:w="11900" w:h="16838" w:orient="portrait"/>
          <w:cols w:equalWidth="0" w:num="1">
            <w:col w:w="11420"/>
          </w:cols>
          <w:pgMar w:left="240" w:top="2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 xml:space="preserve">The components of net periodic benefit credit other than service cost are included in the line item </w:t>
      </w:r>
      <w:r>
        <w:rPr>
          <w:rFonts w:ascii="Arial" w:cs="Arial" w:eastAsia="Arial" w:hAnsi="Arial"/>
          <w:sz w:val="16"/>
          <w:szCs w:val="16"/>
          <w:i w:val="1"/>
          <w:iCs w:val="1"/>
          <w:color w:val="auto"/>
        </w:rPr>
        <w:t>Other nonoperating (income) and expenses</w:t>
      </w:r>
      <w:r>
        <w:rPr>
          <w:rFonts w:ascii="Arial" w:cs="Arial" w:eastAsia="Arial" w:hAnsi="Arial"/>
          <w:sz w:val="16"/>
          <w:szCs w:val="16"/>
          <w:color w:val="auto"/>
        </w:rPr>
        <w:t xml:space="preserve">, </w:t>
      </w:r>
      <w:r>
        <w:rPr>
          <w:rFonts w:ascii="Arial" w:cs="Arial" w:eastAsia="Arial" w:hAnsi="Arial"/>
          <w:sz w:val="16"/>
          <w:szCs w:val="16"/>
          <w:i w:val="1"/>
          <w:iCs w:val="1"/>
          <w:color w:val="auto"/>
        </w:rPr>
        <w:t>net</w:t>
      </w:r>
      <w:r>
        <w:rPr>
          <w:rFonts w:ascii="Arial" w:cs="Arial" w:eastAsia="Arial" w:hAnsi="Arial"/>
          <w:sz w:val="16"/>
          <w:szCs w:val="16"/>
          <w:color w:val="auto"/>
        </w:rPr>
        <w:t>, in the consolidated statements of earnings.</w:t>
      </w:r>
    </w:p>
    <w:p>
      <w:pPr>
        <w:spacing w:after="0" w:line="18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Company recognized the following amounts in consolidated comprehensive earnings: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80" w:type="dxa"/>
            <w:vAlign w:val="bottom"/>
          </w:tcPr>
          <w:p>
            <w:pPr>
              <w:spacing w:after="0"/>
              <w:rPr>
                <w:sz w:val="20"/>
                <w:szCs w:val="20"/>
                <w:color w:val="auto"/>
              </w:rPr>
            </w:pPr>
            <w:r>
              <w:rPr>
                <w:rFonts w:ascii="Arial" w:cs="Arial" w:eastAsia="Arial" w:hAnsi="Arial"/>
                <w:sz w:val="14"/>
                <w:szCs w:val="14"/>
                <w:i w:val="1"/>
                <w:iCs w:val="1"/>
                <w:color w:val="auto"/>
              </w:rPr>
              <w:t>years ended December 31</w:t>
            </w:r>
          </w:p>
        </w:tc>
        <w:tc>
          <w:tcPr>
            <w:tcW w:w="820" w:type="dxa"/>
            <w:vAlign w:val="bottom"/>
          </w:tcPr>
          <w:p>
            <w:pPr>
              <w:spacing w:after="0"/>
              <w:rPr>
                <w:sz w:val="14"/>
                <w:szCs w:val="14"/>
                <w:color w:val="auto"/>
              </w:rPr>
            </w:pPr>
          </w:p>
        </w:tc>
        <w:tc>
          <w:tcPr>
            <w:tcW w:w="640" w:type="dxa"/>
            <w:vAlign w:val="bottom"/>
            <w:vMerge w:val="restart"/>
          </w:tcPr>
          <w:p>
            <w:pPr>
              <w:jc w:val="right"/>
              <w:ind w:right="146"/>
              <w:spacing w:after="0"/>
              <w:rPr>
                <w:sz w:val="20"/>
                <w:szCs w:val="20"/>
                <w:color w:val="auto"/>
              </w:rPr>
            </w:pPr>
            <w:r>
              <w:rPr>
                <w:rFonts w:ascii="Arial" w:cs="Arial" w:eastAsia="Arial" w:hAnsi="Arial"/>
                <w:sz w:val="15"/>
                <w:szCs w:val="15"/>
                <w:b w:val="1"/>
                <w:bCs w:val="1"/>
                <w:color w:val="0085CD"/>
              </w:rPr>
              <w:t>2017</w:t>
            </w: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380" w:type="dxa"/>
            <w:vAlign w:val="bottom"/>
            <w:tcBorders>
              <w:bottom w:val="single" w:sz="8" w:color="auto"/>
            </w:tcBorders>
          </w:tcPr>
          <w:p>
            <w:pPr>
              <w:spacing w:after="0" w:line="159" w:lineRule="exact"/>
              <w:rPr>
                <w:sz w:val="20"/>
                <w:szCs w:val="20"/>
                <w:color w:val="auto"/>
              </w:rPr>
            </w:pPr>
            <w:r>
              <w:rPr>
                <w:rFonts w:ascii="Arial" w:cs="Arial" w:eastAsia="Arial" w:hAnsi="Arial"/>
                <w:sz w:val="15"/>
                <w:szCs w:val="15"/>
                <w:color w:val="auto"/>
              </w:rPr>
              <w:t>(add 000)</w:t>
            </w:r>
          </w:p>
        </w:tc>
        <w:tc>
          <w:tcPr>
            <w:tcW w:w="8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46"/>
              <w:spacing w:after="0" w:line="159" w:lineRule="exact"/>
              <w:rPr>
                <w:sz w:val="20"/>
                <w:szCs w:val="20"/>
                <w:color w:val="auto"/>
              </w:rPr>
            </w:pPr>
            <w:r>
              <w:rPr>
                <w:rFonts w:ascii="Arial" w:cs="Arial" w:eastAsia="Arial" w:hAnsi="Arial"/>
                <w:sz w:val="15"/>
                <w:szCs w:val="15"/>
                <w:color w:val="auto"/>
              </w:rPr>
              <w:t>2016</w:t>
            </w:r>
          </w:p>
        </w:tc>
        <w:tc>
          <w:tcPr>
            <w:tcW w:w="2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6"/>
              <w:spacing w:after="0" w:line="159" w:lineRule="exact"/>
              <w:rPr>
                <w:sz w:val="20"/>
                <w:szCs w:val="20"/>
                <w:color w:val="auto"/>
              </w:rPr>
            </w:pPr>
            <w:r>
              <w:rPr>
                <w:rFonts w:ascii="Arial" w:cs="Arial" w:eastAsia="Arial" w:hAnsi="Arial"/>
                <w:sz w:val="15"/>
                <w:szCs w:val="15"/>
                <w:color w:val="auto"/>
              </w:rPr>
              <w:t>2015</w:t>
            </w:r>
          </w:p>
        </w:tc>
        <w:tc>
          <w:tcPr>
            <w:tcW w:w="0" w:type="dxa"/>
            <w:vAlign w:val="bottom"/>
          </w:tcPr>
          <w:p>
            <w:pPr>
              <w:spacing w:after="0"/>
              <w:rPr>
                <w:sz w:val="1"/>
                <w:szCs w:val="1"/>
                <w:color w:val="auto"/>
              </w:rPr>
            </w:pPr>
          </w:p>
        </w:tc>
      </w:tr>
      <w:tr>
        <w:trPr>
          <w:trHeight w:val="149"/>
        </w:trPr>
        <w:tc>
          <w:tcPr>
            <w:tcW w:w="238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Actuarial loss (gain)</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640" w:type="dxa"/>
            <w:vAlign w:val="bottom"/>
            <w:shd w:val="clear" w:color="auto" w:fill="CCEEFF"/>
          </w:tcPr>
          <w:p>
            <w:pPr>
              <w:jc w:val="right"/>
              <w:ind w:right="146"/>
              <w:spacing w:after="0" w:line="149" w:lineRule="exact"/>
              <w:rPr>
                <w:sz w:val="20"/>
                <w:szCs w:val="20"/>
                <w:color w:val="auto"/>
              </w:rPr>
            </w:pPr>
            <w:r>
              <w:rPr>
                <w:rFonts w:ascii="Arial" w:cs="Arial" w:eastAsia="Arial" w:hAnsi="Arial"/>
                <w:sz w:val="15"/>
                <w:szCs w:val="15"/>
                <w:b w:val="1"/>
                <w:bCs w:val="1"/>
                <w:color w:val="auto"/>
              </w:rPr>
              <w:t>1,236</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ind w:right="146"/>
              <w:spacing w:after="0" w:line="149" w:lineRule="exact"/>
              <w:rPr>
                <w:sz w:val="20"/>
                <w:szCs w:val="20"/>
                <w:color w:val="auto"/>
              </w:rPr>
            </w:pPr>
            <w:r>
              <w:rPr>
                <w:rFonts w:ascii="Arial" w:cs="Arial" w:eastAsia="Arial" w:hAnsi="Arial"/>
                <w:sz w:val="15"/>
                <w:szCs w:val="15"/>
                <w:color w:val="auto"/>
              </w:rPr>
              <w:t>686</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(626)</w:t>
            </w:r>
          </w:p>
        </w:tc>
        <w:tc>
          <w:tcPr>
            <w:tcW w:w="0" w:type="dxa"/>
            <w:vAlign w:val="bottom"/>
          </w:tcPr>
          <w:p>
            <w:pPr>
              <w:spacing w:after="0"/>
              <w:rPr>
                <w:sz w:val="1"/>
                <w:szCs w:val="1"/>
                <w:color w:val="auto"/>
              </w:rPr>
            </w:pPr>
          </w:p>
        </w:tc>
      </w:tr>
      <w:tr>
        <w:trPr>
          <w:trHeight w:val="156"/>
        </w:trPr>
        <w:tc>
          <w:tcPr>
            <w:tcW w:w="2380" w:type="dxa"/>
            <w:vAlign w:val="bottom"/>
          </w:tcPr>
          <w:p>
            <w:pPr>
              <w:spacing w:after="0" w:line="156" w:lineRule="exact"/>
              <w:rPr>
                <w:sz w:val="20"/>
                <w:szCs w:val="20"/>
                <w:color w:val="auto"/>
              </w:rPr>
            </w:pPr>
            <w:r>
              <w:rPr>
                <w:rFonts w:ascii="Arial" w:cs="Arial" w:eastAsia="Arial" w:hAnsi="Arial"/>
                <w:sz w:val="15"/>
                <w:szCs w:val="15"/>
                <w:color w:val="auto"/>
              </w:rPr>
              <w:t>Net prior service credit</w:t>
            </w:r>
          </w:p>
        </w:tc>
        <w:tc>
          <w:tcPr>
            <w:tcW w:w="820" w:type="dxa"/>
            <w:vAlign w:val="bottom"/>
          </w:tcPr>
          <w:p>
            <w:pPr>
              <w:spacing w:after="0"/>
              <w:rPr>
                <w:sz w:val="13"/>
                <w:szCs w:val="13"/>
                <w:color w:val="auto"/>
              </w:rPr>
            </w:pPr>
          </w:p>
        </w:tc>
        <w:tc>
          <w:tcPr>
            <w:tcW w:w="640" w:type="dxa"/>
            <w:vAlign w:val="bottom"/>
          </w:tcPr>
          <w:p>
            <w:pPr>
              <w:jc w:val="right"/>
              <w:ind w:right="86"/>
              <w:spacing w:after="0" w:line="156" w:lineRule="exact"/>
              <w:rPr>
                <w:sz w:val="20"/>
                <w:szCs w:val="20"/>
                <w:color w:val="auto"/>
              </w:rPr>
            </w:pPr>
            <w:r>
              <w:rPr>
                <w:rFonts w:ascii="Arial" w:cs="Arial" w:eastAsia="Arial" w:hAnsi="Arial"/>
                <w:sz w:val="15"/>
                <w:szCs w:val="15"/>
                <w:b w:val="1"/>
                <w:bCs w:val="1"/>
                <w:color w:val="auto"/>
                <w:w w:val="96"/>
              </w:rPr>
              <w:t>(3,902)</w:t>
            </w:r>
          </w:p>
        </w:tc>
        <w:tc>
          <w:tcPr>
            <w:tcW w:w="240" w:type="dxa"/>
            <w:vAlign w:val="bottom"/>
          </w:tcPr>
          <w:p>
            <w:pPr>
              <w:spacing w:after="0"/>
              <w:rPr>
                <w:sz w:val="13"/>
                <w:szCs w:val="13"/>
                <w:color w:val="auto"/>
              </w:rPr>
            </w:pPr>
          </w:p>
        </w:tc>
        <w:tc>
          <w:tcPr>
            <w:tcW w:w="640" w:type="dxa"/>
            <w:vAlign w:val="bottom"/>
          </w:tcPr>
          <w:p>
            <w:pPr>
              <w:jc w:val="right"/>
              <w:ind w:right="86"/>
              <w:spacing w:after="0" w:line="156" w:lineRule="exact"/>
              <w:rPr>
                <w:sz w:val="20"/>
                <w:szCs w:val="20"/>
                <w:color w:val="auto"/>
              </w:rPr>
            </w:pPr>
            <w:r>
              <w:rPr>
                <w:rFonts w:ascii="Arial" w:cs="Arial" w:eastAsia="Arial" w:hAnsi="Arial"/>
                <w:sz w:val="15"/>
                <w:szCs w:val="15"/>
                <w:color w:val="auto"/>
                <w:w w:val="96"/>
              </w:rPr>
              <w:t>(1,326)</w:t>
            </w:r>
          </w:p>
        </w:tc>
        <w:tc>
          <w:tcPr>
            <w:tcW w:w="280" w:type="dxa"/>
            <w:vAlign w:val="bottom"/>
          </w:tcPr>
          <w:p>
            <w:pPr>
              <w:spacing w:after="0"/>
              <w:rPr>
                <w:sz w:val="13"/>
                <w:szCs w:val="13"/>
                <w:color w:val="auto"/>
              </w:rPr>
            </w:pPr>
          </w:p>
        </w:tc>
        <w:tc>
          <w:tcPr>
            <w:tcW w:w="480" w:type="dxa"/>
            <w:vAlign w:val="bottom"/>
          </w:tcPr>
          <w:p>
            <w:pPr>
              <w:jc w:val="right"/>
              <w:ind w:right="6"/>
              <w:spacing w:after="0" w:line="15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6"/>
        </w:trPr>
        <w:tc>
          <w:tcPr>
            <w:tcW w:w="238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Settlement credit</w:t>
            </w:r>
          </w:p>
        </w:tc>
        <w:tc>
          <w:tcPr>
            <w:tcW w:w="82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46"/>
              <w:spacing w:after="0" w:line="156" w:lineRule="exact"/>
              <w:rPr>
                <w:sz w:val="20"/>
                <w:szCs w:val="20"/>
                <w:color w:val="auto"/>
              </w:rPr>
            </w:pPr>
            <w:r>
              <w:rPr>
                <w:rFonts w:ascii="Arial" w:cs="Arial" w:eastAsia="Arial" w:hAnsi="Arial"/>
                <w:sz w:val="15"/>
                <w:szCs w:val="15"/>
                <w:b w:val="1"/>
                <w:bCs w:val="1"/>
                <w:color w:val="auto"/>
              </w:rPr>
              <w:t>–</w:t>
            </w:r>
          </w:p>
        </w:tc>
        <w:tc>
          <w:tcPr>
            <w:tcW w:w="24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46"/>
              <w:spacing w:after="0" w:line="156" w:lineRule="exact"/>
              <w:rPr>
                <w:sz w:val="20"/>
                <w:szCs w:val="20"/>
                <w:color w:val="auto"/>
              </w:rPr>
            </w:pPr>
            <w:r>
              <w:rPr>
                <w:rFonts w:ascii="Arial" w:cs="Arial" w:eastAsia="Arial" w:hAnsi="Arial"/>
                <w:sz w:val="15"/>
                <w:szCs w:val="15"/>
                <w:color w:val="auto"/>
              </w:rPr>
              <w:t>9</w:t>
            </w:r>
          </w:p>
        </w:tc>
        <w:tc>
          <w:tcPr>
            <w:tcW w:w="28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6"/>
              <w:spacing w:after="0" w:line="15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6"/>
        </w:trPr>
        <w:tc>
          <w:tcPr>
            <w:tcW w:w="2380" w:type="dxa"/>
            <w:vAlign w:val="bottom"/>
          </w:tcPr>
          <w:p>
            <w:pPr>
              <w:spacing w:after="0" w:line="156" w:lineRule="exact"/>
              <w:rPr>
                <w:sz w:val="20"/>
                <w:szCs w:val="20"/>
                <w:color w:val="auto"/>
              </w:rPr>
            </w:pPr>
            <w:r>
              <w:rPr>
                <w:rFonts w:ascii="Arial" w:cs="Arial" w:eastAsia="Arial" w:hAnsi="Arial"/>
                <w:sz w:val="15"/>
                <w:szCs w:val="15"/>
                <w:color w:val="auto"/>
              </w:rPr>
              <w:t>Amortization of:</w:t>
            </w:r>
          </w:p>
        </w:tc>
        <w:tc>
          <w:tcPr>
            <w:tcW w:w="8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380" w:type="dxa"/>
            <w:vAlign w:val="bottom"/>
            <w:shd w:val="clear" w:color="auto" w:fill="CCEEFF"/>
          </w:tcPr>
          <w:p>
            <w:pPr>
              <w:ind w:left="80"/>
              <w:spacing w:after="0" w:line="156" w:lineRule="exact"/>
              <w:rPr>
                <w:sz w:val="20"/>
                <w:szCs w:val="20"/>
                <w:color w:val="auto"/>
              </w:rPr>
            </w:pPr>
            <w:r>
              <w:rPr>
                <w:rFonts w:ascii="Arial" w:cs="Arial" w:eastAsia="Arial" w:hAnsi="Arial"/>
                <w:sz w:val="15"/>
                <w:szCs w:val="15"/>
                <w:color w:val="auto"/>
              </w:rPr>
              <w:t>Prior service credit</w:t>
            </w:r>
          </w:p>
        </w:tc>
        <w:tc>
          <w:tcPr>
            <w:tcW w:w="82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46"/>
              <w:spacing w:after="0" w:line="156" w:lineRule="exact"/>
              <w:rPr>
                <w:sz w:val="20"/>
                <w:szCs w:val="20"/>
                <w:color w:val="auto"/>
              </w:rPr>
            </w:pPr>
            <w:r>
              <w:rPr>
                <w:rFonts w:ascii="Arial" w:cs="Arial" w:eastAsia="Arial" w:hAnsi="Arial"/>
                <w:sz w:val="15"/>
                <w:szCs w:val="15"/>
                <w:b w:val="1"/>
                <w:bCs w:val="1"/>
                <w:color w:val="auto"/>
              </w:rPr>
              <w:t>1,741</w:t>
            </w:r>
          </w:p>
        </w:tc>
        <w:tc>
          <w:tcPr>
            <w:tcW w:w="24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46"/>
              <w:spacing w:after="0" w:line="156" w:lineRule="exact"/>
              <w:rPr>
                <w:sz w:val="20"/>
                <w:szCs w:val="20"/>
                <w:color w:val="auto"/>
              </w:rPr>
            </w:pPr>
            <w:r>
              <w:rPr>
                <w:rFonts w:ascii="Arial" w:cs="Arial" w:eastAsia="Arial" w:hAnsi="Arial"/>
                <w:sz w:val="15"/>
                <w:szCs w:val="15"/>
                <w:color w:val="auto"/>
              </w:rPr>
              <w:t>1,959</w:t>
            </w:r>
          </w:p>
        </w:tc>
        <w:tc>
          <w:tcPr>
            <w:tcW w:w="28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6"/>
              <w:spacing w:after="0" w:line="156" w:lineRule="exact"/>
              <w:rPr>
                <w:sz w:val="20"/>
                <w:szCs w:val="20"/>
                <w:color w:val="auto"/>
              </w:rPr>
            </w:pPr>
            <w:r>
              <w:rPr>
                <w:rFonts w:ascii="Arial" w:cs="Arial" w:eastAsia="Arial" w:hAnsi="Arial"/>
                <w:sz w:val="15"/>
                <w:szCs w:val="15"/>
                <w:color w:val="auto"/>
              </w:rPr>
              <w:t>2,302</w:t>
            </w:r>
          </w:p>
        </w:tc>
        <w:tc>
          <w:tcPr>
            <w:tcW w:w="0" w:type="dxa"/>
            <w:vAlign w:val="bottom"/>
          </w:tcPr>
          <w:p>
            <w:pPr>
              <w:spacing w:after="0"/>
              <w:rPr>
                <w:sz w:val="1"/>
                <w:szCs w:val="1"/>
                <w:color w:val="auto"/>
              </w:rPr>
            </w:pPr>
          </w:p>
        </w:tc>
      </w:tr>
      <w:tr>
        <w:trPr>
          <w:trHeight w:val="156"/>
        </w:trPr>
        <w:tc>
          <w:tcPr>
            <w:tcW w:w="2380" w:type="dxa"/>
            <w:vAlign w:val="bottom"/>
            <w:tcBorders>
              <w:bottom w:val="single" w:sz="8" w:color="auto"/>
            </w:tcBorders>
          </w:tcPr>
          <w:p>
            <w:pPr>
              <w:ind w:left="80"/>
              <w:spacing w:after="0" w:line="156" w:lineRule="exact"/>
              <w:rPr>
                <w:sz w:val="20"/>
                <w:szCs w:val="20"/>
                <w:color w:val="auto"/>
              </w:rPr>
            </w:pPr>
            <w:r>
              <w:rPr>
                <w:rFonts w:ascii="Arial" w:cs="Arial" w:eastAsia="Arial" w:hAnsi="Arial"/>
                <w:sz w:val="15"/>
                <w:szCs w:val="15"/>
                <w:color w:val="auto"/>
              </w:rPr>
              <w:t>Actuarial gain</w:t>
            </w:r>
          </w:p>
        </w:tc>
        <w:tc>
          <w:tcPr>
            <w:tcW w:w="8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46"/>
              <w:spacing w:after="0" w:line="156" w:lineRule="exact"/>
              <w:rPr>
                <w:sz w:val="20"/>
                <w:szCs w:val="20"/>
                <w:color w:val="auto"/>
              </w:rPr>
            </w:pPr>
            <w:r>
              <w:rPr>
                <w:rFonts w:ascii="Arial" w:cs="Arial" w:eastAsia="Arial" w:hAnsi="Arial"/>
                <w:sz w:val="15"/>
                <w:szCs w:val="15"/>
                <w:b w:val="1"/>
                <w:bCs w:val="1"/>
                <w:color w:val="auto"/>
              </w:rPr>
              <w:t>364</w:t>
            </w:r>
          </w:p>
        </w:tc>
        <w:tc>
          <w:tcPr>
            <w:tcW w:w="2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46"/>
              <w:spacing w:after="0" w:line="156" w:lineRule="exact"/>
              <w:rPr>
                <w:sz w:val="20"/>
                <w:szCs w:val="20"/>
                <w:color w:val="auto"/>
              </w:rPr>
            </w:pPr>
            <w:r>
              <w:rPr>
                <w:rFonts w:ascii="Arial" w:cs="Arial" w:eastAsia="Arial" w:hAnsi="Arial"/>
                <w:sz w:val="15"/>
                <w:szCs w:val="15"/>
                <w:color w:val="auto"/>
              </w:rPr>
              <w:t>499</w:t>
            </w:r>
          </w:p>
        </w:tc>
        <w:tc>
          <w:tcPr>
            <w:tcW w:w="2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6"/>
              <w:spacing w:after="0" w:line="156" w:lineRule="exact"/>
              <w:rPr>
                <w:sz w:val="20"/>
                <w:szCs w:val="20"/>
                <w:color w:val="auto"/>
              </w:rPr>
            </w:pPr>
            <w:r>
              <w:rPr>
                <w:rFonts w:ascii="Arial" w:cs="Arial" w:eastAsia="Arial" w:hAnsi="Arial"/>
                <w:sz w:val="15"/>
                <w:szCs w:val="15"/>
                <w:color w:val="auto"/>
              </w:rPr>
              <w:t>309</w:t>
            </w:r>
          </w:p>
        </w:tc>
        <w:tc>
          <w:tcPr>
            <w:tcW w:w="0" w:type="dxa"/>
            <w:vAlign w:val="bottom"/>
          </w:tcPr>
          <w:p>
            <w:pPr>
              <w:spacing w:after="0"/>
              <w:rPr>
                <w:sz w:val="1"/>
                <w:szCs w:val="1"/>
                <w:color w:val="auto"/>
              </w:rPr>
            </w:pPr>
          </w:p>
        </w:tc>
      </w:tr>
      <w:tr>
        <w:trPr>
          <w:trHeight w:val="155"/>
        </w:trPr>
        <w:tc>
          <w:tcPr>
            <w:tcW w:w="238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5"/>
                <w:szCs w:val="15"/>
                <w:color w:val="auto"/>
              </w:rPr>
              <w:t>Total</w:t>
            </w: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640" w:type="dxa"/>
            <w:vAlign w:val="bottom"/>
            <w:tcBorders>
              <w:bottom w:val="single" w:sz="8" w:color="auto"/>
            </w:tcBorders>
            <w:shd w:val="clear" w:color="auto" w:fill="CCEEFF"/>
          </w:tcPr>
          <w:p>
            <w:pPr>
              <w:jc w:val="right"/>
              <w:ind w:right="86"/>
              <w:spacing w:after="0" w:line="149" w:lineRule="exact"/>
              <w:rPr>
                <w:sz w:val="20"/>
                <w:szCs w:val="20"/>
                <w:color w:val="auto"/>
              </w:rPr>
            </w:pPr>
            <w:r>
              <w:rPr>
                <w:rFonts w:ascii="Arial" w:cs="Arial" w:eastAsia="Arial" w:hAnsi="Arial"/>
                <w:sz w:val="15"/>
                <w:szCs w:val="15"/>
                <w:b w:val="1"/>
                <w:bCs w:val="1"/>
                <w:color w:val="auto"/>
              </w:rPr>
              <w:t>(561)</w:t>
            </w:r>
          </w:p>
        </w:tc>
        <w:tc>
          <w:tcPr>
            <w:tcW w:w="2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640" w:type="dxa"/>
            <w:vAlign w:val="bottom"/>
            <w:tcBorders>
              <w:bottom w:val="single" w:sz="8" w:color="auto"/>
            </w:tcBorders>
            <w:shd w:val="clear" w:color="auto" w:fill="CCEEFF"/>
          </w:tcPr>
          <w:p>
            <w:pPr>
              <w:jc w:val="right"/>
              <w:ind w:right="146"/>
              <w:spacing w:after="0" w:line="149" w:lineRule="exact"/>
              <w:rPr>
                <w:sz w:val="20"/>
                <w:szCs w:val="20"/>
                <w:color w:val="auto"/>
              </w:rPr>
            </w:pPr>
            <w:r>
              <w:rPr>
                <w:rFonts w:ascii="Arial" w:cs="Arial" w:eastAsia="Arial" w:hAnsi="Arial"/>
                <w:sz w:val="15"/>
                <w:szCs w:val="15"/>
                <w:color w:val="auto"/>
              </w:rPr>
              <w:t>1,827</w:t>
            </w:r>
          </w:p>
        </w:tc>
        <w:tc>
          <w:tcPr>
            <w:tcW w:w="2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480" w:type="dxa"/>
            <w:vAlign w:val="bottom"/>
            <w:tcBorders>
              <w:bottom w:val="single" w:sz="8" w:color="auto"/>
            </w:tcBorders>
            <w:shd w:val="clear" w:color="auto" w:fill="CCEEFF"/>
          </w:tcPr>
          <w:p>
            <w:pPr>
              <w:jc w:val="right"/>
              <w:ind w:right="6"/>
              <w:spacing w:after="0" w:line="149" w:lineRule="exact"/>
              <w:rPr>
                <w:sz w:val="20"/>
                <w:szCs w:val="20"/>
                <w:color w:val="auto"/>
              </w:rPr>
            </w:pPr>
            <w:r>
              <w:rPr>
                <w:rFonts w:ascii="Arial" w:cs="Arial" w:eastAsia="Arial" w:hAnsi="Arial"/>
                <w:sz w:val="15"/>
                <w:szCs w:val="15"/>
                <w:color w:val="auto"/>
              </w:rPr>
              <w:t>1,985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Accumulated other comprehensive loss includes the following amounts that have not yet been recognized in net periodic benefit credit or cost:</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640" w:type="dxa"/>
            <w:vAlign w:val="bottom"/>
            <w:vMerge w:val="restart"/>
          </w:tcPr>
          <w:p>
            <w:pPr>
              <w:spacing w:after="0"/>
              <w:rPr>
                <w:sz w:val="20"/>
                <w:szCs w:val="20"/>
                <w:color w:val="auto"/>
              </w:rPr>
            </w:pPr>
            <w:r>
              <w:rPr>
                <w:rFonts w:ascii="Arial" w:cs="Arial" w:eastAsia="Arial" w:hAnsi="Arial"/>
                <w:sz w:val="15"/>
                <w:szCs w:val="15"/>
                <w:color w:val="auto"/>
              </w:rPr>
              <w:t>(add 000)</w:t>
            </w:r>
          </w:p>
        </w:tc>
        <w:tc>
          <w:tcPr>
            <w:tcW w:w="9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b w:val="1"/>
                <w:bCs w:val="1"/>
                <w:color w:val="0085CD"/>
              </w:rPr>
              <w:t>2017</w:t>
            </w:r>
          </w:p>
        </w:tc>
        <w:tc>
          <w:tcPr>
            <w:tcW w:w="7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2016</w:t>
            </w:r>
          </w:p>
        </w:tc>
        <w:tc>
          <w:tcPr>
            <w:tcW w:w="5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640" w:type="dxa"/>
            <w:vAlign w:val="bottom"/>
            <w:tcBorders>
              <w:bottom w:val="single" w:sz="8" w:color="auto"/>
            </w:tcBorders>
            <w:vMerge w:val="continue"/>
          </w:tcPr>
          <w:p>
            <w:pPr>
              <w:spacing w:after="0"/>
              <w:rPr>
                <w:sz w:val="12"/>
                <w:szCs w:val="12"/>
                <w:color w:val="auto"/>
              </w:rPr>
            </w:pPr>
          </w:p>
        </w:tc>
        <w:tc>
          <w:tcPr>
            <w:tcW w:w="920" w:type="dxa"/>
            <w:vAlign w:val="bottom"/>
            <w:tcBorders>
              <w:bottom w:val="single" w:sz="8" w:color="auto"/>
            </w:tcBorders>
          </w:tcPr>
          <w:p>
            <w:pPr>
              <w:jc w:val="right"/>
              <w:ind w:right="66"/>
              <w:spacing w:after="0" w:line="149" w:lineRule="exact"/>
              <w:rPr>
                <w:sz w:val="20"/>
                <w:szCs w:val="20"/>
                <w:color w:val="auto"/>
              </w:rPr>
            </w:pPr>
            <w:r>
              <w:rPr>
                <w:rFonts w:ascii="Arial" w:cs="Arial" w:eastAsia="Arial" w:hAnsi="Arial"/>
                <w:sz w:val="15"/>
                <w:szCs w:val="15"/>
                <w:b w:val="1"/>
                <w:bCs w:val="1"/>
                <w:color w:val="auto"/>
              </w:rPr>
              <w:t>Gross</w:t>
            </w:r>
          </w:p>
        </w:tc>
        <w:tc>
          <w:tcPr>
            <w:tcW w:w="1160" w:type="dxa"/>
            <w:vAlign w:val="bottom"/>
            <w:tcBorders>
              <w:bottom w:val="single" w:sz="8" w:color="auto"/>
            </w:tcBorders>
            <w:gridSpan w:val="2"/>
          </w:tcPr>
          <w:p>
            <w:pPr>
              <w:ind w:left="280"/>
              <w:spacing w:after="0" w:line="149" w:lineRule="exact"/>
              <w:rPr>
                <w:sz w:val="20"/>
                <w:szCs w:val="20"/>
                <w:color w:val="auto"/>
              </w:rPr>
            </w:pPr>
            <w:r>
              <w:rPr>
                <w:rFonts w:ascii="Arial" w:cs="Arial" w:eastAsia="Arial" w:hAnsi="Arial"/>
                <w:sz w:val="15"/>
                <w:szCs w:val="15"/>
                <w:b w:val="1"/>
                <w:bCs w:val="1"/>
                <w:color w:val="auto"/>
              </w:rPr>
              <w:t>Net of tax</w:t>
            </w:r>
          </w:p>
        </w:tc>
        <w:tc>
          <w:tcPr>
            <w:tcW w:w="760" w:type="dxa"/>
            <w:vAlign w:val="bottom"/>
            <w:tcBorders>
              <w:bottom w:val="single" w:sz="8" w:color="auto"/>
            </w:tcBorders>
          </w:tcPr>
          <w:p>
            <w:pPr>
              <w:jc w:val="right"/>
              <w:ind w:right="86"/>
              <w:spacing w:after="0" w:line="149" w:lineRule="exact"/>
              <w:rPr>
                <w:sz w:val="20"/>
                <w:szCs w:val="20"/>
                <w:color w:val="auto"/>
              </w:rPr>
            </w:pPr>
            <w:r>
              <w:rPr>
                <w:rFonts w:ascii="Arial" w:cs="Arial" w:eastAsia="Arial" w:hAnsi="Arial"/>
                <w:sz w:val="15"/>
                <w:szCs w:val="15"/>
                <w:color w:val="auto"/>
              </w:rPr>
              <w:t>Gross</w:t>
            </w:r>
          </w:p>
        </w:tc>
        <w:tc>
          <w:tcPr>
            <w:tcW w:w="1000" w:type="dxa"/>
            <w:vAlign w:val="bottom"/>
            <w:tcBorders>
              <w:bottom w:val="single" w:sz="8" w:color="auto"/>
            </w:tcBorders>
            <w:gridSpan w:val="2"/>
          </w:tcPr>
          <w:p>
            <w:pPr>
              <w:jc w:val="right"/>
              <w:ind w:right="26"/>
              <w:spacing w:after="0" w:line="149" w:lineRule="exact"/>
              <w:rPr>
                <w:sz w:val="20"/>
                <w:szCs w:val="20"/>
                <w:color w:val="auto"/>
              </w:rPr>
            </w:pPr>
            <w:r>
              <w:rPr>
                <w:rFonts w:ascii="Arial" w:cs="Arial" w:eastAsia="Arial" w:hAnsi="Arial"/>
                <w:sz w:val="15"/>
                <w:szCs w:val="15"/>
                <w:color w:val="auto"/>
              </w:rPr>
              <w:t>Net of tax</w:t>
            </w:r>
          </w:p>
        </w:tc>
        <w:tc>
          <w:tcPr>
            <w:tcW w:w="0" w:type="dxa"/>
            <w:vAlign w:val="bottom"/>
          </w:tcPr>
          <w:p>
            <w:pPr>
              <w:spacing w:after="0"/>
              <w:rPr>
                <w:sz w:val="1"/>
                <w:szCs w:val="1"/>
                <w:color w:val="auto"/>
              </w:rPr>
            </w:pPr>
          </w:p>
        </w:tc>
      </w:tr>
      <w:tr>
        <w:trPr>
          <w:trHeight w:val="149"/>
        </w:trPr>
        <w:tc>
          <w:tcPr>
            <w:tcW w:w="164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Prior service credit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b w:val="1"/>
                <w:bCs w:val="1"/>
                <w:color w:val="auto"/>
              </w:rPr>
              <w:t>$ (6,314)</w:t>
            </w:r>
          </w:p>
        </w:tc>
        <w:tc>
          <w:tcPr>
            <w:tcW w:w="460" w:type="dxa"/>
            <w:vAlign w:val="bottom"/>
            <w:shd w:val="clear" w:color="auto" w:fill="CCEEFF"/>
          </w:tcPr>
          <w:p>
            <w:pPr>
              <w:ind w:left="280"/>
              <w:spacing w:after="0" w:line="149" w:lineRule="exact"/>
              <w:rPr>
                <w:sz w:val="20"/>
                <w:szCs w:val="20"/>
                <w:color w:val="auto"/>
              </w:rPr>
            </w:pPr>
            <w:r>
              <w:rPr>
                <w:rFonts w:ascii="Arial" w:cs="Arial" w:eastAsia="Arial" w:hAnsi="Arial"/>
                <w:sz w:val="15"/>
                <w:szCs w:val="15"/>
                <w:b w:val="1"/>
                <w:bCs w:val="1"/>
                <w:color w:val="auto"/>
              </w:rPr>
              <w:t>$</w:t>
            </w:r>
          </w:p>
        </w:tc>
        <w:tc>
          <w:tcPr>
            <w:tcW w:w="700" w:type="dxa"/>
            <w:vAlign w:val="bottom"/>
            <w:shd w:val="clear" w:color="auto" w:fill="CCEEFF"/>
          </w:tcPr>
          <w:p>
            <w:pPr>
              <w:jc w:val="right"/>
              <w:ind w:right="86"/>
              <w:spacing w:after="0" w:line="149" w:lineRule="exact"/>
              <w:rPr>
                <w:sz w:val="20"/>
                <w:szCs w:val="20"/>
                <w:color w:val="auto"/>
              </w:rPr>
            </w:pPr>
            <w:r>
              <w:rPr>
                <w:rFonts w:ascii="Arial" w:cs="Arial" w:eastAsia="Arial" w:hAnsi="Arial"/>
                <w:sz w:val="15"/>
                <w:szCs w:val="15"/>
                <w:b w:val="1"/>
                <w:bCs w:val="1"/>
                <w:color w:val="auto"/>
              </w:rPr>
              <w:t>(3,899)</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 (4,153)</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(2,551)</w:t>
            </w:r>
          </w:p>
        </w:tc>
        <w:tc>
          <w:tcPr>
            <w:tcW w:w="0" w:type="dxa"/>
            <w:vAlign w:val="bottom"/>
          </w:tcPr>
          <w:p>
            <w:pPr>
              <w:spacing w:after="0"/>
              <w:rPr>
                <w:sz w:val="1"/>
                <w:szCs w:val="1"/>
                <w:color w:val="auto"/>
              </w:rPr>
            </w:pPr>
          </w:p>
        </w:tc>
      </w:tr>
      <w:tr>
        <w:trPr>
          <w:trHeight w:val="156"/>
        </w:trPr>
        <w:tc>
          <w:tcPr>
            <w:tcW w:w="1640" w:type="dxa"/>
            <w:vAlign w:val="bottom"/>
            <w:tcBorders>
              <w:bottom w:val="single" w:sz="8" w:color="auto"/>
            </w:tcBorders>
          </w:tcPr>
          <w:p>
            <w:pPr>
              <w:spacing w:after="0" w:line="156" w:lineRule="exact"/>
              <w:rPr>
                <w:sz w:val="20"/>
                <w:szCs w:val="20"/>
                <w:color w:val="auto"/>
              </w:rPr>
            </w:pPr>
            <w:r>
              <w:rPr>
                <w:rFonts w:ascii="Arial" w:cs="Arial" w:eastAsia="Arial" w:hAnsi="Arial"/>
                <w:sz w:val="15"/>
                <w:szCs w:val="15"/>
                <w:color w:val="auto"/>
              </w:rPr>
              <w:t>Actuarial gain</w:t>
            </w:r>
          </w:p>
        </w:tc>
        <w:tc>
          <w:tcPr>
            <w:tcW w:w="9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b w:val="1"/>
                <w:bCs w:val="1"/>
                <w:color w:val="auto"/>
              </w:rPr>
              <w:t>(2,256)</w:t>
            </w:r>
          </w:p>
        </w:tc>
        <w:tc>
          <w:tcPr>
            <w:tcW w:w="4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86"/>
              <w:spacing w:after="0" w:line="156" w:lineRule="exact"/>
              <w:rPr>
                <w:sz w:val="20"/>
                <w:szCs w:val="20"/>
                <w:color w:val="auto"/>
              </w:rPr>
            </w:pPr>
            <w:r>
              <w:rPr>
                <w:rFonts w:ascii="Arial" w:cs="Arial" w:eastAsia="Arial" w:hAnsi="Arial"/>
                <w:sz w:val="15"/>
                <w:szCs w:val="15"/>
                <w:b w:val="1"/>
                <w:bCs w:val="1"/>
                <w:color w:val="auto"/>
              </w:rPr>
              <w:t>(1,393)</w:t>
            </w:r>
          </w:p>
        </w:tc>
        <w:tc>
          <w:tcPr>
            <w:tcW w:w="7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(3,857)</w:t>
            </w:r>
          </w:p>
        </w:tc>
        <w:tc>
          <w:tcPr>
            <w:tcW w:w="4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(2,369)</w:t>
            </w:r>
          </w:p>
        </w:tc>
        <w:tc>
          <w:tcPr>
            <w:tcW w:w="0" w:type="dxa"/>
            <w:vAlign w:val="bottom"/>
          </w:tcPr>
          <w:p>
            <w:pPr>
              <w:spacing w:after="0"/>
              <w:rPr>
                <w:sz w:val="1"/>
                <w:szCs w:val="1"/>
                <w:color w:val="auto"/>
              </w:rPr>
            </w:pPr>
          </w:p>
        </w:tc>
      </w:tr>
      <w:tr>
        <w:trPr>
          <w:trHeight w:val="155"/>
        </w:trPr>
        <w:tc>
          <w:tcPr>
            <w:tcW w:w="164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5"/>
                <w:szCs w:val="15"/>
                <w:color w:val="auto"/>
              </w:rPr>
              <w:t>Total</w:t>
            </w: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b w:val="1"/>
                <w:bCs w:val="1"/>
                <w:color w:val="auto"/>
              </w:rPr>
              <w:t>$ (8,570)</w:t>
            </w:r>
          </w:p>
        </w:tc>
        <w:tc>
          <w:tcPr>
            <w:tcW w:w="460" w:type="dxa"/>
            <w:vAlign w:val="bottom"/>
            <w:tcBorders>
              <w:bottom w:val="single" w:sz="8" w:color="auto"/>
            </w:tcBorders>
            <w:shd w:val="clear" w:color="auto" w:fill="CCEEFF"/>
          </w:tcPr>
          <w:p>
            <w:pPr>
              <w:ind w:left="280"/>
              <w:spacing w:after="0" w:line="149" w:lineRule="exact"/>
              <w:rPr>
                <w:sz w:val="20"/>
                <w:szCs w:val="20"/>
                <w:color w:val="auto"/>
              </w:rPr>
            </w:pPr>
            <w:r>
              <w:rPr>
                <w:rFonts w:ascii="Arial" w:cs="Arial" w:eastAsia="Arial" w:hAnsi="Arial"/>
                <w:sz w:val="15"/>
                <w:szCs w:val="15"/>
                <w:b w:val="1"/>
                <w:bCs w:val="1"/>
                <w:color w:val="auto"/>
              </w:rPr>
              <w:t>$</w:t>
            </w:r>
          </w:p>
        </w:tc>
        <w:tc>
          <w:tcPr>
            <w:tcW w:w="700" w:type="dxa"/>
            <w:vAlign w:val="bottom"/>
            <w:tcBorders>
              <w:bottom w:val="single" w:sz="8" w:color="auto"/>
            </w:tcBorders>
            <w:shd w:val="clear" w:color="auto" w:fill="CCEEFF"/>
          </w:tcPr>
          <w:p>
            <w:pPr>
              <w:jc w:val="right"/>
              <w:ind w:right="86"/>
              <w:spacing w:after="0" w:line="149" w:lineRule="exact"/>
              <w:rPr>
                <w:sz w:val="20"/>
                <w:szCs w:val="20"/>
                <w:color w:val="auto"/>
              </w:rPr>
            </w:pPr>
            <w:r>
              <w:rPr>
                <w:rFonts w:ascii="Arial" w:cs="Arial" w:eastAsia="Arial" w:hAnsi="Arial"/>
                <w:sz w:val="15"/>
                <w:szCs w:val="15"/>
                <w:b w:val="1"/>
                <w:bCs w:val="1"/>
                <w:color w:val="auto"/>
              </w:rPr>
              <w:t>(5,292)</w:t>
            </w: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 (8,010)</w:t>
            </w:r>
          </w:p>
        </w:tc>
        <w:tc>
          <w:tcPr>
            <w:tcW w:w="4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(4,920)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The prior service credit and actuarial gain expected to be recognized in net periodic benefit cost during 2018 is $2,445,000 (net of a deferred tax liability of $605,000) and $226,000 (net of a deferred tax liability of $56,000), respectively, and are included in accumulated other comprehensive loss at December 31, 2017.</w:t>
      </w:r>
    </w:p>
    <w:p>
      <w:pPr>
        <w:spacing w:after="0" w:line="19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postretirement health care plans’ change in benefit obligation is as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40" w:type="dxa"/>
            <w:vAlign w:val="bottom"/>
          </w:tcPr>
          <w:p>
            <w:pPr>
              <w:spacing w:after="0"/>
              <w:rPr>
                <w:sz w:val="20"/>
                <w:szCs w:val="20"/>
                <w:color w:val="auto"/>
              </w:rPr>
            </w:pPr>
            <w:r>
              <w:rPr>
                <w:rFonts w:ascii="Arial" w:cs="Arial" w:eastAsia="Arial" w:hAnsi="Arial"/>
                <w:sz w:val="14"/>
                <w:szCs w:val="14"/>
                <w:i w:val="1"/>
                <w:iCs w:val="1"/>
                <w:color w:val="auto"/>
              </w:rPr>
              <w:t>years ended December 31</w:t>
            </w:r>
          </w:p>
        </w:tc>
        <w:tc>
          <w:tcPr>
            <w:tcW w:w="640" w:type="dxa"/>
            <w:vAlign w:val="bottom"/>
          </w:tcPr>
          <w:p>
            <w:pPr>
              <w:spacing w:after="0"/>
              <w:rPr>
                <w:sz w:val="14"/>
                <w:szCs w:val="14"/>
                <w:color w:val="auto"/>
              </w:rPr>
            </w:pPr>
          </w:p>
        </w:tc>
        <w:tc>
          <w:tcPr>
            <w:tcW w:w="720" w:type="dxa"/>
            <w:vAlign w:val="bottom"/>
            <w:vMerge w:val="restart"/>
          </w:tcPr>
          <w:p>
            <w:pPr>
              <w:jc w:val="right"/>
              <w:ind w:right="146"/>
              <w:spacing w:after="0"/>
              <w:rPr>
                <w:sz w:val="20"/>
                <w:szCs w:val="20"/>
                <w:color w:val="auto"/>
              </w:rPr>
            </w:pPr>
            <w:r>
              <w:rPr>
                <w:rFonts w:ascii="Arial" w:cs="Arial" w:eastAsia="Arial" w:hAnsi="Arial"/>
                <w:sz w:val="15"/>
                <w:szCs w:val="15"/>
                <w:b w:val="1"/>
                <w:bCs w:val="1"/>
                <w:color w:val="0085CD"/>
              </w:rPr>
              <w:t>2017</w:t>
            </w: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3240" w:type="dxa"/>
            <w:vAlign w:val="bottom"/>
            <w:tcBorders>
              <w:bottom w:val="single" w:sz="8" w:color="auto"/>
            </w:tcBorders>
          </w:tcPr>
          <w:p>
            <w:pPr>
              <w:spacing w:after="0" w:line="159" w:lineRule="exact"/>
              <w:rPr>
                <w:sz w:val="20"/>
                <w:szCs w:val="20"/>
                <w:color w:val="auto"/>
              </w:rPr>
            </w:pPr>
            <w:r>
              <w:rPr>
                <w:rFonts w:ascii="Arial" w:cs="Arial" w:eastAsia="Arial" w:hAnsi="Arial"/>
                <w:sz w:val="15"/>
                <w:szCs w:val="15"/>
                <w:color w:val="auto"/>
              </w:rPr>
              <w:t>(add 000)</w:t>
            </w:r>
          </w:p>
        </w:tc>
        <w:tc>
          <w:tcPr>
            <w:tcW w:w="6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6"/>
              <w:spacing w:after="0" w:line="159" w:lineRule="exact"/>
              <w:rPr>
                <w:sz w:val="20"/>
                <w:szCs w:val="20"/>
                <w:color w:val="auto"/>
              </w:rPr>
            </w:pPr>
            <w:r>
              <w:rPr>
                <w:rFonts w:ascii="Arial" w:cs="Arial" w:eastAsia="Arial" w:hAnsi="Arial"/>
                <w:sz w:val="15"/>
                <w:szCs w:val="15"/>
                <w:color w:val="auto"/>
              </w:rPr>
              <w:t>2016</w:t>
            </w:r>
          </w:p>
        </w:tc>
        <w:tc>
          <w:tcPr>
            <w:tcW w:w="0" w:type="dxa"/>
            <w:vAlign w:val="bottom"/>
          </w:tcPr>
          <w:p>
            <w:pPr>
              <w:spacing w:after="0"/>
              <w:rPr>
                <w:sz w:val="1"/>
                <w:szCs w:val="1"/>
                <w:color w:val="auto"/>
              </w:rPr>
            </w:pPr>
          </w:p>
        </w:tc>
      </w:tr>
      <w:tr>
        <w:trPr>
          <w:trHeight w:val="149"/>
        </w:trPr>
        <w:tc>
          <w:tcPr>
            <w:tcW w:w="324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Net benefit obligation at beginning of year</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720" w:type="dxa"/>
            <w:vAlign w:val="bottom"/>
            <w:shd w:val="clear" w:color="auto" w:fill="CCEEFF"/>
          </w:tcPr>
          <w:p>
            <w:pPr>
              <w:jc w:val="right"/>
              <w:ind w:right="146"/>
              <w:spacing w:after="0" w:line="149" w:lineRule="exact"/>
              <w:rPr>
                <w:sz w:val="20"/>
                <w:szCs w:val="20"/>
                <w:color w:val="auto"/>
              </w:rPr>
            </w:pPr>
            <w:r>
              <w:rPr>
                <w:rFonts w:ascii="Arial" w:cs="Arial" w:eastAsia="Arial" w:hAnsi="Arial"/>
                <w:sz w:val="15"/>
                <w:szCs w:val="15"/>
                <w:b w:val="1"/>
                <w:bCs w:val="1"/>
                <w:color w:val="auto"/>
              </w:rPr>
              <w:t>20,591</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ind w:right="6"/>
              <w:spacing w:after="0" w:line="149" w:lineRule="exact"/>
              <w:rPr>
                <w:sz w:val="20"/>
                <w:szCs w:val="20"/>
                <w:color w:val="auto"/>
              </w:rPr>
            </w:pPr>
            <w:r>
              <w:rPr>
                <w:rFonts w:ascii="Arial" w:cs="Arial" w:eastAsia="Arial" w:hAnsi="Arial"/>
                <w:sz w:val="15"/>
                <w:szCs w:val="15"/>
                <w:color w:val="auto"/>
              </w:rPr>
              <w:t>23,408</w:t>
            </w:r>
          </w:p>
        </w:tc>
        <w:tc>
          <w:tcPr>
            <w:tcW w:w="0" w:type="dxa"/>
            <w:vAlign w:val="bottom"/>
          </w:tcPr>
          <w:p>
            <w:pPr>
              <w:spacing w:after="0"/>
              <w:rPr>
                <w:sz w:val="1"/>
                <w:szCs w:val="1"/>
                <w:color w:val="auto"/>
              </w:rPr>
            </w:pPr>
          </w:p>
        </w:tc>
      </w:tr>
      <w:tr>
        <w:trPr>
          <w:trHeight w:val="156"/>
        </w:trPr>
        <w:tc>
          <w:tcPr>
            <w:tcW w:w="3240" w:type="dxa"/>
            <w:vAlign w:val="bottom"/>
          </w:tcPr>
          <w:p>
            <w:pPr>
              <w:spacing w:after="0" w:line="156" w:lineRule="exact"/>
              <w:rPr>
                <w:sz w:val="20"/>
                <w:szCs w:val="20"/>
                <w:color w:val="auto"/>
              </w:rPr>
            </w:pPr>
            <w:r>
              <w:rPr>
                <w:rFonts w:ascii="Arial" w:cs="Arial" w:eastAsia="Arial" w:hAnsi="Arial"/>
                <w:sz w:val="15"/>
                <w:szCs w:val="15"/>
                <w:color w:val="auto"/>
              </w:rPr>
              <w:t>Service cost</w:t>
            </w:r>
          </w:p>
        </w:tc>
        <w:tc>
          <w:tcPr>
            <w:tcW w:w="640" w:type="dxa"/>
            <w:vAlign w:val="bottom"/>
          </w:tcPr>
          <w:p>
            <w:pPr>
              <w:spacing w:after="0"/>
              <w:rPr>
                <w:sz w:val="13"/>
                <w:szCs w:val="13"/>
                <w:color w:val="auto"/>
              </w:rPr>
            </w:pPr>
          </w:p>
        </w:tc>
        <w:tc>
          <w:tcPr>
            <w:tcW w:w="720" w:type="dxa"/>
            <w:vAlign w:val="bottom"/>
          </w:tcPr>
          <w:p>
            <w:pPr>
              <w:jc w:val="right"/>
              <w:ind w:right="146"/>
              <w:spacing w:after="0" w:line="156" w:lineRule="exact"/>
              <w:rPr>
                <w:sz w:val="20"/>
                <w:szCs w:val="20"/>
                <w:color w:val="auto"/>
              </w:rPr>
            </w:pPr>
            <w:r>
              <w:rPr>
                <w:rFonts w:ascii="Arial" w:cs="Arial" w:eastAsia="Arial" w:hAnsi="Arial"/>
                <w:sz w:val="15"/>
                <w:szCs w:val="15"/>
                <w:b w:val="1"/>
                <w:bCs w:val="1"/>
                <w:color w:val="auto"/>
              </w:rPr>
              <w:t>80</w:t>
            </w:r>
          </w:p>
        </w:tc>
        <w:tc>
          <w:tcPr>
            <w:tcW w:w="300" w:type="dxa"/>
            <w:vAlign w:val="bottom"/>
          </w:tcPr>
          <w:p>
            <w:pPr>
              <w:spacing w:after="0"/>
              <w:rPr>
                <w:sz w:val="13"/>
                <w:szCs w:val="13"/>
                <w:color w:val="auto"/>
              </w:rPr>
            </w:pPr>
          </w:p>
        </w:tc>
        <w:tc>
          <w:tcPr>
            <w:tcW w:w="580" w:type="dxa"/>
            <w:vAlign w:val="bottom"/>
          </w:tcPr>
          <w:p>
            <w:pPr>
              <w:jc w:val="right"/>
              <w:ind w:right="6"/>
              <w:spacing w:after="0" w:line="156" w:lineRule="exact"/>
              <w:rPr>
                <w:sz w:val="20"/>
                <w:szCs w:val="20"/>
                <w:color w:val="auto"/>
              </w:rPr>
            </w:pPr>
            <w:r>
              <w:rPr>
                <w:rFonts w:ascii="Arial" w:cs="Arial" w:eastAsia="Arial" w:hAnsi="Arial"/>
                <w:sz w:val="15"/>
                <w:szCs w:val="15"/>
                <w:color w:val="auto"/>
              </w:rPr>
              <w:t>85</w:t>
            </w:r>
          </w:p>
        </w:tc>
        <w:tc>
          <w:tcPr>
            <w:tcW w:w="0" w:type="dxa"/>
            <w:vAlign w:val="bottom"/>
          </w:tcPr>
          <w:p>
            <w:pPr>
              <w:spacing w:after="0"/>
              <w:rPr>
                <w:sz w:val="1"/>
                <w:szCs w:val="1"/>
                <w:color w:val="auto"/>
              </w:rPr>
            </w:pPr>
          </w:p>
        </w:tc>
      </w:tr>
      <w:tr>
        <w:trPr>
          <w:trHeight w:val="156"/>
        </w:trPr>
        <w:tc>
          <w:tcPr>
            <w:tcW w:w="324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Interest cost</w:t>
            </w:r>
          </w:p>
        </w:tc>
        <w:tc>
          <w:tcPr>
            <w:tcW w:w="64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146"/>
              <w:spacing w:after="0" w:line="156" w:lineRule="exact"/>
              <w:rPr>
                <w:sz w:val="20"/>
                <w:szCs w:val="20"/>
                <w:color w:val="auto"/>
              </w:rPr>
            </w:pPr>
            <w:r>
              <w:rPr>
                <w:rFonts w:ascii="Arial" w:cs="Arial" w:eastAsia="Arial" w:hAnsi="Arial"/>
                <w:sz w:val="15"/>
                <w:szCs w:val="15"/>
                <w:b w:val="1"/>
                <w:bCs w:val="1"/>
                <w:color w:val="auto"/>
              </w:rPr>
              <w:t>727</w:t>
            </w:r>
          </w:p>
        </w:tc>
        <w:tc>
          <w:tcPr>
            <w:tcW w:w="30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6"/>
              <w:spacing w:after="0" w:line="156" w:lineRule="exact"/>
              <w:rPr>
                <w:sz w:val="20"/>
                <w:szCs w:val="20"/>
                <w:color w:val="auto"/>
              </w:rPr>
            </w:pPr>
            <w:r>
              <w:rPr>
                <w:rFonts w:ascii="Arial" w:cs="Arial" w:eastAsia="Arial" w:hAnsi="Arial"/>
                <w:sz w:val="15"/>
                <w:szCs w:val="15"/>
                <w:color w:val="auto"/>
              </w:rPr>
              <w:t>863</w:t>
            </w:r>
          </w:p>
        </w:tc>
        <w:tc>
          <w:tcPr>
            <w:tcW w:w="0" w:type="dxa"/>
            <w:vAlign w:val="bottom"/>
          </w:tcPr>
          <w:p>
            <w:pPr>
              <w:spacing w:after="0"/>
              <w:rPr>
                <w:sz w:val="1"/>
                <w:szCs w:val="1"/>
                <w:color w:val="auto"/>
              </w:rPr>
            </w:pPr>
          </w:p>
        </w:tc>
      </w:tr>
      <w:tr>
        <w:trPr>
          <w:trHeight w:val="156"/>
        </w:trPr>
        <w:tc>
          <w:tcPr>
            <w:tcW w:w="3240" w:type="dxa"/>
            <w:vAlign w:val="bottom"/>
          </w:tcPr>
          <w:p>
            <w:pPr>
              <w:spacing w:after="0" w:line="156" w:lineRule="exact"/>
              <w:rPr>
                <w:sz w:val="20"/>
                <w:szCs w:val="20"/>
                <w:color w:val="auto"/>
              </w:rPr>
            </w:pPr>
            <w:r>
              <w:rPr>
                <w:rFonts w:ascii="Arial" w:cs="Arial" w:eastAsia="Arial" w:hAnsi="Arial"/>
                <w:sz w:val="15"/>
                <w:szCs w:val="15"/>
                <w:color w:val="auto"/>
              </w:rPr>
              <w:t>Participants’ contributions</w:t>
            </w:r>
          </w:p>
        </w:tc>
        <w:tc>
          <w:tcPr>
            <w:tcW w:w="640" w:type="dxa"/>
            <w:vAlign w:val="bottom"/>
          </w:tcPr>
          <w:p>
            <w:pPr>
              <w:spacing w:after="0"/>
              <w:rPr>
                <w:sz w:val="13"/>
                <w:szCs w:val="13"/>
                <w:color w:val="auto"/>
              </w:rPr>
            </w:pPr>
          </w:p>
        </w:tc>
        <w:tc>
          <w:tcPr>
            <w:tcW w:w="720" w:type="dxa"/>
            <w:vAlign w:val="bottom"/>
          </w:tcPr>
          <w:p>
            <w:pPr>
              <w:jc w:val="right"/>
              <w:ind w:right="146"/>
              <w:spacing w:after="0" w:line="156" w:lineRule="exact"/>
              <w:rPr>
                <w:sz w:val="20"/>
                <w:szCs w:val="20"/>
                <w:color w:val="auto"/>
              </w:rPr>
            </w:pPr>
            <w:r>
              <w:rPr>
                <w:rFonts w:ascii="Arial" w:cs="Arial" w:eastAsia="Arial" w:hAnsi="Arial"/>
                <w:sz w:val="15"/>
                <w:szCs w:val="15"/>
                <w:b w:val="1"/>
                <w:bCs w:val="1"/>
                <w:color w:val="auto"/>
              </w:rPr>
              <w:t>3,421</w:t>
            </w:r>
          </w:p>
        </w:tc>
        <w:tc>
          <w:tcPr>
            <w:tcW w:w="300" w:type="dxa"/>
            <w:vAlign w:val="bottom"/>
          </w:tcPr>
          <w:p>
            <w:pPr>
              <w:spacing w:after="0"/>
              <w:rPr>
                <w:sz w:val="13"/>
                <w:szCs w:val="13"/>
                <w:color w:val="auto"/>
              </w:rPr>
            </w:pPr>
          </w:p>
        </w:tc>
        <w:tc>
          <w:tcPr>
            <w:tcW w:w="580" w:type="dxa"/>
            <w:vAlign w:val="bottom"/>
          </w:tcPr>
          <w:p>
            <w:pPr>
              <w:jc w:val="right"/>
              <w:ind w:right="6"/>
              <w:spacing w:after="0" w:line="156" w:lineRule="exact"/>
              <w:rPr>
                <w:sz w:val="20"/>
                <w:szCs w:val="20"/>
                <w:color w:val="auto"/>
              </w:rPr>
            </w:pPr>
            <w:r>
              <w:rPr>
                <w:rFonts w:ascii="Arial" w:cs="Arial" w:eastAsia="Arial" w:hAnsi="Arial"/>
                <w:sz w:val="15"/>
                <w:szCs w:val="15"/>
                <w:color w:val="auto"/>
              </w:rPr>
              <w:t>2,616</w:t>
            </w:r>
          </w:p>
        </w:tc>
        <w:tc>
          <w:tcPr>
            <w:tcW w:w="0" w:type="dxa"/>
            <w:vAlign w:val="bottom"/>
          </w:tcPr>
          <w:p>
            <w:pPr>
              <w:spacing w:after="0"/>
              <w:rPr>
                <w:sz w:val="1"/>
                <w:szCs w:val="1"/>
                <w:color w:val="auto"/>
              </w:rPr>
            </w:pPr>
          </w:p>
        </w:tc>
      </w:tr>
      <w:tr>
        <w:trPr>
          <w:trHeight w:val="156"/>
        </w:trPr>
        <w:tc>
          <w:tcPr>
            <w:tcW w:w="324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Actuarial loss</w:t>
            </w:r>
          </w:p>
        </w:tc>
        <w:tc>
          <w:tcPr>
            <w:tcW w:w="64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146"/>
              <w:spacing w:after="0" w:line="156" w:lineRule="exact"/>
              <w:rPr>
                <w:sz w:val="20"/>
                <w:szCs w:val="20"/>
                <w:color w:val="auto"/>
              </w:rPr>
            </w:pPr>
            <w:r>
              <w:rPr>
                <w:rFonts w:ascii="Arial" w:cs="Arial" w:eastAsia="Arial" w:hAnsi="Arial"/>
                <w:sz w:val="15"/>
                <w:szCs w:val="15"/>
                <w:b w:val="1"/>
                <w:bCs w:val="1"/>
                <w:color w:val="auto"/>
              </w:rPr>
              <w:t>1,236</w:t>
            </w:r>
          </w:p>
        </w:tc>
        <w:tc>
          <w:tcPr>
            <w:tcW w:w="30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6"/>
              <w:spacing w:after="0" w:line="156" w:lineRule="exact"/>
              <w:rPr>
                <w:sz w:val="20"/>
                <w:szCs w:val="20"/>
                <w:color w:val="auto"/>
              </w:rPr>
            </w:pPr>
            <w:r>
              <w:rPr>
                <w:rFonts w:ascii="Arial" w:cs="Arial" w:eastAsia="Arial" w:hAnsi="Arial"/>
                <w:sz w:val="15"/>
                <w:szCs w:val="15"/>
                <w:color w:val="auto"/>
              </w:rPr>
              <w:t>688</w:t>
            </w:r>
          </w:p>
        </w:tc>
        <w:tc>
          <w:tcPr>
            <w:tcW w:w="0" w:type="dxa"/>
            <w:vAlign w:val="bottom"/>
          </w:tcPr>
          <w:p>
            <w:pPr>
              <w:spacing w:after="0"/>
              <w:rPr>
                <w:sz w:val="1"/>
                <w:szCs w:val="1"/>
                <w:color w:val="auto"/>
              </w:rPr>
            </w:pPr>
          </w:p>
        </w:tc>
      </w:tr>
      <w:tr>
        <w:trPr>
          <w:trHeight w:val="156"/>
        </w:trPr>
        <w:tc>
          <w:tcPr>
            <w:tcW w:w="3240" w:type="dxa"/>
            <w:vAlign w:val="bottom"/>
          </w:tcPr>
          <w:p>
            <w:pPr>
              <w:spacing w:after="0" w:line="156" w:lineRule="exact"/>
              <w:rPr>
                <w:sz w:val="20"/>
                <w:szCs w:val="20"/>
                <w:color w:val="auto"/>
              </w:rPr>
            </w:pPr>
            <w:r>
              <w:rPr>
                <w:rFonts w:ascii="Arial" w:cs="Arial" w:eastAsia="Arial" w:hAnsi="Arial"/>
                <w:sz w:val="15"/>
                <w:szCs w:val="15"/>
                <w:color w:val="auto"/>
              </w:rPr>
              <w:t>Gross benefits paid</w:t>
            </w:r>
          </w:p>
        </w:tc>
        <w:tc>
          <w:tcPr>
            <w:tcW w:w="640" w:type="dxa"/>
            <w:vAlign w:val="bottom"/>
          </w:tcPr>
          <w:p>
            <w:pPr>
              <w:spacing w:after="0"/>
              <w:rPr>
                <w:sz w:val="13"/>
                <w:szCs w:val="13"/>
                <w:color w:val="auto"/>
              </w:rPr>
            </w:pPr>
          </w:p>
        </w:tc>
        <w:tc>
          <w:tcPr>
            <w:tcW w:w="720" w:type="dxa"/>
            <w:vAlign w:val="bottom"/>
          </w:tcPr>
          <w:p>
            <w:pPr>
              <w:jc w:val="right"/>
              <w:ind w:right="106"/>
              <w:spacing w:after="0" w:line="156" w:lineRule="exact"/>
              <w:rPr>
                <w:sz w:val="20"/>
                <w:szCs w:val="20"/>
                <w:color w:val="auto"/>
              </w:rPr>
            </w:pPr>
            <w:r>
              <w:rPr>
                <w:rFonts w:ascii="Arial" w:cs="Arial" w:eastAsia="Arial" w:hAnsi="Arial"/>
                <w:sz w:val="15"/>
                <w:szCs w:val="15"/>
                <w:b w:val="1"/>
                <w:bCs w:val="1"/>
                <w:color w:val="auto"/>
              </w:rPr>
              <w:t>(6,806)</w:t>
            </w:r>
          </w:p>
        </w:tc>
        <w:tc>
          <w:tcPr>
            <w:tcW w:w="300" w:type="dxa"/>
            <w:vAlign w:val="bottom"/>
          </w:tcPr>
          <w:p>
            <w:pPr>
              <w:spacing w:after="0"/>
              <w:rPr>
                <w:sz w:val="13"/>
                <w:szCs w:val="13"/>
                <w:color w:val="auto"/>
              </w:rPr>
            </w:pPr>
          </w:p>
        </w:tc>
        <w:tc>
          <w:tcPr>
            <w:tcW w:w="580" w:type="dxa"/>
            <w:vAlign w:val="bottom"/>
          </w:tcPr>
          <w:p>
            <w:pPr>
              <w:jc w:val="right"/>
              <w:spacing w:after="0" w:line="156" w:lineRule="exact"/>
              <w:rPr>
                <w:sz w:val="20"/>
                <w:szCs w:val="20"/>
                <w:color w:val="auto"/>
              </w:rPr>
            </w:pPr>
            <w:r>
              <w:rPr>
                <w:rFonts w:ascii="Arial" w:cs="Arial" w:eastAsia="Arial" w:hAnsi="Arial"/>
                <w:sz w:val="15"/>
                <w:szCs w:val="15"/>
                <w:color w:val="auto"/>
              </w:rPr>
              <w:t>(5,743)</w:t>
            </w:r>
          </w:p>
        </w:tc>
        <w:tc>
          <w:tcPr>
            <w:tcW w:w="0" w:type="dxa"/>
            <w:vAlign w:val="bottom"/>
          </w:tcPr>
          <w:p>
            <w:pPr>
              <w:spacing w:after="0"/>
              <w:rPr>
                <w:sz w:val="1"/>
                <w:szCs w:val="1"/>
                <w:color w:val="auto"/>
              </w:rPr>
            </w:pPr>
          </w:p>
        </w:tc>
      </w:tr>
      <w:tr>
        <w:trPr>
          <w:trHeight w:val="156"/>
        </w:trPr>
        <w:tc>
          <w:tcPr>
            <w:tcW w:w="324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Plan amendments</w:t>
            </w:r>
          </w:p>
        </w:tc>
        <w:tc>
          <w:tcPr>
            <w:tcW w:w="6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106"/>
              <w:spacing w:after="0" w:line="156" w:lineRule="exact"/>
              <w:rPr>
                <w:sz w:val="20"/>
                <w:szCs w:val="20"/>
                <w:color w:val="auto"/>
              </w:rPr>
            </w:pPr>
            <w:r>
              <w:rPr>
                <w:rFonts w:ascii="Arial" w:cs="Arial" w:eastAsia="Arial" w:hAnsi="Arial"/>
                <w:sz w:val="15"/>
                <w:szCs w:val="15"/>
                <w:b w:val="1"/>
                <w:bCs w:val="1"/>
                <w:color w:val="auto"/>
              </w:rPr>
              <w:t>(3,902)</w:t>
            </w:r>
          </w:p>
        </w:tc>
        <w:tc>
          <w:tcPr>
            <w:tcW w:w="30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(1,326)</w:t>
            </w:r>
          </w:p>
        </w:tc>
        <w:tc>
          <w:tcPr>
            <w:tcW w:w="0" w:type="dxa"/>
            <w:vAlign w:val="bottom"/>
          </w:tcPr>
          <w:p>
            <w:pPr>
              <w:spacing w:after="0"/>
              <w:rPr>
                <w:sz w:val="1"/>
                <w:szCs w:val="1"/>
                <w:color w:val="auto"/>
              </w:rPr>
            </w:pPr>
          </w:p>
        </w:tc>
      </w:tr>
      <w:tr>
        <w:trPr>
          <w:trHeight w:val="155"/>
        </w:trPr>
        <w:tc>
          <w:tcPr>
            <w:tcW w:w="3240" w:type="dxa"/>
            <w:vAlign w:val="bottom"/>
            <w:tcBorders>
              <w:bottom w:val="single" w:sz="8" w:color="auto"/>
            </w:tcBorders>
          </w:tcPr>
          <w:p>
            <w:pPr>
              <w:spacing w:after="0" w:line="149" w:lineRule="exact"/>
              <w:rPr>
                <w:sz w:val="20"/>
                <w:szCs w:val="20"/>
                <w:color w:val="auto"/>
              </w:rPr>
            </w:pPr>
            <w:r>
              <w:rPr>
                <w:rFonts w:ascii="Arial" w:cs="Arial" w:eastAsia="Arial" w:hAnsi="Arial"/>
                <w:sz w:val="15"/>
                <w:szCs w:val="15"/>
                <w:color w:val="auto"/>
              </w:rPr>
              <w:t>Net benefit obligation at end of year</w:t>
            </w: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720" w:type="dxa"/>
            <w:vAlign w:val="bottom"/>
            <w:tcBorders>
              <w:bottom w:val="single" w:sz="8" w:color="auto"/>
            </w:tcBorders>
          </w:tcPr>
          <w:p>
            <w:pPr>
              <w:jc w:val="right"/>
              <w:ind w:right="146"/>
              <w:spacing w:after="0" w:line="149" w:lineRule="exact"/>
              <w:rPr>
                <w:sz w:val="20"/>
                <w:szCs w:val="20"/>
                <w:color w:val="auto"/>
              </w:rPr>
            </w:pPr>
            <w:r>
              <w:rPr>
                <w:rFonts w:ascii="Arial" w:cs="Arial" w:eastAsia="Arial" w:hAnsi="Arial"/>
                <w:sz w:val="15"/>
                <w:szCs w:val="15"/>
                <w:b w:val="1"/>
                <w:bCs w:val="1"/>
                <w:color w:val="auto"/>
              </w:rPr>
              <w:t>15,347</w:t>
            </w:r>
          </w:p>
        </w:tc>
        <w:tc>
          <w:tcPr>
            <w:tcW w:w="3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color w:val="auto"/>
              </w:rPr>
              <w:t>$</w:t>
            </w:r>
          </w:p>
        </w:tc>
        <w:tc>
          <w:tcPr>
            <w:tcW w:w="580" w:type="dxa"/>
            <w:vAlign w:val="bottom"/>
            <w:tcBorders>
              <w:bottom w:val="single" w:sz="8" w:color="auto"/>
            </w:tcBorders>
          </w:tcPr>
          <w:p>
            <w:pPr>
              <w:jc w:val="right"/>
              <w:ind w:right="6"/>
              <w:spacing w:after="0" w:line="149" w:lineRule="exact"/>
              <w:rPr>
                <w:sz w:val="20"/>
                <w:szCs w:val="20"/>
                <w:color w:val="auto"/>
              </w:rPr>
            </w:pPr>
            <w:r>
              <w:rPr>
                <w:rFonts w:ascii="Arial" w:cs="Arial" w:eastAsia="Arial" w:hAnsi="Arial"/>
                <w:sz w:val="15"/>
                <w:szCs w:val="15"/>
                <w:color w:val="auto"/>
              </w:rPr>
              <w:t>20,591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Company’s change in plan assets, funded status and amounts recognized on the Company’s consolidated balance sheets are as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80" w:type="dxa"/>
            <w:vAlign w:val="bottom"/>
          </w:tcPr>
          <w:p>
            <w:pPr>
              <w:spacing w:after="0"/>
              <w:rPr>
                <w:sz w:val="20"/>
                <w:szCs w:val="20"/>
                <w:color w:val="auto"/>
              </w:rPr>
            </w:pPr>
            <w:r>
              <w:rPr>
                <w:rFonts w:ascii="Arial" w:cs="Arial" w:eastAsia="Arial" w:hAnsi="Arial"/>
                <w:sz w:val="14"/>
                <w:szCs w:val="14"/>
                <w:i w:val="1"/>
                <w:iCs w:val="1"/>
                <w:color w:val="auto"/>
              </w:rPr>
              <w:t>years ended December 31</w:t>
            </w:r>
          </w:p>
        </w:tc>
        <w:tc>
          <w:tcPr>
            <w:tcW w:w="360" w:type="dxa"/>
            <w:vAlign w:val="bottom"/>
          </w:tcPr>
          <w:p>
            <w:pPr>
              <w:spacing w:after="0"/>
              <w:rPr>
                <w:sz w:val="14"/>
                <w:szCs w:val="14"/>
                <w:color w:val="auto"/>
              </w:rPr>
            </w:pPr>
          </w:p>
        </w:tc>
        <w:tc>
          <w:tcPr>
            <w:tcW w:w="700" w:type="dxa"/>
            <w:vAlign w:val="bottom"/>
            <w:vMerge w:val="restart"/>
          </w:tcPr>
          <w:p>
            <w:pPr>
              <w:jc w:val="right"/>
              <w:ind w:right="126"/>
              <w:spacing w:after="0"/>
              <w:rPr>
                <w:sz w:val="20"/>
                <w:szCs w:val="20"/>
                <w:color w:val="auto"/>
              </w:rPr>
            </w:pPr>
            <w:r>
              <w:rPr>
                <w:rFonts w:ascii="Arial" w:cs="Arial" w:eastAsia="Arial" w:hAnsi="Arial"/>
                <w:sz w:val="15"/>
                <w:szCs w:val="15"/>
                <w:b w:val="1"/>
                <w:bCs w:val="1"/>
                <w:color w:val="0085CD"/>
              </w:rPr>
              <w:t>2017</w:t>
            </w: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3680" w:type="dxa"/>
            <w:vAlign w:val="bottom"/>
            <w:tcBorders>
              <w:bottom w:val="single" w:sz="8" w:color="auto"/>
            </w:tcBorders>
          </w:tcPr>
          <w:p>
            <w:pPr>
              <w:spacing w:after="0" w:line="159" w:lineRule="exact"/>
              <w:rPr>
                <w:sz w:val="20"/>
                <w:szCs w:val="20"/>
                <w:color w:val="auto"/>
              </w:rPr>
            </w:pPr>
            <w:r>
              <w:rPr>
                <w:rFonts w:ascii="Arial" w:cs="Arial" w:eastAsia="Arial" w:hAnsi="Arial"/>
                <w:sz w:val="15"/>
                <w:szCs w:val="15"/>
                <w:color w:val="auto"/>
              </w:rPr>
              <w:t>(add 000)</w:t>
            </w:r>
          </w:p>
        </w:tc>
        <w:tc>
          <w:tcPr>
            <w:tcW w:w="3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6"/>
              <w:spacing w:after="0" w:line="159" w:lineRule="exact"/>
              <w:rPr>
                <w:sz w:val="20"/>
                <w:szCs w:val="20"/>
                <w:color w:val="auto"/>
              </w:rPr>
            </w:pPr>
            <w:r>
              <w:rPr>
                <w:rFonts w:ascii="Arial" w:cs="Arial" w:eastAsia="Arial" w:hAnsi="Arial"/>
                <w:sz w:val="15"/>
                <w:szCs w:val="15"/>
                <w:color w:val="auto"/>
              </w:rPr>
              <w:t>2016</w:t>
            </w:r>
          </w:p>
        </w:tc>
        <w:tc>
          <w:tcPr>
            <w:tcW w:w="0" w:type="dxa"/>
            <w:vAlign w:val="bottom"/>
          </w:tcPr>
          <w:p>
            <w:pPr>
              <w:spacing w:after="0"/>
              <w:rPr>
                <w:sz w:val="1"/>
                <w:szCs w:val="1"/>
                <w:color w:val="auto"/>
              </w:rPr>
            </w:pPr>
          </w:p>
        </w:tc>
      </w:tr>
      <w:tr>
        <w:trPr>
          <w:trHeight w:val="149"/>
        </w:trPr>
        <w:tc>
          <w:tcPr>
            <w:tcW w:w="368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Change in plan assets:</w:t>
            </w: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680" w:type="dxa"/>
            <w:vAlign w:val="bottom"/>
          </w:tcPr>
          <w:p>
            <w:pPr>
              <w:spacing w:after="0" w:line="156" w:lineRule="exact"/>
              <w:rPr>
                <w:sz w:val="20"/>
                <w:szCs w:val="20"/>
                <w:color w:val="auto"/>
              </w:rPr>
            </w:pPr>
            <w:r>
              <w:rPr>
                <w:rFonts w:ascii="Arial" w:cs="Arial" w:eastAsia="Arial" w:hAnsi="Arial"/>
                <w:sz w:val="15"/>
                <w:szCs w:val="15"/>
                <w:color w:val="auto"/>
              </w:rPr>
              <w:t>Fair value of plan assets at beginning of year</w:t>
            </w:r>
          </w:p>
        </w:tc>
        <w:tc>
          <w:tcPr>
            <w:tcW w:w="360" w:type="dxa"/>
            <w:vAlign w:val="bottom"/>
          </w:tcPr>
          <w:p>
            <w:pPr>
              <w:jc w:val="right"/>
              <w:spacing w:after="0" w:line="156" w:lineRule="exact"/>
              <w:rPr>
                <w:sz w:val="20"/>
                <w:szCs w:val="20"/>
                <w:color w:val="auto"/>
              </w:rPr>
            </w:pPr>
            <w:r>
              <w:rPr>
                <w:rFonts w:ascii="Arial" w:cs="Arial" w:eastAsia="Arial" w:hAnsi="Arial"/>
                <w:sz w:val="15"/>
                <w:szCs w:val="15"/>
                <w:b w:val="1"/>
                <w:bCs w:val="1"/>
                <w:color w:val="auto"/>
              </w:rPr>
              <w:t>$</w:t>
            </w:r>
          </w:p>
        </w:tc>
        <w:tc>
          <w:tcPr>
            <w:tcW w:w="700" w:type="dxa"/>
            <w:vAlign w:val="bottom"/>
          </w:tcPr>
          <w:p>
            <w:pPr>
              <w:jc w:val="right"/>
              <w:ind w:right="126"/>
              <w:spacing w:after="0" w:line="156" w:lineRule="exact"/>
              <w:rPr>
                <w:sz w:val="20"/>
                <w:szCs w:val="20"/>
                <w:color w:val="auto"/>
              </w:rPr>
            </w:pPr>
            <w:r>
              <w:rPr>
                <w:rFonts w:ascii="Arial" w:cs="Arial" w:eastAsia="Arial" w:hAnsi="Arial"/>
                <w:sz w:val="15"/>
                <w:szCs w:val="15"/>
                <w:b w:val="1"/>
                <w:bCs w:val="1"/>
                <w:color w:val="auto"/>
              </w:rPr>
              <w:t>–</w:t>
            </w:r>
          </w:p>
        </w:tc>
        <w:tc>
          <w:tcPr>
            <w:tcW w:w="240" w:type="dxa"/>
            <w:vAlign w:val="bottom"/>
          </w:tcPr>
          <w:p>
            <w:pPr>
              <w:jc w:val="right"/>
              <w:spacing w:after="0" w:line="156" w:lineRule="exact"/>
              <w:rPr>
                <w:sz w:val="20"/>
                <w:szCs w:val="20"/>
                <w:color w:val="auto"/>
              </w:rPr>
            </w:pPr>
            <w:r>
              <w:rPr>
                <w:rFonts w:ascii="Arial" w:cs="Arial" w:eastAsia="Arial" w:hAnsi="Arial"/>
                <w:sz w:val="15"/>
                <w:szCs w:val="15"/>
                <w:color w:val="auto"/>
              </w:rPr>
              <w:t>$</w:t>
            </w:r>
          </w:p>
        </w:tc>
        <w:tc>
          <w:tcPr>
            <w:tcW w:w="600" w:type="dxa"/>
            <w:vAlign w:val="bottom"/>
          </w:tcPr>
          <w:p>
            <w:pPr>
              <w:jc w:val="right"/>
              <w:ind w:right="6"/>
              <w:spacing w:after="0" w:line="15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6"/>
        </w:trPr>
        <w:tc>
          <w:tcPr>
            <w:tcW w:w="368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Employer contributions</w:t>
            </w:r>
          </w:p>
        </w:tc>
        <w:tc>
          <w:tcPr>
            <w:tcW w:w="36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126"/>
              <w:spacing w:after="0" w:line="156" w:lineRule="exact"/>
              <w:rPr>
                <w:sz w:val="20"/>
                <w:szCs w:val="20"/>
                <w:color w:val="auto"/>
              </w:rPr>
            </w:pPr>
            <w:r>
              <w:rPr>
                <w:rFonts w:ascii="Arial" w:cs="Arial" w:eastAsia="Arial" w:hAnsi="Arial"/>
                <w:sz w:val="15"/>
                <w:szCs w:val="15"/>
                <w:b w:val="1"/>
                <w:bCs w:val="1"/>
                <w:color w:val="auto"/>
              </w:rPr>
              <w:t>3,385</w:t>
            </w:r>
          </w:p>
        </w:tc>
        <w:tc>
          <w:tcPr>
            <w:tcW w:w="24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6"/>
              <w:spacing w:after="0" w:line="156" w:lineRule="exact"/>
              <w:rPr>
                <w:sz w:val="20"/>
                <w:szCs w:val="20"/>
                <w:color w:val="auto"/>
              </w:rPr>
            </w:pPr>
            <w:r>
              <w:rPr>
                <w:rFonts w:ascii="Arial" w:cs="Arial" w:eastAsia="Arial" w:hAnsi="Arial"/>
                <w:sz w:val="15"/>
                <w:szCs w:val="15"/>
                <w:color w:val="auto"/>
              </w:rPr>
              <w:t>3,127</w:t>
            </w:r>
          </w:p>
        </w:tc>
        <w:tc>
          <w:tcPr>
            <w:tcW w:w="0" w:type="dxa"/>
            <w:vAlign w:val="bottom"/>
          </w:tcPr>
          <w:p>
            <w:pPr>
              <w:spacing w:after="0"/>
              <w:rPr>
                <w:sz w:val="1"/>
                <w:szCs w:val="1"/>
                <w:color w:val="auto"/>
              </w:rPr>
            </w:pPr>
          </w:p>
        </w:tc>
      </w:tr>
      <w:tr>
        <w:trPr>
          <w:trHeight w:val="156"/>
        </w:trPr>
        <w:tc>
          <w:tcPr>
            <w:tcW w:w="3680" w:type="dxa"/>
            <w:vAlign w:val="bottom"/>
          </w:tcPr>
          <w:p>
            <w:pPr>
              <w:spacing w:after="0" w:line="156" w:lineRule="exact"/>
              <w:rPr>
                <w:sz w:val="20"/>
                <w:szCs w:val="20"/>
                <w:color w:val="auto"/>
              </w:rPr>
            </w:pPr>
            <w:r>
              <w:rPr>
                <w:rFonts w:ascii="Arial" w:cs="Arial" w:eastAsia="Arial" w:hAnsi="Arial"/>
                <w:sz w:val="15"/>
                <w:szCs w:val="15"/>
                <w:color w:val="auto"/>
              </w:rPr>
              <w:t>Participants’ contributions</w:t>
            </w:r>
          </w:p>
        </w:tc>
        <w:tc>
          <w:tcPr>
            <w:tcW w:w="360" w:type="dxa"/>
            <w:vAlign w:val="bottom"/>
          </w:tcPr>
          <w:p>
            <w:pPr>
              <w:spacing w:after="0"/>
              <w:rPr>
                <w:sz w:val="13"/>
                <w:szCs w:val="13"/>
                <w:color w:val="auto"/>
              </w:rPr>
            </w:pPr>
          </w:p>
        </w:tc>
        <w:tc>
          <w:tcPr>
            <w:tcW w:w="700" w:type="dxa"/>
            <w:vAlign w:val="bottom"/>
          </w:tcPr>
          <w:p>
            <w:pPr>
              <w:jc w:val="right"/>
              <w:ind w:right="126"/>
              <w:spacing w:after="0" w:line="156" w:lineRule="exact"/>
              <w:rPr>
                <w:sz w:val="20"/>
                <w:szCs w:val="20"/>
                <w:color w:val="auto"/>
              </w:rPr>
            </w:pPr>
            <w:r>
              <w:rPr>
                <w:rFonts w:ascii="Arial" w:cs="Arial" w:eastAsia="Arial" w:hAnsi="Arial"/>
                <w:sz w:val="15"/>
                <w:szCs w:val="15"/>
                <w:b w:val="1"/>
                <w:bCs w:val="1"/>
                <w:color w:val="auto"/>
              </w:rPr>
              <w:t>3,421</w:t>
            </w:r>
          </w:p>
        </w:tc>
        <w:tc>
          <w:tcPr>
            <w:tcW w:w="240" w:type="dxa"/>
            <w:vAlign w:val="bottom"/>
          </w:tcPr>
          <w:p>
            <w:pPr>
              <w:spacing w:after="0"/>
              <w:rPr>
                <w:sz w:val="13"/>
                <w:szCs w:val="13"/>
                <w:color w:val="auto"/>
              </w:rPr>
            </w:pPr>
          </w:p>
        </w:tc>
        <w:tc>
          <w:tcPr>
            <w:tcW w:w="600" w:type="dxa"/>
            <w:vAlign w:val="bottom"/>
          </w:tcPr>
          <w:p>
            <w:pPr>
              <w:jc w:val="right"/>
              <w:ind w:right="6"/>
              <w:spacing w:after="0" w:line="156" w:lineRule="exact"/>
              <w:rPr>
                <w:sz w:val="20"/>
                <w:szCs w:val="20"/>
                <w:color w:val="auto"/>
              </w:rPr>
            </w:pPr>
            <w:r>
              <w:rPr>
                <w:rFonts w:ascii="Arial" w:cs="Arial" w:eastAsia="Arial" w:hAnsi="Arial"/>
                <w:sz w:val="15"/>
                <w:szCs w:val="15"/>
                <w:color w:val="auto"/>
              </w:rPr>
              <w:t>2,616</w:t>
            </w:r>
          </w:p>
        </w:tc>
        <w:tc>
          <w:tcPr>
            <w:tcW w:w="0" w:type="dxa"/>
            <w:vAlign w:val="bottom"/>
          </w:tcPr>
          <w:p>
            <w:pPr>
              <w:spacing w:after="0"/>
              <w:rPr>
                <w:sz w:val="1"/>
                <w:szCs w:val="1"/>
                <w:color w:val="auto"/>
              </w:rPr>
            </w:pPr>
          </w:p>
        </w:tc>
      </w:tr>
      <w:tr>
        <w:trPr>
          <w:trHeight w:val="156"/>
        </w:trPr>
        <w:tc>
          <w:tcPr>
            <w:tcW w:w="368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Gross benefits paid</w:t>
            </w:r>
          </w:p>
        </w:tc>
        <w:tc>
          <w:tcPr>
            <w:tcW w:w="36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66"/>
              <w:spacing w:after="0" w:line="156" w:lineRule="exact"/>
              <w:rPr>
                <w:sz w:val="20"/>
                <w:szCs w:val="20"/>
                <w:color w:val="auto"/>
              </w:rPr>
            </w:pPr>
            <w:r>
              <w:rPr>
                <w:rFonts w:ascii="Arial" w:cs="Arial" w:eastAsia="Arial" w:hAnsi="Arial"/>
                <w:sz w:val="15"/>
                <w:szCs w:val="15"/>
                <w:b w:val="1"/>
                <w:bCs w:val="1"/>
                <w:color w:val="auto"/>
              </w:rPr>
              <w:t>(6,806)</w:t>
            </w:r>
          </w:p>
        </w:tc>
        <w:tc>
          <w:tcPr>
            <w:tcW w:w="24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(5,743)</w:t>
            </w:r>
          </w:p>
        </w:tc>
        <w:tc>
          <w:tcPr>
            <w:tcW w:w="0" w:type="dxa"/>
            <w:vAlign w:val="bottom"/>
          </w:tcPr>
          <w:p>
            <w:pPr>
              <w:spacing w:after="0"/>
              <w:rPr>
                <w:sz w:val="1"/>
                <w:szCs w:val="1"/>
                <w:color w:val="auto"/>
              </w:rPr>
            </w:pPr>
          </w:p>
        </w:tc>
      </w:tr>
      <w:tr>
        <w:trPr>
          <w:trHeight w:val="155"/>
        </w:trPr>
        <w:tc>
          <w:tcPr>
            <w:tcW w:w="3680" w:type="dxa"/>
            <w:vAlign w:val="bottom"/>
            <w:tcBorders>
              <w:bottom w:val="single" w:sz="8" w:color="auto"/>
            </w:tcBorders>
          </w:tcPr>
          <w:p>
            <w:pPr>
              <w:spacing w:after="0" w:line="149" w:lineRule="exact"/>
              <w:rPr>
                <w:sz w:val="20"/>
                <w:szCs w:val="20"/>
                <w:color w:val="auto"/>
              </w:rPr>
            </w:pPr>
            <w:r>
              <w:rPr>
                <w:rFonts w:ascii="Arial" w:cs="Arial" w:eastAsia="Arial" w:hAnsi="Arial"/>
                <w:sz w:val="15"/>
                <w:szCs w:val="15"/>
                <w:color w:val="auto"/>
              </w:rPr>
              <w:t>Fair value of plan assets at end of year</w:t>
            </w:r>
          </w:p>
        </w:tc>
        <w:tc>
          <w:tcPr>
            <w:tcW w:w="3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700" w:type="dxa"/>
            <w:vAlign w:val="bottom"/>
            <w:tcBorders>
              <w:bottom w:val="single" w:sz="8" w:color="auto"/>
            </w:tcBorders>
          </w:tcPr>
          <w:p>
            <w:pPr>
              <w:jc w:val="right"/>
              <w:ind w:right="126"/>
              <w:spacing w:after="0" w:line="149" w:lineRule="exact"/>
              <w:rPr>
                <w:sz w:val="20"/>
                <w:szCs w:val="20"/>
                <w:color w:val="auto"/>
              </w:rPr>
            </w:pPr>
            <w:r>
              <w:rPr>
                <w:rFonts w:ascii="Arial" w:cs="Arial" w:eastAsia="Arial" w:hAnsi="Arial"/>
                <w:sz w:val="15"/>
                <w:szCs w:val="15"/>
                <w:b w:val="1"/>
                <w:bCs w:val="1"/>
                <w:color w:val="auto"/>
              </w:rPr>
              <w:t>–</w:t>
            </w:r>
          </w:p>
        </w:tc>
        <w:tc>
          <w:tcPr>
            <w:tcW w:w="2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color w:val="auto"/>
              </w:rPr>
              <w:t>$</w:t>
            </w:r>
          </w:p>
        </w:tc>
        <w:tc>
          <w:tcPr>
            <w:tcW w:w="600" w:type="dxa"/>
            <w:vAlign w:val="bottom"/>
            <w:tcBorders>
              <w:bottom w:val="single" w:sz="8" w:color="auto"/>
            </w:tcBorders>
          </w:tcPr>
          <w:p>
            <w:pPr>
              <w:jc w:val="right"/>
              <w:ind w:right="6"/>
              <w:spacing w:after="0" w:line="14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3"/>
        </w:trPr>
        <w:tc>
          <w:tcPr>
            <w:tcW w:w="3680" w:type="dxa"/>
            <w:vAlign w:val="bottom"/>
          </w:tcPr>
          <w:p>
            <w:pPr>
              <w:spacing w:after="0"/>
              <w:rPr>
                <w:sz w:val="20"/>
                <w:szCs w:val="20"/>
                <w:color w:val="auto"/>
              </w:rPr>
            </w:pPr>
            <w:r>
              <w:rPr>
                <w:rFonts w:ascii="Arial" w:cs="Arial" w:eastAsia="Arial" w:hAnsi="Arial"/>
                <w:sz w:val="14"/>
                <w:szCs w:val="14"/>
                <w:i w:val="1"/>
                <w:iCs w:val="1"/>
                <w:color w:val="auto"/>
              </w:rPr>
              <w:t>December 31</w:t>
            </w:r>
          </w:p>
        </w:tc>
        <w:tc>
          <w:tcPr>
            <w:tcW w:w="360" w:type="dxa"/>
            <w:vAlign w:val="bottom"/>
          </w:tcPr>
          <w:p>
            <w:pPr>
              <w:spacing w:after="0"/>
              <w:rPr>
                <w:sz w:val="21"/>
                <w:szCs w:val="21"/>
                <w:color w:val="auto"/>
              </w:rPr>
            </w:pPr>
          </w:p>
        </w:tc>
        <w:tc>
          <w:tcPr>
            <w:tcW w:w="700" w:type="dxa"/>
            <w:vAlign w:val="bottom"/>
            <w:vMerge w:val="restart"/>
          </w:tcPr>
          <w:p>
            <w:pPr>
              <w:jc w:val="right"/>
              <w:ind w:right="126"/>
              <w:spacing w:after="0"/>
              <w:rPr>
                <w:sz w:val="20"/>
                <w:szCs w:val="20"/>
                <w:color w:val="auto"/>
              </w:rPr>
            </w:pPr>
            <w:r>
              <w:rPr>
                <w:rFonts w:ascii="Arial" w:cs="Arial" w:eastAsia="Arial" w:hAnsi="Arial"/>
                <w:sz w:val="15"/>
                <w:szCs w:val="15"/>
                <w:b w:val="1"/>
                <w:bCs w:val="1"/>
                <w:color w:val="0085CD"/>
              </w:rPr>
              <w:t>2017</w:t>
            </w: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9"/>
        </w:trPr>
        <w:tc>
          <w:tcPr>
            <w:tcW w:w="3680" w:type="dxa"/>
            <w:vAlign w:val="bottom"/>
            <w:tcBorders>
              <w:bottom w:val="single" w:sz="8" w:color="auto"/>
            </w:tcBorders>
          </w:tcPr>
          <w:p>
            <w:pPr>
              <w:spacing w:after="0" w:line="159" w:lineRule="exact"/>
              <w:rPr>
                <w:sz w:val="20"/>
                <w:szCs w:val="20"/>
                <w:color w:val="auto"/>
              </w:rPr>
            </w:pPr>
            <w:r>
              <w:rPr>
                <w:rFonts w:ascii="Arial" w:cs="Arial" w:eastAsia="Arial" w:hAnsi="Arial"/>
                <w:sz w:val="15"/>
                <w:szCs w:val="15"/>
                <w:color w:val="auto"/>
              </w:rPr>
              <w:t>(add 000)</w:t>
            </w:r>
          </w:p>
        </w:tc>
        <w:tc>
          <w:tcPr>
            <w:tcW w:w="3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6"/>
              <w:spacing w:after="0" w:line="159" w:lineRule="exact"/>
              <w:rPr>
                <w:sz w:val="20"/>
                <w:szCs w:val="20"/>
                <w:color w:val="auto"/>
              </w:rPr>
            </w:pPr>
            <w:r>
              <w:rPr>
                <w:rFonts w:ascii="Arial" w:cs="Arial" w:eastAsia="Arial" w:hAnsi="Arial"/>
                <w:sz w:val="15"/>
                <w:szCs w:val="15"/>
                <w:color w:val="auto"/>
              </w:rPr>
              <w:t>2016</w:t>
            </w:r>
          </w:p>
        </w:tc>
        <w:tc>
          <w:tcPr>
            <w:tcW w:w="0" w:type="dxa"/>
            <w:vAlign w:val="bottom"/>
          </w:tcPr>
          <w:p>
            <w:pPr>
              <w:spacing w:after="0"/>
              <w:rPr>
                <w:sz w:val="1"/>
                <w:szCs w:val="1"/>
                <w:color w:val="auto"/>
              </w:rPr>
            </w:pPr>
          </w:p>
        </w:tc>
      </w:tr>
      <w:tr>
        <w:trPr>
          <w:trHeight w:val="149"/>
        </w:trPr>
        <w:tc>
          <w:tcPr>
            <w:tcW w:w="368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5"/>
                <w:szCs w:val="15"/>
                <w:color w:val="auto"/>
              </w:rPr>
              <w:t>Funded status of the plan at end of year</w:t>
            </w:r>
          </w:p>
        </w:tc>
        <w:tc>
          <w:tcPr>
            <w:tcW w:w="3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700" w:type="dxa"/>
            <w:vAlign w:val="bottom"/>
            <w:tcBorders>
              <w:bottom w:val="single" w:sz="8" w:color="auto"/>
            </w:tcBorders>
            <w:shd w:val="clear" w:color="auto" w:fill="CCEEFF"/>
          </w:tcPr>
          <w:p>
            <w:pPr>
              <w:jc w:val="right"/>
              <w:ind w:right="66"/>
              <w:spacing w:after="0" w:line="149" w:lineRule="exact"/>
              <w:rPr>
                <w:sz w:val="20"/>
                <w:szCs w:val="20"/>
                <w:color w:val="auto"/>
              </w:rPr>
            </w:pPr>
            <w:r>
              <w:rPr>
                <w:rFonts w:ascii="Arial" w:cs="Arial" w:eastAsia="Arial" w:hAnsi="Arial"/>
                <w:sz w:val="15"/>
                <w:szCs w:val="15"/>
                <w:b w:val="1"/>
                <w:bCs w:val="1"/>
                <w:color w:val="auto"/>
                <w:w w:val="96"/>
              </w:rPr>
              <w:t>(15,347)</w:t>
            </w:r>
          </w:p>
        </w:tc>
        <w:tc>
          <w:tcPr>
            <w:tcW w:w="2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w w:val="96"/>
              </w:rPr>
              <w:t>(20,591)</w:t>
            </w:r>
          </w:p>
        </w:tc>
        <w:tc>
          <w:tcPr>
            <w:tcW w:w="0" w:type="dxa"/>
            <w:vAlign w:val="bottom"/>
          </w:tcPr>
          <w:p>
            <w:pPr>
              <w:spacing w:after="0"/>
              <w:rPr>
                <w:sz w:val="1"/>
                <w:szCs w:val="1"/>
                <w:color w:val="auto"/>
              </w:rPr>
            </w:pPr>
          </w:p>
        </w:tc>
      </w:tr>
      <w:tr>
        <w:trPr>
          <w:trHeight w:val="155"/>
        </w:trPr>
        <w:tc>
          <w:tcPr>
            <w:tcW w:w="3680" w:type="dxa"/>
            <w:vAlign w:val="bottom"/>
            <w:tcBorders>
              <w:bottom w:val="single" w:sz="8" w:color="auto"/>
            </w:tcBorders>
          </w:tcPr>
          <w:p>
            <w:pPr>
              <w:spacing w:after="0" w:line="149" w:lineRule="exact"/>
              <w:rPr>
                <w:sz w:val="20"/>
                <w:szCs w:val="20"/>
                <w:color w:val="auto"/>
              </w:rPr>
            </w:pPr>
            <w:r>
              <w:rPr>
                <w:rFonts w:ascii="Arial" w:cs="Arial" w:eastAsia="Arial" w:hAnsi="Arial"/>
                <w:sz w:val="15"/>
                <w:szCs w:val="15"/>
                <w:color w:val="auto"/>
              </w:rPr>
              <w:t>Accrued benefit cost</w:t>
            </w:r>
          </w:p>
        </w:tc>
        <w:tc>
          <w:tcPr>
            <w:tcW w:w="3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700" w:type="dxa"/>
            <w:vAlign w:val="bottom"/>
            <w:tcBorders>
              <w:bottom w:val="single" w:sz="8" w:color="auto"/>
            </w:tcBorders>
          </w:tcPr>
          <w:p>
            <w:pPr>
              <w:jc w:val="right"/>
              <w:ind w:right="66"/>
              <w:spacing w:after="0" w:line="149" w:lineRule="exact"/>
              <w:rPr>
                <w:sz w:val="20"/>
                <w:szCs w:val="20"/>
                <w:color w:val="auto"/>
              </w:rPr>
            </w:pPr>
            <w:r>
              <w:rPr>
                <w:rFonts w:ascii="Arial" w:cs="Arial" w:eastAsia="Arial" w:hAnsi="Arial"/>
                <w:sz w:val="15"/>
                <w:szCs w:val="15"/>
                <w:b w:val="1"/>
                <w:bCs w:val="1"/>
                <w:color w:val="auto"/>
                <w:w w:val="96"/>
              </w:rPr>
              <w:t>(15,347)</w:t>
            </w:r>
          </w:p>
        </w:tc>
        <w:tc>
          <w:tcPr>
            <w:tcW w:w="2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color w:val="auto"/>
              </w:rPr>
              <w:t>$</w:t>
            </w: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color w:val="auto"/>
                <w:w w:val="96"/>
              </w:rPr>
              <w:t>(20,591)</w:t>
            </w:r>
          </w:p>
        </w:tc>
        <w:tc>
          <w:tcPr>
            <w:tcW w:w="0" w:type="dxa"/>
            <w:vAlign w:val="bottom"/>
          </w:tcPr>
          <w:p>
            <w:pPr>
              <w:spacing w:after="0"/>
              <w:rPr>
                <w:sz w:val="1"/>
                <w:szCs w:val="1"/>
                <w:color w:val="auto"/>
              </w:rPr>
            </w:pPr>
          </w:p>
        </w:tc>
      </w:tr>
      <w:tr>
        <w:trPr>
          <w:trHeight w:val="243"/>
        </w:trPr>
        <w:tc>
          <w:tcPr>
            <w:tcW w:w="3680" w:type="dxa"/>
            <w:vAlign w:val="bottom"/>
          </w:tcPr>
          <w:p>
            <w:pPr>
              <w:spacing w:after="0"/>
              <w:rPr>
                <w:sz w:val="20"/>
                <w:szCs w:val="20"/>
                <w:color w:val="auto"/>
              </w:rPr>
            </w:pPr>
            <w:r>
              <w:rPr>
                <w:rFonts w:ascii="Arial" w:cs="Arial" w:eastAsia="Arial" w:hAnsi="Arial"/>
                <w:sz w:val="14"/>
                <w:szCs w:val="14"/>
                <w:i w:val="1"/>
                <w:iCs w:val="1"/>
                <w:color w:val="auto"/>
              </w:rPr>
              <w:t>December 31</w:t>
            </w:r>
          </w:p>
        </w:tc>
        <w:tc>
          <w:tcPr>
            <w:tcW w:w="360" w:type="dxa"/>
            <w:vAlign w:val="bottom"/>
          </w:tcPr>
          <w:p>
            <w:pPr>
              <w:spacing w:after="0"/>
              <w:rPr>
                <w:sz w:val="21"/>
                <w:szCs w:val="21"/>
                <w:color w:val="auto"/>
              </w:rPr>
            </w:pPr>
          </w:p>
        </w:tc>
        <w:tc>
          <w:tcPr>
            <w:tcW w:w="700" w:type="dxa"/>
            <w:vAlign w:val="bottom"/>
            <w:vMerge w:val="restart"/>
          </w:tcPr>
          <w:p>
            <w:pPr>
              <w:jc w:val="right"/>
              <w:ind w:right="126"/>
              <w:spacing w:after="0"/>
              <w:rPr>
                <w:sz w:val="20"/>
                <w:szCs w:val="20"/>
                <w:color w:val="auto"/>
              </w:rPr>
            </w:pPr>
            <w:r>
              <w:rPr>
                <w:rFonts w:ascii="Arial" w:cs="Arial" w:eastAsia="Arial" w:hAnsi="Arial"/>
                <w:sz w:val="15"/>
                <w:szCs w:val="15"/>
                <w:b w:val="1"/>
                <w:bCs w:val="1"/>
                <w:color w:val="0085CD"/>
              </w:rPr>
              <w:t>2017</w:t>
            </w: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9"/>
        </w:trPr>
        <w:tc>
          <w:tcPr>
            <w:tcW w:w="3680" w:type="dxa"/>
            <w:vAlign w:val="bottom"/>
            <w:tcBorders>
              <w:bottom w:val="single" w:sz="8" w:color="auto"/>
            </w:tcBorders>
          </w:tcPr>
          <w:p>
            <w:pPr>
              <w:spacing w:after="0" w:line="159" w:lineRule="exact"/>
              <w:rPr>
                <w:sz w:val="20"/>
                <w:szCs w:val="20"/>
                <w:color w:val="auto"/>
              </w:rPr>
            </w:pPr>
            <w:r>
              <w:rPr>
                <w:rFonts w:ascii="Arial" w:cs="Arial" w:eastAsia="Arial" w:hAnsi="Arial"/>
                <w:sz w:val="15"/>
                <w:szCs w:val="15"/>
                <w:color w:val="auto"/>
              </w:rPr>
              <w:t>(add 000)</w:t>
            </w:r>
          </w:p>
        </w:tc>
        <w:tc>
          <w:tcPr>
            <w:tcW w:w="3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6"/>
              <w:spacing w:after="0" w:line="159" w:lineRule="exact"/>
              <w:rPr>
                <w:sz w:val="20"/>
                <w:szCs w:val="20"/>
                <w:color w:val="auto"/>
              </w:rPr>
            </w:pPr>
            <w:r>
              <w:rPr>
                <w:rFonts w:ascii="Arial" w:cs="Arial" w:eastAsia="Arial" w:hAnsi="Arial"/>
                <w:sz w:val="15"/>
                <w:szCs w:val="15"/>
                <w:color w:val="auto"/>
              </w:rPr>
              <w:t>2016</w:t>
            </w:r>
          </w:p>
        </w:tc>
        <w:tc>
          <w:tcPr>
            <w:tcW w:w="0" w:type="dxa"/>
            <w:vAlign w:val="bottom"/>
          </w:tcPr>
          <w:p>
            <w:pPr>
              <w:spacing w:after="0"/>
              <w:rPr>
                <w:sz w:val="1"/>
                <w:szCs w:val="1"/>
                <w:color w:val="auto"/>
              </w:rPr>
            </w:pPr>
          </w:p>
        </w:tc>
      </w:tr>
      <w:tr>
        <w:trPr>
          <w:trHeight w:val="145"/>
        </w:trPr>
        <w:tc>
          <w:tcPr>
            <w:tcW w:w="3680" w:type="dxa"/>
            <w:vAlign w:val="bottom"/>
            <w:shd w:val="clear" w:color="auto" w:fill="CCEEFF"/>
          </w:tcPr>
          <w:p>
            <w:pPr>
              <w:spacing w:after="0" w:line="146" w:lineRule="exact"/>
              <w:rPr>
                <w:sz w:val="20"/>
                <w:szCs w:val="20"/>
                <w:color w:val="auto"/>
              </w:rPr>
            </w:pPr>
            <w:r>
              <w:rPr>
                <w:rFonts w:ascii="Arial" w:cs="Arial" w:eastAsia="Arial" w:hAnsi="Arial"/>
                <w:sz w:val="15"/>
                <w:szCs w:val="15"/>
                <w:color w:val="auto"/>
              </w:rPr>
              <w:t>Amounts recognized on consolidated balance sheets</w:t>
            </w: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680" w:type="dxa"/>
            <w:vAlign w:val="bottom"/>
            <w:shd w:val="clear" w:color="auto" w:fill="CCEEFF"/>
          </w:tcPr>
          <w:p>
            <w:pPr>
              <w:ind w:left="140"/>
              <w:spacing w:after="0" w:line="159" w:lineRule="exact"/>
              <w:rPr>
                <w:sz w:val="20"/>
                <w:szCs w:val="20"/>
                <w:color w:val="auto"/>
              </w:rPr>
            </w:pPr>
            <w:r>
              <w:rPr>
                <w:rFonts w:ascii="Arial" w:cs="Arial" w:eastAsia="Arial" w:hAnsi="Arial"/>
                <w:sz w:val="15"/>
                <w:szCs w:val="15"/>
                <w:color w:val="auto"/>
              </w:rPr>
              <w:t>consist of:</w:t>
            </w:r>
          </w:p>
        </w:tc>
        <w:tc>
          <w:tcPr>
            <w:tcW w:w="3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80" w:type="dxa"/>
            <w:vAlign w:val="bottom"/>
          </w:tcPr>
          <w:p>
            <w:pPr>
              <w:spacing w:after="0" w:line="156" w:lineRule="exact"/>
              <w:rPr>
                <w:sz w:val="20"/>
                <w:szCs w:val="20"/>
                <w:color w:val="auto"/>
              </w:rPr>
            </w:pPr>
            <w:r>
              <w:rPr>
                <w:rFonts w:ascii="Arial" w:cs="Arial" w:eastAsia="Arial" w:hAnsi="Arial"/>
                <w:sz w:val="15"/>
                <w:szCs w:val="15"/>
                <w:color w:val="auto"/>
              </w:rPr>
              <w:t>Current liability</w:t>
            </w:r>
          </w:p>
        </w:tc>
        <w:tc>
          <w:tcPr>
            <w:tcW w:w="360" w:type="dxa"/>
            <w:vAlign w:val="bottom"/>
          </w:tcPr>
          <w:p>
            <w:pPr>
              <w:jc w:val="right"/>
              <w:spacing w:after="0" w:line="156" w:lineRule="exact"/>
              <w:rPr>
                <w:sz w:val="20"/>
                <w:szCs w:val="20"/>
                <w:color w:val="auto"/>
              </w:rPr>
            </w:pPr>
            <w:r>
              <w:rPr>
                <w:rFonts w:ascii="Arial" w:cs="Arial" w:eastAsia="Arial" w:hAnsi="Arial"/>
                <w:sz w:val="15"/>
                <w:szCs w:val="15"/>
                <w:b w:val="1"/>
                <w:bCs w:val="1"/>
                <w:color w:val="auto"/>
              </w:rPr>
              <w:t>$</w:t>
            </w:r>
          </w:p>
        </w:tc>
        <w:tc>
          <w:tcPr>
            <w:tcW w:w="700" w:type="dxa"/>
            <w:vAlign w:val="bottom"/>
          </w:tcPr>
          <w:p>
            <w:pPr>
              <w:jc w:val="right"/>
              <w:ind w:right="66"/>
              <w:spacing w:after="0" w:line="156" w:lineRule="exact"/>
              <w:rPr>
                <w:sz w:val="20"/>
                <w:szCs w:val="20"/>
                <w:color w:val="auto"/>
              </w:rPr>
            </w:pPr>
            <w:r>
              <w:rPr>
                <w:rFonts w:ascii="Arial" w:cs="Arial" w:eastAsia="Arial" w:hAnsi="Arial"/>
                <w:sz w:val="15"/>
                <w:szCs w:val="15"/>
                <w:b w:val="1"/>
                <w:bCs w:val="1"/>
                <w:color w:val="auto"/>
              </w:rPr>
              <w:t>(2,560)</w:t>
            </w:r>
          </w:p>
        </w:tc>
        <w:tc>
          <w:tcPr>
            <w:tcW w:w="240" w:type="dxa"/>
            <w:vAlign w:val="bottom"/>
          </w:tcPr>
          <w:p>
            <w:pPr>
              <w:jc w:val="right"/>
              <w:spacing w:after="0" w:line="156" w:lineRule="exact"/>
              <w:rPr>
                <w:sz w:val="20"/>
                <w:szCs w:val="20"/>
                <w:color w:val="auto"/>
              </w:rPr>
            </w:pPr>
            <w:r>
              <w:rPr>
                <w:rFonts w:ascii="Arial" w:cs="Arial" w:eastAsia="Arial" w:hAnsi="Arial"/>
                <w:sz w:val="15"/>
                <w:szCs w:val="15"/>
                <w:color w:val="auto"/>
              </w:rPr>
              <w:t>$</w:t>
            </w:r>
          </w:p>
        </w:tc>
        <w:tc>
          <w:tcPr>
            <w:tcW w:w="600" w:type="dxa"/>
            <w:vAlign w:val="bottom"/>
          </w:tcPr>
          <w:p>
            <w:pPr>
              <w:jc w:val="right"/>
              <w:spacing w:after="0" w:line="156" w:lineRule="exact"/>
              <w:rPr>
                <w:sz w:val="20"/>
                <w:szCs w:val="20"/>
                <w:color w:val="auto"/>
              </w:rPr>
            </w:pPr>
            <w:r>
              <w:rPr>
                <w:rFonts w:ascii="Arial" w:cs="Arial" w:eastAsia="Arial" w:hAnsi="Arial"/>
                <w:sz w:val="15"/>
                <w:szCs w:val="15"/>
                <w:color w:val="auto"/>
              </w:rPr>
              <w:t>(3,070)</w:t>
            </w:r>
          </w:p>
        </w:tc>
        <w:tc>
          <w:tcPr>
            <w:tcW w:w="0" w:type="dxa"/>
            <w:vAlign w:val="bottom"/>
          </w:tcPr>
          <w:p>
            <w:pPr>
              <w:spacing w:after="0"/>
              <w:rPr>
                <w:sz w:val="1"/>
                <w:szCs w:val="1"/>
                <w:color w:val="auto"/>
              </w:rPr>
            </w:pPr>
          </w:p>
        </w:tc>
      </w:tr>
      <w:tr>
        <w:trPr>
          <w:trHeight w:val="156"/>
        </w:trPr>
        <w:tc>
          <w:tcPr>
            <w:tcW w:w="368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Noncurrent liability</w:t>
            </w:r>
          </w:p>
        </w:tc>
        <w:tc>
          <w:tcPr>
            <w:tcW w:w="36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66"/>
              <w:spacing w:after="0" w:line="156" w:lineRule="exact"/>
              <w:rPr>
                <w:sz w:val="20"/>
                <w:szCs w:val="20"/>
                <w:color w:val="auto"/>
              </w:rPr>
            </w:pPr>
            <w:r>
              <w:rPr>
                <w:rFonts w:ascii="Arial" w:cs="Arial" w:eastAsia="Arial" w:hAnsi="Arial"/>
                <w:sz w:val="15"/>
                <w:szCs w:val="15"/>
                <w:b w:val="1"/>
                <w:bCs w:val="1"/>
                <w:color w:val="auto"/>
                <w:w w:val="96"/>
              </w:rPr>
              <w:t>(12,787)</w:t>
            </w:r>
          </w:p>
        </w:tc>
        <w:tc>
          <w:tcPr>
            <w:tcW w:w="24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6"/>
              </w:rPr>
              <w:t>(17,521)</w:t>
            </w:r>
          </w:p>
        </w:tc>
        <w:tc>
          <w:tcPr>
            <w:tcW w:w="0" w:type="dxa"/>
            <w:vAlign w:val="bottom"/>
          </w:tcPr>
          <w:p>
            <w:pPr>
              <w:spacing w:after="0"/>
              <w:rPr>
                <w:sz w:val="1"/>
                <w:szCs w:val="1"/>
                <w:color w:val="auto"/>
              </w:rPr>
            </w:pPr>
          </w:p>
        </w:tc>
      </w:tr>
      <w:tr>
        <w:trPr>
          <w:trHeight w:val="155"/>
        </w:trPr>
        <w:tc>
          <w:tcPr>
            <w:tcW w:w="3680" w:type="dxa"/>
            <w:vAlign w:val="bottom"/>
            <w:tcBorders>
              <w:bottom w:val="single" w:sz="8" w:color="auto"/>
            </w:tcBorders>
          </w:tcPr>
          <w:p>
            <w:pPr>
              <w:spacing w:after="0" w:line="149" w:lineRule="exact"/>
              <w:rPr>
                <w:sz w:val="20"/>
                <w:szCs w:val="20"/>
                <w:color w:val="auto"/>
              </w:rPr>
            </w:pPr>
            <w:r>
              <w:rPr>
                <w:rFonts w:ascii="Arial" w:cs="Arial" w:eastAsia="Arial" w:hAnsi="Arial"/>
                <w:sz w:val="15"/>
                <w:szCs w:val="15"/>
                <w:color w:val="auto"/>
              </w:rPr>
              <w:t>Net amount recognized at end of year</w:t>
            </w:r>
          </w:p>
        </w:tc>
        <w:tc>
          <w:tcPr>
            <w:tcW w:w="3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700" w:type="dxa"/>
            <w:vAlign w:val="bottom"/>
            <w:tcBorders>
              <w:bottom w:val="single" w:sz="8" w:color="auto"/>
            </w:tcBorders>
          </w:tcPr>
          <w:p>
            <w:pPr>
              <w:jc w:val="right"/>
              <w:ind w:right="66"/>
              <w:spacing w:after="0" w:line="149" w:lineRule="exact"/>
              <w:rPr>
                <w:sz w:val="20"/>
                <w:szCs w:val="20"/>
                <w:color w:val="auto"/>
              </w:rPr>
            </w:pPr>
            <w:r>
              <w:rPr>
                <w:rFonts w:ascii="Arial" w:cs="Arial" w:eastAsia="Arial" w:hAnsi="Arial"/>
                <w:sz w:val="15"/>
                <w:szCs w:val="15"/>
                <w:b w:val="1"/>
                <w:bCs w:val="1"/>
                <w:color w:val="auto"/>
                <w:w w:val="96"/>
              </w:rPr>
              <w:t>(15,347)</w:t>
            </w:r>
          </w:p>
        </w:tc>
        <w:tc>
          <w:tcPr>
            <w:tcW w:w="2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color w:val="auto"/>
              </w:rPr>
              <w:t>$</w:t>
            </w: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color w:val="auto"/>
                <w:w w:val="96"/>
              </w:rPr>
              <w:t>(20,591)</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Weighted-average assumptions used to determine the post-retirement benefit obligations as of December 31 are:</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58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b w:val="1"/>
                <w:bCs w:val="1"/>
                <w:color w:val="0085CD"/>
              </w:rPr>
              <w:t>2017</w:t>
            </w:r>
          </w:p>
        </w:tc>
        <w:tc>
          <w:tcPr>
            <w:tcW w:w="66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2016</w:t>
            </w:r>
          </w:p>
        </w:tc>
      </w:tr>
      <w:tr>
        <w:trPr>
          <w:trHeight w:val="149"/>
        </w:trPr>
        <w:tc>
          <w:tcPr>
            <w:tcW w:w="258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Discount rate</w:t>
            </w:r>
          </w:p>
        </w:tc>
        <w:tc>
          <w:tcPr>
            <w:tcW w:w="2340" w:type="dxa"/>
            <w:vAlign w:val="bottom"/>
            <w:shd w:val="clear" w:color="auto" w:fill="CCEEFF"/>
          </w:tcPr>
          <w:p>
            <w:pPr>
              <w:jc w:val="right"/>
              <w:ind w:right="86"/>
              <w:spacing w:after="0" w:line="149" w:lineRule="exact"/>
              <w:rPr>
                <w:sz w:val="20"/>
                <w:szCs w:val="20"/>
                <w:color w:val="auto"/>
              </w:rPr>
            </w:pPr>
            <w:r>
              <w:rPr>
                <w:rFonts w:ascii="Arial" w:cs="Arial" w:eastAsia="Arial" w:hAnsi="Arial"/>
                <w:sz w:val="15"/>
                <w:szCs w:val="15"/>
                <w:b w:val="1"/>
                <w:bCs w:val="1"/>
                <w:color w:val="auto"/>
              </w:rPr>
              <w:t>3.47%</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3.78%</w:t>
            </w:r>
          </w:p>
        </w:tc>
      </w:tr>
    </w:tbl>
    <w:p>
      <w:pPr>
        <w:spacing w:after="0" w:line="9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Weighted-average assumptions used to determine net post-retirement benefit cost for the years ended December 31 are:</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16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b w:val="1"/>
                <w:bCs w:val="1"/>
                <w:color w:val="0085CD"/>
              </w:rPr>
              <w:t>2017</w:t>
            </w:r>
          </w:p>
        </w:tc>
        <w:tc>
          <w:tcPr>
            <w:tcW w:w="80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color w:val="auto"/>
              </w:rPr>
              <w:t>2016</w:t>
            </w:r>
          </w:p>
        </w:tc>
        <w:tc>
          <w:tcPr>
            <w:tcW w:w="68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2015</w:t>
            </w:r>
          </w:p>
        </w:tc>
      </w:tr>
      <w:tr>
        <w:trPr>
          <w:trHeight w:val="149"/>
        </w:trPr>
        <w:tc>
          <w:tcPr>
            <w:tcW w:w="216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Discount rate</w:t>
            </w:r>
          </w:p>
        </w:tc>
        <w:tc>
          <w:tcPr>
            <w:tcW w:w="1940" w:type="dxa"/>
            <w:vAlign w:val="bottom"/>
            <w:shd w:val="clear" w:color="auto" w:fill="CCEEFF"/>
          </w:tcPr>
          <w:p>
            <w:pPr>
              <w:jc w:val="right"/>
              <w:ind w:right="86"/>
              <w:spacing w:after="0" w:line="149" w:lineRule="exact"/>
              <w:rPr>
                <w:sz w:val="20"/>
                <w:szCs w:val="20"/>
                <w:color w:val="auto"/>
              </w:rPr>
            </w:pPr>
            <w:r>
              <w:rPr>
                <w:rFonts w:ascii="Arial" w:cs="Arial" w:eastAsia="Arial" w:hAnsi="Arial"/>
                <w:sz w:val="15"/>
                <w:szCs w:val="15"/>
                <w:b w:val="1"/>
                <w:bCs w:val="1"/>
                <w:color w:val="auto"/>
              </w:rPr>
              <w:t>3.78%</w:t>
            </w:r>
          </w:p>
        </w:tc>
        <w:tc>
          <w:tcPr>
            <w:tcW w:w="800" w:type="dxa"/>
            <w:vAlign w:val="bottom"/>
            <w:shd w:val="clear" w:color="auto" w:fill="CCEEFF"/>
          </w:tcPr>
          <w:p>
            <w:pPr>
              <w:jc w:val="right"/>
              <w:ind w:right="106"/>
              <w:spacing w:after="0" w:line="149" w:lineRule="exact"/>
              <w:rPr>
                <w:sz w:val="20"/>
                <w:szCs w:val="20"/>
                <w:color w:val="auto"/>
              </w:rPr>
            </w:pPr>
            <w:r>
              <w:rPr>
                <w:rFonts w:ascii="Arial" w:cs="Arial" w:eastAsia="Arial" w:hAnsi="Arial"/>
                <w:sz w:val="15"/>
                <w:szCs w:val="15"/>
                <w:color w:val="auto"/>
              </w:rPr>
              <w:t>4.25%</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3.83%</w:t>
            </w:r>
          </w:p>
        </w:tc>
      </w:tr>
    </w:tbl>
    <w:p>
      <w:pPr>
        <w:spacing w:after="0" w:line="202"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For 2017 and 2016, the Company estimated the remaining lives of participants in the postretirement plan using the RP-2014 Base Table. The no-collar table was used for salaried participants and the blue-collar table, reflecting the experience of the Company’s participants, was used for hourly participants. The Company used mortality improvement scales MP-2017 and MP-2016 for the years 2017 and 2016, respectively. The change in mortality improvement scale in 2017 did not have a material impact on the projected benefit obligation.</w:t>
      </w:r>
    </w:p>
    <w:p>
      <w:pPr>
        <w:spacing w:after="0" w:line="466" w:lineRule="exact"/>
        <w:rPr>
          <w:sz w:val="20"/>
          <w:szCs w:val="20"/>
          <w:color w:val="auto"/>
        </w:rPr>
      </w:pPr>
    </w:p>
    <w:p>
      <w:pPr>
        <w:sectPr>
          <w:pgSz w:w="11900" w:h="16838" w:orient="portrait"/>
          <w:cols w:equalWidth="0" w:num="2">
            <w:col w:w="5480" w:space="360"/>
            <w:col w:w="5580"/>
          </w:cols>
          <w:pgMar w:left="240" w:top="259" w:right="239" w:bottom="1440" w:gutter="0" w:footer="0" w:header="0"/>
          <w:type w:val="continuous"/>
        </w:sectPr>
      </w:pP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32</w:t>
      </w:r>
    </w:p>
    <w:p>
      <w:pPr>
        <w:sectPr>
          <w:pgSz w:w="11900" w:h="16838" w:orient="portrait"/>
          <w:cols w:equalWidth="0" w:num="1">
            <w:col w:w="11420"/>
          </w:cols>
          <w:pgMar w:left="240" w:top="259" w:right="239" w:bottom="1440" w:gutter="0" w:footer="0" w:header="0"/>
          <w:type w:val="continuous"/>
        </w:sectPr>
      </w:pPr>
    </w:p>
    <w:bookmarkStart w:id="85" w:name="page86"/>
    <w:bookmarkEnd w:id="85"/>
    <w:p>
      <w:pPr>
        <w:jc w:val="center"/>
        <w:ind w:right="-19"/>
        <w:spacing w:after="0"/>
        <w:rPr>
          <w:sz w:val="20"/>
          <w:szCs w:val="20"/>
          <w:color w:val="auto"/>
        </w:rPr>
      </w:pPr>
      <w:r>
        <w:rPr>
          <w:rFonts w:ascii="Arial" w:cs="Arial" w:eastAsia="Arial" w:hAnsi="Arial"/>
          <w:sz w:val="17"/>
          <w:szCs w:val="17"/>
          <w:b w:val="1"/>
          <w:bCs w:val="1"/>
          <w:color w:val="0085CD"/>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1">
                      <a:extLst>
                        <a:ext uri="{28A0092B-C50C-407E-A947-70E740481C1C}"/>
                      </a:extLst>
                    </a:blip>
                    <a:srcRect/>
                    <a:stretch>
                      <a:fillRect/>
                    </a:stretch>
                  </pic:blipFill>
                  <pic:spPr bwMode="auto">
                    <a:xfrm>
                      <a:off x="0" y="0"/>
                      <a:ext cx="7293610" cy="37465"/>
                    </a:xfrm>
                    <a:prstGeom prst="rect">
                      <a:avLst/>
                    </a:prstGeom>
                    <a:noFill/>
                  </pic:spPr>
                </pic:pic>
              </a:graphicData>
            </a:graphic>
          </wp:anchor>
        </w:drawing>
        <w:t xml:space="preserve">NOTES TO FINANCIAL STATEMENTS </w:t>
      </w:r>
      <w:r>
        <w:rPr>
          <w:rFonts w:ascii="Arial" w:cs="Arial" w:eastAsia="Arial" w:hAnsi="Arial"/>
          <w:sz w:val="15"/>
          <w:szCs w:val="15"/>
          <w:color w:val="0085CD"/>
        </w:rPr>
        <w:t>(continued)</w:t>
      </w:r>
    </w:p>
    <w:p>
      <w:pPr>
        <w:sectPr>
          <w:pgSz w:w="11900" w:h="16838" w:orient="portrait"/>
          <w:cols w:equalWidth="0" w:num="1">
            <w:col w:w="11420"/>
          </w:cols>
          <w:pgMar w:left="240" w:top="2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6"/>
          <w:szCs w:val="16"/>
          <w:color w:val="auto"/>
        </w:rPr>
        <w:t>Assumed health care cost trend rates at December 31 are:</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9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b w:val="1"/>
                <w:bCs w:val="1"/>
                <w:color w:val="0085CD"/>
              </w:rPr>
              <w:t>2017</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2016</w:t>
            </w:r>
          </w:p>
        </w:tc>
      </w:tr>
      <w:tr>
        <w:trPr>
          <w:trHeight w:val="149"/>
        </w:trPr>
        <w:tc>
          <w:tcPr>
            <w:tcW w:w="392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Health care cost trend rate assumed for next year</w:t>
            </w:r>
          </w:p>
        </w:tc>
        <w:tc>
          <w:tcPr>
            <w:tcW w:w="1040" w:type="dxa"/>
            <w:vAlign w:val="bottom"/>
            <w:shd w:val="clear" w:color="auto" w:fill="CCEEFF"/>
          </w:tcPr>
          <w:p>
            <w:pPr>
              <w:jc w:val="right"/>
              <w:ind w:right="46"/>
              <w:spacing w:after="0" w:line="149" w:lineRule="exact"/>
              <w:rPr>
                <w:sz w:val="20"/>
                <w:szCs w:val="20"/>
                <w:color w:val="auto"/>
              </w:rPr>
            </w:pPr>
            <w:r>
              <w:rPr>
                <w:rFonts w:ascii="Arial" w:cs="Arial" w:eastAsia="Arial" w:hAnsi="Arial"/>
                <w:sz w:val="15"/>
                <w:szCs w:val="15"/>
                <w:b w:val="1"/>
                <w:bCs w:val="1"/>
                <w:color w:val="auto"/>
              </w:rPr>
              <w:t>7.0%</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7.0%</w:t>
            </w:r>
          </w:p>
        </w:tc>
      </w:tr>
      <w:tr>
        <w:trPr>
          <w:trHeight w:val="156"/>
        </w:trPr>
        <w:tc>
          <w:tcPr>
            <w:tcW w:w="3920" w:type="dxa"/>
            <w:vAlign w:val="bottom"/>
          </w:tcPr>
          <w:p>
            <w:pPr>
              <w:spacing w:after="0" w:line="156" w:lineRule="exact"/>
              <w:rPr>
                <w:sz w:val="20"/>
                <w:szCs w:val="20"/>
                <w:color w:val="auto"/>
              </w:rPr>
            </w:pPr>
            <w:r>
              <w:rPr>
                <w:rFonts w:ascii="Arial" w:cs="Arial" w:eastAsia="Arial" w:hAnsi="Arial"/>
                <w:sz w:val="15"/>
                <w:szCs w:val="15"/>
                <w:color w:val="auto"/>
              </w:rPr>
              <w:t>Rate to which the cost trend rate gradually declines</w:t>
            </w:r>
          </w:p>
        </w:tc>
        <w:tc>
          <w:tcPr>
            <w:tcW w:w="1040" w:type="dxa"/>
            <w:vAlign w:val="bottom"/>
          </w:tcPr>
          <w:p>
            <w:pPr>
              <w:jc w:val="right"/>
              <w:ind w:right="46"/>
              <w:spacing w:after="0" w:line="156" w:lineRule="exact"/>
              <w:rPr>
                <w:sz w:val="20"/>
                <w:szCs w:val="20"/>
                <w:color w:val="auto"/>
              </w:rPr>
            </w:pPr>
            <w:r>
              <w:rPr>
                <w:rFonts w:ascii="Arial" w:cs="Arial" w:eastAsia="Arial" w:hAnsi="Arial"/>
                <w:sz w:val="15"/>
                <w:szCs w:val="15"/>
                <w:b w:val="1"/>
                <w:bCs w:val="1"/>
                <w:color w:val="auto"/>
              </w:rPr>
              <w:t>5.0%</w:t>
            </w:r>
          </w:p>
        </w:tc>
        <w:tc>
          <w:tcPr>
            <w:tcW w:w="520" w:type="dxa"/>
            <w:vAlign w:val="bottom"/>
          </w:tcPr>
          <w:p>
            <w:pPr>
              <w:jc w:val="right"/>
              <w:spacing w:after="0" w:line="156" w:lineRule="exact"/>
              <w:rPr>
                <w:sz w:val="20"/>
                <w:szCs w:val="20"/>
                <w:color w:val="auto"/>
              </w:rPr>
            </w:pPr>
            <w:r>
              <w:rPr>
                <w:rFonts w:ascii="Arial" w:cs="Arial" w:eastAsia="Arial" w:hAnsi="Arial"/>
                <w:sz w:val="15"/>
                <w:szCs w:val="15"/>
                <w:color w:val="auto"/>
              </w:rPr>
              <w:t>5.0%</w:t>
            </w:r>
          </w:p>
        </w:tc>
      </w:tr>
      <w:tr>
        <w:trPr>
          <w:trHeight w:val="156"/>
        </w:trPr>
        <w:tc>
          <w:tcPr>
            <w:tcW w:w="392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Year the rate reaches the ultimate rate</w:t>
            </w:r>
          </w:p>
        </w:tc>
        <w:tc>
          <w:tcPr>
            <w:tcW w:w="1040" w:type="dxa"/>
            <w:vAlign w:val="bottom"/>
            <w:shd w:val="clear" w:color="auto" w:fill="CCEEFF"/>
          </w:tcPr>
          <w:p>
            <w:pPr>
              <w:jc w:val="right"/>
              <w:ind w:right="46"/>
              <w:spacing w:after="0" w:line="156" w:lineRule="exact"/>
              <w:rPr>
                <w:sz w:val="20"/>
                <w:szCs w:val="20"/>
                <w:color w:val="auto"/>
              </w:rPr>
            </w:pPr>
            <w:r>
              <w:rPr>
                <w:rFonts w:ascii="Arial" w:cs="Arial" w:eastAsia="Arial" w:hAnsi="Arial"/>
                <w:sz w:val="15"/>
                <w:szCs w:val="15"/>
                <w:b w:val="1"/>
                <w:bCs w:val="1"/>
                <w:color w:val="auto"/>
              </w:rPr>
              <w:t>2022</w:t>
            </w:r>
          </w:p>
        </w:tc>
        <w:tc>
          <w:tcPr>
            <w:tcW w:w="52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2021</w:t>
            </w:r>
          </w:p>
        </w:tc>
      </w:tr>
    </w:tbl>
    <w:p>
      <w:pPr>
        <w:spacing w:after="0" w:line="202"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Assumed health care cost trend rates have a significant effect on the amounts reported for the Company’s health care plans. A one percentage-point change in assumed health care cost trend rates would have the following effects: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940" w:type="dxa"/>
            <w:vAlign w:val="bottom"/>
            <w:vMerge w:val="restart"/>
          </w:tcPr>
          <w:p>
            <w:pPr>
              <w:spacing w:after="0"/>
              <w:rPr>
                <w:sz w:val="20"/>
                <w:szCs w:val="20"/>
                <w:color w:val="auto"/>
              </w:rPr>
            </w:pPr>
            <w:r>
              <w:rPr>
                <w:rFonts w:ascii="Arial" w:cs="Arial" w:eastAsia="Arial" w:hAnsi="Arial"/>
                <w:sz w:val="15"/>
                <w:szCs w:val="15"/>
                <w:color w:val="auto"/>
              </w:rPr>
              <w:t>(add 000)</w:t>
            </w:r>
          </w:p>
        </w:tc>
        <w:tc>
          <w:tcPr>
            <w:tcW w:w="54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right"/>
              <w:ind w:right="246"/>
              <w:spacing w:after="0"/>
              <w:rPr>
                <w:sz w:val="20"/>
                <w:szCs w:val="20"/>
                <w:color w:val="auto"/>
              </w:rPr>
            </w:pPr>
            <w:r>
              <w:rPr>
                <w:rFonts w:ascii="Arial" w:cs="Arial" w:eastAsia="Arial" w:hAnsi="Arial"/>
                <w:sz w:val="15"/>
                <w:szCs w:val="15"/>
                <w:color w:val="auto"/>
              </w:rPr>
              <w:t>One Percentage Point</w:t>
            </w:r>
          </w:p>
        </w:tc>
        <w:tc>
          <w:tcPr>
            <w:tcW w:w="0" w:type="dxa"/>
            <w:vAlign w:val="bottom"/>
          </w:tcPr>
          <w:p>
            <w:pPr>
              <w:spacing w:after="0"/>
              <w:rPr>
                <w:sz w:val="1"/>
                <w:szCs w:val="1"/>
                <w:color w:val="auto"/>
              </w:rPr>
            </w:pPr>
          </w:p>
        </w:tc>
      </w:tr>
      <w:tr>
        <w:trPr>
          <w:trHeight w:val="149"/>
        </w:trPr>
        <w:tc>
          <w:tcPr>
            <w:tcW w:w="2940" w:type="dxa"/>
            <w:vAlign w:val="bottom"/>
            <w:tcBorders>
              <w:bottom w:val="single" w:sz="8" w:color="auto"/>
            </w:tcBorders>
            <w:vMerge w:val="continue"/>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66"/>
              <w:spacing w:after="0" w:line="149" w:lineRule="exact"/>
              <w:rPr>
                <w:sz w:val="20"/>
                <w:szCs w:val="20"/>
                <w:color w:val="auto"/>
              </w:rPr>
            </w:pPr>
            <w:r>
              <w:rPr>
                <w:rFonts w:ascii="Arial" w:cs="Arial" w:eastAsia="Arial" w:hAnsi="Arial"/>
                <w:sz w:val="15"/>
                <w:szCs w:val="15"/>
                <w:color w:val="auto"/>
                <w:w w:val="97"/>
              </w:rPr>
              <w:t>Increase</w:t>
            </w:r>
          </w:p>
        </w:tc>
        <w:tc>
          <w:tcPr>
            <w:tcW w:w="3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6"/>
              <w:spacing w:after="0" w:line="149" w:lineRule="exact"/>
              <w:rPr>
                <w:sz w:val="20"/>
                <w:szCs w:val="20"/>
                <w:color w:val="auto"/>
              </w:rPr>
            </w:pPr>
            <w:r>
              <w:rPr>
                <w:rFonts w:ascii="Arial" w:cs="Arial" w:eastAsia="Arial" w:hAnsi="Arial"/>
                <w:sz w:val="15"/>
                <w:szCs w:val="15"/>
                <w:color w:val="auto"/>
                <w:w w:val="94"/>
              </w:rPr>
              <w:t>(Decrease)</w:t>
            </w:r>
          </w:p>
        </w:tc>
        <w:tc>
          <w:tcPr>
            <w:tcW w:w="0" w:type="dxa"/>
            <w:vAlign w:val="bottom"/>
          </w:tcPr>
          <w:p>
            <w:pPr>
              <w:spacing w:after="0"/>
              <w:rPr>
                <w:sz w:val="1"/>
                <w:szCs w:val="1"/>
                <w:color w:val="auto"/>
              </w:rPr>
            </w:pPr>
          </w:p>
        </w:tc>
      </w:tr>
      <w:tr>
        <w:trPr>
          <w:trHeight w:val="149"/>
        </w:trPr>
        <w:tc>
          <w:tcPr>
            <w:tcW w:w="294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Total service and interest cost components</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ind w:right="166"/>
              <w:spacing w:after="0" w:line="149" w:lineRule="exact"/>
              <w:rPr>
                <w:sz w:val="20"/>
                <w:szCs w:val="20"/>
                <w:color w:val="auto"/>
              </w:rPr>
            </w:pPr>
            <w:r>
              <w:rPr>
                <w:rFonts w:ascii="Arial" w:cs="Arial" w:eastAsia="Arial" w:hAnsi="Arial"/>
                <w:sz w:val="15"/>
                <w:szCs w:val="15"/>
                <w:color w:val="auto"/>
              </w:rPr>
              <w:t>41</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(34)</w:t>
            </w:r>
          </w:p>
        </w:tc>
        <w:tc>
          <w:tcPr>
            <w:tcW w:w="0" w:type="dxa"/>
            <w:vAlign w:val="bottom"/>
          </w:tcPr>
          <w:p>
            <w:pPr>
              <w:spacing w:after="0"/>
              <w:rPr>
                <w:sz w:val="1"/>
                <w:szCs w:val="1"/>
                <w:color w:val="auto"/>
              </w:rPr>
            </w:pPr>
          </w:p>
        </w:tc>
      </w:tr>
      <w:tr>
        <w:trPr>
          <w:trHeight w:val="177"/>
        </w:trPr>
        <w:tc>
          <w:tcPr>
            <w:tcW w:w="2940" w:type="dxa"/>
            <w:vAlign w:val="bottom"/>
          </w:tcPr>
          <w:p>
            <w:pPr>
              <w:spacing w:after="0"/>
              <w:rPr>
                <w:sz w:val="20"/>
                <w:szCs w:val="20"/>
                <w:color w:val="auto"/>
              </w:rPr>
            </w:pPr>
            <w:r>
              <w:rPr>
                <w:rFonts w:ascii="Arial" w:cs="Arial" w:eastAsia="Arial" w:hAnsi="Arial"/>
                <w:sz w:val="15"/>
                <w:szCs w:val="15"/>
                <w:color w:val="auto"/>
              </w:rPr>
              <w:t>Postretirement benefit obligation</w:t>
            </w:r>
          </w:p>
        </w:tc>
        <w:tc>
          <w:tcPr>
            <w:tcW w:w="54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166"/>
              <w:spacing w:after="0"/>
              <w:rPr>
                <w:sz w:val="20"/>
                <w:szCs w:val="20"/>
                <w:color w:val="auto"/>
              </w:rPr>
            </w:pPr>
            <w:r>
              <w:rPr>
                <w:rFonts w:ascii="Arial" w:cs="Arial" w:eastAsia="Arial" w:hAnsi="Arial"/>
                <w:sz w:val="15"/>
                <w:szCs w:val="15"/>
                <w:color w:val="auto"/>
              </w:rPr>
              <w:t>783</w:t>
            </w:r>
          </w:p>
        </w:tc>
        <w:tc>
          <w:tcPr>
            <w:tcW w:w="36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(631)</w:t>
            </w: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Company estimates that it will contribute $2,560,000 to its postretirement health care plans in 2018.</w:t>
      </w:r>
    </w:p>
    <w:p>
      <w:pPr>
        <w:spacing w:after="0" w:line="183"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The total expected benefit payments to be paid by the Company, net of participant contributions, for each of the next five years and the five-year period thereafter are as follows:</w:t>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color w:val="auto"/>
        </w:rPr>
        <w:t>(add 000)</w:t>
      </w:r>
    </w:p>
    <w:tbl>
      <w:tblPr>
        <w:tblLayout w:type="fixed"/>
        <w:tblInd w:w="0" w:type="dxa"/>
        <w:tblCellMar>
          <w:top w:w="0" w:type="dxa"/>
          <w:left w:w="0" w:type="dxa"/>
          <w:bottom w:w="0" w:type="dxa"/>
          <w:right w:w="0" w:type="dxa"/>
        </w:tblCellMar>
      </w:tblPr>
      <w:tr>
        <w:trPr>
          <w:trHeight w:val="149"/>
        </w:trPr>
        <w:tc>
          <w:tcPr>
            <w:tcW w:w="304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5"/>
                <w:szCs w:val="15"/>
                <w:color w:val="auto"/>
              </w:rPr>
              <w:t>2018</w:t>
            </w:r>
          </w:p>
        </w:tc>
        <w:tc>
          <w:tcPr>
            <w:tcW w:w="19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4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2,560</w:t>
            </w:r>
          </w:p>
        </w:tc>
      </w:tr>
      <w:tr>
        <w:trPr>
          <w:trHeight w:val="156"/>
        </w:trPr>
        <w:tc>
          <w:tcPr>
            <w:tcW w:w="3040" w:type="dxa"/>
            <w:vAlign w:val="bottom"/>
          </w:tcPr>
          <w:p>
            <w:pPr>
              <w:spacing w:after="0" w:line="156" w:lineRule="exact"/>
              <w:rPr>
                <w:sz w:val="20"/>
                <w:szCs w:val="20"/>
                <w:color w:val="auto"/>
              </w:rPr>
            </w:pPr>
            <w:r>
              <w:rPr>
                <w:rFonts w:ascii="Arial" w:cs="Arial" w:eastAsia="Arial" w:hAnsi="Arial"/>
                <w:sz w:val="15"/>
                <w:szCs w:val="15"/>
                <w:color w:val="auto"/>
              </w:rPr>
              <w:t>2019</w:t>
            </w:r>
          </w:p>
        </w:tc>
        <w:tc>
          <w:tcPr>
            <w:tcW w:w="1980" w:type="dxa"/>
            <w:vAlign w:val="bottom"/>
          </w:tcPr>
          <w:p>
            <w:pPr>
              <w:jc w:val="right"/>
              <w:spacing w:after="0" w:line="156" w:lineRule="exact"/>
              <w:rPr>
                <w:sz w:val="20"/>
                <w:szCs w:val="20"/>
                <w:color w:val="auto"/>
              </w:rPr>
            </w:pPr>
            <w:r>
              <w:rPr>
                <w:rFonts w:ascii="Arial" w:cs="Arial" w:eastAsia="Arial" w:hAnsi="Arial"/>
                <w:sz w:val="15"/>
                <w:szCs w:val="15"/>
                <w:color w:val="auto"/>
              </w:rPr>
              <w:t>$</w:t>
            </w:r>
          </w:p>
        </w:tc>
        <w:tc>
          <w:tcPr>
            <w:tcW w:w="460" w:type="dxa"/>
            <w:vAlign w:val="bottom"/>
          </w:tcPr>
          <w:p>
            <w:pPr>
              <w:jc w:val="right"/>
              <w:spacing w:after="0" w:line="156" w:lineRule="exact"/>
              <w:rPr>
                <w:sz w:val="20"/>
                <w:szCs w:val="20"/>
                <w:color w:val="auto"/>
              </w:rPr>
            </w:pPr>
            <w:r>
              <w:rPr>
                <w:rFonts w:ascii="Arial" w:cs="Arial" w:eastAsia="Arial" w:hAnsi="Arial"/>
                <w:sz w:val="15"/>
                <w:szCs w:val="15"/>
                <w:color w:val="auto"/>
              </w:rPr>
              <w:t>1,610</w:t>
            </w:r>
          </w:p>
        </w:tc>
      </w:tr>
      <w:tr>
        <w:trPr>
          <w:trHeight w:val="156"/>
        </w:trPr>
        <w:tc>
          <w:tcPr>
            <w:tcW w:w="304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2020</w:t>
            </w:r>
          </w:p>
        </w:tc>
        <w:tc>
          <w:tcPr>
            <w:tcW w:w="198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1,557</w:t>
            </w:r>
          </w:p>
        </w:tc>
      </w:tr>
      <w:tr>
        <w:trPr>
          <w:trHeight w:val="156"/>
        </w:trPr>
        <w:tc>
          <w:tcPr>
            <w:tcW w:w="3040" w:type="dxa"/>
            <w:vAlign w:val="bottom"/>
          </w:tcPr>
          <w:p>
            <w:pPr>
              <w:spacing w:after="0" w:line="156" w:lineRule="exact"/>
              <w:rPr>
                <w:sz w:val="20"/>
                <w:szCs w:val="20"/>
                <w:color w:val="auto"/>
              </w:rPr>
            </w:pPr>
            <w:r>
              <w:rPr>
                <w:rFonts w:ascii="Arial" w:cs="Arial" w:eastAsia="Arial" w:hAnsi="Arial"/>
                <w:sz w:val="15"/>
                <w:szCs w:val="15"/>
                <w:color w:val="auto"/>
              </w:rPr>
              <w:t>2021</w:t>
            </w:r>
          </w:p>
        </w:tc>
        <w:tc>
          <w:tcPr>
            <w:tcW w:w="1980" w:type="dxa"/>
            <w:vAlign w:val="bottom"/>
          </w:tcPr>
          <w:p>
            <w:pPr>
              <w:jc w:val="right"/>
              <w:spacing w:after="0" w:line="156" w:lineRule="exact"/>
              <w:rPr>
                <w:sz w:val="20"/>
                <w:szCs w:val="20"/>
                <w:color w:val="auto"/>
              </w:rPr>
            </w:pPr>
            <w:r>
              <w:rPr>
                <w:rFonts w:ascii="Arial" w:cs="Arial" w:eastAsia="Arial" w:hAnsi="Arial"/>
                <w:sz w:val="15"/>
                <w:szCs w:val="15"/>
                <w:color w:val="auto"/>
              </w:rPr>
              <w:t>$</w:t>
            </w:r>
          </w:p>
        </w:tc>
        <w:tc>
          <w:tcPr>
            <w:tcW w:w="460" w:type="dxa"/>
            <w:vAlign w:val="bottom"/>
          </w:tcPr>
          <w:p>
            <w:pPr>
              <w:jc w:val="right"/>
              <w:spacing w:after="0" w:line="156" w:lineRule="exact"/>
              <w:rPr>
                <w:sz w:val="20"/>
                <w:szCs w:val="20"/>
                <w:color w:val="auto"/>
              </w:rPr>
            </w:pPr>
            <w:r>
              <w:rPr>
                <w:rFonts w:ascii="Arial" w:cs="Arial" w:eastAsia="Arial" w:hAnsi="Arial"/>
                <w:sz w:val="15"/>
                <w:szCs w:val="15"/>
                <w:color w:val="auto"/>
              </w:rPr>
              <w:t>1,470</w:t>
            </w:r>
          </w:p>
        </w:tc>
      </w:tr>
      <w:tr>
        <w:trPr>
          <w:trHeight w:val="156"/>
        </w:trPr>
        <w:tc>
          <w:tcPr>
            <w:tcW w:w="304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2022</w:t>
            </w:r>
          </w:p>
        </w:tc>
        <w:tc>
          <w:tcPr>
            <w:tcW w:w="198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1,393</w:t>
            </w:r>
          </w:p>
        </w:tc>
      </w:tr>
      <w:tr>
        <w:trPr>
          <w:trHeight w:val="177"/>
        </w:trPr>
        <w:tc>
          <w:tcPr>
            <w:tcW w:w="3040" w:type="dxa"/>
            <w:vAlign w:val="bottom"/>
          </w:tcPr>
          <w:p>
            <w:pPr>
              <w:spacing w:after="0"/>
              <w:rPr>
                <w:sz w:val="20"/>
                <w:szCs w:val="20"/>
                <w:color w:val="auto"/>
              </w:rPr>
            </w:pPr>
            <w:r>
              <w:rPr>
                <w:rFonts w:ascii="Arial" w:cs="Arial" w:eastAsia="Arial" w:hAnsi="Arial"/>
                <w:sz w:val="15"/>
                <w:szCs w:val="15"/>
                <w:color w:val="auto"/>
              </w:rPr>
              <w:t>Years 2023 - 2027</w:t>
            </w:r>
          </w:p>
        </w:tc>
        <w:tc>
          <w:tcPr>
            <w:tcW w:w="1980" w:type="dxa"/>
            <w:vAlign w:val="bottom"/>
          </w:tcPr>
          <w:p>
            <w:pPr>
              <w:jc w:val="right"/>
              <w:spacing w:after="0"/>
              <w:rPr>
                <w:sz w:val="20"/>
                <w:szCs w:val="20"/>
                <w:color w:val="auto"/>
              </w:rPr>
            </w:pPr>
            <w:r>
              <w:rPr>
                <w:rFonts w:ascii="Arial" w:cs="Arial" w:eastAsia="Arial" w:hAnsi="Arial"/>
                <w:sz w:val="15"/>
                <w:szCs w:val="15"/>
                <w:color w:val="auto"/>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4,888</w:t>
            </w:r>
          </w:p>
        </w:tc>
      </w:tr>
    </w:tbl>
    <w:p>
      <w:pPr>
        <w:spacing w:after="0" w:line="160" w:lineRule="exact"/>
        <w:rPr>
          <w:sz w:val="20"/>
          <w:szCs w:val="20"/>
          <w:color w:val="auto"/>
        </w:rPr>
      </w:pPr>
    </w:p>
    <w:p>
      <w:pPr>
        <w:jc w:val="both"/>
        <w:spacing w:after="0" w:line="243" w:lineRule="auto"/>
        <w:rPr>
          <w:sz w:val="20"/>
          <w:szCs w:val="20"/>
          <w:color w:val="auto"/>
        </w:rPr>
      </w:pPr>
      <w:r>
        <w:rPr>
          <w:rFonts w:ascii="Arial" w:cs="Arial" w:eastAsia="Arial" w:hAnsi="Arial"/>
          <w:sz w:val="16"/>
          <w:szCs w:val="16"/>
          <w:b w:val="1"/>
          <w:bCs w:val="1"/>
          <w:i w:val="1"/>
          <w:iCs w:val="1"/>
          <w:color w:val="49B28F"/>
        </w:rPr>
        <w:t xml:space="preserve">Defined Contribution Plans. </w:t>
      </w:r>
      <w:r>
        <w:rPr>
          <w:rFonts w:ascii="Arial" w:cs="Arial" w:eastAsia="Arial" w:hAnsi="Arial"/>
          <w:sz w:val="16"/>
          <w:szCs w:val="16"/>
          <w:color w:val="000000"/>
        </w:rPr>
        <w:t>The Company maintains defined contribution</w:t>
      </w:r>
      <w:r>
        <w:rPr>
          <w:rFonts w:ascii="Arial" w:cs="Arial" w:eastAsia="Arial" w:hAnsi="Arial"/>
          <w:sz w:val="16"/>
          <w:szCs w:val="16"/>
          <w:b w:val="1"/>
          <w:bCs w:val="1"/>
          <w:i w:val="1"/>
          <w:iCs w:val="1"/>
          <w:color w:val="49B28F"/>
        </w:rPr>
        <w:t xml:space="preserve"> </w:t>
      </w:r>
      <w:r>
        <w:rPr>
          <w:rFonts w:ascii="Arial" w:cs="Arial" w:eastAsia="Arial" w:hAnsi="Arial"/>
          <w:sz w:val="16"/>
          <w:szCs w:val="16"/>
          <w:color w:val="000000"/>
        </w:rPr>
        <w:t>plans that cover substantially all employees. These plans, qualified under Section 401(a) of the Internal Revenue Code, are retirement savings and investment plans for the Company’s salaried and hourly employees. Under certain provisions of these plans, the Company, at established rates, matches employees’ eligible contributions. The Company’s matching obligations were $14,893,000 in 2017, $13,235,000 in 2016 and $12,444,000 in 2015.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b w:val="1"/>
          <w:bCs w:val="1"/>
          <w:i w:val="1"/>
          <w:iCs w:val="1"/>
          <w:color w:val="49B28F"/>
        </w:rPr>
        <w:t xml:space="preserve">Postemployment Benefits. </w:t>
      </w:r>
      <w:r>
        <w:rPr>
          <w:rFonts w:ascii="Arial" w:cs="Arial" w:eastAsia="Arial" w:hAnsi="Arial"/>
          <w:sz w:val="16"/>
          <w:szCs w:val="16"/>
          <w:color w:val="000000"/>
        </w:rPr>
        <w:t>The Company had accrued postemployment</w:t>
      </w:r>
      <w:r>
        <w:rPr>
          <w:rFonts w:ascii="Arial" w:cs="Arial" w:eastAsia="Arial" w:hAnsi="Arial"/>
          <w:sz w:val="16"/>
          <w:szCs w:val="16"/>
          <w:b w:val="1"/>
          <w:bCs w:val="1"/>
          <w:i w:val="1"/>
          <w:iCs w:val="1"/>
          <w:color w:val="49B28F"/>
        </w:rPr>
        <w:t xml:space="preserve"> </w:t>
      </w:r>
      <w:r>
        <w:rPr>
          <w:rFonts w:ascii="Arial" w:cs="Arial" w:eastAsia="Arial" w:hAnsi="Arial"/>
          <w:sz w:val="16"/>
          <w:szCs w:val="16"/>
          <w:color w:val="000000"/>
        </w:rPr>
        <w:t>benefits of $1,119,000 and $1,146,000 at December 31, 2017 and 2016,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0085CD"/>
        </w:rPr>
        <w:t>Note K: Stock-Based Compensation</w:t>
      </w:r>
    </w:p>
    <w:p>
      <w:pPr>
        <w:spacing w:after="0" w:line="16"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The shareholders approved, on May 19, 2016, the Martin Marietta Amended and Restated Stock-Based Award Plan. The Martin Marietta Materials, Inc. Stock-Based Award Plan, as amended from time to time (along with the Amended Omnibus Securities Award Plan, originally approved in 1994, the “Plans”) is still effective for awards made prior to 2017. The Company has been authorized by the Board of Directors to repurchase shares of the Company’s common stock for issuance under the stock-based award plans (see Note M).</w:t>
      </w:r>
    </w:p>
    <w:p>
      <w:pPr>
        <w:spacing w:after="0" w:line="195"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The Company grants restricted stock awards under the Plans to a group of executive officers, key personnel and nonemployee members of the Board of Directors. The vesting of certain restricted stock awards is based on certain performance criteria over a specified period of time. In addition, certain awards are granted to individuals to encourage retention and motivate key employees. These awards generally vest if the employee is continuously employed over a specified period of time and require no payment from the employee. Awards granted to nonemployee members of the Board of Directors vest immediately.</w:t>
      </w:r>
    </w:p>
    <w:p>
      <w:pPr>
        <w:spacing w:after="0" w:line="371" w:lineRule="exact"/>
        <w:rPr>
          <w:sz w:val="20"/>
          <w:szCs w:val="20"/>
          <w:color w:val="auto"/>
        </w:rPr>
      </w:pPr>
    </w:p>
    <w:p>
      <w:pPr>
        <w:jc w:val="both"/>
        <w:spacing w:after="0"/>
        <w:rPr>
          <w:sz w:val="20"/>
          <w:szCs w:val="20"/>
          <w:color w:val="auto"/>
        </w:rPr>
      </w:pPr>
      <w:r>
        <w:rPr>
          <w:rFonts w:ascii="Arial" w:cs="Arial" w:eastAsia="Arial" w:hAnsi="Arial"/>
          <w:sz w:val="16"/>
          <w:szCs w:val="16"/>
          <w:color w:val="auto"/>
        </w:rPr>
        <w:t>Additionally, an incentive compensation stock plan has been adopted under the Plans whereby certain participants may elect to use up to 50% of their annual incentive compensation to acquire units representing shares of the Company’s common stock at a 20% discount to the market value on the date of the incentive compensation award. Certain executive officers are required to participate in the incentive compensation stock plan at certain minimum levels. Participants receive unrestricted shares of common stock in an amount equal to their respective units generally at the end of a 34-month period of additional employment from the date of award or at retirement beginning at age 62. All rights of ownership of the common stock convey to the participants upon the issuance of their respective shares at the end of the ownership-vesting period.</w:t>
      </w:r>
    </w:p>
    <w:p>
      <w:pPr>
        <w:spacing w:after="0" w:line="606" w:lineRule="exact"/>
        <w:rPr>
          <w:sz w:val="20"/>
          <w:szCs w:val="20"/>
          <w:color w:val="auto"/>
        </w:rPr>
      </w:pPr>
    </w:p>
    <w:p>
      <w:pPr>
        <w:sectPr>
          <w:pgSz w:w="11900" w:h="16838" w:orient="portrait"/>
          <w:cols w:equalWidth="0" w:num="2">
            <w:col w:w="5480" w:space="360"/>
            <w:col w:w="5580"/>
          </w:cols>
          <w:pgMar w:left="240" w:top="259" w:right="239" w:bottom="1440" w:gutter="0" w:footer="0" w:header="0"/>
          <w:type w:val="continuous"/>
        </w:sectPr>
      </w:pPr>
    </w:p>
    <w:p>
      <w:pPr>
        <w:spacing w:after="0" w:line="5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33</w:t>
      </w:r>
    </w:p>
    <w:p>
      <w:pPr>
        <w:sectPr>
          <w:pgSz w:w="11900" w:h="16838" w:orient="portrait"/>
          <w:cols w:equalWidth="0" w:num="1">
            <w:col w:w="11420"/>
          </w:cols>
          <w:pgMar w:left="240" w:top="259" w:right="239" w:bottom="1440" w:gutter="0" w:footer="0" w:header="0"/>
          <w:type w:val="continuous"/>
        </w:sectPr>
      </w:pPr>
    </w:p>
    <w:bookmarkStart w:id="86" w:name="page87"/>
    <w:bookmarkEnd w:id="86"/>
    <w:p>
      <w:pPr>
        <w:jc w:val="center"/>
        <w:spacing w:after="0"/>
        <w:rPr>
          <w:sz w:val="20"/>
          <w:szCs w:val="20"/>
          <w:color w:val="auto"/>
        </w:rPr>
      </w:pPr>
      <w:r>
        <w:rPr>
          <w:rFonts w:ascii="Arial" w:cs="Arial" w:eastAsia="Arial" w:hAnsi="Arial"/>
          <w:sz w:val="17"/>
          <w:szCs w:val="17"/>
          <w:b w:val="1"/>
          <w:bCs w:val="1"/>
          <w:color w:val="0085CD"/>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2">
                      <a:extLst>
                        <a:ext uri="{28A0092B-C50C-407E-A947-70E740481C1C}"/>
                      </a:extLst>
                    </a:blip>
                    <a:srcRect/>
                    <a:stretch>
                      <a:fillRect/>
                    </a:stretch>
                  </pic:blipFill>
                  <pic:spPr bwMode="auto">
                    <a:xfrm>
                      <a:off x="0" y="0"/>
                      <a:ext cx="7293610" cy="37465"/>
                    </a:xfrm>
                    <a:prstGeom prst="rect">
                      <a:avLst/>
                    </a:prstGeom>
                    <a:noFill/>
                  </pic:spPr>
                </pic:pic>
              </a:graphicData>
            </a:graphic>
          </wp:anchor>
        </w:drawing>
        <w:t xml:space="preserve">NOTES TO FINANCIAL STATEMENTS </w:t>
      </w:r>
      <w:r>
        <w:rPr>
          <w:rFonts w:ascii="Arial" w:cs="Arial" w:eastAsia="Arial" w:hAnsi="Arial"/>
          <w:sz w:val="15"/>
          <w:szCs w:val="15"/>
          <w:color w:val="0085CD"/>
        </w:rPr>
        <w:t>(continued)</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information for restricted stock awards and incentive compensation stock awards for 2017:</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440" w:type="dxa"/>
            <w:vAlign w:val="bottom"/>
          </w:tcPr>
          <w:p>
            <w:pPr>
              <w:spacing w:after="0"/>
              <w:rPr>
                <w:sz w:val="14"/>
                <w:szCs w:val="14"/>
                <w:color w:val="auto"/>
              </w:rPr>
            </w:pPr>
          </w:p>
        </w:tc>
        <w:tc>
          <w:tcPr>
            <w:tcW w:w="3360" w:type="dxa"/>
            <w:vAlign w:val="bottom"/>
            <w:gridSpan w:val="3"/>
          </w:tcPr>
          <w:p>
            <w:pPr>
              <w:jc w:val="right"/>
              <w:ind w:right="492"/>
              <w:spacing w:after="0"/>
              <w:rPr>
                <w:sz w:val="20"/>
                <w:szCs w:val="20"/>
                <w:color w:val="auto"/>
              </w:rPr>
            </w:pPr>
            <w:r>
              <w:rPr>
                <w:rFonts w:ascii="Arial" w:cs="Arial" w:eastAsia="Arial" w:hAnsi="Arial"/>
                <w:sz w:val="15"/>
                <w:szCs w:val="15"/>
                <w:b w:val="1"/>
                <w:bCs w:val="1"/>
                <w:color w:val="auto"/>
              </w:rPr>
              <w:t>Restricted Stock –</w:t>
            </w:r>
          </w:p>
        </w:tc>
        <w:tc>
          <w:tcPr>
            <w:tcW w:w="2880" w:type="dxa"/>
            <w:vAlign w:val="bottom"/>
            <w:gridSpan w:val="3"/>
          </w:tcPr>
          <w:p>
            <w:pPr>
              <w:jc w:val="right"/>
              <w:ind w:right="492"/>
              <w:spacing w:after="0"/>
              <w:rPr>
                <w:sz w:val="20"/>
                <w:szCs w:val="20"/>
                <w:color w:val="auto"/>
              </w:rPr>
            </w:pPr>
            <w:r>
              <w:rPr>
                <w:rFonts w:ascii="Arial" w:cs="Arial" w:eastAsia="Arial" w:hAnsi="Arial"/>
                <w:sz w:val="15"/>
                <w:szCs w:val="15"/>
                <w:b w:val="1"/>
                <w:bCs w:val="1"/>
                <w:color w:val="auto"/>
              </w:rPr>
              <w:t>Restricted Stock –</w:t>
            </w:r>
          </w:p>
        </w:tc>
        <w:tc>
          <w:tcPr>
            <w:tcW w:w="1260" w:type="dxa"/>
            <w:vAlign w:val="bottom"/>
          </w:tcPr>
          <w:p>
            <w:pPr>
              <w:spacing w:after="0"/>
              <w:rPr>
                <w:sz w:val="14"/>
                <w:szCs w:val="14"/>
                <w:color w:val="auto"/>
              </w:rPr>
            </w:pPr>
          </w:p>
        </w:tc>
        <w:tc>
          <w:tcPr>
            <w:tcW w:w="1480" w:type="dxa"/>
            <w:vAlign w:val="bottom"/>
            <w:gridSpan w:val="2"/>
          </w:tcPr>
          <w:p>
            <w:pPr>
              <w:jc w:val="right"/>
              <w:ind w:right="732"/>
              <w:spacing w:after="0"/>
              <w:rPr>
                <w:sz w:val="20"/>
                <w:szCs w:val="20"/>
                <w:color w:val="auto"/>
              </w:rPr>
            </w:pPr>
            <w:r>
              <w:rPr>
                <w:rFonts w:ascii="Arial" w:cs="Arial" w:eastAsia="Arial" w:hAnsi="Arial"/>
                <w:sz w:val="15"/>
                <w:szCs w:val="15"/>
                <w:b w:val="1"/>
                <w:bCs w:val="1"/>
                <w:color w:val="auto"/>
              </w:rPr>
              <w:t>Incentive</w:t>
            </w:r>
          </w:p>
        </w:tc>
      </w:tr>
      <w:tr>
        <w:trPr>
          <w:trHeight w:val="177"/>
        </w:trPr>
        <w:tc>
          <w:tcPr>
            <w:tcW w:w="2440" w:type="dxa"/>
            <w:vAlign w:val="bottom"/>
            <w:tcBorders>
              <w:bottom w:val="single" w:sz="8" w:color="auto"/>
            </w:tcBorders>
          </w:tcPr>
          <w:p>
            <w:pPr>
              <w:spacing w:after="0"/>
              <w:rPr>
                <w:sz w:val="15"/>
                <w:szCs w:val="15"/>
                <w:color w:val="auto"/>
              </w:rPr>
            </w:pPr>
          </w:p>
        </w:tc>
        <w:tc>
          <w:tcPr>
            <w:tcW w:w="3360" w:type="dxa"/>
            <w:vAlign w:val="bottom"/>
            <w:tcBorders>
              <w:bottom w:val="single" w:sz="8" w:color="auto"/>
            </w:tcBorders>
            <w:gridSpan w:val="3"/>
          </w:tcPr>
          <w:p>
            <w:pPr>
              <w:jc w:val="right"/>
              <w:ind w:right="632"/>
              <w:spacing w:after="0"/>
              <w:rPr>
                <w:sz w:val="20"/>
                <w:szCs w:val="20"/>
                <w:color w:val="auto"/>
              </w:rPr>
            </w:pPr>
            <w:r>
              <w:rPr>
                <w:rFonts w:ascii="Arial" w:cs="Arial" w:eastAsia="Arial" w:hAnsi="Arial"/>
                <w:sz w:val="15"/>
                <w:szCs w:val="15"/>
                <w:b w:val="1"/>
                <w:bCs w:val="1"/>
                <w:color w:val="auto"/>
              </w:rPr>
              <w:t>Service Based</w:t>
            </w:r>
          </w:p>
        </w:tc>
        <w:tc>
          <w:tcPr>
            <w:tcW w:w="2880" w:type="dxa"/>
            <w:vAlign w:val="bottom"/>
            <w:tcBorders>
              <w:bottom w:val="single" w:sz="8" w:color="auto"/>
            </w:tcBorders>
            <w:gridSpan w:val="3"/>
          </w:tcPr>
          <w:p>
            <w:pPr>
              <w:jc w:val="right"/>
              <w:ind w:right="452"/>
              <w:spacing w:after="0"/>
              <w:rPr>
                <w:sz w:val="20"/>
                <w:szCs w:val="20"/>
                <w:color w:val="auto"/>
              </w:rPr>
            </w:pPr>
            <w:r>
              <w:rPr>
                <w:rFonts w:ascii="Arial" w:cs="Arial" w:eastAsia="Arial" w:hAnsi="Arial"/>
                <w:sz w:val="15"/>
                <w:szCs w:val="15"/>
                <w:b w:val="1"/>
                <w:bCs w:val="1"/>
                <w:color w:val="auto"/>
              </w:rPr>
              <w:t>Performance Based</w:t>
            </w:r>
          </w:p>
        </w:tc>
        <w:tc>
          <w:tcPr>
            <w:tcW w:w="2740" w:type="dxa"/>
            <w:vAlign w:val="bottom"/>
            <w:tcBorders>
              <w:bottom w:val="single" w:sz="8" w:color="auto"/>
            </w:tcBorders>
            <w:gridSpan w:val="3"/>
          </w:tcPr>
          <w:p>
            <w:pPr>
              <w:jc w:val="right"/>
              <w:ind w:right="312"/>
              <w:spacing w:after="0"/>
              <w:rPr>
                <w:sz w:val="20"/>
                <w:szCs w:val="20"/>
                <w:color w:val="auto"/>
              </w:rPr>
            </w:pPr>
            <w:r>
              <w:rPr>
                <w:rFonts w:ascii="Arial" w:cs="Arial" w:eastAsia="Arial" w:hAnsi="Arial"/>
                <w:sz w:val="15"/>
                <w:szCs w:val="15"/>
                <w:b w:val="1"/>
                <w:bCs w:val="1"/>
                <w:color w:val="auto"/>
              </w:rPr>
              <w:t>Compensation Stock</w:t>
            </w:r>
          </w:p>
        </w:tc>
      </w:tr>
      <w:tr>
        <w:trPr>
          <w:trHeight w:val="135"/>
        </w:trPr>
        <w:tc>
          <w:tcPr>
            <w:tcW w:w="244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44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Weighted-Average</w:t>
            </w:r>
          </w:p>
        </w:tc>
        <w:tc>
          <w:tcPr>
            <w:tcW w:w="1440" w:type="dxa"/>
            <w:vAlign w:val="bottom"/>
          </w:tcPr>
          <w:p>
            <w:pPr>
              <w:spacing w:after="0"/>
              <w:rPr>
                <w:sz w:val="11"/>
                <w:szCs w:val="11"/>
                <w:color w:val="auto"/>
              </w:rPr>
            </w:pPr>
          </w:p>
        </w:tc>
        <w:tc>
          <w:tcPr>
            <w:tcW w:w="144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Weighted-Average</w:t>
            </w:r>
          </w:p>
        </w:tc>
        <w:tc>
          <w:tcPr>
            <w:tcW w:w="1260" w:type="dxa"/>
            <w:vAlign w:val="bottom"/>
          </w:tcPr>
          <w:p>
            <w:pPr>
              <w:spacing w:after="0"/>
              <w:rPr>
                <w:sz w:val="11"/>
                <w:szCs w:val="11"/>
                <w:color w:val="auto"/>
              </w:rPr>
            </w:pPr>
          </w:p>
        </w:tc>
        <w:tc>
          <w:tcPr>
            <w:tcW w:w="1480" w:type="dxa"/>
            <w:vAlign w:val="bottom"/>
            <w:gridSpan w:val="2"/>
          </w:tcPr>
          <w:p>
            <w:pPr>
              <w:ind w:left="360"/>
              <w:spacing w:after="0" w:line="135" w:lineRule="exact"/>
              <w:rPr>
                <w:sz w:val="20"/>
                <w:szCs w:val="20"/>
                <w:color w:val="auto"/>
              </w:rPr>
            </w:pPr>
            <w:r>
              <w:rPr>
                <w:rFonts w:ascii="Arial" w:cs="Arial" w:eastAsia="Arial" w:hAnsi="Arial"/>
                <w:sz w:val="13"/>
                <w:szCs w:val="13"/>
                <w:color w:val="auto"/>
              </w:rPr>
              <w:t>Weighted-Average</w:t>
            </w:r>
          </w:p>
        </w:tc>
      </w:tr>
      <w:tr>
        <w:trPr>
          <w:trHeight w:val="143"/>
        </w:trPr>
        <w:tc>
          <w:tcPr>
            <w:tcW w:w="2440" w:type="dxa"/>
            <w:vAlign w:val="bottom"/>
          </w:tcPr>
          <w:p>
            <w:pPr>
              <w:spacing w:after="0"/>
              <w:rPr>
                <w:sz w:val="12"/>
                <w:szCs w:val="12"/>
                <w:color w:val="auto"/>
              </w:rPr>
            </w:pPr>
          </w:p>
        </w:tc>
        <w:tc>
          <w:tcPr>
            <w:tcW w:w="1920" w:type="dxa"/>
            <w:vAlign w:val="bottom"/>
          </w:tcPr>
          <w:p>
            <w:pPr>
              <w:jc w:val="right"/>
              <w:ind w:right="11"/>
              <w:spacing w:after="0" w:line="143" w:lineRule="exact"/>
              <w:rPr>
                <w:sz w:val="20"/>
                <w:szCs w:val="20"/>
                <w:color w:val="auto"/>
              </w:rPr>
            </w:pPr>
            <w:r>
              <w:rPr>
                <w:rFonts w:ascii="Arial" w:cs="Arial" w:eastAsia="Arial" w:hAnsi="Arial"/>
                <w:sz w:val="13"/>
                <w:szCs w:val="13"/>
                <w:color w:val="auto"/>
              </w:rPr>
              <w:t>Number of</w:t>
            </w:r>
          </w:p>
        </w:tc>
        <w:tc>
          <w:tcPr>
            <w:tcW w:w="240" w:type="dxa"/>
            <w:vAlign w:val="bottom"/>
          </w:tcPr>
          <w:p>
            <w:pPr>
              <w:spacing w:after="0"/>
              <w:rPr>
                <w:sz w:val="12"/>
                <w:szCs w:val="12"/>
                <w:color w:val="auto"/>
              </w:rPr>
            </w:pPr>
          </w:p>
        </w:tc>
        <w:tc>
          <w:tcPr>
            <w:tcW w:w="1200" w:type="dxa"/>
            <w:vAlign w:val="bottom"/>
          </w:tcPr>
          <w:p>
            <w:pPr>
              <w:jc w:val="right"/>
              <w:ind w:right="412"/>
              <w:spacing w:after="0" w:line="143" w:lineRule="exact"/>
              <w:rPr>
                <w:sz w:val="20"/>
                <w:szCs w:val="20"/>
                <w:color w:val="auto"/>
              </w:rPr>
            </w:pPr>
            <w:r>
              <w:rPr>
                <w:rFonts w:ascii="Arial" w:cs="Arial" w:eastAsia="Arial" w:hAnsi="Arial"/>
                <w:sz w:val="13"/>
                <w:szCs w:val="13"/>
                <w:color w:val="auto"/>
              </w:rPr>
              <w:t>Grant-Date</w:t>
            </w:r>
          </w:p>
        </w:tc>
        <w:tc>
          <w:tcPr>
            <w:tcW w:w="1440" w:type="dxa"/>
            <w:vAlign w:val="bottom"/>
          </w:tcPr>
          <w:p>
            <w:pPr>
              <w:jc w:val="right"/>
              <w:ind w:right="11"/>
              <w:spacing w:after="0" w:line="143" w:lineRule="exact"/>
              <w:rPr>
                <w:sz w:val="20"/>
                <w:szCs w:val="20"/>
                <w:color w:val="auto"/>
              </w:rPr>
            </w:pPr>
            <w:r>
              <w:rPr>
                <w:rFonts w:ascii="Arial" w:cs="Arial" w:eastAsia="Arial" w:hAnsi="Arial"/>
                <w:sz w:val="13"/>
                <w:szCs w:val="13"/>
                <w:color w:val="auto"/>
              </w:rPr>
              <w:t>Number of</w:t>
            </w:r>
          </w:p>
        </w:tc>
        <w:tc>
          <w:tcPr>
            <w:tcW w:w="240" w:type="dxa"/>
            <w:vAlign w:val="bottom"/>
          </w:tcPr>
          <w:p>
            <w:pPr>
              <w:spacing w:after="0"/>
              <w:rPr>
                <w:sz w:val="12"/>
                <w:szCs w:val="12"/>
                <w:color w:val="auto"/>
              </w:rPr>
            </w:pPr>
          </w:p>
        </w:tc>
        <w:tc>
          <w:tcPr>
            <w:tcW w:w="1200" w:type="dxa"/>
            <w:vAlign w:val="bottom"/>
          </w:tcPr>
          <w:p>
            <w:pPr>
              <w:jc w:val="right"/>
              <w:ind w:right="412"/>
              <w:spacing w:after="0" w:line="143" w:lineRule="exact"/>
              <w:rPr>
                <w:sz w:val="20"/>
                <w:szCs w:val="20"/>
                <w:color w:val="auto"/>
              </w:rPr>
            </w:pPr>
            <w:r>
              <w:rPr>
                <w:rFonts w:ascii="Arial" w:cs="Arial" w:eastAsia="Arial" w:hAnsi="Arial"/>
                <w:sz w:val="13"/>
                <w:szCs w:val="13"/>
                <w:color w:val="auto"/>
              </w:rPr>
              <w:t>Grant-Date</w:t>
            </w:r>
          </w:p>
        </w:tc>
        <w:tc>
          <w:tcPr>
            <w:tcW w:w="1260" w:type="dxa"/>
            <w:vAlign w:val="bottom"/>
          </w:tcPr>
          <w:p>
            <w:pPr>
              <w:jc w:val="right"/>
              <w:ind w:right="31"/>
              <w:spacing w:after="0" w:line="143" w:lineRule="exact"/>
              <w:rPr>
                <w:sz w:val="20"/>
                <w:szCs w:val="20"/>
                <w:color w:val="auto"/>
              </w:rPr>
            </w:pPr>
            <w:r>
              <w:rPr>
                <w:rFonts w:ascii="Arial" w:cs="Arial" w:eastAsia="Arial" w:hAnsi="Arial"/>
                <w:sz w:val="13"/>
                <w:szCs w:val="13"/>
                <w:color w:val="auto"/>
              </w:rPr>
              <w:t>Number of</w:t>
            </w:r>
          </w:p>
        </w:tc>
        <w:tc>
          <w:tcPr>
            <w:tcW w:w="500" w:type="dxa"/>
            <w:vAlign w:val="bottom"/>
          </w:tcPr>
          <w:p>
            <w:pPr>
              <w:spacing w:after="0"/>
              <w:rPr>
                <w:sz w:val="12"/>
                <w:szCs w:val="12"/>
                <w:color w:val="auto"/>
              </w:rPr>
            </w:pPr>
          </w:p>
        </w:tc>
        <w:tc>
          <w:tcPr>
            <w:tcW w:w="980" w:type="dxa"/>
            <w:vAlign w:val="bottom"/>
          </w:tcPr>
          <w:p>
            <w:pPr>
              <w:jc w:val="right"/>
              <w:ind w:right="192"/>
              <w:spacing w:after="0" w:line="143" w:lineRule="exact"/>
              <w:rPr>
                <w:sz w:val="20"/>
                <w:szCs w:val="20"/>
                <w:color w:val="auto"/>
              </w:rPr>
            </w:pPr>
            <w:r>
              <w:rPr>
                <w:rFonts w:ascii="Arial" w:cs="Arial" w:eastAsia="Arial" w:hAnsi="Arial"/>
                <w:sz w:val="13"/>
                <w:szCs w:val="13"/>
                <w:color w:val="auto"/>
              </w:rPr>
              <w:t>Grant-Date</w:t>
            </w:r>
          </w:p>
        </w:tc>
      </w:tr>
      <w:tr>
        <w:trPr>
          <w:trHeight w:val="156"/>
        </w:trPr>
        <w:tc>
          <w:tcPr>
            <w:tcW w:w="244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tcPr>
          <w:p>
            <w:pPr>
              <w:jc w:val="right"/>
              <w:ind w:right="111"/>
              <w:spacing w:after="0"/>
              <w:rPr>
                <w:sz w:val="20"/>
                <w:szCs w:val="20"/>
                <w:color w:val="auto"/>
              </w:rPr>
            </w:pPr>
            <w:r>
              <w:rPr>
                <w:rFonts w:ascii="Arial" w:cs="Arial" w:eastAsia="Arial" w:hAnsi="Arial"/>
                <w:sz w:val="13"/>
                <w:szCs w:val="13"/>
                <w:color w:val="auto"/>
              </w:rPr>
              <w:t>Awards</w:t>
            </w: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452"/>
              <w:spacing w:after="0"/>
              <w:rPr>
                <w:sz w:val="20"/>
                <w:szCs w:val="20"/>
                <w:color w:val="auto"/>
              </w:rPr>
            </w:pPr>
            <w:r>
              <w:rPr>
                <w:rFonts w:ascii="Arial" w:cs="Arial" w:eastAsia="Arial" w:hAnsi="Arial"/>
                <w:sz w:val="13"/>
                <w:szCs w:val="13"/>
                <w:color w:val="auto"/>
              </w:rPr>
              <w:t>Fair Value</w:t>
            </w:r>
          </w:p>
        </w:tc>
        <w:tc>
          <w:tcPr>
            <w:tcW w:w="1440" w:type="dxa"/>
            <w:vAlign w:val="bottom"/>
            <w:tcBorders>
              <w:bottom w:val="single" w:sz="8" w:color="auto"/>
            </w:tcBorders>
          </w:tcPr>
          <w:p>
            <w:pPr>
              <w:jc w:val="right"/>
              <w:ind w:right="111"/>
              <w:spacing w:after="0"/>
              <w:rPr>
                <w:sz w:val="20"/>
                <w:szCs w:val="20"/>
                <w:color w:val="auto"/>
              </w:rPr>
            </w:pPr>
            <w:r>
              <w:rPr>
                <w:rFonts w:ascii="Arial" w:cs="Arial" w:eastAsia="Arial" w:hAnsi="Arial"/>
                <w:sz w:val="13"/>
                <w:szCs w:val="13"/>
                <w:color w:val="auto"/>
              </w:rPr>
              <w:t>Awards</w:t>
            </w: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452"/>
              <w:spacing w:after="0"/>
              <w:rPr>
                <w:sz w:val="20"/>
                <w:szCs w:val="20"/>
                <w:color w:val="auto"/>
              </w:rPr>
            </w:pPr>
            <w:r>
              <w:rPr>
                <w:rFonts w:ascii="Arial" w:cs="Arial" w:eastAsia="Arial" w:hAnsi="Arial"/>
                <w:sz w:val="13"/>
                <w:szCs w:val="13"/>
                <w:color w:val="auto"/>
              </w:rPr>
              <w:t>Fair Value</w:t>
            </w:r>
          </w:p>
        </w:tc>
        <w:tc>
          <w:tcPr>
            <w:tcW w:w="1260" w:type="dxa"/>
            <w:vAlign w:val="bottom"/>
            <w:tcBorders>
              <w:bottom w:val="single" w:sz="8" w:color="auto"/>
            </w:tcBorders>
          </w:tcPr>
          <w:p>
            <w:pPr>
              <w:jc w:val="right"/>
              <w:ind w:right="111"/>
              <w:spacing w:after="0"/>
              <w:rPr>
                <w:sz w:val="20"/>
                <w:szCs w:val="20"/>
                <w:color w:val="auto"/>
              </w:rPr>
            </w:pPr>
            <w:r>
              <w:rPr>
                <w:rFonts w:ascii="Arial" w:cs="Arial" w:eastAsia="Arial" w:hAnsi="Arial"/>
                <w:sz w:val="13"/>
                <w:szCs w:val="13"/>
                <w:color w:val="auto"/>
              </w:rPr>
              <w:t>Awards</w:t>
            </w:r>
          </w:p>
        </w:tc>
        <w:tc>
          <w:tcPr>
            <w:tcW w:w="5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232"/>
              <w:spacing w:after="0"/>
              <w:rPr>
                <w:sz w:val="20"/>
                <w:szCs w:val="20"/>
                <w:color w:val="auto"/>
              </w:rPr>
            </w:pPr>
            <w:r>
              <w:rPr>
                <w:rFonts w:ascii="Arial" w:cs="Arial" w:eastAsia="Arial" w:hAnsi="Arial"/>
                <w:sz w:val="13"/>
                <w:szCs w:val="13"/>
                <w:color w:val="auto"/>
              </w:rPr>
              <w:t>Fair Value</w:t>
            </w:r>
          </w:p>
        </w:tc>
      </w:tr>
      <w:tr>
        <w:trPr>
          <w:trHeight w:val="149"/>
        </w:trPr>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January 1, 2017</w:t>
            </w:r>
          </w:p>
        </w:tc>
        <w:tc>
          <w:tcPr>
            <w:tcW w:w="1920" w:type="dxa"/>
            <w:vAlign w:val="bottom"/>
            <w:shd w:val="clear" w:color="auto" w:fill="CCEEFF"/>
          </w:tcPr>
          <w:p>
            <w:pPr>
              <w:jc w:val="right"/>
              <w:ind w:right="11"/>
              <w:spacing w:after="0" w:line="149" w:lineRule="exact"/>
              <w:rPr>
                <w:sz w:val="20"/>
                <w:szCs w:val="20"/>
                <w:color w:val="auto"/>
              </w:rPr>
            </w:pPr>
            <w:r>
              <w:rPr>
                <w:rFonts w:ascii="Arial" w:cs="Arial" w:eastAsia="Arial" w:hAnsi="Arial"/>
                <w:sz w:val="14"/>
                <w:szCs w:val="14"/>
                <w:color w:val="auto"/>
              </w:rPr>
              <w:t>307,317</w:t>
            </w:r>
          </w:p>
        </w:tc>
        <w:tc>
          <w:tcPr>
            <w:tcW w:w="2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125.36</w:t>
            </w:r>
          </w:p>
        </w:tc>
        <w:tc>
          <w:tcPr>
            <w:tcW w:w="1440" w:type="dxa"/>
            <w:vAlign w:val="bottom"/>
            <w:shd w:val="clear" w:color="auto" w:fill="CCEEFF"/>
          </w:tcPr>
          <w:p>
            <w:pPr>
              <w:jc w:val="right"/>
              <w:ind w:right="11"/>
              <w:spacing w:after="0" w:line="149" w:lineRule="exact"/>
              <w:rPr>
                <w:sz w:val="20"/>
                <w:szCs w:val="20"/>
                <w:color w:val="auto"/>
              </w:rPr>
            </w:pPr>
            <w:r>
              <w:rPr>
                <w:rFonts w:ascii="Arial" w:cs="Arial" w:eastAsia="Arial" w:hAnsi="Arial"/>
                <w:sz w:val="14"/>
                <w:szCs w:val="14"/>
                <w:color w:val="auto"/>
              </w:rPr>
              <w:t>111,317</w:t>
            </w:r>
          </w:p>
        </w:tc>
        <w:tc>
          <w:tcPr>
            <w:tcW w:w="2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122.22</w:t>
            </w:r>
          </w:p>
        </w:tc>
        <w:tc>
          <w:tcPr>
            <w:tcW w:w="1260" w:type="dxa"/>
            <w:vAlign w:val="bottom"/>
            <w:shd w:val="clear" w:color="auto" w:fill="CCEEFF"/>
          </w:tcPr>
          <w:p>
            <w:pPr>
              <w:jc w:val="right"/>
              <w:ind w:right="31"/>
              <w:spacing w:after="0" w:line="149" w:lineRule="exact"/>
              <w:rPr>
                <w:sz w:val="20"/>
                <w:szCs w:val="20"/>
                <w:color w:val="auto"/>
              </w:rPr>
            </w:pPr>
            <w:r>
              <w:rPr>
                <w:rFonts w:ascii="Arial" w:cs="Arial" w:eastAsia="Arial" w:hAnsi="Arial"/>
                <w:sz w:val="14"/>
                <w:szCs w:val="14"/>
                <w:color w:val="auto"/>
              </w:rPr>
              <w:t>40,549</w:t>
            </w:r>
          </w:p>
        </w:tc>
        <w:tc>
          <w:tcPr>
            <w:tcW w:w="50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114.44</w:t>
            </w:r>
          </w:p>
        </w:tc>
      </w:tr>
      <w:tr>
        <w:trPr>
          <w:trHeight w:val="156"/>
        </w:trPr>
        <w:tc>
          <w:tcPr>
            <w:tcW w:w="2440" w:type="dxa"/>
            <w:vAlign w:val="bottom"/>
          </w:tcPr>
          <w:p>
            <w:pPr>
              <w:spacing w:after="0" w:line="156" w:lineRule="exact"/>
              <w:rPr>
                <w:sz w:val="20"/>
                <w:szCs w:val="20"/>
                <w:color w:val="auto"/>
              </w:rPr>
            </w:pPr>
            <w:r>
              <w:rPr>
                <w:rFonts w:ascii="Arial" w:cs="Arial" w:eastAsia="Arial" w:hAnsi="Arial"/>
                <w:sz w:val="14"/>
                <w:szCs w:val="14"/>
                <w:color w:val="auto"/>
              </w:rPr>
              <w:t>Awarded</w:t>
            </w:r>
          </w:p>
        </w:tc>
        <w:tc>
          <w:tcPr>
            <w:tcW w:w="1920" w:type="dxa"/>
            <w:vAlign w:val="bottom"/>
          </w:tcPr>
          <w:p>
            <w:pPr>
              <w:jc w:val="right"/>
              <w:ind w:right="11"/>
              <w:spacing w:after="0" w:line="156" w:lineRule="exact"/>
              <w:rPr>
                <w:sz w:val="20"/>
                <w:szCs w:val="20"/>
                <w:color w:val="auto"/>
              </w:rPr>
            </w:pPr>
            <w:r>
              <w:rPr>
                <w:rFonts w:ascii="Arial" w:cs="Arial" w:eastAsia="Arial" w:hAnsi="Arial"/>
                <w:sz w:val="14"/>
                <w:szCs w:val="14"/>
                <w:color w:val="auto"/>
              </w:rPr>
              <w:t>80,181</w:t>
            </w:r>
          </w:p>
        </w:tc>
        <w:tc>
          <w:tcPr>
            <w:tcW w:w="240" w:type="dxa"/>
            <w:vAlign w:val="bottom"/>
          </w:tcPr>
          <w:p>
            <w:pPr>
              <w:ind w:left="100"/>
              <w:spacing w:after="0" w:line="156" w:lineRule="exact"/>
              <w:rPr>
                <w:sz w:val="20"/>
                <w:szCs w:val="20"/>
                <w:color w:val="auto"/>
              </w:rPr>
            </w:pPr>
            <w:r>
              <w:rPr>
                <w:rFonts w:ascii="Arial" w:cs="Arial" w:eastAsia="Arial" w:hAnsi="Arial"/>
                <w:sz w:val="14"/>
                <w:szCs w:val="14"/>
                <w:color w:val="auto"/>
              </w:rPr>
              <w:t>$</w:t>
            </w:r>
          </w:p>
        </w:tc>
        <w:tc>
          <w:tcPr>
            <w:tcW w:w="1200" w:type="dxa"/>
            <w:vAlign w:val="bottom"/>
          </w:tcPr>
          <w:p>
            <w:pPr>
              <w:jc w:val="right"/>
              <w:ind w:right="192"/>
              <w:spacing w:after="0" w:line="156" w:lineRule="exact"/>
              <w:rPr>
                <w:sz w:val="20"/>
                <w:szCs w:val="20"/>
                <w:color w:val="auto"/>
              </w:rPr>
            </w:pPr>
            <w:r>
              <w:rPr>
                <w:rFonts w:ascii="Arial" w:cs="Arial" w:eastAsia="Arial" w:hAnsi="Arial"/>
                <w:sz w:val="14"/>
                <w:szCs w:val="14"/>
                <w:color w:val="auto"/>
              </w:rPr>
              <w:t>213.76</w:t>
            </w:r>
          </w:p>
        </w:tc>
        <w:tc>
          <w:tcPr>
            <w:tcW w:w="1440" w:type="dxa"/>
            <w:vAlign w:val="bottom"/>
          </w:tcPr>
          <w:p>
            <w:pPr>
              <w:jc w:val="right"/>
              <w:ind w:right="11"/>
              <w:spacing w:after="0" w:line="156" w:lineRule="exact"/>
              <w:rPr>
                <w:sz w:val="20"/>
                <w:szCs w:val="20"/>
                <w:color w:val="auto"/>
              </w:rPr>
            </w:pPr>
            <w:r>
              <w:rPr>
                <w:rFonts w:ascii="Arial" w:cs="Arial" w:eastAsia="Arial" w:hAnsi="Arial"/>
                <w:sz w:val="14"/>
                <w:szCs w:val="14"/>
                <w:color w:val="auto"/>
              </w:rPr>
              <w:t>47,997</w:t>
            </w:r>
          </w:p>
        </w:tc>
        <w:tc>
          <w:tcPr>
            <w:tcW w:w="240" w:type="dxa"/>
            <w:vAlign w:val="bottom"/>
          </w:tcPr>
          <w:p>
            <w:pPr>
              <w:ind w:left="100"/>
              <w:spacing w:after="0" w:line="156" w:lineRule="exact"/>
              <w:rPr>
                <w:sz w:val="20"/>
                <w:szCs w:val="20"/>
                <w:color w:val="auto"/>
              </w:rPr>
            </w:pPr>
            <w:r>
              <w:rPr>
                <w:rFonts w:ascii="Arial" w:cs="Arial" w:eastAsia="Arial" w:hAnsi="Arial"/>
                <w:sz w:val="14"/>
                <w:szCs w:val="14"/>
                <w:color w:val="auto"/>
              </w:rPr>
              <w:t>$</w:t>
            </w:r>
          </w:p>
        </w:tc>
        <w:tc>
          <w:tcPr>
            <w:tcW w:w="1200" w:type="dxa"/>
            <w:vAlign w:val="bottom"/>
          </w:tcPr>
          <w:p>
            <w:pPr>
              <w:jc w:val="right"/>
              <w:ind w:right="192"/>
              <w:spacing w:after="0" w:line="156" w:lineRule="exact"/>
              <w:rPr>
                <w:sz w:val="20"/>
                <w:szCs w:val="20"/>
                <w:color w:val="auto"/>
              </w:rPr>
            </w:pPr>
            <w:r>
              <w:rPr>
                <w:rFonts w:ascii="Arial" w:cs="Arial" w:eastAsia="Arial" w:hAnsi="Arial"/>
                <w:sz w:val="14"/>
                <w:szCs w:val="14"/>
                <w:color w:val="auto"/>
              </w:rPr>
              <w:t>207.73</w:t>
            </w:r>
          </w:p>
        </w:tc>
        <w:tc>
          <w:tcPr>
            <w:tcW w:w="1260" w:type="dxa"/>
            <w:vAlign w:val="bottom"/>
          </w:tcPr>
          <w:p>
            <w:pPr>
              <w:jc w:val="right"/>
              <w:ind w:right="31"/>
              <w:spacing w:after="0" w:line="156" w:lineRule="exact"/>
              <w:rPr>
                <w:sz w:val="20"/>
                <w:szCs w:val="20"/>
                <w:color w:val="auto"/>
              </w:rPr>
            </w:pPr>
            <w:r>
              <w:rPr>
                <w:rFonts w:ascii="Arial" w:cs="Arial" w:eastAsia="Arial" w:hAnsi="Arial"/>
                <w:sz w:val="14"/>
                <w:szCs w:val="14"/>
                <w:color w:val="auto"/>
              </w:rPr>
              <w:t>19,981</w:t>
            </w:r>
          </w:p>
        </w:tc>
        <w:tc>
          <w:tcPr>
            <w:tcW w:w="500" w:type="dxa"/>
            <w:vAlign w:val="bottom"/>
          </w:tcPr>
          <w:p>
            <w:pPr>
              <w:ind w:left="360"/>
              <w:spacing w:after="0" w:line="156" w:lineRule="exact"/>
              <w:rPr>
                <w:sz w:val="20"/>
                <w:szCs w:val="20"/>
                <w:color w:val="auto"/>
              </w:rPr>
            </w:pPr>
            <w:r>
              <w:rPr>
                <w:rFonts w:ascii="Arial" w:cs="Arial" w:eastAsia="Arial" w:hAnsi="Arial"/>
                <w:sz w:val="14"/>
                <w:szCs w:val="14"/>
                <w:color w:val="auto"/>
              </w:rPr>
              <w:t>$</w:t>
            </w:r>
          </w:p>
        </w:tc>
        <w:tc>
          <w:tcPr>
            <w:tcW w:w="980" w:type="dxa"/>
            <w:vAlign w:val="bottom"/>
          </w:tcPr>
          <w:p>
            <w:pPr>
              <w:jc w:val="right"/>
              <w:spacing w:after="0" w:line="156" w:lineRule="exact"/>
              <w:rPr>
                <w:sz w:val="20"/>
                <w:szCs w:val="20"/>
                <w:color w:val="auto"/>
              </w:rPr>
            </w:pPr>
            <w:r>
              <w:rPr>
                <w:rFonts w:ascii="Arial" w:cs="Arial" w:eastAsia="Arial" w:hAnsi="Arial"/>
                <w:sz w:val="14"/>
                <w:szCs w:val="14"/>
                <w:color w:val="auto"/>
              </w:rPr>
              <w:t>208.68</w:t>
            </w:r>
          </w:p>
        </w:tc>
      </w:tr>
      <w:tr>
        <w:trPr>
          <w:trHeight w:val="156"/>
        </w:trPr>
        <w:tc>
          <w:tcPr>
            <w:tcW w:w="244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Distributed</w:t>
            </w:r>
          </w:p>
        </w:tc>
        <w:tc>
          <w:tcPr>
            <w:tcW w:w="192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(68,828)</w:t>
            </w:r>
          </w:p>
        </w:tc>
        <w:tc>
          <w:tcPr>
            <w:tcW w:w="240" w:type="dxa"/>
            <w:vAlign w:val="bottom"/>
            <w:shd w:val="clear" w:color="auto" w:fill="CCEEFF"/>
          </w:tcPr>
          <w:p>
            <w:pPr>
              <w:ind w:left="100"/>
              <w:spacing w:after="0" w:line="156" w:lineRule="exact"/>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192"/>
              <w:spacing w:after="0" w:line="156" w:lineRule="exact"/>
              <w:rPr>
                <w:sz w:val="20"/>
                <w:szCs w:val="20"/>
                <w:color w:val="auto"/>
              </w:rPr>
            </w:pPr>
            <w:r>
              <w:rPr>
                <w:rFonts w:ascii="Arial" w:cs="Arial" w:eastAsia="Arial" w:hAnsi="Arial"/>
                <w:sz w:val="14"/>
                <w:szCs w:val="14"/>
                <w:color w:val="auto"/>
              </w:rPr>
              <w:t>121.40</w:t>
            </w:r>
          </w:p>
        </w:tc>
        <w:tc>
          <w:tcPr>
            <w:tcW w:w="144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(17,692)</w:t>
            </w:r>
          </w:p>
        </w:tc>
        <w:tc>
          <w:tcPr>
            <w:tcW w:w="240" w:type="dxa"/>
            <w:vAlign w:val="bottom"/>
            <w:shd w:val="clear" w:color="auto" w:fill="CCEEFF"/>
          </w:tcPr>
          <w:p>
            <w:pPr>
              <w:ind w:left="100"/>
              <w:spacing w:after="0" w:line="156" w:lineRule="exact"/>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192"/>
              <w:spacing w:after="0" w:line="156" w:lineRule="exact"/>
              <w:rPr>
                <w:sz w:val="20"/>
                <w:szCs w:val="20"/>
                <w:color w:val="auto"/>
              </w:rPr>
            </w:pPr>
            <w:r>
              <w:rPr>
                <w:rFonts w:ascii="Arial" w:cs="Arial" w:eastAsia="Arial" w:hAnsi="Arial"/>
                <w:sz w:val="14"/>
                <w:szCs w:val="14"/>
                <w:color w:val="auto"/>
              </w:rPr>
              <w:t>129.14</w:t>
            </w:r>
          </w:p>
        </w:tc>
        <w:tc>
          <w:tcPr>
            <w:tcW w:w="126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(21,784)</w:t>
            </w:r>
          </w:p>
        </w:tc>
        <w:tc>
          <w:tcPr>
            <w:tcW w:w="500" w:type="dxa"/>
            <w:vAlign w:val="bottom"/>
            <w:shd w:val="clear" w:color="auto" w:fill="CCEEFF"/>
          </w:tcPr>
          <w:p>
            <w:pPr>
              <w:ind w:left="360"/>
              <w:spacing w:after="0" w:line="156"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108.44</w:t>
            </w:r>
          </w:p>
        </w:tc>
      </w:tr>
      <w:tr>
        <w:trPr>
          <w:trHeight w:val="156"/>
        </w:trPr>
        <w:tc>
          <w:tcPr>
            <w:tcW w:w="2440" w:type="dxa"/>
            <w:vAlign w:val="bottom"/>
            <w:tcBorders>
              <w:bottom w:val="single" w:sz="8" w:color="auto"/>
            </w:tcBorders>
          </w:tcPr>
          <w:p>
            <w:pPr>
              <w:spacing w:after="0" w:line="156" w:lineRule="exact"/>
              <w:rPr>
                <w:sz w:val="20"/>
                <w:szCs w:val="20"/>
                <w:color w:val="auto"/>
              </w:rPr>
            </w:pPr>
            <w:r>
              <w:rPr>
                <w:rFonts w:ascii="Arial" w:cs="Arial" w:eastAsia="Arial" w:hAnsi="Arial"/>
                <w:sz w:val="14"/>
                <w:szCs w:val="14"/>
                <w:color w:val="auto"/>
              </w:rPr>
              <w:t>Forfeited</w:t>
            </w:r>
          </w:p>
        </w:tc>
        <w:tc>
          <w:tcPr>
            <w:tcW w:w="19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(3,830)</w:t>
            </w:r>
          </w:p>
        </w:tc>
        <w:tc>
          <w:tcPr>
            <w:tcW w:w="240" w:type="dxa"/>
            <w:vAlign w:val="bottom"/>
            <w:tcBorders>
              <w:bottom w:val="single" w:sz="8" w:color="CCEEFF"/>
            </w:tcBorders>
          </w:tcPr>
          <w:p>
            <w:pPr>
              <w:ind w:left="100"/>
              <w:spacing w:after="0" w:line="156" w:lineRule="exact"/>
              <w:rPr>
                <w:sz w:val="20"/>
                <w:szCs w:val="20"/>
                <w:color w:val="auto"/>
              </w:rPr>
            </w:pPr>
            <w:r>
              <w:rPr>
                <w:rFonts w:ascii="Arial" w:cs="Arial" w:eastAsia="Arial" w:hAnsi="Arial"/>
                <w:sz w:val="14"/>
                <w:szCs w:val="14"/>
                <w:color w:val="auto"/>
              </w:rPr>
              <w:t>$</w:t>
            </w:r>
          </w:p>
        </w:tc>
        <w:tc>
          <w:tcPr>
            <w:tcW w:w="1200" w:type="dxa"/>
            <w:vAlign w:val="bottom"/>
            <w:tcBorders>
              <w:bottom w:val="single" w:sz="8" w:color="CCEEFF"/>
            </w:tcBorders>
          </w:tcPr>
          <w:p>
            <w:pPr>
              <w:jc w:val="right"/>
              <w:ind w:right="192"/>
              <w:spacing w:after="0" w:line="156" w:lineRule="exact"/>
              <w:rPr>
                <w:sz w:val="20"/>
                <w:szCs w:val="20"/>
                <w:color w:val="auto"/>
              </w:rPr>
            </w:pPr>
            <w:r>
              <w:rPr>
                <w:rFonts w:ascii="Arial" w:cs="Arial" w:eastAsia="Arial" w:hAnsi="Arial"/>
                <w:sz w:val="14"/>
                <w:szCs w:val="14"/>
                <w:color w:val="auto"/>
              </w:rPr>
              <w:t>156.40</w:t>
            </w:r>
          </w:p>
        </w:tc>
        <w:tc>
          <w:tcPr>
            <w:tcW w:w="14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(1,623)</w:t>
            </w:r>
          </w:p>
        </w:tc>
        <w:tc>
          <w:tcPr>
            <w:tcW w:w="240" w:type="dxa"/>
            <w:vAlign w:val="bottom"/>
            <w:tcBorders>
              <w:bottom w:val="single" w:sz="8" w:color="CCEEFF"/>
            </w:tcBorders>
          </w:tcPr>
          <w:p>
            <w:pPr>
              <w:ind w:left="100"/>
              <w:spacing w:after="0" w:line="156" w:lineRule="exact"/>
              <w:rPr>
                <w:sz w:val="20"/>
                <w:szCs w:val="20"/>
                <w:color w:val="auto"/>
              </w:rPr>
            </w:pPr>
            <w:r>
              <w:rPr>
                <w:rFonts w:ascii="Arial" w:cs="Arial" w:eastAsia="Arial" w:hAnsi="Arial"/>
                <w:sz w:val="14"/>
                <w:szCs w:val="14"/>
                <w:color w:val="auto"/>
              </w:rPr>
              <w:t>$</w:t>
            </w:r>
          </w:p>
        </w:tc>
        <w:tc>
          <w:tcPr>
            <w:tcW w:w="1200" w:type="dxa"/>
            <w:vAlign w:val="bottom"/>
            <w:tcBorders>
              <w:bottom w:val="single" w:sz="8" w:color="CCEEFF"/>
            </w:tcBorders>
          </w:tcPr>
          <w:p>
            <w:pPr>
              <w:jc w:val="right"/>
              <w:ind w:right="192"/>
              <w:spacing w:after="0" w:line="156" w:lineRule="exact"/>
              <w:rPr>
                <w:sz w:val="20"/>
                <w:szCs w:val="20"/>
                <w:color w:val="auto"/>
              </w:rPr>
            </w:pPr>
            <w:r>
              <w:rPr>
                <w:rFonts w:ascii="Arial" w:cs="Arial" w:eastAsia="Arial" w:hAnsi="Arial"/>
                <w:sz w:val="14"/>
                <w:szCs w:val="14"/>
                <w:color w:val="auto"/>
              </w:rPr>
              <w:t>150.38</w:t>
            </w:r>
          </w:p>
        </w:tc>
        <w:tc>
          <w:tcPr>
            <w:tcW w:w="12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(236)</w:t>
            </w:r>
          </w:p>
        </w:tc>
        <w:tc>
          <w:tcPr>
            <w:tcW w:w="500" w:type="dxa"/>
            <w:vAlign w:val="bottom"/>
            <w:tcBorders>
              <w:bottom w:val="single" w:sz="8" w:color="CCEEFF"/>
            </w:tcBorders>
          </w:tcPr>
          <w:p>
            <w:pPr>
              <w:ind w:left="360"/>
              <w:spacing w:after="0" w:line="156"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tcPr>
          <w:p>
            <w:pPr>
              <w:jc w:val="right"/>
              <w:spacing w:after="0" w:line="156" w:lineRule="exact"/>
              <w:rPr>
                <w:sz w:val="20"/>
                <w:szCs w:val="20"/>
                <w:color w:val="auto"/>
              </w:rPr>
            </w:pPr>
            <w:r>
              <w:rPr>
                <w:rFonts w:ascii="Arial" w:cs="Arial" w:eastAsia="Arial" w:hAnsi="Arial"/>
                <w:sz w:val="14"/>
                <w:szCs w:val="14"/>
                <w:color w:val="auto"/>
              </w:rPr>
              <w:t>124.41</w:t>
            </w:r>
          </w:p>
        </w:tc>
      </w:tr>
      <w:tr>
        <w:trPr>
          <w:trHeight w:val="149"/>
        </w:trPr>
        <w:tc>
          <w:tcPr>
            <w:tcW w:w="244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December 31, 2017</w:t>
            </w:r>
          </w:p>
        </w:tc>
        <w:tc>
          <w:tcPr>
            <w:tcW w:w="1920" w:type="dxa"/>
            <w:vAlign w:val="bottom"/>
            <w:tcBorders>
              <w:bottom w:val="single" w:sz="8" w:color="auto"/>
            </w:tcBorders>
            <w:shd w:val="clear" w:color="auto" w:fill="CCEEFF"/>
          </w:tcPr>
          <w:p>
            <w:pPr>
              <w:jc w:val="right"/>
              <w:ind w:right="11"/>
              <w:spacing w:after="0" w:line="149" w:lineRule="exact"/>
              <w:rPr>
                <w:sz w:val="20"/>
                <w:szCs w:val="20"/>
                <w:color w:val="auto"/>
              </w:rPr>
            </w:pPr>
            <w:r>
              <w:rPr>
                <w:rFonts w:ascii="Arial" w:cs="Arial" w:eastAsia="Arial" w:hAnsi="Arial"/>
                <w:sz w:val="14"/>
                <w:szCs w:val="14"/>
                <w:color w:val="auto"/>
              </w:rPr>
              <w:t>314,840</w:t>
            </w:r>
          </w:p>
        </w:tc>
        <w:tc>
          <w:tcPr>
            <w:tcW w:w="2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151.84</w:t>
            </w:r>
          </w:p>
        </w:tc>
        <w:tc>
          <w:tcPr>
            <w:tcW w:w="1440" w:type="dxa"/>
            <w:vAlign w:val="bottom"/>
            <w:tcBorders>
              <w:bottom w:val="single" w:sz="8" w:color="auto"/>
            </w:tcBorders>
            <w:shd w:val="clear" w:color="auto" w:fill="CCEEFF"/>
          </w:tcPr>
          <w:p>
            <w:pPr>
              <w:jc w:val="right"/>
              <w:ind w:right="11"/>
              <w:spacing w:after="0" w:line="149" w:lineRule="exact"/>
              <w:rPr>
                <w:sz w:val="20"/>
                <w:szCs w:val="20"/>
                <w:color w:val="auto"/>
              </w:rPr>
            </w:pPr>
            <w:r>
              <w:rPr>
                <w:rFonts w:ascii="Arial" w:cs="Arial" w:eastAsia="Arial" w:hAnsi="Arial"/>
                <w:sz w:val="14"/>
                <w:szCs w:val="14"/>
                <w:color w:val="auto"/>
              </w:rPr>
              <w:t>139,999</w:t>
            </w:r>
          </w:p>
        </w:tc>
        <w:tc>
          <w:tcPr>
            <w:tcW w:w="2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150.34</w:t>
            </w:r>
          </w:p>
        </w:tc>
        <w:tc>
          <w:tcPr>
            <w:tcW w:w="1260" w:type="dxa"/>
            <w:vAlign w:val="bottom"/>
            <w:tcBorders>
              <w:bottom w:val="single" w:sz="8" w:color="auto"/>
            </w:tcBorders>
            <w:shd w:val="clear" w:color="auto" w:fill="CCEEFF"/>
          </w:tcPr>
          <w:p>
            <w:pPr>
              <w:jc w:val="right"/>
              <w:ind w:right="31"/>
              <w:spacing w:after="0" w:line="149" w:lineRule="exact"/>
              <w:rPr>
                <w:sz w:val="20"/>
                <w:szCs w:val="20"/>
                <w:color w:val="auto"/>
              </w:rPr>
            </w:pPr>
            <w:r>
              <w:rPr>
                <w:rFonts w:ascii="Arial" w:cs="Arial" w:eastAsia="Arial" w:hAnsi="Arial"/>
                <w:sz w:val="14"/>
                <w:szCs w:val="14"/>
                <w:color w:val="auto"/>
              </w:rPr>
              <w:t>38,510</w:t>
            </w:r>
          </w:p>
        </w:tc>
        <w:tc>
          <w:tcPr>
            <w:tcW w:w="50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166.67</w:t>
            </w:r>
          </w:p>
        </w:tc>
      </w:tr>
    </w:tbl>
    <w:p>
      <w:pPr>
        <w:spacing w:after="0" w:line="200" w:lineRule="exact"/>
        <w:rPr>
          <w:sz w:val="20"/>
          <w:szCs w:val="20"/>
          <w:color w:val="auto"/>
        </w:rPr>
      </w:pPr>
    </w:p>
    <w:p>
      <w:pPr>
        <w:sectPr>
          <w:pgSz w:w="11900" w:h="16838" w:orient="portrait"/>
          <w:cols w:equalWidth="0" w:num="1">
            <w:col w:w="11420"/>
          </w:cols>
          <w:pgMar w:left="240" w:top="259" w:right="239" w:bottom="1440" w:gutter="0" w:footer="0" w:header="0"/>
        </w:sectPr>
      </w:pPr>
    </w:p>
    <w:p>
      <w:pPr>
        <w:spacing w:after="0" w:line="80"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The weighted-average grant-date fair value of service-based restricted stock awards granted during 2017, 2016 and 2015 was $213.76, $128.48 and $154.26, respectively. The weighted-average grant-date fair value of performance-based restricted stock awards granted during 2017, 2016 and 2015 was $207.73, $124.41 and $108.53, respectively. The weighted-average grant-date fair value of incentive compensation stock awards granted during 2017, 2016 and 2015 was $208.68, $124.41 and $108.53, respectively.</w:t>
      </w:r>
    </w:p>
    <w:p>
      <w:pPr>
        <w:spacing w:after="0" w:line="195"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The aggregate intrinsic values for unvested restricted stock awards and unvested incentive compensation stock awards at December 31, 2017 were $100,538,000 and $3,377,000, respectively, and were based on the closing price of the Company’s common stock at December 31, 2017, which was $221.04. The aggregate intrinsic values of restricted stock awards distributed during the years ended December 31, 2017, 2016 and 2015 were $15,771,000, $9,738,000 and $11,387,000, respectively. The aggregate intrinsic values of incentive compensation stock awards distributed during the years ended December 31, 2017, 2016 and 2015 were $2,601,000, $1,941,000 and $983,000, respectively. The aggregate intrinsic values for distributed awards were based on the closing prices of the Company’s common stock on the dates of distribution.</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6"/>
          <w:szCs w:val="16"/>
          <w:color w:val="auto"/>
        </w:rPr>
        <w:t>Under the Plans, prior to 2016, the Company granted options to employees to purchase its common stock at a price equal to the closing market value at the date of grant. Options become exercisable in four annual installments beginning one year after date of grant. Options granted starting 2013 expire ten years after the grant date while outstanding options granted prior to 2013 expire eight years after the grant date.</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In connection with the TXI acquisition, completed in 2014, the Company issued 821,282 Martin Marietta stock options (Replacement Options) to holders of outstanding TXI stock options at the acquisition date. The Company issued 0.7 Replacement Options for each outstanding TXI stock option, and the Replacement Option prices reflected the exchange ratio. The Replacement Options will expire on the original contractual dates when the TXI stock options were initially issued. Consistent with the terms of the Company’s other outstanding stock options, Replacement Options expire 90 days after employment is terminated.</w:t>
      </w:r>
    </w:p>
    <w:p>
      <w:pPr>
        <w:spacing w:after="0" w:line="194"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Prior to 2009, each nonemployee member of the Board of Directors received 3,000 non-qualified stock options annually. These options have an exercise price equal to the market value at the date of grant, vested immediately and expire ten years from the grant date.</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includes summary information for stock options as of</w:t>
      </w:r>
    </w:p>
    <w:p>
      <w:pPr>
        <w:spacing w:after="0"/>
        <w:rPr>
          <w:sz w:val="20"/>
          <w:szCs w:val="20"/>
          <w:color w:val="auto"/>
        </w:rPr>
      </w:pPr>
      <w:r>
        <w:rPr>
          <w:rFonts w:ascii="Arial" w:cs="Arial" w:eastAsia="Arial" w:hAnsi="Arial"/>
          <w:sz w:val="16"/>
          <w:szCs w:val="16"/>
          <w:color w:val="auto"/>
        </w:rPr>
        <w:t>December 31, 2017:</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20" w:type="dxa"/>
            <w:vAlign w:val="bottom"/>
            <w:gridSpan w:val="2"/>
          </w:tcPr>
          <w:p>
            <w:pPr>
              <w:ind w:left="300"/>
              <w:spacing w:after="0"/>
              <w:rPr>
                <w:sz w:val="20"/>
                <w:szCs w:val="20"/>
                <w:color w:val="auto"/>
              </w:rPr>
            </w:pPr>
            <w:r>
              <w:rPr>
                <w:rFonts w:ascii="Arial" w:cs="Arial" w:eastAsia="Arial" w:hAnsi="Arial"/>
                <w:sz w:val="13"/>
                <w:szCs w:val="13"/>
                <w:b w:val="1"/>
                <w:bCs w:val="1"/>
                <w:color w:val="auto"/>
              </w:rPr>
              <w:t>Weighted-</w:t>
            </w:r>
          </w:p>
        </w:tc>
        <w:tc>
          <w:tcPr>
            <w:tcW w:w="1360" w:type="dxa"/>
            <w:vAlign w:val="bottom"/>
          </w:tcPr>
          <w:p>
            <w:pPr>
              <w:jc w:val="center"/>
              <w:ind w:left="52"/>
              <w:spacing w:after="0"/>
              <w:rPr>
                <w:sz w:val="20"/>
                <w:szCs w:val="20"/>
                <w:color w:val="auto"/>
              </w:rPr>
            </w:pPr>
            <w:r>
              <w:rPr>
                <w:rFonts w:ascii="Arial" w:cs="Arial" w:eastAsia="Arial" w:hAnsi="Arial"/>
                <w:sz w:val="13"/>
                <w:szCs w:val="13"/>
                <w:b w:val="1"/>
                <w:bCs w:val="1"/>
                <w:color w:val="auto"/>
                <w:w w:val="98"/>
              </w:rPr>
              <w:t>Weighted-Average</w:t>
            </w:r>
          </w:p>
        </w:tc>
      </w:tr>
      <w:tr>
        <w:trPr>
          <w:trHeight w:val="143"/>
        </w:trPr>
        <w:tc>
          <w:tcPr>
            <w:tcW w:w="2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20" w:type="dxa"/>
            <w:vAlign w:val="bottom"/>
            <w:gridSpan w:val="2"/>
          </w:tcPr>
          <w:p>
            <w:pPr>
              <w:jc w:val="center"/>
              <w:ind w:left="50"/>
              <w:spacing w:after="0" w:line="143" w:lineRule="exact"/>
              <w:rPr>
                <w:sz w:val="20"/>
                <w:szCs w:val="20"/>
                <w:color w:val="auto"/>
              </w:rPr>
            </w:pPr>
            <w:r>
              <w:rPr>
                <w:rFonts w:ascii="Arial" w:cs="Arial" w:eastAsia="Arial" w:hAnsi="Arial"/>
                <w:sz w:val="13"/>
                <w:szCs w:val="13"/>
                <w:b w:val="1"/>
                <w:bCs w:val="1"/>
                <w:color w:val="auto"/>
              </w:rPr>
              <w:t>Average</w:t>
            </w:r>
          </w:p>
        </w:tc>
        <w:tc>
          <w:tcPr>
            <w:tcW w:w="1360" w:type="dxa"/>
            <w:vAlign w:val="bottom"/>
          </w:tcPr>
          <w:p>
            <w:pPr>
              <w:jc w:val="center"/>
              <w:ind w:left="52"/>
              <w:spacing w:after="0" w:line="143" w:lineRule="exact"/>
              <w:rPr>
                <w:sz w:val="20"/>
                <w:szCs w:val="20"/>
                <w:color w:val="auto"/>
              </w:rPr>
            </w:pPr>
            <w:r>
              <w:rPr>
                <w:rFonts w:ascii="Arial" w:cs="Arial" w:eastAsia="Arial" w:hAnsi="Arial"/>
                <w:sz w:val="13"/>
                <w:szCs w:val="13"/>
                <w:b w:val="1"/>
                <w:bCs w:val="1"/>
                <w:color w:val="auto"/>
              </w:rPr>
              <w:t>Remaining</w:t>
            </w:r>
          </w:p>
        </w:tc>
      </w:tr>
      <w:tr>
        <w:trPr>
          <w:trHeight w:val="143"/>
        </w:trPr>
        <w:tc>
          <w:tcPr>
            <w:tcW w:w="2200" w:type="dxa"/>
            <w:vAlign w:val="bottom"/>
          </w:tcPr>
          <w:p>
            <w:pPr>
              <w:spacing w:after="0"/>
              <w:rPr>
                <w:sz w:val="12"/>
                <w:szCs w:val="12"/>
                <w:color w:val="auto"/>
              </w:rPr>
            </w:pPr>
          </w:p>
        </w:tc>
        <w:tc>
          <w:tcPr>
            <w:tcW w:w="900" w:type="dxa"/>
            <w:vAlign w:val="bottom"/>
          </w:tcPr>
          <w:p>
            <w:pPr>
              <w:jc w:val="right"/>
              <w:ind w:right="9"/>
              <w:spacing w:after="0" w:line="143" w:lineRule="exact"/>
              <w:rPr>
                <w:sz w:val="20"/>
                <w:szCs w:val="20"/>
                <w:color w:val="auto"/>
              </w:rPr>
            </w:pPr>
            <w:r>
              <w:rPr>
                <w:rFonts w:ascii="Arial" w:cs="Arial" w:eastAsia="Arial" w:hAnsi="Arial"/>
                <w:sz w:val="13"/>
                <w:szCs w:val="13"/>
                <w:b w:val="1"/>
                <w:bCs w:val="1"/>
                <w:color w:val="auto"/>
              </w:rPr>
              <w:t>Number of</w:t>
            </w:r>
          </w:p>
        </w:tc>
        <w:tc>
          <w:tcPr>
            <w:tcW w:w="1120" w:type="dxa"/>
            <w:vAlign w:val="bottom"/>
            <w:gridSpan w:val="2"/>
          </w:tcPr>
          <w:p>
            <w:pPr>
              <w:jc w:val="center"/>
              <w:ind w:left="50"/>
              <w:spacing w:after="0" w:line="143" w:lineRule="exact"/>
              <w:rPr>
                <w:sz w:val="20"/>
                <w:szCs w:val="20"/>
                <w:color w:val="auto"/>
              </w:rPr>
            </w:pPr>
            <w:r>
              <w:rPr>
                <w:rFonts w:ascii="Arial" w:cs="Arial" w:eastAsia="Arial" w:hAnsi="Arial"/>
                <w:sz w:val="13"/>
                <w:szCs w:val="13"/>
                <w:b w:val="1"/>
                <w:bCs w:val="1"/>
                <w:color w:val="auto"/>
                <w:w w:val="97"/>
              </w:rPr>
              <w:t>Exercise</w:t>
            </w:r>
          </w:p>
        </w:tc>
        <w:tc>
          <w:tcPr>
            <w:tcW w:w="1360" w:type="dxa"/>
            <w:vAlign w:val="bottom"/>
          </w:tcPr>
          <w:p>
            <w:pPr>
              <w:jc w:val="center"/>
              <w:ind w:left="52"/>
              <w:spacing w:after="0" w:line="143" w:lineRule="exact"/>
              <w:rPr>
                <w:sz w:val="20"/>
                <w:szCs w:val="20"/>
                <w:color w:val="auto"/>
              </w:rPr>
            </w:pPr>
            <w:r>
              <w:rPr>
                <w:rFonts w:ascii="Arial" w:cs="Arial" w:eastAsia="Arial" w:hAnsi="Arial"/>
                <w:sz w:val="13"/>
                <w:szCs w:val="13"/>
                <w:b w:val="1"/>
                <w:bCs w:val="1"/>
                <w:color w:val="auto"/>
                <w:w w:val="99"/>
              </w:rPr>
              <w:t>Contractual</w:t>
            </w:r>
          </w:p>
        </w:tc>
      </w:tr>
      <w:tr>
        <w:trPr>
          <w:trHeight w:val="159"/>
        </w:trPr>
        <w:tc>
          <w:tcPr>
            <w:tcW w:w="2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b w:val="1"/>
                <w:bCs w:val="1"/>
                <w:color w:val="auto"/>
              </w:rPr>
              <w:t>Options</w:t>
            </w:r>
          </w:p>
        </w:tc>
        <w:tc>
          <w:tcPr>
            <w:tcW w:w="4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228"/>
              <w:spacing w:after="0"/>
              <w:rPr>
                <w:sz w:val="20"/>
                <w:szCs w:val="20"/>
                <w:color w:val="auto"/>
              </w:rPr>
            </w:pPr>
            <w:r>
              <w:rPr>
                <w:rFonts w:ascii="Arial" w:cs="Arial" w:eastAsia="Arial" w:hAnsi="Arial"/>
                <w:sz w:val="13"/>
                <w:szCs w:val="13"/>
                <w:b w:val="1"/>
                <w:bCs w:val="1"/>
                <w:color w:val="auto"/>
              </w:rPr>
              <w:t>Price</w:t>
            </w:r>
          </w:p>
        </w:tc>
        <w:tc>
          <w:tcPr>
            <w:tcW w:w="1360" w:type="dxa"/>
            <w:vAlign w:val="bottom"/>
            <w:tcBorders>
              <w:bottom w:val="single" w:sz="8" w:color="auto"/>
            </w:tcBorders>
          </w:tcPr>
          <w:p>
            <w:pPr>
              <w:jc w:val="center"/>
              <w:ind w:left="52"/>
              <w:spacing w:after="0"/>
              <w:rPr>
                <w:sz w:val="20"/>
                <w:szCs w:val="20"/>
                <w:color w:val="auto"/>
              </w:rPr>
            </w:pPr>
            <w:r>
              <w:rPr>
                <w:rFonts w:ascii="Arial" w:cs="Arial" w:eastAsia="Arial" w:hAnsi="Arial"/>
                <w:sz w:val="13"/>
                <w:szCs w:val="13"/>
                <w:b w:val="1"/>
                <w:bCs w:val="1"/>
                <w:color w:val="auto"/>
                <w:w w:val="97"/>
              </w:rPr>
              <w:t>Life (years)</w:t>
            </w:r>
          </w:p>
        </w:tc>
      </w:tr>
      <w:tr>
        <w:trPr>
          <w:trHeight w:val="149"/>
        </w:trPr>
        <w:tc>
          <w:tcPr>
            <w:tcW w:w="220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Outstanding at January 1, 2017</w:t>
            </w:r>
          </w:p>
        </w:tc>
        <w:tc>
          <w:tcPr>
            <w:tcW w:w="900" w:type="dxa"/>
            <w:vAlign w:val="bottom"/>
            <w:shd w:val="clear" w:color="auto" w:fill="CCEEFF"/>
          </w:tcPr>
          <w:p>
            <w:pPr>
              <w:jc w:val="right"/>
              <w:ind w:right="9"/>
              <w:spacing w:after="0" w:line="149" w:lineRule="exact"/>
              <w:rPr>
                <w:sz w:val="20"/>
                <w:szCs w:val="20"/>
                <w:color w:val="auto"/>
              </w:rPr>
            </w:pPr>
            <w:r>
              <w:rPr>
                <w:rFonts w:ascii="Arial" w:cs="Arial" w:eastAsia="Arial" w:hAnsi="Arial"/>
                <w:sz w:val="15"/>
                <w:szCs w:val="15"/>
                <w:color w:val="auto"/>
              </w:rPr>
              <w:t>406,891</w:t>
            </w:r>
          </w:p>
        </w:tc>
        <w:tc>
          <w:tcPr>
            <w:tcW w:w="420" w:type="dxa"/>
            <w:vAlign w:val="bottom"/>
            <w:shd w:val="clear" w:color="auto" w:fill="CCEEFF"/>
          </w:tcPr>
          <w:p>
            <w:pPr>
              <w:ind w:left="300"/>
              <w:spacing w:after="0" w:line="149" w:lineRule="exact"/>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5"/>
                <w:szCs w:val="15"/>
                <w:color w:val="auto"/>
              </w:rPr>
              <w:t>93.27</w:t>
            </w:r>
          </w:p>
        </w:tc>
        <w:tc>
          <w:tcPr>
            <w:tcW w:w="1360" w:type="dxa"/>
            <w:vAlign w:val="bottom"/>
            <w:shd w:val="clear" w:color="auto" w:fill="CCEEFF"/>
          </w:tcPr>
          <w:p>
            <w:pPr>
              <w:spacing w:after="0"/>
              <w:rPr>
                <w:sz w:val="12"/>
                <w:szCs w:val="12"/>
                <w:color w:val="auto"/>
              </w:rPr>
            </w:pPr>
          </w:p>
        </w:tc>
      </w:tr>
      <w:tr>
        <w:trPr>
          <w:trHeight w:val="156"/>
        </w:trPr>
        <w:tc>
          <w:tcPr>
            <w:tcW w:w="2200" w:type="dxa"/>
            <w:vAlign w:val="bottom"/>
          </w:tcPr>
          <w:p>
            <w:pPr>
              <w:spacing w:after="0" w:line="156" w:lineRule="exact"/>
              <w:rPr>
                <w:sz w:val="20"/>
                <w:szCs w:val="20"/>
                <w:color w:val="auto"/>
              </w:rPr>
            </w:pPr>
            <w:r>
              <w:rPr>
                <w:rFonts w:ascii="Arial" w:cs="Arial" w:eastAsia="Arial" w:hAnsi="Arial"/>
                <w:sz w:val="15"/>
                <w:szCs w:val="15"/>
                <w:color w:val="auto"/>
              </w:rPr>
              <w:t>Exercised</w:t>
            </w:r>
          </w:p>
        </w:tc>
        <w:tc>
          <w:tcPr>
            <w:tcW w:w="900" w:type="dxa"/>
            <w:vAlign w:val="bottom"/>
          </w:tcPr>
          <w:p>
            <w:pPr>
              <w:jc w:val="right"/>
              <w:spacing w:after="0" w:line="156" w:lineRule="exact"/>
              <w:rPr>
                <w:sz w:val="20"/>
                <w:szCs w:val="20"/>
                <w:color w:val="auto"/>
              </w:rPr>
            </w:pPr>
            <w:r>
              <w:rPr>
                <w:rFonts w:ascii="Arial" w:cs="Arial" w:eastAsia="Arial" w:hAnsi="Arial"/>
                <w:sz w:val="15"/>
                <w:szCs w:val="15"/>
                <w:color w:val="auto"/>
              </w:rPr>
              <w:t>(104,093)</w:t>
            </w:r>
          </w:p>
        </w:tc>
        <w:tc>
          <w:tcPr>
            <w:tcW w:w="420" w:type="dxa"/>
            <w:vAlign w:val="bottom"/>
          </w:tcPr>
          <w:p>
            <w:pPr>
              <w:ind w:left="300"/>
              <w:spacing w:after="0" w:line="156" w:lineRule="exact"/>
              <w:rPr>
                <w:sz w:val="20"/>
                <w:szCs w:val="20"/>
                <w:color w:val="auto"/>
              </w:rPr>
            </w:pPr>
            <w:r>
              <w:rPr>
                <w:rFonts w:ascii="Arial" w:cs="Arial" w:eastAsia="Arial" w:hAnsi="Arial"/>
                <w:sz w:val="15"/>
                <w:szCs w:val="15"/>
                <w:color w:val="auto"/>
              </w:rPr>
              <w:t>$</w:t>
            </w:r>
          </w:p>
        </w:tc>
        <w:tc>
          <w:tcPr>
            <w:tcW w:w="700" w:type="dxa"/>
            <w:vAlign w:val="bottom"/>
          </w:tcPr>
          <w:p>
            <w:pPr>
              <w:jc w:val="right"/>
              <w:ind w:right="108"/>
              <w:spacing w:after="0" w:line="156" w:lineRule="exact"/>
              <w:rPr>
                <w:sz w:val="20"/>
                <w:szCs w:val="20"/>
                <w:color w:val="auto"/>
              </w:rPr>
            </w:pPr>
            <w:r>
              <w:rPr>
                <w:rFonts w:ascii="Arial" w:cs="Arial" w:eastAsia="Arial" w:hAnsi="Arial"/>
                <w:sz w:val="15"/>
                <w:szCs w:val="15"/>
                <w:color w:val="auto"/>
              </w:rPr>
              <w:t>98.68</w:t>
            </w:r>
          </w:p>
        </w:tc>
        <w:tc>
          <w:tcPr>
            <w:tcW w:w="1360" w:type="dxa"/>
            <w:vAlign w:val="bottom"/>
          </w:tcPr>
          <w:p>
            <w:pPr>
              <w:spacing w:after="0"/>
              <w:rPr>
                <w:sz w:val="13"/>
                <w:szCs w:val="13"/>
                <w:color w:val="auto"/>
              </w:rPr>
            </w:pPr>
          </w:p>
        </w:tc>
      </w:tr>
      <w:tr>
        <w:trPr>
          <w:trHeight w:val="156"/>
        </w:trPr>
        <w:tc>
          <w:tcPr>
            <w:tcW w:w="220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Terminated</w:t>
            </w:r>
          </w:p>
        </w:tc>
        <w:tc>
          <w:tcPr>
            <w:tcW w:w="90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(840)</w:t>
            </w:r>
          </w:p>
        </w:tc>
        <w:tc>
          <w:tcPr>
            <w:tcW w:w="420" w:type="dxa"/>
            <w:vAlign w:val="bottom"/>
            <w:shd w:val="clear" w:color="auto" w:fill="CCEEFF"/>
          </w:tcPr>
          <w:p>
            <w:pPr>
              <w:ind w:left="300"/>
              <w:spacing w:after="0" w:line="156" w:lineRule="exact"/>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ind w:right="108"/>
              <w:spacing w:after="0" w:line="156" w:lineRule="exact"/>
              <w:rPr>
                <w:sz w:val="20"/>
                <w:szCs w:val="20"/>
                <w:color w:val="auto"/>
              </w:rPr>
            </w:pPr>
            <w:r>
              <w:rPr>
                <w:rFonts w:ascii="Arial" w:cs="Arial" w:eastAsia="Arial" w:hAnsi="Arial"/>
                <w:sz w:val="15"/>
                <w:szCs w:val="15"/>
                <w:color w:val="auto"/>
              </w:rPr>
              <w:t>80.52</w:t>
            </w:r>
          </w:p>
        </w:tc>
        <w:tc>
          <w:tcPr>
            <w:tcW w:w="1360" w:type="dxa"/>
            <w:vAlign w:val="bottom"/>
            <w:shd w:val="clear" w:color="auto" w:fill="CCEEFF"/>
          </w:tcPr>
          <w:p>
            <w:pPr>
              <w:spacing w:after="0"/>
              <w:rPr>
                <w:sz w:val="13"/>
                <w:szCs w:val="13"/>
                <w:color w:val="auto"/>
              </w:rPr>
            </w:pPr>
          </w:p>
        </w:tc>
      </w:tr>
      <w:tr>
        <w:trPr>
          <w:trHeight w:val="145"/>
        </w:trPr>
        <w:tc>
          <w:tcPr>
            <w:tcW w:w="2200" w:type="dxa"/>
            <w:vAlign w:val="bottom"/>
          </w:tcPr>
          <w:p>
            <w:pPr>
              <w:spacing w:after="0" w:line="146" w:lineRule="exact"/>
              <w:rPr>
                <w:sz w:val="20"/>
                <w:szCs w:val="20"/>
                <w:color w:val="auto"/>
              </w:rPr>
            </w:pPr>
            <w:r>
              <w:rPr>
                <w:rFonts w:ascii="Arial" w:cs="Arial" w:eastAsia="Arial" w:hAnsi="Arial"/>
                <w:sz w:val="15"/>
                <w:szCs w:val="15"/>
                <w:color w:val="auto"/>
              </w:rPr>
              <w:t>Outstanding at</w:t>
            </w:r>
          </w:p>
        </w:tc>
        <w:tc>
          <w:tcPr>
            <w:tcW w:w="9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165"/>
        </w:trPr>
        <w:tc>
          <w:tcPr>
            <w:tcW w:w="2200" w:type="dxa"/>
            <w:vAlign w:val="bottom"/>
            <w:tcBorders>
              <w:bottom w:val="single" w:sz="8" w:color="auto"/>
            </w:tcBorders>
          </w:tcPr>
          <w:p>
            <w:pPr>
              <w:ind w:left="140"/>
              <w:spacing w:after="0" w:line="159" w:lineRule="exact"/>
              <w:rPr>
                <w:sz w:val="20"/>
                <w:szCs w:val="20"/>
                <w:color w:val="auto"/>
              </w:rPr>
            </w:pPr>
            <w:r>
              <w:rPr>
                <w:rFonts w:ascii="Arial" w:cs="Arial" w:eastAsia="Arial" w:hAnsi="Arial"/>
                <w:sz w:val="15"/>
                <w:szCs w:val="15"/>
                <w:color w:val="auto"/>
              </w:rPr>
              <w:t>December 31, 2017</w:t>
            </w:r>
          </w:p>
        </w:tc>
        <w:tc>
          <w:tcPr>
            <w:tcW w:w="900" w:type="dxa"/>
            <w:vAlign w:val="bottom"/>
            <w:tcBorders>
              <w:bottom w:val="single" w:sz="8" w:color="auto"/>
            </w:tcBorders>
          </w:tcPr>
          <w:p>
            <w:pPr>
              <w:jc w:val="right"/>
              <w:ind w:right="9"/>
              <w:spacing w:after="0" w:line="159" w:lineRule="exact"/>
              <w:rPr>
                <w:sz w:val="20"/>
                <w:szCs w:val="20"/>
                <w:color w:val="auto"/>
              </w:rPr>
            </w:pPr>
            <w:r>
              <w:rPr>
                <w:rFonts w:ascii="Arial" w:cs="Arial" w:eastAsia="Arial" w:hAnsi="Arial"/>
                <w:sz w:val="15"/>
                <w:szCs w:val="15"/>
                <w:color w:val="auto"/>
              </w:rPr>
              <w:t>301,958</w:t>
            </w:r>
          </w:p>
        </w:tc>
        <w:tc>
          <w:tcPr>
            <w:tcW w:w="420" w:type="dxa"/>
            <w:vAlign w:val="bottom"/>
            <w:tcBorders>
              <w:bottom w:val="single" w:sz="8" w:color="CCEEFF"/>
            </w:tcBorders>
          </w:tcPr>
          <w:p>
            <w:pPr>
              <w:ind w:left="300"/>
              <w:spacing w:after="0" w:line="159"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CCEEFF"/>
            </w:tcBorders>
          </w:tcPr>
          <w:p>
            <w:pPr>
              <w:jc w:val="right"/>
              <w:ind w:right="108"/>
              <w:spacing w:after="0" w:line="159" w:lineRule="exact"/>
              <w:rPr>
                <w:sz w:val="20"/>
                <w:szCs w:val="20"/>
                <w:color w:val="auto"/>
              </w:rPr>
            </w:pPr>
            <w:r>
              <w:rPr>
                <w:rFonts w:ascii="Arial" w:cs="Arial" w:eastAsia="Arial" w:hAnsi="Arial"/>
                <w:sz w:val="15"/>
                <w:szCs w:val="15"/>
                <w:color w:val="auto"/>
              </w:rPr>
              <w:t>91.44</w:t>
            </w:r>
          </w:p>
        </w:tc>
        <w:tc>
          <w:tcPr>
            <w:tcW w:w="1360" w:type="dxa"/>
            <w:vAlign w:val="bottom"/>
            <w:tcBorders>
              <w:bottom w:val="single" w:sz="8" w:color="CCEEFF"/>
            </w:tcBorders>
          </w:tcPr>
          <w:p>
            <w:pPr>
              <w:jc w:val="right"/>
              <w:ind w:right="352"/>
              <w:spacing w:after="0" w:line="159" w:lineRule="exact"/>
              <w:rPr>
                <w:sz w:val="20"/>
                <w:szCs w:val="20"/>
                <w:color w:val="auto"/>
              </w:rPr>
            </w:pPr>
            <w:r>
              <w:rPr>
                <w:rFonts w:ascii="Arial" w:cs="Arial" w:eastAsia="Arial" w:hAnsi="Arial"/>
                <w:sz w:val="15"/>
                <w:szCs w:val="15"/>
                <w:color w:val="auto"/>
              </w:rPr>
              <w:t>3.6</w:t>
            </w:r>
          </w:p>
        </w:tc>
      </w:tr>
      <w:tr>
        <w:trPr>
          <w:trHeight w:val="152"/>
        </w:trPr>
        <w:tc>
          <w:tcPr>
            <w:tcW w:w="2200" w:type="dxa"/>
            <w:vAlign w:val="bottom"/>
            <w:shd w:val="clear" w:color="auto" w:fill="CCEEFF"/>
          </w:tcPr>
          <w:p>
            <w:pPr>
              <w:spacing w:after="0" w:line="153" w:lineRule="exact"/>
              <w:rPr>
                <w:sz w:val="20"/>
                <w:szCs w:val="20"/>
                <w:color w:val="auto"/>
              </w:rPr>
            </w:pPr>
            <w:r>
              <w:rPr>
                <w:rFonts w:ascii="Arial" w:cs="Arial" w:eastAsia="Arial" w:hAnsi="Arial"/>
                <w:sz w:val="15"/>
                <w:szCs w:val="15"/>
                <w:color w:val="auto"/>
              </w:rPr>
              <w:t>Exercisable at</w:t>
            </w:r>
          </w:p>
        </w:tc>
        <w:tc>
          <w:tcPr>
            <w:tcW w:w="9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r>
      <w:tr>
        <w:trPr>
          <w:trHeight w:val="165"/>
        </w:trPr>
        <w:tc>
          <w:tcPr>
            <w:tcW w:w="2200" w:type="dxa"/>
            <w:vAlign w:val="bottom"/>
            <w:tcBorders>
              <w:bottom w:val="single" w:sz="8" w:color="auto"/>
            </w:tcBorders>
            <w:shd w:val="clear" w:color="auto" w:fill="CCEEFF"/>
          </w:tcPr>
          <w:p>
            <w:pPr>
              <w:ind w:left="140"/>
              <w:spacing w:after="0" w:line="159" w:lineRule="exact"/>
              <w:rPr>
                <w:sz w:val="20"/>
                <w:szCs w:val="20"/>
                <w:color w:val="auto"/>
              </w:rPr>
            </w:pPr>
            <w:r>
              <w:rPr>
                <w:rFonts w:ascii="Arial" w:cs="Arial" w:eastAsia="Arial" w:hAnsi="Arial"/>
                <w:sz w:val="15"/>
                <w:szCs w:val="15"/>
                <w:color w:val="auto"/>
              </w:rPr>
              <w:t>December 31, 2017</w:t>
            </w:r>
          </w:p>
        </w:tc>
        <w:tc>
          <w:tcPr>
            <w:tcW w:w="900" w:type="dxa"/>
            <w:vAlign w:val="bottom"/>
            <w:tcBorders>
              <w:bottom w:val="single" w:sz="8" w:color="auto"/>
            </w:tcBorders>
            <w:shd w:val="clear" w:color="auto" w:fill="CCEEFF"/>
          </w:tcPr>
          <w:p>
            <w:pPr>
              <w:jc w:val="right"/>
              <w:ind w:right="9"/>
              <w:spacing w:after="0" w:line="159" w:lineRule="exact"/>
              <w:rPr>
                <w:sz w:val="20"/>
                <w:szCs w:val="20"/>
                <w:color w:val="auto"/>
              </w:rPr>
            </w:pPr>
            <w:r>
              <w:rPr>
                <w:rFonts w:ascii="Arial" w:cs="Arial" w:eastAsia="Arial" w:hAnsi="Arial"/>
                <w:sz w:val="15"/>
                <w:szCs w:val="15"/>
                <w:color w:val="auto"/>
              </w:rPr>
              <w:t>261,380</w:t>
            </w:r>
          </w:p>
        </w:tc>
        <w:tc>
          <w:tcPr>
            <w:tcW w:w="420" w:type="dxa"/>
            <w:vAlign w:val="bottom"/>
            <w:tcBorders>
              <w:bottom w:val="single" w:sz="8" w:color="CCEEFF"/>
            </w:tcBorders>
            <w:shd w:val="clear" w:color="auto" w:fill="CCEEFF"/>
          </w:tcPr>
          <w:p>
            <w:pPr>
              <w:ind w:left="300"/>
              <w:spacing w:after="0" w:line="159"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CCEEFF"/>
            </w:tcBorders>
            <w:shd w:val="clear" w:color="auto" w:fill="CCEEFF"/>
          </w:tcPr>
          <w:p>
            <w:pPr>
              <w:jc w:val="right"/>
              <w:ind w:right="108"/>
              <w:spacing w:after="0" w:line="159" w:lineRule="exact"/>
              <w:rPr>
                <w:sz w:val="20"/>
                <w:szCs w:val="20"/>
                <w:color w:val="auto"/>
              </w:rPr>
            </w:pPr>
            <w:r>
              <w:rPr>
                <w:rFonts w:ascii="Arial" w:cs="Arial" w:eastAsia="Arial" w:hAnsi="Arial"/>
                <w:sz w:val="15"/>
                <w:szCs w:val="15"/>
                <w:color w:val="auto"/>
              </w:rPr>
              <w:t>83.37</w:t>
            </w:r>
          </w:p>
        </w:tc>
        <w:tc>
          <w:tcPr>
            <w:tcW w:w="1360" w:type="dxa"/>
            <w:vAlign w:val="bottom"/>
            <w:tcBorders>
              <w:bottom w:val="single" w:sz="8" w:color="CCEEFF"/>
            </w:tcBorders>
            <w:shd w:val="clear" w:color="auto" w:fill="CCEEFF"/>
          </w:tcPr>
          <w:p>
            <w:pPr>
              <w:jc w:val="right"/>
              <w:ind w:right="352"/>
              <w:spacing w:after="0" w:line="159" w:lineRule="exact"/>
              <w:rPr>
                <w:sz w:val="20"/>
                <w:szCs w:val="20"/>
                <w:color w:val="auto"/>
              </w:rPr>
            </w:pPr>
            <w:r>
              <w:rPr>
                <w:rFonts w:ascii="Arial" w:cs="Arial" w:eastAsia="Arial" w:hAnsi="Arial"/>
                <w:sz w:val="15"/>
                <w:szCs w:val="15"/>
                <w:color w:val="auto"/>
              </w:rPr>
              <w:t>3.1</w:t>
            </w:r>
          </w:p>
        </w:tc>
      </w:tr>
    </w:tbl>
    <w:p>
      <w:pPr>
        <w:spacing w:after="0" w:line="202"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The weighted-average grant-date exercise price of options granted during 2015 was $154.58. The aggregate intrinsic values of options exercised during the years ended December 31, 2017, 2016 and 2015 were $13,247,000,</w:t>
      </w:r>
    </w:p>
    <w:p>
      <w:pPr>
        <w:spacing w:after="0" w:line="200" w:lineRule="exact"/>
        <w:rPr>
          <w:sz w:val="20"/>
          <w:szCs w:val="20"/>
          <w:color w:val="auto"/>
        </w:rPr>
      </w:pPr>
    </w:p>
    <w:p>
      <w:pPr>
        <w:sectPr>
          <w:pgSz w:w="11900" w:h="16838" w:orient="portrait"/>
          <w:cols w:equalWidth="0" w:num="2">
            <w:col w:w="5480" w:space="360"/>
            <w:col w:w="5580"/>
          </w:cols>
          <w:pgMar w:left="240" w:top="259" w:right="239" w:bottom="1440" w:gutter="0" w:footer="0" w:header="0"/>
          <w:type w:val="continuous"/>
        </w:sect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34</w:t>
      </w:r>
    </w:p>
    <w:p>
      <w:pPr>
        <w:sectPr>
          <w:pgSz w:w="11900" w:h="16838" w:orient="portrait"/>
          <w:cols w:equalWidth="0" w:num="1">
            <w:col w:w="11420"/>
          </w:cols>
          <w:pgMar w:left="240" w:top="259" w:right="239" w:bottom="1440" w:gutter="0" w:footer="0" w:header="0"/>
          <w:type w:val="continuous"/>
        </w:sectPr>
      </w:pPr>
    </w:p>
    <w:bookmarkStart w:id="87" w:name="page88"/>
    <w:bookmarkEnd w:id="87"/>
    <w:p>
      <w:pPr>
        <w:jc w:val="center"/>
        <w:ind w:right="-19"/>
        <w:spacing w:after="0"/>
        <w:rPr>
          <w:sz w:val="20"/>
          <w:szCs w:val="20"/>
          <w:color w:val="auto"/>
        </w:rPr>
      </w:pPr>
      <w:r>
        <w:rPr>
          <w:rFonts w:ascii="Arial" w:cs="Arial" w:eastAsia="Arial" w:hAnsi="Arial"/>
          <w:sz w:val="17"/>
          <w:szCs w:val="17"/>
          <w:b w:val="1"/>
          <w:bCs w:val="1"/>
          <w:color w:val="0085CD"/>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3">
                      <a:extLst>
                        <a:ext uri="{28A0092B-C50C-407E-A947-70E740481C1C}"/>
                      </a:extLst>
                    </a:blip>
                    <a:srcRect/>
                    <a:stretch>
                      <a:fillRect/>
                    </a:stretch>
                  </pic:blipFill>
                  <pic:spPr bwMode="auto">
                    <a:xfrm>
                      <a:off x="0" y="0"/>
                      <a:ext cx="7293610" cy="37465"/>
                    </a:xfrm>
                    <a:prstGeom prst="rect">
                      <a:avLst/>
                    </a:prstGeom>
                    <a:noFill/>
                  </pic:spPr>
                </pic:pic>
              </a:graphicData>
            </a:graphic>
          </wp:anchor>
        </w:drawing>
        <w:t xml:space="preserve">NOTES TO FINANCIAL STATEMENTS </w:t>
      </w:r>
      <w:r>
        <w:rPr>
          <w:rFonts w:ascii="Arial" w:cs="Arial" w:eastAsia="Arial" w:hAnsi="Arial"/>
          <w:sz w:val="15"/>
          <w:szCs w:val="15"/>
          <w:color w:val="0085CD"/>
        </w:rPr>
        <w:t>(continued)</w:t>
      </w:r>
    </w:p>
    <w:p>
      <w:pPr>
        <w:sectPr>
          <w:pgSz w:w="11900" w:h="16838" w:orient="portrait"/>
          <w:cols w:equalWidth="0" w:num="1">
            <w:col w:w="11420"/>
          </w:cols>
          <w:pgMar w:left="240" w:top="26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$22,571,000 and $7,318,000, respectively, and were based on the closing prices of the Company’s common stock on the dates of exercise. The aggregate intrinsic values for options outstanding and exercisable at December 31, 2017 were $39,135,000 and $35,984,000, respectively, and were based on the closing price of the Company’s common stock at December 31, 2017, which was $221.04. The excess tax benefits for stock options exercised during the years ended December 31, 2017, 2016 and 2015 were $3,483,000, $4,238,000 and $551,000, respectively.</w:t>
      </w:r>
    </w:p>
    <w:p>
      <w:pPr>
        <w:spacing w:after="0" w:line="195"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At December 31, 2017, there are approximately 836,000 awards available for grant under the Plans. In 2016, the Company’s shareholders approved the registration of an additional 800,000 shares of common stock under the Plans. As part of approving the registered shares, the Company agreed to not issue any additional awards under the legacy TXI plan. The awards available for grant under the Plans at December 31, 2017 reflect no awards available under the legacy TXI plan.</w:t>
      </w:r>
    </w:p>
    <w:p>
      <w:pPr>
        <w:spacing w:after="0" w:line="197" w:lineRule="exact"/>
        <w:rPr>
          <w:sz w:val="20"/>
          <w:szCs w:val="20"/>
          <w:color w:val="auto"/>
        </w:rPr>
      </w:pPr>
    </w:p>
    <w:p>
      <w:pPr>
        <w:jc w:val="both"/>
        <w:spacing w:after="0"/>
        <w:rPr>
          <w:sz w:val="20"/>
          <w:szCs w:val="20"/>
          <w:color w:val="auto"/>
        </w:rPr>
      </w:pPr>
      <w:r>
        <w:rPr>
          <w:rFonts w:ascii="Arial" w:cs="Arial" w:eastAsia="Arial" w:hAnsi="Arial"/>
          <w:sz w:val="16"/>
          <w:szCs w:val="16"/>
          <w:color w:val="auto"/>
        </w:rPr>
        <w:t>In 1996, the Company adopted the Shareholder Value Achievement Plan to award shares of the Company’s common stock to key senior employees based on certain common stock performance criteria over a long-term period. Under the terms of this plan, 250,000 shares of common stock were reserved for issuance. Through December 31, 2017, 42,025 shares have been issued under this plan. No awards have been granted under this plan after 2000.</w:t>
      </w:r>
    </w:p>
    <w:p>
      <w:pPr>
        <w:spacing w:after="0" w:line="376"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The Company adopted and the shareholders approved the Common Stock Purchase Plan for Directors in 1996, which provides nonemployee members of the Board of Directors the election to receive all or a portion of their total fees in the form of the Company’s common stock. Beginning in 2016, members of the Board of Directors were not required to defer any of their fees in the form of the Company’s common stock. Under the terms of this plan, 300,000 shares of common stock were reserved for issuance. Nonemployee members of the Board of Directors elected to defer portions of their fees representing 2,132, 3,699 and 4,035 shares of the Company’s common stock under this plan during 2017, 2016 and 2015, respectively.</w:t>
      </w:r>
    </w:p>
    <w:p>
      <w:pPr>
        <w:spacing w:after="0" w:line="200"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The following table summarizes stock-based compensation expense for the years ended December 31, 2017, 2016 and 2015, unrecognized compensation cost for nonvested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awards at December 31, 2017 and the weighted-average period over which unrecognized compensation cost will be recognized: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Incentive</w:t>
            </w: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gridSpan w:val="2"/>
          </w:tcPr>
          <w:p>
            <w:pPr>
              <w:jc w:val="center"/>
              <w:spacing w:after="0" w:line="156" w:lineRule="exact"/>
              <w:rPr>
                <w:sz w:val="20"/>
                <w:szCs w:val="20"/>
                <w:color w:val="auto"/>
              </w:rPr>
            </w:pPr>
            <w:r>
              <w:rPr>
                <w:rFonts w:ascii="Arial" w:cs="Arial" w:eastAsia="Arial" w:hAnsi="Arial"/>
                <w:sz w:val="14"/>
                <w:szCs w:val="14"/>
                <w:b w:val="1"/>
                <w:bCs w:val="1"/>
                <w:color w:val="auto"/>
                <w:w w:val="98"/>
              </w:rPr>
              <w:t>Compen-</w:t>
            </w: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00" w:type="dxa"/>
            <w:vAlign w:val="bottom"/>
          </w:tcPr>
          <w:p>
            <w:pPr>
              <w:spacing w:after="0"/>
              <w:rPr>
                <w:sz w:val="20"/>
                <w:szCs w:val="20"/>
                <w:color w:val="auto"/>
              </w:rPr>
            </w:pPr>
            <w:r>
              <w:rPr>
                <w:rFonts w:ascii="Arial" w:cs="Arial" w:eastAsia="Arial" w:hAnsi="Arial"/>
                <w:sz w:val="12"/>
                <w:szCs w:val="12"/>
                <w:color w:val="auto"/>
              </w:rPr>
              <w:t>(add 000,</w:t>
            </w:r>
          </w:p>
        </w:tc>
        <w:tc>
          <w:tcPr>
            <w:tcW w:w="140" w:type="dxa"/>
            <w:vAlign w:val="bottom"/>
          </w:tcPr>
          <w:p>
            <w:pPr>
              <w:spacing w:after="0"/>
              <w:rPr>
                <w:sz w:val="13"/>
                <w:szCs w:val="13"/>
                <w:color w:val="auto"/>
              </w:rPr>
            </w:pPr>
          </w:p>
        </w:tc>
        <w:tc>
          <w:tcPr>
            <w:tcW w:w="780" w:type="dxa"/>
            <w:vAlign w:val="bottom"/>
          </w:tcPr>
          <w:p>
            <w:pPr>
              <w:jc w:val="right"/>
              <w:ind w:right="248"/>
              <w:spacing w:after="0" w:line="156" w:lineRule="exact"/>
              <w:rPr>
                <w:sz w:val="20"/>
                <w:szCs w:val="20"/>
                <w:color w:val="auto"/>
              </w:rPr>
            </w:pPr>
            <w:r>
              <w:rPr>
                <w:rFonts w:ascii="Arial" w:cs="Arial" w:eastAsia="Arial" w:hAnsi="Arial"/>
                <w:sz w:val="14"/>
                <w:szCs w:val="14"/>
                <w:b w:val="1"/>
                <w:bCs w:val="1"/>
                <w:color w:val="auto"/>
              </w:rPr>
              <w:t>Stock</w:t>
            </w:r>
          </w:p>
        </w:tc>
        <w:tc>
          <w:tcPr>
            <w:tcW w:w="960" w:type="dxa"/>
            <w:vAlign w:val="bottom"/>
            <w:gridSpan w:val="2"/>
          </w:tcPr>
          <w:p>
            <w:pPr>
              <w:ind w:left="160"/>
              <w:spacing w:after="0" w:line="156" w:lineRule="exact"/>
              <w:rPr>
                <w:sz w:val="20"/>
                <w:szCs w:val="20"/>
                <w:color w:val="auto"/>
              </w:rPr>
            </w:pPr>
            <w:r>
              <w:rPr>
                <w:rFonts w:ascii="Arial" w:cs="Arial" w:eastAsia="Arial" w:hAnsi="Arial"/>
                <w:sz w:val="14"/>
                <w:szCs w:val="14"/>
                <w:b w:val="1"/>
                <w:bCs w:val="1"/>
                <w:color w:val="auto"/>
              </w:rPr>
              <w:t>Restricted</w:t>
            </w:r>
          </w:p>
        </w:tc>
        <w:tc>
          <w:tcPr>
            <w:tcW w:w="220" w:type="dxa"/>
            <w:vAlign w:val="bottom"/>
          </w:tcPr>
          <w:p>
            <w:pPr>
              <w:spacing w:after="0"/>
              <w:rPr>
                <w:sz w:val="13"/>
                <w:szCs w:val="13"/>
                <w:color w:val="auto"/>
              </w:rPr>
            </w:pPr>
          </w:p>
        </w:tc>
        <w:tc>
          <w:tcPr>
            <w:tcW w:w="680" w:type="dxa"/>
            <w:vAlign w:val="bottom"/>
          </w:tcPr>
          <w:p>
            <w:pPr>
              <w:jc w:val="center"/>
              <w:ind w:right="148"/>
              <w:spacing w:after="0" w:line="156" w:lineRule="exact"/>
              <w:rPr>
                <w:sz w:val="20"/>
                <w:szCs w:val="20"/>
                <w:color w:val="auto"/>
              </w:rPr>
            </w:pPr>
            <w:r>
              <w:rPr>
                <w:rFonts w:ascii="Arial" w:cs="Arial" w:eastAsia="Arial" w:hAnsi="Arial"/>
                <w:sz w:val="14"/>
                <w:szCs w:val="14"/>
                <w:b w:val="1"/>
                <w:bCs w:val="1"/>
                <w:color w:val="auto"/>
              </w:rPr>
              <w:t>sation</w:t>
            </w:r>
          </w:p>
        </w:tc>
        <w:tc>
          <w:tcPr>
            <w:tcW w:w="860" w:type="dxa"/>
            <w:vAlign w:val="bottom"/>
            <w:gridSpan w:val="2"/>
          </w:tcPr>
          <w:p>
            <w:pPr>
              <w:ind w:left="100"/>
              <w:spacing w:after="0" w:line="156" w:lineRule="exact"/>
              <w:rPr>
                <w:sz w:val="20"/>
                <w:szCs w:val="20"/>
                <w:color w:val="auto"/>
              </w:rPr>
            </w:pPr>
            <w:r>
              <w:rPr>
                <w:rFonts w:ascii="Arial" w:cs="Arial" w:eastAsia="Arial" w:hAnsi="Arial"/>
                <w:sz w:val="14"/>
                <w:szCs w:val="14"/>
                <w:b w:val="1"/>
                <w:bCs w:val="1"/>
                <w:color w:val="auto"/>
              </w:rPr>
              <w:t>Directors’</w:t>
            </w: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7"/>
        </w:trPr>
        <w:tc>
          <w:tcPr>
            <w:tcW w:w="11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except year data)</w:t>
            </w: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94"/>
              </w:rPr>
              <w:t>Options</w:t>
            </w: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07"/>
              <w:spacing w:after="0"/>
              <w:rPr>
                <w:sz w:val="20"/>
                <w:szCs w:val="20"/>
                <w:color w:val="auto"/>
              </w:rPr>
            </w:pPr>
            <w:r>
              <w:rPr>
                <w:rFonts w:ascii="Arial" w:cs="Arial" w:eastAsia="Arial" w:hAnsi="Arial"/>
                <w:sz w:val="14"/>
                <w:szCs w:val="14"/>
                <w:b w:val="1"/>
                <w:bCs w:val="1"/>
                <w:color w:val="auto"/>
                <w:w w:val="99"/>
              </w:rPr>
              <w:t>Stock</w:t>
            </w: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99"/>
              </w:rPr>
              <w:t>Stock</w:t>
            </w:r>
          </w:p>
        </w:tc>
        <w:tc>
          <w:tcPr>
            <w:tcW w:w="8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Awards</w:t>
            </w:r>
          </w:p>
        </w:tc>
        <w:tc>
          <w:tcPr>
            <w:tcW w:w="8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20" w:type="dxa"/>
            <w:vAlign w:val="bottom"/>
            <w:gridSpan w:val="3"/>
          </w:tcPr>
          <w:p>
            <w:pPr>
              <w:spacing w:after="0" w:line="146" w:lineRule="exact"/>
              <w:rPr>
                <w:sz w:val="20"/>
                <w:szCs w:val="20"/>
                <w:color w:val="auto"/>
              </w:rPr>
            </w:pPr>
            <w:r>
              <w:rPr>
                <w:rFonts w:ascii="Arial" w:cs="Arial" w:eastAsia="Arial" w:hAnsi="Arial"/>
                <w:sz w:val="15"/>
                <w:szCs w:val="15"/>
                <w:color w:val="auto"/>
              </w:rPr>
              <w:t>Stock-based compensation</w:t>
            </w: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20" w:type="dxa"/>
            <w:vAlign w:val="bottom"/>
            <w:gridSpan w:val="3"/>
          </w:tcPr>
          <w:p>
            <w:pPr>
              <w:ind w:left="140"/>
              <w:spacing w:after="0" w:line="156" w:lineRule="exact"/>
              <w:rPr>
                <w:sz w:val="20"/>
                <w:szCs w:val="20"/>
                <w:color w:val="auto"/>
              </w:rPr>
            </w:pPr>
            <w:r>
              <w:rPr>
                <w:rFonts w:ascii="Arial" w:cs="Arial" w:eastAsia="Arial" w:hAnsi="Arial"/>
                <w:sz w:val="15"/>
                <w:szCs w:val="15"/>
                <w:color w:val="auto"/>
              </w:rPr>
              <w:t>expense recognized for</w:t>
            </w: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00" w:type="dxa"/>
            <w:vAlign w:val="bottom"/>
          </w:tcPr>
          <w:p>
            <w:pPr>
              <w:ind w:left="140"/>
              <w:spacing w:after="0" w:line="156" w:lineRule="exact"/>
              <w:rPr>
                <w:sz w:val="20"/>
                <w:szCs w:val="20"/>
                <w:color w:val="auto"/>
              </w:rPr>
            </w:pPr>
            <w:r>
              <w:rPr>
                <w:rFonts w:ascii="Arial" w:cs="Arial" w:eastAsia="Arial" w:hAnsi="Arial"/>
                <w:sz w:val="15"/>
                <w:szCs w:val="15"/>
                <w:color w:val="auto"/>
              </w:rPr>
              <w:t>years ended</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100" w:type="dxa"/>
            <w:vAlign w:val="bottom"/>
          </w:tcPr>
          <w:p>
            <w:pPr>
              <w:ind w:left="140"/>
              <w:spacing w:after="0" w:line="159" w:lineRule="exact"/>
              <w:rPr>
                <w:sz w:val="20"/>
                <w:szCs w:val="20"/>
                <w:color w:val="auto"/>
              </w:rPr>
            </w:pPr>
            <w:r>
              <w:rPr>
                <w:rFonts w:ascii="Arial" w:cs="Arial" w:eastAsia="Arial" w:hAnsi="Arial"/>
                <w:sz w:val="15"/>
                <w:szCs w:val="15"/>
                <w:color w:val="auto"/>
                <w:w w:val="99"/>
              </w:rPr>
              <w:t>December 31:</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00" w:type="dxa"/>
            <w:vAlign w:val="bottom"/>
            <w:shd w:val="clear" w:color="auto" w:fill="CCEEFF"/>
          </w:tcPr>
          <w:p>
            <w:pPr>
              <w:spacing w:after="0" w:line="156" w:lineRule="exact"/>
              <w:rPr>
                <w:sz w:val="20"/>
                <w:szCs w:val="20"/>
                <w:color w:val="auto"/>
              </w:rPr>
            </w:pPr>
            <w:r>
              <w:rPr>
                <w:rFonts w:ascii="Arial" w:cs="Arial" w:eastAsia="Arial" w:hAnsi="Arial"/>
                <w:sz w:val="15"/>
                <w:szCs w:val="15"/>
                <w:b w:val="1"/>
                <w:bCs w:val="1"/>
                <w:color w:val="0085CD"/>
              </w:rPr>
              <w:t>2017</w:t>
            </w:r>
          </w:p>
        </w:tc>
        <w:tc>
          <w:tcPr>
            <w:tcW w:w="14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rPr>
              <w:t>$</w:t>
            </w:r>
          </w:p>
        </w:tc>
        <w:tc>
          <w:tcPr>
            <w:tcW w:w="780" w:type="dxa"/>
            <w:vAlign w:val="bottom"/>
            <w:shd w:val="clear" w:color="auto" w:fill="CCEEFF"/>
          </w:tcPr>
          <w:p>
            <w:pPr>
              <w:jc w:val="right"/>
              <w:ind w:right="88"/>
              <w:spacing w:after="0" w:line="156" w:lineRule="exact"/>
              <w:rPr>
                <w:sz w:val="20"/>
                <w:szCs w:val="20"/>
                <w:color w:val="auto"/>
              </w:rPr>
            </w:pPr>
            <w:r>
              <w:rPr>
                <w:rFonts w:ascii="Arial" w:cs="Arial" w:eastAsia="Arial" w:hAnsi="Arial"/>
                <w:sz w:val="15"/>
                <w:szCs w:val="15"/>
                <w:b w:val="1"/>
                <w:bCs w:val="1"/>
                <w:color w:val="auto"/>
              </w:rPr>
              <w:t>684</w:t>
            </w:r>
          </w:p>
        </w:tc>
        <w:tc>
          <w:tcPr>
            <w:tcW w:w="280" w:type="dxa"/>
            <w:vAlign w:val="bottom"/>
            <w:shd w:val="clear" w:color="auto" w:fill="CCEEFF"/>
          </w:tcPr>
          <w:p>
            <w:pPr>
              <w:ind w:left="140"/>
              <w:spacing w:after="0" w:line="156" w:lineRule="exact"/>
              <w:rPr>
                <w:sz w:val="20"/>
                <w:szCs w:val="20"/>
                <w:color w:val="auto"/>
              </w:rPr>
            </w:pPr>
            <w:r>
              <w:rPr>
                <w:rFonts w:ascii="Arial" w:cs="Arial" w:eastAsia="Arial" w:hAnsi="Arial"/>
                <w:sz w:val="15"/>
                <w:szCs w:val="15"/>
                <w:b w:val="1"/>
                <w:bCs w:val="1"/>
                <w:color w:val="auto"/>
              </w:rPr>
              <w:t>$</w:t>
            </w:r>
          </w:p>
        </w:tc>
        <w:tc>
          <w:tcPr>
            <w:tcW w:w="680" w:type="dxa"/>
            <w:vAlign w:val="bottom"/>
            <w:shd w:val="clear" w:color="auto" w:fill="CCEEFF"/>
          </w:tcPr>
          <w:p>
            <w:pPr>
              <w:jc w:val="right"/>
              <w:ind w:right="27"/>
              <w:spacing w:after="0" w:line="156" w:lineRule="exact"/>
              <w:rPr>
                <w:sz w:val="20"/>
                <w:szCs w:val="20"/>
                <w:color w:val="auto"/>
              </w:rPr>
            </w:pPr>
            <w:r>
              <w:rPr>
                <w:rFonts w:ascii="Arial" w:cs="Arial" w:eastAsia="Arial" w:hAnsi="Arial"/>
                <w:sz w:val="15"/>
                <w:szCs w:val="15"/>
                <w:b w:val="1"/>
                <w:bCs w:val="1"/>
                <w:color w:val="auto"/>
              </w:rPr>
              <w:t>28,657</w:t>
            </w:r>
          </w:p>
        </w:tc>
        <w:tc>
          <w:tcPr>
            <w:tcW w:w="22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rPr>
              <w:t>$</w:t>
            </w:r>
          </w:p>
        </w:tc>
        <w:tc>
          <w:tcPr>
            <w:tcW w:w="680" w:type="dxa"/>
            <w:vAlign w:val="bottom"/>
            <w:shd w:val="clear" w:color="auto" w:fill="CCEEFF"/>
          </w:tcPr>
          <w:p>
            <w:pPr>
              <w:jc w:val="right"/>
              <w:ind w:right="28"/>
              <w:spacing w:after="0" w:line="156" w:lineRule="exact"/>
              <w:rPr>
                <w:sz w:val="20"/>
                <w:szCs w:val="20"/>
                <w:color w:val="auto"/>
              </w:rPr>
            </w:pPr>
            <w:r>
              <w:rPr>
                <w:rFonts w:ascii="Arial" w:cs="Arial" w:eastAsia="Arial" w:hAnsi="Arial"/>
                <w:sz w:val="15"/>
                <w:szCs w:val="15"/>
                <w:b w:val="1"/>
                <w:bCs w:val="1"/>
                <w:color w:val="auto"/>
              </w:rPr>
              <w:t>661</w:t>
            </w:r>
          </w:p>
        </w:tc>
        <w:tc>
          <w:tcPr>
            <w:tcW w:w="340" w:type="dxa"/>
            <w:vAlign w:val="bottom"/>
            <w:shd w:val="clear" w:color="auto" w:fill="CCEEFF"/>
          </w:tcPr>
          <w:p>
            <w:pPr>
              <w:ind w:left="100"/>
              <w:spacing w:after="0" w:line="156" w:lineRule="exact"/>
              <w:rPr>
                <w:sz w:val="20"/>
                <w:szCs w:val="20"/>
                <w:color w:val="auto"/>
              </w:rPr>
            </w:pPr>
            <w:r>
              <w:rPr>
                <w:rFonts w:ascii="Arial" w:cs="Arial" w:eastAsia="Arial" w:hAnsi="Arial"/>
                <w:sz w:val="15"/>
                <w:szCs w:val="15"/>
                <w:b w:val="1"/>
                <w:bCs w:val="1"/>
                <w:color w:val="auto"/>
              </w:rPr>
              <w:t>$</w:t>
            </w:r>
          </w:p>
        </w:tc>
        <w:tc>
          <w:tcPr>
            <w:tcW w:w="520" w:type="dxa"/>
            <w:vAlign w:val="bottom"/>
            <w:shd w:val="clear" w:color="auto" w:fill="CCEEFF"/>
          </w:tcPr>
          <w:p>
            <w:pPr>
              <w:jc w:val="right"/>
              <w:ind w:right="26"/>
              <w:spacing w:after="0" w:line="156" w:lineRule="exact"/>
              <w:rPr>
                <w:sz w:val="20"/>
                <w:szCs w:val="20"/>
                <w:color w:val="auto"/>
              </w:rPr>
            </w:pPr>
            <w:r>
              <w:rPr>
                <w:rFonts w:ascii="Arial" w:cs="Arial" w:eastAsia="Arial" w:hAnsi="Arial"/>
                <w:sz w:val="15"/>
                <w:szCs w:val="15"/>
                <w:b w:val="1"/>
                <w:bCs w:val="1"/>
                <w:color w:val="auto"/>
              </w:rPr>
              <w:t>458</w:t>
            </w:r>
          </w:p>
        </w:tc>
        <w:tc>
          <w:tcPr>
            <w:tcW w:w="840" w:type="dxa"/>
            <w:vAlign w:val="bottom"/>
            <w:shd w:val="clear" w:color="auto" w:fill="CCEEFF"/>
          </w:tcPr>
          <w:p>
            <w:pPr>
              <w:jc w:val="center"/>
              <w:spacing w:after="0" w:line="156" w:lineRule="exact"/>
              <w:rPr>
                <w:sz w:val="20"/>
                <w:szCs w:val="20"/>
                <w:color w:val="auto"/>
              </w:rPr>
            </w:pPr>
            <w:r>
              <w:rPr>
                <w:rFonts w:ascii="Arial" w:cs="Arial" w:eastAsia="Arial" w:hAnsi="Arial"/>
                <w:sz w:val="15"/>
                <w:szCs w:val="15"/>
                <w:b w:val="1"/>
                <w:bCs w:val="1"/>
                <w:color w:val="auto"/>
                <w:w w:val="99"/>
              </w:rPr>
              <w:t>$ 30,460</w:t>
            </w:r>
          </w:p>
        </w:tc>
        <w:tc>
          <w:tcPr>
            <w:tcW w:w="0" w:type="dxa"/>
            <w:vAlign w:val="bottom"/>
          </w:tcPr>
          <w:p>
            <w:pPr>
              <w:spacing w:after="0"/>
              <w:rPr>
                <w:sz w:val="1"/>
                <w:szCs w:val="1"/>
                <w:color w:val="auto"/>
              </w:rPr>
            </w:pPr>
          </w:p>
        </w:tc>
      </w:tr>
      <w:tr>
        <w:trPr>
          <w:trHeight w:val="156"/>
        </w:trPr>
        <w:tc>
          <w:tcPr>
            <w:tcW w:w="1100" w:type="dxa"/>
            <w:vAlign w:val="bottom"/>
          </w:tcPr>
          <w:p>
            <w:pPr>
              <w:spacing w:after="0" w:line="156" w:lineRule="exact"/>
              <w:rPr>
                <w:sz w:val="20"/>
                <w:szCs w:val="20"/>
                <w:color w:val="auto"/>
              </w:rPr>
            </w:pPr>
            <w:r>
              <w:rPr>
                <w:rFonts w:ascii="Arial" w:cs="Arial" w:eastAsia="Arial" w:hAnsi="Arial"/>
                <w:sz w:val="15"/>
                <w:szCs w:val="15"/>
                <w:color w:val="auto"/>
              </w:rPr>
              <w:t>2016</w:t>
            </w:r>
          </w:p>
        </w:tc>
        <w:tc>
          <w:tcPr>
            <w:tcW w:w="140" w:type="dxa"/>
            <w:vAlign w:val="bottom"/>
          </w:tcPr>
          <w:p>
            <w:pPr>
              <w:jc w:val="right"/>
              <w:spacing w:after="0" w:line="156" w:lineRule="exact"/>
              <w:rPr>
                <w:sz w:val="20"/>
                <w:szCs w:val="20"/>
                <w:color w:val="auto"/>
              </w:rPr>
            </w:pPr>
            <w:r>
              <w:rPr>
                <w:rFonts w:ascii="Arial" w:cs="Arial" w:eastAsia="Arial" w:hAnsi="Arial"/>
                <w:sz w:val="15"/>
                <w:szCs w:val="15"/>
                <w:color w:val="auto"/>
              </w:rPr>
              <w:t>$</w:t>
            </w:r>
          </w:p>
        </w:tc>
        <w:tc>
          <w:tcPr>
            <w:tcW w:w="780" w:type="dxa"/>
            <w:vAlign w:val="bottom"/>
          </w:tcPr>
          <w:p>
            <w:pPr>
              <w:jc w:val="right"/>
              <w:ind w:right="88"/>
              <w:spacing w:after="0" w:line="156" w:lineRule="exact"/>
              <w:rPr>
                <w:sz w:val="20"/>
                <w:szCs w:val="20"/>
                <w:color w:val="auto"/>
              </w:rPr>
            </w:pPr>
            <w:r>
              <w:rPr>
                <w:rFonts w:ascii="Arial" w:cs="Arial" w:eastAsia="Arial" w:hAnsi="Arial"/>
                <w:sz w:val="15"/>
                <w:szCs w:val="15"/>
                <w:color w:val="auto"/>
              </w:rPr>
              <w:t>1,646</w:t>
            </w:r>
          </w:p>
        </w:tc>
        <w:tc>
          <w:tcPr>
            <w:tcW w:w="280" w:type="dxa"/>
            <w:vAlign w:val="bottom"/>
          </w:tcPr>
          <w:p>
            <w:pPr>
              <w:ind w:left="140"/>
              <w:spacing w:after="0" w:line="156" w:lineRule="exact"/>
              <w:rPr>
                <w:sz w:val="20"/>
                <w:szCs w:val="20"/>
                <w:color w:val="auto"/>
              </w:rPr>
            </w:pPr>
            <w:r>
              <w:rPr>
                <w:rFonts w:ascii="Arial" w:cs="Arial" w:eastAsia="Arial" w:hAnsi="Arial"/>
                <w:sz w:val="15"/>
                <w:szCs w:val="15"/>
                <w:color w:val="auto"/>
              </w:rPr>
              <w:t>$</w:t>
            </w:r>
          </w:p>
        </w:tc>
        <w:tc>
          <w:tcPr>
            <w:tcW w:w="680" w:type="dxa"/>
            <w:vAlign w:val="bottom"/>
          </w:tcPr>
          <w:p>
            <w:pPr>
              <w:jc w:val="right"/>
              <w:ind w:right="27"/>
              <w:spacing w:after="0" w:line="156" w:lineRule="exact"/>
              <w:rPr>
                <w:sz w:val="20"/>
                <w:szCs w:val="20"/>
                <w:color w:val="auto"/>
              </w:rPr>
            </w:pPr>
            <w:r>
              <w:rPr>
                <w:rFonts w:ascii="Arial" w:cs="Arial" w:eastAsia="Arial" w:hAnsi="Arial"/>
                <w:sz w:val="15"/>
                <w:szCs w:val="15"/>
                <w:color w:val="auto"/>
              </w:rPr>
              <w:t>17,747</w:t>
            </w:r>
          </w:p>
        </w:tc>
        <w:tc>
          <w:tcPr>
            <w:tcW w:w="220" w:type="dxa"/>
            <w:vAlign w:val="bottom"/>
          </w:tcPr>
          <w:p>
            <w:pPr>
              <w:jc w:val="right"/>
              <w:spacing w:after="0" w:line="156" w:lineRule="exact"/>
              <w:rPr>
                <w:sz w:val="20"/>
                <w:szCs w:val="20"/>
                <w:color w:val="auto"/>
              </w:rPr>
            </w:pPr>
            <w:r>
              <w:rPr>
                <w:rFonts w:ascii="Arial" w:cs="Arial" w:eastAsia="Arial" w:hAnsi="Arial"/>
                <w:sz w:val="15"/>
                <w:szCs w:val="15"/>
                <w:color w:val="auto"/>
              </w:rPr>
              <w:t>$</w:t>
            </w:r>
          </w:p>
        </w:tc>
        <w:tc>
          <w:tcPr>
            <w:tcW w:w="680" w:type="dxa"/>
            <w:vAlign w:val="bottom"/>
          </w:tcPr>
          <w:p>
            <w:pPr>
              <w:jc w:val="right"/>
              <w:ind w:right="28"/>
              <w:spacing w:after="0" w:line="156" w:lineRule="exact"/>
              <w:rPr>
                <w:sz w:val="20"/>
                <w:szCs w:val="20"/>
                <w:color w:val="auto"/>
              </w:rPr>
            </w:pPr>
            <w:r>
              <w:rPr>
                <w:rFonts w:ascii="Arial" w:cs="Arial" w:eastAsia="Arial" w:hAnsi="Arial"/>
                <w:sz w:val="15"/>
                <w:szCs w:val="15"/>
                <w:color w:val="auto"/>
              </w:rPr>
              <w:t>442</w:t>
            </w:r>
          </w:p>
        </w:tc>
        <w:tc>
          <w:tcPr>
            <w:tcW w:w="340" w:type="dxa"/>
            <w:vAlign w:val="bottom"/>
          </w:tcPr>
          <w:p>
            <w:pPr>
              <w:ind w:left="100"/>
              <w:spacing w:after="0" w:line="156" w:lineRule="exact"/>
              <w:rPr>
                <w:sz w:val="20"/>
                <w:szCs w:val="20"/>
                <w:color w:val="auto"/>
              </w:rPr>
            </w:pPr>
            <w:r>
              <w:rPr>
                <w:rFonts w:ascii="Arial" w:cs="Arial" w:eastAsia="Arial" w:hAnsi="Arial"/>
                <w:sz w:val="15"/>
                <w:szCs w:val="15"/>
                <w:color w:val="auto"/>
              </w:rPr>
              <w:t>$</w:t>
            </w:r>
          </w:p>
        </w:tc>
        <w:tc>
          <w:tcPr>
            <w:tcW w:w="520" w:type="dxa"/>
            <w:vAlign w:val="bottom"/>
          </w:tcPr>
          <w:p>
            <w:pPr>
              <w:jc w:val="right"/>
              <w:ind w:right="26"/>
              <w:spacing w:after="0" w:line="156" w:lineRule="exact"/>
              <w:rPr>
                <w:sz w:val="20"/>
                <w:szCs w:val="20"/>
                <w:color w:val="auto"/>
              </w:rPr>
            </w:pPr>
            <w:r>
              <w:rPr>
                <w:rFonts w:ascii="Arial" w:cs="Arial" w:eastAsia="Arial" w:hAnsi="Arial"/>
                <w:sz w:val="15"/>
                <w:szCs w:val="15"/>
                <w:color w:val="auto"/>
              </w:rPr>
              <w:t>646</w:t>
            </w:r>
          </w:p>
        </w:tc>
        <w:tc>
          <w:tcPr>
            <w:tcW w:w="840" w:type="dxa"/>
            <w:vAlign w:val="bottom"/>
          </w:tcPr>
          <w:p>
            <w:pPr>
              <w:jc w:val="center"/>
              <w:spacing w:after="0" w:line="156" w:lineRule="exact"/>
              <w:rPr>
                <w:sz w:val="20"/>
                <w:szCs w:val="20"/>
                <w:color w:val="auto"/>
              </w:rPr>
            </w:pPr>
            <w:r>
              <w:rPr>
                <w:rFonts w:ascii="Arial" w:cs="Arial" w:eastAsia="Arial" w:hAnsi="Arial"/>
                <w:sz w:val="15"/>
                <w:szCs w:val="15"/>
                <w:color w:val="auto"/>
                <w:w w:val="99"/>
              </w:rPr>
              <w:t>$ 20,481</w:t>
            </w:r>
          </w:p>
        </w:tc>
        <w:tc>
          <w:tcPr>
            <w:tcW w:w="0" w:type="dxa"/>
            <w:vAlign w:val="bottom"/>
          </w:tcPr>
          <w:p>
            <w:pPr>
              <w:spacing w:after="0"/>
              <w:rPr>
                <w:sz w:val="1"/>
                <w:szCs w:val="1"/>
                <w:color w:val="auto"/>
              </w:rPr>
            </w:pPr>
          </w:p>
        </w:tc>
      </w:tr>
      <w:tr>
        <w:trPr>
          <w:trHeight w:val="162"/>
        </w:trPr>
        <w:tc>
          <w:tcPr>
            <w:tcW w:w="110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2015</w:t>
            </w:r>
          </w:p>
        </w:tc>
        <w:tc>
          <w:tcPr>
            <w:tcW w:w="14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shd w:val="clear" w:color="auto" w:fill="CCEEFF"/>
          </w:tcPr>
          <w:p>
            <w:pPr>
              <w:jc w:val="right"/>
              <w:ind w:right="88"/>
              <w:spacing w:after="0" w:line="156" w:lineRule="exact"/>
              <w:rPr>
                <w:sz w:val="20"/>
                <w:szCs w:val="20"/>
                <w:color w:val="auto"/>
              </w:rPr>
            </w:pPr>
            <w:r>
              <w:rPr>
                <w:rFonts w:ascii="Arial" w:cs="Arial" w:eastAsia="Arial" w:hAnsi="Arial"/>
                <w:sz w:val="15"/>
                <w:szCs w:val="15"/>
                <w:color w:val="auto"/>
              </w:rPr>
              <w:t>2,679</w:t>
            </w:r>
          </w:p>
        </w:tc>
        <w:tc>
          <w:tcPr>
            <w:tcW w:w="280" w:type="dxa"/>
            <w:vAlign w:val="bottom"/>
            <w:tcBorders>
              <w:bottom w:val="single" w:sz="8" w:color="auto"/>
            </w:tcBorders>
            <w:shd w:val="clear" w:color="auto" w:fill="CCEEFF"/>
          </w:tcPr>
          <w:p>
            <w:pPr>
              <w:ind w:left="140"/>
              <w:spacing w:after="0" w:line="156" w:lineRule="exact"/>
              <w:rPr>
                <w:sz w:val="20"/>
                <w:szCs w:val="20"/>
                <w:color w:val="auto"/>
              </w:rPr>
            </w:pPr>
            <w:r>
              <w:rPr>
                <w:rFonts w:ascii="Arial" w:cs="Arial" w:eastAsia="Arial" w:hAnsi="Arial"/>
                <w:sz w:val="15"/>
                <w:szCs w:val="15"/>
                <w:color w:val="auto"/>
              </w:rPr>
              <w:t>$</w:t>
            </w:r>
          </w:p>
        </w:tc>
        <w:tc>
          <w:tcPr>
            <w:tcW w:w="680" w:type="dxa"/>
            <w:vAlign w:val="bottom"/>
            <w:tcBorders>
              <w:bottom w:val="single" w:sz="8" w:color="auto"/>
            </w:tcBorders>
            <w:shd w:val="clear" w:color="auto" w:fill="CCEEFF"/>
          </w:tcPr>
          <w:p>
            <w:pPr>
              <w:jc w:val="right"/>
              <w:ind w:right="27"/>
              <w:spacing w:after="0" w:line="156" w:lineRule="exact"/>
              <w:rPr>
                <w:sz w:val="20"/>
                <w:szCs w:val="20"/>
                <w:color w:val="auto"/>
              </w:rPr>
            </w:pPr>
            <w:r>
              <w:rPr>
                <w:rFonts w:ascii="Arial" w:cs="Arial" w:eastAsia="Arial" w:hAnsi="Arial"/>
                <w:sz w:val="15"/>
                <w:szCs w:val="15"/>
                <w:color w:val="auto"/>
              </w:rPr>
              <w:t>9,809</w:t>
            </w:r>
          </w:p>
        </w:tc>
        <w:tc>
          <w:tcPr>
            <w:tcW w:w="22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680" w:type="dxa"/>
            <w:vAlign w:val="bottom"/>
            <w:tcBorders>
              <w:bottom w:val="single" w:sz="8" w:color="auto"/>
            </w:tcBorders>
            <w:shd w:val="clear" w:color="auto" w:fill="CCEEFF"/>
          </w:tcPr>
          <w:p>
            <w:pPr>
              <w:jc w:val="right"/>
              <w:ind w:right="28"/>
              <w:spacing w:after="0" w:line="156" w:lineRule="exact"/>
              <w:rPr>
                <w:sz w:val="20"/>
                <w:szCs w:val="20"/>
                <w:color w:val="auto"/>
              </w:rPr>
            </w:pPr>
            <w:r>
              <w:rPr>
                <w:rFonts w:ascii="Arial" w:cs="Arial" w:eastAsia="Arial" w:hAnsi="Arial"/>
                <w:sz w:val="15"/>
                <w:szCs w:val="15"/>
                <w:color w:val="auto"/>
              </w:rPr>
              <w:t>376</w:t>
            </w:r>
          </w:p>
        </w:tc>
        <w:tc>
          <w:tcPr>
            <w:tcW w:w="340" w:type="dxa"/>
            <w:vAlign w:val="bottom"/>
            <w:tcBorders>
              <w:bottom w:val="single" w:sz="8" w:color="auto"/>
            </w:tcBorders>
            <w:shd w:val="clear" w:color="auto" w:fill="CCEEFF"/>
          </w:tcPr>
          <w:p>
            <w:pPr>
              <w:ind w:left="100"/>
              <w:spacing w:after="0" w:line="156" w:lineRule="exact"/>
              <w:rPr>
                <w:sz w:val="20"/>
                <w:szCs w:val="20"/>
                <w:color w:val="auto"/>
              </w:rPr>
            </w:pPr>
            <w:r>
              <w:rPr>
                <w:rFonts w:ascii="Arial" w:cs="Arial" w:eastAsia="Arial" w:hAnsi="Arial"/>
                <w:sz w:val="15"/>
                <w:szCs w:val="15"/>
                <w:color w:val="auto"/>
              </w:rPr>
              <w:t>$</w:t>
            </w:r>
          </w:p>
        </w:tc>
        <w:tc>
          <w:tcPr>
            <w:tcW w:w="520" w:type="dxa"/>
            <w:vAlign w:val="bottom"/>
            <w:tcBorders>
              <w:bottom w:val="single" w:sz="8" w:color="auto"/>
            </w:tcBorders>
            <w:shd w:val="clear" w:color="auto" w:fill="CCEEFF"/>
          </w:tcPr>
          <w:p>
            <w:pPr>
              <w:jc w:val="right"/>
              <w:ind w:right="26"/>
              <w:spacing w:after="0" w:line="156" w:lineRule="exact"/>
              <w:rPr>
                <w:sz w:val="20"/>
                <w:szCs w:val="20"/>
                <w:color w:val="auto"/>
              </w:rPr>
            </w:pPr>
            <w:r>
              <w:rPr>
                <w:rFonts w:ascii="Arial" w:cs="Arial" w:eastAsia="Arial" w:hAnsi="Arial"/>
                <w:sz w:val="15"/>
                <w:szCs w:val="15"/>
                <w:color w:val="auto"/>
              </w:rPr>
              <w:t>725</w:t>
            </w:r>
          </w:p>
        </w:tc>
        <w:tc>
          <w:tcPr>
            <w:tcW w:w="840" w:type="dxa"/>
            <w:vAlign w:val="bottom"/>
            <w:tcBorders>
              <w:bottom w:val="single" w:sz="8" w:color="auto"/>
            </w:tcBorders>
            <w:shd w:val="clear" w:color="auto" w:fill="CCEEFF"/>
          </w:tcPr>
          <w:p>
            <w:pPr>
              <w:jc w:val="center"/>
              <w:spacing w:after="0" w:line="156" w:lineRule="exact"/>
              <w:rPr>
                <w:sz w:val="20"/>
                <w:szCs w:val="20"/>
                <w:color w:val="auto"/>
              </w:rPr>
            </w:pPr>
            <w:r>
              <w:rPr>
                <w:rFonts w:ascii="Arial" w:cs="Arial" w:eastAsia="Arial" w:hAnsi="Arial"/>
                <w:sz w:val="15"/>
                <w:szCs w:val="15"/>
                <w:color w:val="auto"/>
                <w:w w:val="99"/>
              </w:rPr>
              <w:t>$ 13,589</w:t>
            </w:r>
          </w:p>
        </w:tc>
        <w:tc>
          <w:tcPr>
            <w:tcW w:w="0" w:type="dxa"/>
            <w:vAlign w:val="bottom"/>
          </w:tcPr>
          <w:p>
            <w:pPr>
              <w:spacing w:after="0"/>
              <w:rPr>
                <w:sz w:val="1"/>
                <w:szCs w:val="1"/>
                <w:color w:val="auto"/>
              </w:rPr>
            </w:pPr>
          </w:p>
        </w:tc>
      </w:tr>
      <w:tr>
        <w:trPr>
          <w:trHeight w:val="156"/>
        </w:trPr>
        <w:tc>
          <w:tcPr>
            <w:tcW w:w="3880" w:type="dxa"/>
            <w:vAlign w:val="bottom"/>
            <w:gridSpan w:val="7"/>
          </w:tcPr>
          <w:p>
            <w:pPr>
              <w:spacing w:after="0" w:line="156" w:lineRule="exact"/>
              <w:rPr>
                <w:sz w:val="20"/>
                <w:szCs w:val="20"/>
                <w:color w:val="auto"/>
              </w:rPr>
            </w:pPr>
            <w:r>
              <w:rPr>
                <w:rFonts w:ascii="Arial" w:cs="Arial" w:eastAsia="Arial" w:hAnsi="Arial"/>
                <w:sz w:val="15"/>
                <w:szCs w:val="15"/>
                <w:color w:val="auto"/>
              </w:rPr>
              <w:t>Unrecognized compensation cost at December 31, 2017:</w:t>
            </w: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b w:val="1"/>
                <w:bCs w:val="1"/>
                <w:color w:val="auto"/>
              </w:rPr>
              <w:t>$</w:t>
            </w:r>
          </w:p>
        </w:tc>
        <w:tc>
          <w:tcPr>
            <w:tcW w:w="780" w:type="dxa"/>
            <w:vAlign w:val="bottom"/>
            <w:shd w:val="clear" w:color="auto" w:fill="CCEEFF"/>
          </w:tcPr>
          <w:p>
            <w:pPr>
              <w:jc w:val="right"/>
              <w:ind w:right="88"/>
              <w:spacing w:after="0" w:line="169" w:lineRule="exact"/>
              <w:rPr>
                <w:sz w:val="20"/>
                <w:szCs w:val="20"/>
                <w:color w:val="auto"/>
              </w:rPr>
            </w:pPr>
            <w:r>
              <w:rPr>
                <w:rFonts w:ascii="Arial" w:cs="Arial" w:eastAsia="Arial" w:hAnsi="Arial"/>
                <w:sz w:val="15"/>
                <w:szCs w:val="15"/>
                <w:b w:val="1"/>
                <w:bCs w:val="1"/>
                <w:color w:val="auto"/>
              </w:rPr>
              <w:t>292</w:t>
            </w:r>
          </w:p>
        </w:tc>
        <w:tc>
          <w:tcPr>
            <w:tcW w:w="280" w:type="dxa"/>
            <w:vAlign w:val="bottom"/>
            <w:shd w:val="clear" w:color="auto" w:fill="CCEEFF"/>
          </w:tcPr>
          <w:p>
            <w:pPr>
              <w:ind w:left="140"/>
              <w:spacing w:after="0" w:line="169" w:lineRule="exact"/>
              <w:rPr>
                <w:sz w:val="20"/>
                <w:szCs w:val="20"/>
                <w:color w:val="auto"/>
              </w:rPr>
            </w:pPr>
            <w:r>
              <w:rPr>
                <w:rFonts w:ascii="Arial" w:cs="Arial" w:eastAsia="Arial" w:hAnsi="Arial"/>
                <w:sz w:val="15"/>
                <w:szCs w:val="15"/>
                <w:b w:val="1"/>
                <w:bCs w:val="1"/>
                <w:color w:val="auto"/>
              </w:rPr>
              <w:t>$</w:t>
            </w:r>
          </w:p>
        </w:tc>
        <w:tc>
          <w:tcPr>
            <w:tcW w:w="680" w:type="dxa"/>
            <w:vAlign w:val="bottom"/>
            <w:shd w:val="clear" w:color="auto" w:fill="CCEEFF"/>
          </w:tcPr>
          <w:p>
            <w:pPr>
              <w:jc w:val="right"/>
              <w:ind w:right="27"/>
              <w:spacing w:after="0" w:line="169" w:lineRule="exact"/>
              <w:rPr>
                <w:sz w:val="20"/>
                <w:szCs w:val="20"/>
                <w:color w:val="auto"/>
              </w:rPr>
            </w:pPr>
            <w:r>
              <w:rPr>
                <w:rFonts w:ascii="Arial" w:cs="Arial" w:eastAsia="Arial" w:hAnsi="Arial"/>
                <w:sz w:val="15"/>
                <w:szCs w:val="15"/>
                <w:b w:val="1"/>
                <w:bCs w:val="1"/>
                <w:color w:val="auto"/>
              </w:rPr>
              <w:t>24,116</w:t>
            </w:r>
          </w:p>
        </w:tc>
        <w:tc>
          <w:tcPr>
            <w:tcW w:w="2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b w:val="1"/>
                <w:bCs w:val="1"/>
                <w:color w:val="auto"/>
              </w:rPr>
              <w:t>$</w:t>
            </w:r>
          </w:p>
        </w:tc>
        <w:tc>
          <w:tcPr>
            <w:tcW w:w="680" w:type="dxa"/>
            <w:vAlign w:val="bottom"/>
            <w:shd w:val="clear" w:color="auto" w:fill="CCEEFF"/>
          </w:tcPr>
          <w:p>
            <w:pPr>
              <w:jc w:val="right"/>
              <w:ind w:right="28"/>
              <w:spacing w:after="0" w:line="169" w:lineRule="exact"/>
              <w:rPr>
                <w:sz w:val="20"/>
                <w:szCs w:val="20"/>
                <w:color w:val="auto"/>
              </w:rPr>
            </w:pPr>
            <w:r>
              <w:rPr>
                <w:rFonts w:ascii="Arial" w:cs="Arial" w:eastAsia="Arial" w:hAnsi="Arial"/>
                <w:sz w:val="15"/>
                <w:szCs w:val="15"/>
                <w:b w:val="1"/>
                <w:bCs w:val="1"/>
                <w:color w:val="auto"/>
              </w:rPr>
              <w:t>458</w:t>
            </w:r>
          </w:p>
        </w:tc>
        <w:tc>
          <w:tcPr>
            <w:tcW w:w="340" w:type="dxa"/>
            <w:vAlign w:val="bottom"/>
            <w:shd w:val="clear" w:color="auto" w:fill="CCEEFF"/>
          </w:tcPr>
          <w:p>
            <w:pPr>
              <w:ind w:left="100"/>
              <w:spacing w:after="0" w:line="169" w:lineRule="exact"/>
              <w:rPr>
                <w:sz w:val="20"/>
                <w:szCs w:val="20"/>
                <w:color w:val="auto"/>
              </w:rPr>
            </w:pPr>
            <w:r>
              <w:rPr>
                <w:rFonts w:ascii="Arial" w:cs="Arial" w:eastAsia="Arial" w:hAnsi="Arial"/>
                <w:sz w:val="15"/>
                <w:szCs w:val="15"/>
                <w:b w:val="1"/>
                <w:bCs w:val="1"/>
                <w:color w:val="auto"/>
              </w:rPr>
              <w:t>$</w:t>
            </w:r>
          </w:p>
        </w:tc>
        <w:tc>
          <w:tcPr>
            <w:tcW w:w="520" w:type="dxa"/>
            <w:vAlign w:val="bottom"/>
            <w:shd w:val="clear" w:color="auto" w:fill="CCEEFF"/>
          </w:tcPr>
          <w:p>
            <w:pPr>
              <w:jc w:val="right"/>
              <w:ind w:right="26"/>
              <w:spacing w:after="0" w:line="169" w:lineRule="exact"/>
              <w:rPr>
                <w:sz w:val="20"/>
                <w:szCs w:val="20"/>
                <w:color w:val="auto"/>
              </w:rPr>
            </w:pPr>
            <w:r>
              <w:rPr>
                <w:rFonts w:ascii="Arial" w:cs="Arial" w:eastAsia="Arial" w:hAnsi="Arial"/>
                <w:sz w:val="15"/>
                <w:szCs w:val="15"/>
                <w:b w:val="1"/>
                <w:bCs w:val="1"/>
                <w:color w:val="auto"/>
              </w:rPr>
              <w:t>–</w:t>
            </w:r>
          </w:p>
        </w:tc>
        <w:tc>
          <w:tcPr>
            <w:tcW w:w="840" w:type="dxa"/>
            <w:vAlign w:val="bottom"/>
            <w:shd w:val="clear" w:color="auto" w:fill="CCEEFF"/>
          </w:tcPr>
          <w:p>
            <w:pPr>
              <w:jc w:val="center"/>
              <w:spacing w:after="0" w:line="169" w:lineRule="exact"/>
              <w:rPr>
                <w:sz w:val="20"/>
                <w:szCs w:val="20"/>
                <w:color w:val="auto"/>
              </w:rPr>
            </w:pPr>
            <w:r>
              <w:rPr>
                <w:rFonts w:ascii="Arial" w:cs="Arial" w:eastAsia="Arial" w:hAnsi="Arial"/>
                <w:sz w:val="15"/>
                <w:szCs w:val="15"/>
                <w:b w:val="1"/>
                <w:bCs w:val="1"/>
                <w:color w:val="auto"/>
                <w:w w:val="99"/>
              </w:rPr>
              <w:t>$ 24,866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3551555" cy="165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4">
                      <a:extLst>
                        <a:ext uri="{28A0092B-C50C-407E-A947-70E740481C1C}"/>
                      </a:extLst>
                    </a:blip>
                    <a:srcRect/>
                    <a:stretch>
                      <a:fillRect/>
                    </a:stretch>
                  </pic:blipFill>
                  <pic:spPr bwMode="auto">
                    <a:xfrm>
                      <a:off x="0" y="0"/>
                      <a:ext cx="3551555" cy="16510"/>
                    </a:xfrm>
                    <a:prstGeom prst="rect">
                      <a:avLst/>
                    </a:prstGeom>
                    <a:noFill/>
                  </pic:spPr>
                </pic:pic>
              </a:graphicData>
            </a:graphic>
          </wp:anchor>
        </w:drawing>
      </w:r>
    </w:p>
    <w:p>
      <w:pPr>
        <w:ind w:left="140" w:right="560" w:hanging="144"/>
        <w:spacing w:after="0" w:line="225" w:lineRule="auto"/>
        <w:rPr>
          <w:sz w:val="20"/>
          <w:szCs w:val="20"/>
          <w:color w:val="auto"/>
        </w:rPr>
      </w:pPr>
      <w:r>
        <w:rPr>
          <w:rFonts w:ascii="Arial" w:cs="Arial" w:eastAsia="Arial" w:hAnsi="Arial"/>
          <w:sz w:val="15"/>
          <w:szCs w:val="15"/>
          <w:color w:val="auto"/>
        </w:rPr>
        <w:t>Weighted-average period over which unrecognized compensation cost will be recognized:</w:t>
      </w:r>
    </w:p>
    <w:p>
      <w:pPr>
        <w:spacing w:after="0" w:line="1" w:lineRule="exact"/>
        <w:rPr>
          <w:sz w:val="20"/>
          <w:szCs w:val="20"/>
          <w:color w:val="auto"/>
        </w:rPr>
      </w:pPr>
    </w:p>
    <w:p>
      <w:pPr>
        <w:ind w:left="1260"/>
        <w:spacing w:after="0"/>
        <w:tabs>
          <w:tab w:leader="none" w:pos="2240" w:val="left"/>
          <w:tab w:leader="none" w:pos="3160" w:val="left"/>
          <w:tab w:leader="none" w:pos="4540" w:val="left"/>
        </w:tabs>
        <w:rPr>
          <w:sz w:val="20"/>
          <w:szCs w:val="20"/>
          <w:color w:val="auto"/>
        </w:rPr>
      </w:pPr>
      <w:r>
        <w:rPr>
          <w:rFonts w:ascii="Arial" w:cs="Arial" w:eastAsia="Arial" w:hAnsi="Arial"/>
          <w:sz w:val="15"/>
          <w:szCs w:val="15"/>
          <w:color w:val="auto"/>
        </w:rPr>
        <w:t>1.1 years</w:t>
      </w:r>
      <w:r>
        <w:rPr>
          <w:sz w:val="20"/>
          <w:szCs w:val="20"/>
          <w:color w:val="auto"/>
        </w:rPr>
        <w:tab/>
      </w:r>
      <w:r>
        <w:rPr>
          <w:rFonts w:ascii="Arial" w:cs="Arial" w:eastAsia="Arial" w:hAnsi="Arial"/>
          <w:sz w:val="15"/>
          <w:szCs w:val="15"/>
          <w:color w:val="auto"/>
        </w:rPr>
        <w:t>2.0 years</w:t>
      </w:r>
      <w:r>
        <w:rPr>
          <w:sz w:val="20"/>
          <w:szCs w:val="20"/>
          <w:color w:val="auto"/>
        </w:rPr>
        <w:tab/>
      </w:r>
      <w:r>
        <w:rPr>
          <w:rFonts w:ascii="Arial" w:cs="Arial" w:eastAsia="Arial" w:hAnsi="Arial"/>
          <w:sz w:val="15"/>
          <w:szCs w:val="15"/>
          <w:color w:val="auto"/>
        </w:rPr>
        <w:t>1.6 years</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3551555" cy="990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5">
                      <a:extLst>
                        <a:ext uri="{28A0092B-C50C-407E-A947-70E740481C1C}"/>
                      </a:extLst>
                    </a:blip>
                    <a:srcRect/>
                    <a:stretch>
                      <a:fillRect/>
                    </a:stretch>
                  </pic:blipFill>
                  <pic:spPr bwMode="auto">
                    <a:xfrm>
                      <a:off x="0" y="0"/>
                      <a:ext cx="3551555" cy="99060"/>
                    </a:xfrm>
                    <a:prstGeom prst="rect">
                      <a:avLst/>
                    </a:prstGeom>
                    <a:noFill/>
                  </pic:spPr>
                </pic:pic>
              </a:graphicData>
            </a:graphic>
          </wp:anchor>
        </w:drawing>
      </w:r>
    </w:p>
    <w:p>
      <w:pPr>
        <w:spacing w:after="0" w:line="16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following presents expected stock-based compensation expense in future periods for outstanding awards as of December 31, 2017:</w:t>
      </w:r>
    </w:p>
    <w:p>
      <w:pPr>
        <w:spacing w:after="0" w:line="81" w:lineRule="exact"/>
        <w:rPr>
          <w:sz w:val="20"/>
          <w:szCs w:val="20"/>
          <w:color w:val="auto"/>
        </w:rPr>
      </w:pPr>
    </w:p>
    <w:p>
      <w:pPr>
        <w:spacing w:after="0"/>
        <w:rPr>
          <w:sz w:val="20"/>
          <w:szCs w:val="20"/>
          <w:color w:val="auto"/>
        </w:rPr>
      </w:pPr>
      <w:r>
        <w:rPr>
          <w:rFonts w:ascii="Arial" w:cs="Arial" w:eastAsia="Arial" w:hAnsi="Arial"/>
          <w:sz w:val="15"/>
          <w:szCs w:val="15"/>
          <w:color w:val="auto"/>
        </w:rPr>
        <w:t>(add 000)</w:t>
      </w:r>
    </w:p>
    <w:tbl>
      <w:tblPr>
        <w:tblLayout w:type="fixed"/>
        <w:tblInd w:w="0" w:type="dxa"/>
        <w:tblCellMar>
          <w:top w:w="0" w:type="dxa"/>
          <w:left w:w="0" w:type="dxa"/>
          <w:bottom w:w="0" w:type="dxa"/>
          <w:right w:w="0" w:type="dxa"/>
        </w:tblCellMar>
      </w:tblPr>
      <w:tr>
        <w:trPr>
          <w:trHeight w:val="149"/>
        </w:trPr>
        <w:tc>
          <w:tcPr>
            <w:tcW w:w="2620" w:type="dxa"/>
            <w:vAlign w:val="bottom"/>
            <w:tcBorders>
              <w:top w:val="single" w:sz="8" w:color="auto"/>
            </w:tcBorders>
          </w:tcPr>
          <w:p>
            <w:pPr>
              <w:spacing w:after="0" w:line="149" w:lineRule="exact"/>
              <w:rPr>
                <w:sz w:val="20"/>
                <w:szCs w:val="20"/>
                <w:color w:val="auto"/>
              </w:rPr>
            </w:pPr>
            <w:r>
              <w:rPr>
                <w:rFonts w:ascii="Arial" w:cs="Arial" w:eastAsia="Arial" w:hAnsi="Arial"/>
                <w:sz w:val="15"/>
                <w:szCs w:val="15"/>
                <w:color w:val="auto"/>
              </w:rPr>
              <w:t>2018</w:t>
            </w:r>
          </w:p>
        </w:tc>
        <w:tc>
          <w:tcPr>
            <w:tcW w:w="242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5"/>
                <w:szCs w:val="15"/>
                <w:color w:val="auto"/>
              </w:rPr>
              <w:t>$</w:t>
            </w:r>
          </w:p>
        </w:tc>
        <w:tc>
          <w:tcPr>
            <w:tcW w:w="54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5"/>
                <w:szCs w:val="15"/>
                <w:color w:val="auto"/>
              </w:rPr>
              <w:t>15,559</w:t>
            </w:r>
          </w:p>
        </w:tc>
      </w:tr>
      <w:tr>
        <w:trPr>
          <w:trHeight w:val="156"/>
        </w:trPr>
        <w:tc>
          <w:tcPr>
            <w:tcW w:w="262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2019</w:t>
            </w:r>
          </w:p>
        </w:tc>
        <w:tc>
          <w:tcPr>
            <w:tcW w:w="24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8,299</w:t>
            </w:r>
          </w:p>
        </w:tc>
      </w:tr>
      <w:tr>
        <w:trPr>
          <w:trHeight w:val="156"/>
        </w:trPr>
        <w:tc>
          <w:tcPr>
            <w:tcW w:w="2620" w:type="dxa"/>
            <w:vAlign w:val="bottom"/>
          </w:tcPr>
          <w:p>
            <w:pPr>
              <w:spacing w:after="0" w:line="156" w:lineRule="exact"/>
              <w:rPr>
                <w:sz w:val="20"/>
                <w:szCs w:val="20"/>
                <w:color w:val="auto"/>
              </w:rPr>
            </w:pPr>
            <w:r>
              <w:rPr>
                <w:rFonts w:ascii="Arial" w:cs="Arial" w:eastAsia="Arial" w:hAnsi="Arial"/>
                <w:sz w:val="15"/>
                <w:szCs w:val="15"/>
                <w:color w:val="auto"/>
              </w:rPr>
              <w:t>2020</w:t>
            </w:r>
          </w:p>
        </w:tc>
        <w:tc>
          <w:tcPr>
            <w:tcW w:w="2420" w:type="dxa"/>
            <w:vAlign w:val="bottom"/>
          </w:tcPr>
          <w:p>
            <w:pPr>
              <w:spacing w:after="0"/>
              <w:rPr>
                <w:sz w:val="13"/>
                <w:szCs w:val="13"/>
                <w:color w:val="auto"/>
              </w:rPr>
            </w:pPr>
          </w:p>
        </w:tc>
        <w:tc>
          <w:tcPr>
            <w:tcW w:w="540" w:type="dxa"/>
            <w:vAlign w:val="bottom"/>
          </w:tcPr>
          <w:p>
            <w:pPr>
              <w:jc w:val="right"/>
              <w:spacing w:after="0" w:line="156" w:lineRule="exact"/>
              <w:rPr>
                <w:sz w:val="20"/>
                <w:szCs w:val="20"/>
                <w:color w:val="auto"/>
              </w:rPr>
            </w:pPr>
            <w:r>
              <w:rPr>
                <w:rFonts w:ascii="Arial" w:cs="Arial" w:eastAsia="Arial" w:hAnsi="Arial"/>
                <w:sz w:val="15"/>
                <w:szCs w:val="15"/>
                <w:color w:val="auto"/>
              </w:rPr>
              <w:t>645</w:t>
            </w:r>
          </w:p>
        </w:tc>
      </w:tr>
      <w:tr>
        <w:trPr>
          <w:trHeight w:val="156"/>
        </w:trPr>
        <w:tc>
          <w:tcPr>
            <w:tcW w:w="262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2021</w:t>
            </w:r>
          </w:p>
        </w:tc>
        <w:tc>
          <w:tcPr>
            <w:tcW w:w="24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269</w:t>
            </w:r>
          </w:p>
        </w:tc>
      </w:tr>
      <w:tr>
        <w:trPr>
          <w:trHeight w:val="156"/>
        </w:trPr>
        <w:tc>
          <w:tcPr>
            <w:tcW w:w="2620" w:type="dxa"/>
            <w:vAlign w:val="bottom"/>
            <w:tcBorders>
              <w:bottom w:val="single" w:sz="8" w:color="auto"/>
            </w:tcBorders>
          </w:tcPr>
          <w:p>
            <w:pPr>
              <w:spacing w:after="0" w:line="156" w:lineRule="exact"/>
              <w:rPr>
                <w:sz w:val="20"/>
                <w:szCs w:val="20"/>
                <w:color w:val="auto"/>
              </w:rPr>
            </w:pPr>
            <w:r>
              <w:rPr>
                <w:rFonts w:ascii="Arial" w:cs="Arial" w:eastAsia="Arial" w:hAnsi="Arial"/>
                <w:sz w:val="15"/>
                <w:szCs w:val="15"/>
                <w:color w:val="auto"/>
              </w:rPr>
              <w:t>2022</w:t>
            </w:r>
          </w:p>
        </w:tc>
        <w:tc>
          <w:tcPr>
            <w:tcW w:w="24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94</w:t>
            </w:r>
          </w:p>
        </w:tc>
      </w:tr>
      <w:tr>
        <w:trPr>
          <w:trHeight w:val="155"/>
        </w:trPr>
        <w:tc>
          <w:tcPr>
            <w:tcW w:w="262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5"/>
                <w:szCs w:val="15"/>
                <w:color w:val="auto"/>
              </w:rPr>
              <w:t>Total</w:t>
            </w:r>
          </w:p>
        </w:tc>
        <w:tc>
          <w:tcPr>
            <w:tcW w:w="24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24,866</w:t>
            </w:r>
          </w:p>
        </w:tc>
      </w:tr>
    </w:tbl>
    <w:p>
      <w:pPr>
        <w:spacing w:after="0" w:line="202"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Stock-based compensation expense is included in selling, general and administrative expenses in the Company’s consolidated statements of earnings.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0085CD"/>
        </w:rPr>
        <w:t>Note L: Leases</w:t>
      </w:r>
    </w:p>
    <w:p>
      <w:pPr>
        <w:spacing w:after="0" w:line="16" w:lineRule="exact"/>
        <w:rPr>
          <w:sz w:val="20"/>
          <w:szCs w:val="20"/>
          <w:color w:val="auto"/>
        </w:rPr>
      </w:pPr>
    </w:p>
    <w:p>
      <w:pPr>
        <w:jc w:val="both"/>
        <w:spacing w:after="0"/>
        <w:rPr>
          <w:sz w:val="20"/>
          <w:szCs w:val="20"/>
          <w:color w:val="auto"/>
        </w:rPr>
      </w:pPr>
      <w:r>
        <w:rPr>
          <w:rFonts w:ascii="Arial" w:cs="Arial" w:eastAsia="Arial" w:hAnsi="Arial"/>
          <w:sz w:val="16"/>
          <w:szCs w:val="16"/>
          <w:color w:val="auto"/>
        </w:rPr>
        <w:t>Total lease expense for operating leases was $90,731,000, $85,945,000 and $80,417,000 for the years ended December 31, 2017, 2016 and 2015, respectively. The Company’s operating leases generally contain renewal and/ or purchase options with varying terms. The Company has royalty agreements that generally require royalty payments based on tons produced or total sales dollars and also contain minimum payments. Total royalties, principally for leased properties, were $51,827,000, $55,257,000 and $53,658,000 for the years ended December 31, 2017, 2016 and 2015, respectively. The Company also has capital lease obligations for machinery and equipment.</w:t>
      </w:r>
    </w:p>
    <w:p>
      <w:pPr>
        <w:spacing w:after="0" w:line="200" w:lineRule="exact"/>
        <w:rPr>
          <w:sz w:val="20"/>
          <w:szCs w:val="20"/>
          <w:color w:val="auto"/>
        </w:rPr>
      </w:pPr>
    </w:p>
    <w:p>
      <w:pPr>
        <w:sectPr>
          <w:pgSz w:w="11900" w:h="16838" w:orient="portrait"/>
          <w:cols w:equalWidth="0" w:num="2">
            <w:col w:w="5480" w:space="360"/>
            <w:col w:w="5580"/>
          </w:cols>
          <w:pgMar w:left="240" w:top="260" w:right="239" w:bottom="1440" w:gutter="0" w:footer="0" w:header="0"/>
          <w:type w:val="continuous"/>
        </w:sect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35</w:t>
      </w:r>
    </w:p>
    <w:p>
      <w:pPr>
        <w:sectPr>
          <w:pgSz w:w="11900" w:h="16838" w:orient="portrait"/>
          <w:cols w:equalWidth="0" w:num="1">
            <w:col w:w="11420"/>
          </w:cols>
          <w:pgMar w:left="240" w:top="260" w:right="239" w:bottom="1440" w:gutter="0" w:footer="0" w:header="0"/>
          <w:type w:val="continuous"/>
        </w:sectPr>
      </w:pPr>
    </w:p>
    <w:bookmarkStart w:id="88" w:name="page89"/>
    <w:bookmarkEnd w:id="88"/>
    <w:p>
      <w:pPr>
        <w:jc w:val="center"/>
        <w:ind w:right="-19"/>
        <w:spacing w:after="0"/>
        <w:rPr>
          <w:sz w:val="20"/>
          <w:szCs w:val="20"/>
          <w:color w:val="auto"/>
        </w:rPr>
      </w:pPr>
      <w:r>
        <w:rPr>
          <w:rFonts w:ascii="Arial" w:cs="Arial" w:eastAsia="Arial" w:hAnsi="Arial"/>
          <w:sz w:val="17"/>
          <w:szCs w:val="17"/>
          <w:b w:val="1"/>
          <w:bCs w:val="1"/>
          <w:color w:val="0085CD"/>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6">
                      <a:extLst>
                        <a:ext uri="{28A0092B-C50C-407E-A947-70E740481C1C}"/>
                      </a:extLst>
                    </a:blip>
                    <a:srcRect/>
                    <a:stretch>
                      <a:fillRect/>
                    </a:stretch>
                  </pic:blipFill>
                  <pic:spPr bwMode="auto">
                    <a:xfrm>
                      <a:off x="0" y="0"/>
                      <a:ext cx="7293610" cy="37465"/>
                    </a:xfrm>
                    <a:prstGeom prst="rect">
                      <a:avLst/>
                    </a:prstGeom>
                    <a:noFill/>
                  </pic:spPr>
                </pic:pic>
              </a:graphicData>
            </a:graphic>
          </wp:anchor>
        </w:drawing>
        <w:t xml:space="preserve">NOTES TO FINANCIAL STATEMENTS </w:t>
      </w:r>
      <w:r>
        <w:rPr>
          <w:rFonts w:ascii="Arial" w:cs="Arial" w:eastAsia="Arial" w:hAnsi="Arial"/>
          <w:sz w:val="15"/>
          <w:szCs w:val="15"/>
          <w:color w:val="0085CD"/>
        </w:rPr>
        <w:t>(continued)</w:t>
      </w:r>
    </w:p>
    <w:p>
      <w:pPr>
        <w:sectPr>
          <w:pgSz w:w="11900" w:h="16838" w:orient="portrait"/>
          <w:cols w:equalWidth="0" w:num="1">
            <w:col w:w="11420"/>
          </w:cols>
          <w:pgMar w:left="240" w:top="2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Future minimum lease and royalty commitments for all non-cancelable agreements and capital lease obligations as of December 31, 2017 are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jc w:val="center"/>
              <w:ind w:right="69"/>
              <w:spacing w:after="0"/>
              <w:rPr>
                <w:sz w:val="20"/>
                <w:szCs w:val="20"/>
                <w:color w:val="auto"/>
              </w:rPr>
            </w:pPr>
            <w:r>
              <w:rPr>
                <w:rFonts w:ascii="Arial" w:cs="Arial" w:eastAsia="Arial" w:hAnsi="Arial"/>
                <w:sz w:val="13"/>
                <w:szCs w:val="13"/>
                <w:b w:val="1"/>
                <w:bCs w:val="1"/>
                <w:color w:val="auto"/>
              </w:rPr>
              <w:t>Operating</w:t>
            </w:r>
          </w:p>
        </w:tc>
      </w:tr>
      <w:tr>
        <w:trPr>
          <w:trHeight w:val="143"/>
        </w:trPr>
        <w:tc>
          <w:tcPr>
            <w:tcW w:w="3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jc w:val="center"/>
              <w:ind w:right="69"/>
              <w:spacing w:after="0" w:line="143" w:lineRule="exact"/>
              <w:rPr>
                <w:sz w:val="20"/>
                <w:szCs w:val="20"/>
                <w:color w:val="auto"/>
              </w:rPr>
            </w:pPr>
            <w:r>
              <w:rPr>
                <w:rFonts w:ascii="Arial" w:cs="Arial" w:eastAsia="Arial" w:hAnsi="Arial"/>
                <w:sz w:val="13"/>
                <w:szCs w:val="13"/>
                <w:b w:val="1"/>
                <w:bCs w:val="1"/>
                <w:color w:val="auto"/>
                <w:w w:val="98"/>
              </w:rPr>
              <w:t>Leases and</w:t>
            </w:r>
          </w:p>
        </w:tc>
      </w:tr>
      <w:tr>
        <w:trPr>
          <w:trHeight w:val="156"/>
        </w:trPr>
        <w:tc>
          <w:tcPr>
            <w:tcW w:w="3120" w:type="dxa"/>
            <w:vAlign w:val="bottom"/>
          </w:tcPr>
          <w:p>
            <w:pPr>
              <w:spacing w:after="0"/>
              <w:rPr>
                <w:sz w:val="13"/>
                <w:szCs w:val="13"/>
                <w:color w:val="auto"/>
              </w:rPr>
            </w:pPr>
          </w:p>
        </w:tc>
        <w:tc>
          <w:tcPr>
            <w:tcW w:w="1020" w:type="dxa"/>
            <w:vAlign w:val="bottom"/>
            <w:gridSpan w:val="2"/>
          </w:tcPr>
          <w:p>
            <w:pPr>
              <w:jc w:val="right"/>
              <w:ind w:right="86"/>
              <w:spacing w:after="0"/>
              <w:rPr>
                <w:sz w:val="20"/>
                <w:szCs w:val="20"/>
                <w:color w:val="auto"/>
              </w:rPr>
            </w:pPr>
            <w:r>
              <w:rPr>
                <w:rFonts w:ascii="Arial" w:cs="Arial" w:eastAsia="Arial" w:hAnsi="Arial"/>
                <w:sz w:val="13"/>
                <w:szCs w:val="13"/>
                <w:b w:val="1"/>
                <w:bCs w:val="1"/>
                <w:color w:val="auto"/>
              </w:rPr>
              <w:t>Capital</w:t>
            </w:r>
          </w:p>
        </w:tc>
        <w:tc>
          <w:tcPr>
            <w:tcW w:w="500" w:type="dxa"/>
            <w:vAlign w:val="bottom"/>
          </w:tcPr>
          <w:p>
            <w:pPr>
              <w:spacing w:after="0"/>
              <w:rPr>
                <w:sz w:val="13"/>
                <w:szCs w:val="13"/>
                <w:color w:val="auto"/>
              </w:rPr>
            </w:pPr>
          </w:p>
        </w:tc>
        <w:tc>
          <w:tcPr>
            <w:tcW w:w="840" w:type="dxa"/>
            <w:vAlign w:val="bottom"/>
          </w:tcPr>
          <w:p>
            <w:pPr>
              <w:jc w:val="center"/>
              <w:ind w:right="49"/>
              <w:spacing w:after="0"/>
              <w:rPr>
                <w:sz w:val="20"/>
                <w:szCs w:val="20"/>
                <w:color w:val="auto"/>
              </w:rPr>
            </w:pPr>
            <w:r>
              <w:rPr>
                <w:rFonts w:ascii="Arial" w:cs="Arial" w:eastAsia="Arial" w:hAnsi="Arial"/>
                <w:sz w:val="13"/>
                <w:szCs w:val="13"/>
                <w:b w:val="1"/>
                <w:bCs w:val="1"/>
                <w:color w:val="auto"/>
              </w:rPr>
              <w:t>Royalty</w:t>
            </w:r>
          </w:p>
        </w:tc>
      </w:tr>
      <w:tr>
        <w:trPr>
          <w:trHeight w:val="159"/>
        </w:trPr>
        <w:tc>
          <w:tcPr>
            <w:tcW w:w="3120" w:type="dxa"/>
            <w:vAlign w:val="bottom"/>
            <w:tcBorders>
              <w:bottom w:val="single" w:sz="8" w:color="auto"/>
            </w:tcBorders>
          </w:tcPr>
          <w:p>
            <w:pPr>
              <w:spacing w:after="0" w:line="159" w:lineRule="exact"/>
              <w:rPr>
                <w:sz w:val="20"/>
                <w:szCs w:val="20"/>
                <w:color w:val="auto"/>
              </w:rPr>
            </w:pPr>
            <w:r>
              <w:rPr>
                <w:rFonts w:ascii="Arial" w:cs="Arial" w:eastAsia="Arial" w:hAnsi="Arial"/>
                <w:sz w:val="15"/>
                <w:szCs w:val="15"/>
                <w:color w:val="auto"/>
              </w:rPr>
              <w:t>(add 000)</w:t>
            </w:r>
          </w:p>
        </w:tc>
        <w:tc>
          <w:tcPr>
            <w:tcW w:w="1020" w:type="dxa"/>
            <w:vAlign w:val="bottom"/>
            <w:tcBorders>
              <w:bottom w:val="single" w:sz="8" w:color="auto"/>
            </w:tcBorders>
            <w:gridSpan w:val="2"/>
          </w:tcPr>
          <w:p>
            <w:pPr>
              <w:jc w:val="right"/>
              <w:ind w:right="86"/>
              <w:spacing w:after="0"/>
              <w:rPr>
                <w:sz w:val="20"/>
                <w:szCs w:val="20"/>
                <w:color w:val="auto"/>
              </w:rPr>
            </w:pPr>
            <w:r>
              <w:rPr>
                <w:rFonts w:ascii="Arial" w:cs="Arial" w:eastAsia="Arial" w:hAnsi="Arial"/>
                <w:sz w:val="13"/>
                <w:szCs w:val="13"/>
                <w:b w:val="1"/>
                <w:bCs w:val="1"/>
                <w:color w:val="auto"/>
              </w:rPr>
              <w:t>Leases</w:t>
            </w:r>
          </w:p>
        </w:tc>
        <w:tc>
          <w:tcPr>
            <w:tcW w:w="1340" w:type="dxa"/>
            <w:vAlign w:val="bottom"/>
            <w:tcBorders>
              <w:bottom w:val="single" w:sz="8" w:color="auto"/>
            </w:tcBorders>
            <w:gridSpan w:val="2"/>
          </w:tcPr>
          <w:p>
            <w:pPr>
              <w:jc w:val="center"/>
              <w:ind w:left="289"/>
              <w:spacing w:after="0"/>
              <w:rPr>
                <w:sz w:val="20"/>
                <w:szCs w:val="20"/>
                <w:color w:val="auto"/>
              </w:rPr>
            </w:pPr>
            <w:r>
              <w:rPr>
                <w:rFonts w:ascii="Arial" w:cs="Arial" w:eastAsia="Arial" w:hAnsi="Arial"/>
                <w:sz w:val="13"/>
                <w:szCs w:val="13"/>
                <w:b w:val="1"/>
                <w:bCs w:val="1"/>
                <w:color w:val="auto"/>
                <w:w w:val="99"/>
              </w:rPr>
              <w:t>Commitments</w:t>
            </w:r>
          </w:p>
        </w:tc>
      </w:tr>
      <w:tr>
        <w:trPr>
          <w:trHeight w:val="149"/>
        </w:trPr>
        <w:tc>
          <w:tcPr>
            <w:tcW w:w="312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2018</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ind w:right="6"/>
              <w:spacing w:after="0" w:line="149" w:lineRule="exact"/>
              <w:rPr>
                <w:sz w:val="20"/>
                <w:szCs w:val="20"/>
                <w:color w:val="auto"/>
              </w:rPr>
            </w:pPr>
            <w:r>
              <w:rPr>
                <w:rFonts w:ascii="Arial" w:cs="Arial" w:eastAsia="Arial" w:hAnsi="Arial"/>
                <w:sz w:val="15"/>
                <w:szCs w:val="15"/>
                <w:color w:val="auto"/>
              </w:rPr>
              <w:t>4,205</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121,234</w:t>
            </w:r>
          </w:p>
        </w:tc>
      </w:tr>
      <w:tr>
        <w:trPr>
          <w:trHeight w:val="156"/>
        </w:trPr>
        <w:tc>
          <w:tcPr>
            <w:tcW w:w="3120" w:type="dxa"/>
            <w:vAlign w:val="bottom"/>
          </w:tcPr>
          <w:p>
            <w:pPr>
              <w:spacing w:after="0" w:line="156" w:lineRule="exact"/>
              <w:rPr>
                <w:sz w:val="20"/>
                <w:szCs w:val="20"/>
                <w:color w:val="auto"/>
              </w:rPr>
            </w:pPr>
            <w:r>
              <w:rPr>
                <w:rFonts w:ascii="Arial" w:cs="Arial" w:eastAsia="Arial" w:hAnsi="Arial"/>
                <w:sz w:val="15"/>
                <w:szCs w:val="15"/>
                <w:color w:val="auto"/>
              </w:rPr>
              <w:t>2019</w:t>
            </w:r>
          </w:p>
        </w:tc>
        <w:tc>
          <w:tcPr>
            <w:tcW w:w="460" w:type="dxa"/>
            <w:vAlign w:val="bottom"/>
          </w:tcPr>
          <w:p>
            <w:pPr>
              <w:spacing w:after="0"/>
              <w:rPr>
                <w:sz w:val="13"/>
                <w:szCs w:val="13"/>
                <w:color w:val="auto"/>
              </w:rPr>
            </w:pPr>
          </w:p>
        </w:tc>
        <w:tc>
          <w:tcPr>
            <w:tcW w:w="560" w:type="dxa"/>
            <w:vAlign w:val="bottom"/>
          </w:tcPr>
          <w:p>
            <w:pPr>
              <w:jc w:val="right"/>
              <w:ind w:right="6"/>
              <w:spacing w:after="0" w:line="156" w:lineRule="exact"/>
              <w:rPr>
                <w:sz w:val="20"/>
                <w:szCs w:val="20"/>
                <w:color w:val="auto"/>
              </w:rPr>
            </w:pPr>
            <w:r>
              <w:rPr>
                <w:rFonts w:ascii="Arial" w:cs="Arial" w:eastAsia="Arial" w:hAnsi="Arial"/>
                <w:sz w:val="15"/>
                <w:szCs w:val="15"/>
                <w:color w:val="auto"/>
              </w:rPr>
              <w:t>3,750</w:t>
            </w:r>
          </w:p>
        </w:tc>
        <w:tc>
          <w:tcPr>
            <w:tcW w:w="500" w:type="dxa"/>
            <w:vAlign w:val="bottom"/>
          </w:tcPr>
          <w:p>
            <w:pPr>
              <w:spacing w:after="0"/>
              <w:rPr>
                <w:sz w:val="13"/>
                <w:szCs w:val="13"/>
                <w:color w:val="auto"/>
              </w:rPr>
            </w:pPr>
          </w:p>
        </w:tc>
        <w:tc>
          <w:tcPr>
            <w:tcW w:w="840" w:type="dxa"/>
            <w:vAlign w:val="bottom"/>
          </w:tcPr>
          <w:p>
            <w:pPr>
              <w:jc w:val="right"/>
              <w:spacing w:after="0" w:line="156" w:lineRule="exact"/>
              <w:rPr>
                <w:sz w:val="20"/>
                <w:szCs w:val="20"/>
                <w:color w:val="auto"/>
              </w:rPr>
            </w:pPr>
            <w:r>
              <w:rPr>
                <w:rFonts w:ascii="Arial" w:cs="Arial" w:eastAsia="Arial" w:hAnsi="Arial"/>
                <w:sz w:val="15"/>
                <w:szCs w:val="15"/>
                <w:color w:val="auto"/>
              </w:rPr>
              <w:t>64,504</w:t>
            </w:r>
          </w:p>
        </w:tc>
      </w:tr>
      <w:tr>
        <w:trPr>
          <w:trHeight w:val="156"/>
        </w:trPr>
        <w:tc>
          <w:tcPr>
            <w:tcW w:w="312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2020</w:t>
            </w:r>
          </w:p>
        </w:tc>
        <w:tc>
          <w:tcPr>
            <w:tcW w:w="4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6"/>
              <w:spacing w:after="0" w:line="156" w:lineRule="exact"/>
              <w:rPr>
                <w:sz w:val="20"/>
                <w:szCs w:val="20"/>
                <w:color w:val="auto"/>
              </w:rPr>
            </w:pPr>
            <w:r>
              <w:rPr>
                <w:rFonts w:ascii="Arial" w:cs="Arial" w:eastAsia="Arial" w:hAnsi="Arial"/>
                <w:sz w:val="15"/>
                <w:szCs w:val="15"/>
                <w:color w:val="auto"/>
              </w:rPr>
              <w:t>2,247</w:t>
            </w:r>
          </w:p>
        </w:tc>
        <w:tc>
          <w:tcPr>
            <w:tcW w:w="5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58,731</w:t>
            </w:r>
          </w:p>
        </w:tc>
      </w:tr>
      <w:tr>
        <w:trPr>
          <w:trHeight w:val="156"/>
        </w:trPr>
        <w:tc>
          <w:tcPr>
            <w:tcW w:w="3120" w:type="dxa"/>
            <w:vAlign w:val="bottom"/>
          </w:tcPr>
          <w:p>
            <w:pPr>
              <w:spacing w:after="0" w:line="156" w:lineRule="exact"/>
              <w:rPr>
                <w:sz w:val="20"/>
                <w:szCs w:val="20"/>
                <w:color w:val="auto"/>
              </w:rPr>
            </w:pPr>
            <w:r>
              <w:rPr>
                <w:rFonts w:ascii="Arial" w:cs="Arial" w:eastAsia="Arial" w:hAnsi="Arial"/>
                <w:sz w:val="15"/>
                <w:szCs w:val="15"/>
                <w:color w:val="auto"/>
              </w:rPr>
              <w:t>2021</w:t>
            </w:r>
          </w:p>
        </w:tc>
        <w:tc>
          <w:tcPr>
            <w:tcW w:w="460" w:type="dxa"/>
            <w:vAlign w:val="bottom"/>
          </w:tcPr>
          <w:p>
            <w:pPr>
              <w:spacing w:after="0"/>
              <w:rPr>
                <w:sz w:val="13"/>
                <w:szCs w:val="13"/>
                <w:color w:val="auto"/>
              </w:rPr>
            </w:pPr>
          </w:p>
        </w:tc>
        <w:tc>
          <w:tcPr>
            <w:tcW w:w="560" w:type="dxa"/>
            <w:vAlign w:val="bottom"/>
          </w:tcPr>
          <w:p>
            <w:pPr>
              <w:jc w:val="right"/>
              <w:ind w:right="6"/>
              <w:spacing w:after="0" w:line="156" w:lineRule="exact"/>
              <w:rPr>
                <w:sz w:val="20"/>
                <w:szCs w:val="20"/>
                <w:color w:val="auto"/>
              </w:rPr>
            </w:pPr>
            <w:r>
              <w:rPr>
                <w:rFonts w:ascii="Arial" w:cs="Arial" w:eastAsia="Arial" w:hAnsi="Arial"/>
                <w:sz w:val="15"/>
                <w:szCs w:val="15"/>
                <w:color w:val="auto"/>
              </w:rPr>
              <w:t>1,371</w:t>
            </w:r>
          </w:p>
        </w:tc>
        <w:tc>
          <w:tcPr>
            <w:tcW w:w="500" w:type="dxa"/>
            <w:vAlign w:val="bottom"/>
          </w:tcPr>
          <w:p>
            <w:pPr>
              <w:spacing w:after="0"/>
              <w:rPr>
                <w:sz w:val="13"/>
                <w:szCs w:val="13"/>
                <w:color w:val="auto"/>
              </w:rPr>
            </w:pPr>
          </w:p>
        </w:tc>
        <w:tc>
          <w:tcPr>
            <w:tcW w:w="840" w:type="dxa"/>
            <w:vAlign w:val="bottom"/>
          </w:tcPr>
          <w:p>
            <w:pPr>
              <w:jc w:val="right"/>
              <w:spacing w:after="0" w:line="156" w:lineRule="exact"/>
              <w:rPr>
                <w:sz w:val="20"/>
                <w:szCs w:val="20"/>
                <w:color w:val="auto"/>
              </w:rPr>
            </w:pPr>
            <w:r>
              <w:rPr>
                <w:rFonts w:ascii="Arial" w:cs="Arial" w:eastAsia="Arial" w:hAnsi="Arial"/>
                <w:sz w:val="15"/>
                <w:szCs w:val="15"/>
                <w:color w:val="auto"/>
              </w:rPr>
              <w:t>55,290</w:t>
            </w:r>
          </w:p>
        </w:tc>
      </w:tr>
      <w:tr>
        <w:trPr>
          <w:trHeight w:val="156"/>
        </w:trPr>
        <w:tc>
          <w:tcPr>
            <w:tcW w:w="312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2022</w:t>
            </w:r>
          </w:p>
        </w:tc>
        <w:tc>
          <w:tcPr>
            <w:tcW w:w="4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6"/>
              <w:spacing w:after="0" w:line="156" w:lineRule="exact"/>
              <w:rPr>
                <w:sz w:val="20"/>
                <w:szCs w:val="20"/>
                <w:color w:val="auto"/>
              </w:rPr>
            </w:pPr>
            <w:r>
              <w:rPr>
                <w:rFonts w:ascii="Arial" w:cs="Arial" w:eastAsia="Arial" w:hAnsi="Arial"/>
                <w:sz w:val="15"/>
                <w:szCs w:val="15"/>
                <w:color w:val="auto"/>
              </w:rPr>
              <w:t>913</w:t>
            </w:r>
          </w:p>
        </w:tc>
        <w:tc>
          <w:tcPr>
            <w:tcW w:w="5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52,781</w:t>
            </w:r>
          </w:p>
        </w:tc>
      </w:tr>
      <w:tr>
        <w:trPr>
          <w:trHeight w:val="156"/>
        </w:trPr>
        <w:tc>
          <w:tcPr>
            <w:tcW w:w="3120" w:type="dxa"/>
            <w:vAlign w:val="bottom"/>
            <w:tcBorders>
              <w:bottom w:val="single" w:sz="8" w:color="auto"/>
            </w:tcBorders>
          </w:tcPr>
          <w:p>
            <w:pPr>
              <w:spacing w:after="0" w:line="156" w:lineRule="exact"/>
              <w:rPr>
                <w:sz w:val="20"/>
                <w:szCs w:val="20"/>
                <w:color w:val="auto"/>
              </w:rPr>
            </w:pPr>
            <w:r>
              <w:rPr>
                <w:rFonts w:ascii="Arial" w:cs="Arial" w:eastAsia="Arial" w:hAnsi="Arial"/>
                <w:sz w:val="15"/>
                <w:szCs w:val="15"/>
                <w:color w:val="auto"/>
              </w:rPr>
              <w:t>Thereafter</w:t>
            </w:r>
          </w:p>
        </w:tc>
        <w:tc>
          <w:tcPr>
            <w:tcW w:w="4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6"/>
              <w:spacing w:after="0" w:line="156" w:lineRule="exact"/>
              <w:rPr>
                <w:sz w:val="20"/>
                <w:szCs w:val="20"/>
                <w:color w:val="auto"/>
              </w:rPr>
            </w:pPr>
            <w:r>
              <w:rPr>
                <w:rFonts w:ascii="Arial" w:cs="Arial" w:eastAsia="Arial" w:hAnsi="Arial"/>
                <w:sz w:val="15"/>
                <w:szCs w:val="15"/>
                <w:color w:val="auto"/>
              </w:rPr>
              <w:t>3,993</w:t>
            </w:r>
          </w:p>
        </w:tc>
        <w:tc>
          <w:tcPr>
            <w:tcW w:w="5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345,860</w:t>
            </w:r>
          </w:p>
        </w:tc>
      </w:tr>
      <w:tr>
        <w:trPr>
          <w:trHeight w:val="169"/>
        </w:trPr>
        <w:tc>
          <w:tcPr>
            <w:tcW w:w="312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5"/>
                <w:szCs w:val="15"/>
                <w:color w:val="auto"/>
              </w:rPr>
              <w:t>Total</w:t>
            </w:r>
          </w:p>
        </w:tc>
        <w:tc>
          <w:tcPr>
            <w:tcW w:w="4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ind w:right="6"/>
              <w:spacing w:after="0" w:line="149" w:lineRule="exact"/>
              <w:rPr>
                <w:sz w:val="20"/>
                <w:szCs w:val="20"/>
                <w:color w:val="auto"/>
              </w:rPr>
            </w:pPr>
            <w:r>
              <w:rPr>
                <w:rFonts w:ascii="Arial" w:cs="Arial" w:eastAsia="Arial" w:hAnsi="Arial"/>
                <w:sz w:val="15"/>
                <w:szCs w:val="15"/>
                <w:color w:val="auto"/>
              </w:rPr>
              <w:t>16,479</w:t>
            </w:r>
          </w:p>
        </w:tc>
        <w:tc>
          <w:tcPr>
            <w:tcW w:w="5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698,400</w:t>
            </w:r>
          </w:p>
        </w:tc>
      </w:tr>
      <w:tr>
        <w:trPr>
          <w:trHeight w:val="142"/>
        </w:trPr>
        <w:tc>
          <w:tcPr>
            <w:tcW w:w="3120" w:type="dxa"/>
            <w:vAlign w:val="bottom"/>
            <w:tcBorders>
              <w:bottom w:val="single" w:sz="8" w:color="auto"/>
            </w:tcBorders>
          </w:tcPr>
          <w:p>
            <w:pPr>
              <w:spacing w:after="0" w:line="142" w:lineRule="exact"/>
              <w:rPr>
                <w:sz w:val="20"/>
                <w:szCs w:val="20"/>
                <w:color w:val="auto"/>
              </w:rPr>
            </w:pPr>
            <w:r>
              <w:rPr>
                <w:rFonts w:ascii="Arial" w:cs="Arial" w:eastAsia="Arial" w:hAnsi="Arial"/>
                <w:sz w:val="15"/>
                <w:szCs w:val="15"/>
                <w:color w:val="auto"/>
              </w:rPr>
              <w:t>Less: imputed interest</w:t>
            </w:r>
          </w:p>
        </w:tc>
        <w:tc>
          <w:tcPr>
            <w:tcW w:w="4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5"/>
                <w:szCs w:val="15"/>
                <w:color w:val="auto"/>
              </w:rPr>
              <w:t>(3,231)</w:t>
            </w:r>
          </w:p>
        </w:tc>
        <w:tc>
          <w:tcPr>
            <w:tcW w:w="500" w:type="dxa"/>
            <w:vAlign w:val="bottom"/>
            <w:tcBorders>
              <w:bottom w:val="single" w:sz="8" w:color="CCEEFF"/>
            </w:tcBorders>
          </w:tcPr>
          <w:p>
            <w:pPr>
              <w:spacing w:after="0"/>
              <w:rPr>
                <w:sz w:val="12"/>
                <w:szCs w:val="12"/>
                <w:color w:val="auto"/>
              </w:rPr>
            </w:pPr>
          </w:p>
        </w:tc>
        <w:tc>
          <w:tcPr>
            <w:tcW w:w="840" w:type="dxa"/>
            <w:vAlign w:val="bottom"/>
            <w:tcBorders>
              <w:bottom w:val="single" w:sz="8" w:color="CCEEFF"/>
            </w:tcBorders>
          </w:tcPr>
          <w:p>
            <w:pPr>
              <w:spacing w:after="0"/>
              <w:rPr>
                <w:sz w:val="12"/>
                <w:szCs w:val="12"/>
                <w:color w:val="auto"/>
              </w:rPr>
            </w:pPr>
          </w:p>
        </w:tc>
      </w:tr>
      <w:tr>
        <w:trPr>
          <w:trHeight w:val="149"/>
        </w:trPr>
        <w:tc>
          <w:tcPr>
            <w:tcW w:w="312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Present value of minimum lease payments</w:t>
            </w:r>
          </w:p>
        </w:tc>
        <w:tc>
          <w:tcPr>
            <w:tcW w:w="46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6"/>
              <w:spacing w:after="0" w:line="149" w:lineRule="exact"/>
              <w:rPr>
                <w:sz w:val="20"/>
                <w:szCs w:val="20"/>
                <w:color w:val="auto"/>
              </w:rPr>
            </w:pPr>
            <w:r>
              <w:rPr>
                <w:rFonts w:ascii="Arial" w:cs="Arial" w:eastAsia="Arial" w:hAnsi="Arial"/>
                <w:sz w:val="15"/>
                <w:szCs w:val="15"/>
                <w:color w:val="auto"/>
              </w:rPr>
              <w:t>13,248</w:t>
            </w:r>
          </w:p>
        </w:tc>
        <w:tc>
          <w:tcPr>
            <w:tcW w:w="5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156"/>
        </w:trPr>
        <w:tc>
          <w:tcPr>
            <w:tcW w:w="3120" w:type="dxa"/>
            <w:vAlign w:val="bottom"/>
            <w:tcBorders>
              <w:bottom w:val="single" w:sz="8" w:color="auto"/>
            </w:tcBorders>
          </w:tcPr>
          <w:p>
            <w:pPr>
              <w:spacing w:after="0" w:line="156" w:lineRule="exact"/>
              <w:rPr>
                <w:sz w:val="20"/>
                <w:szCs w:val="20"/>
                <w:color w:val="auto"/>
              </w:rPr>
            </w:pPr>
            <w:r>
              <w:rPr>
                <w:rFonts w:ascii="Arial" w:cs="Arial" w:eastAsia="Arial" w:hAnsi="Arial"/>
                <w:sz w:val="15"/>
                <w:szCs w:val="15"/>
                <w:color w:val="auto"/>
              </w:rPr>
              <w:t>Less: current capital lease obligations</w:t>
            </w:r>
          </w:p>
        </w:tc>
        <w:tc>
          <w:tcPr>
            <w:tcW w:w="4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(3,623)</w:t>
            </w:r>
          </w:p>
        </w:tc>
        <w:tc>
          <w:tcPr>
            <w:tcW w:w="500" w:type="dxa"/>
            <w:vAlign w:val="bottom"/>
            <w:tcBorders>
              <w:bottom w:val="single" w:sz="8" w:color="CCEEFF"/>
            </w:tcBorders>
          </w:tcPr>
          <w:p>
            <w:pPr>
              <w:spacing w:after="0"/>
              <w:rPr>
                <w:sz w:val="13"/>
                <w:szCs w:val="13"/>
                <w:color w:val="auto"/>
              </w:rPr>
            </w:pPr>
          </w:p>
        </w:tc>
        <w:tc>
          <w:tcPr>
            <w:tcW w:w="840" w:type="dxa"/>
            <w:vAlign w:val="bottom"/>
            <w:tcBorders>
              <w:bottom w:val="single" w:sz="8" w:color="CCEEFF"/>
            </w:tcBorders>
          </w:tcPr>
          <w:p>
            <w:pPr>
              <w:spacing w:after="0"/>
              <w:rPr>
                <w:sz w:val="13"/>
                <w:szCs w:val="13"/>
                <w:color w:val="auto"/>
              </w:rPr>
            </w:pPr>
          </w:p>
        </w:tc>
      </w:tr>
      <w:tr>
        <w:trPr>
          <w:trHeight w:val="155"/>
        </w:trPr>
        <w:tc>
          <w:tcPr>
            <w:tcW w:w="312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5"/>
                <w:szCs w:val="15"/>
                <w:color w:val="auto"/>
              </w:rPr>
              <w:t>Long-term capital lease obligations</w:t>
            </w:r>
          </w:p>
        </w:tc>
        <w:tc>
          <w:tcPr>
            <w:tcW w:w="4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560" w:type="dxa"/>
            <w:vAlign w:val="bottom"/>
            <w:tcBorders>
              <w:bottom w:val="single" w:sz="8" w:color="auto"/>
            </w:tcBorders>
            <w:shd w:val="clear" w:color="auto" w:fill="CCEEFF"/>
          </w:tcPr>
          <w:p>
            <w:pPr>
              <w:jc w:val="right"/>
              <w:ind w:right="6"/>
              <w:spacing w:after="0" w:line="149" w:lineRule="exact"/>
              <w:rPr>
                <w:sz w:val="20"/>
                <w:szCs w:val="20"/>
                <w:color w:val="auto"/>
              </w:rPr>
            </w:pPr>
            <w:r>
              <w:rPr>
                <w:rFonts w:ascii="Arial" w:cs="Arial" w:eastAsia="Arial" w:hAnsi="Arial"/>
                <w:sz w:val="15"/>
                <w:szCs w:val="15"/>
                <w:color w:val="auto"/>
              </w:rPr>
              <w:t>9,625</w:t>
            </w:r>
          </w:p>
        </w:tc>
        <w:tc>
          <w:tcPr>
            <w:tcW w:w="50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beneficial ownership of 15% or more of the Company’s common stock. Once exercisable and upon a person or group acquiring 15% or more of the Company’s common stock, each right (other than rights owned by such person or group) entitles its holder to purchase, for an exercise price of $315 per share, a number of shares of the Company’s common stock (or in certain circumstances, cash, property or other securities of the Company) having a market value of twice the exercise price, and under certain conditions, common stock of an acquiring company having a market value of twice the exercise price. If any person or group acquires beneficial ownership of 15% or more of the Company’s common stock, the Company may, at its option, exchange the outstanding rights (other than rights owned by such acquiring person or group) for shares of the Company’s common stock or Company equity securities deemed to have the same value as one share of common stock or a combination thereof, at an exchange ratio of one share of common stock per right. The Company’s Rights Agreement expired on October 21, 2016.</w:t>
      </w:r>
    </w:p>
    <w:p>
      <w:pPr>
        <w:spacing w:after="0" w:line="178" w:lineRule="exact"/>
        <w:rPr>
          <w:sz w:val="20"/>
          <w:szCs w:val="20"/>
          <w:color w:val="auto"/>
        </w:rPr>
      </w:pPr>
    </w:p>
    <w:p>
      <w:pPr>
        <w:sectPr>
          <w:pgSz w:w="11900" w:h="16838" w:orient="portrait"/>
          <w:cols w:equalWidth="0" w:num="2">
            <w:col w:w="5480" w:space="360"/>
            <w:col w:w="5580"/>
          </w:cols>
          <w:pgMar w:left="240" w:top="259" w:right="239" w:bottom="1440" w:gutter="0" w:footer="0" w:header="0"/>
          <w:type w:val="continuous"/>
        </w:sectPr>
      </w:pPr>
    </w:p>
    <w:p>
      <w:pPr>
        <w:spacing w:after="0" w:line="17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Of the total future minimum commitments, $204,418,000 relates to the Company’s contracts of affreightment.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0085CD"/>
        </w:rPr>
        <w:t>Note M: Shareholders’ Equity</w:t>
      </w:r>
    </w:p>
    <w:p>
      <w:pPr>
        <w:spacing w:after="0" w:line="16"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The authorized capital structure of the Company includes 100,000,000 shares of common stock, with a par value of $0.01 a share. At December 31, 2017, approximately 1,986,000 common shares were reserved for issuance under stock-based award plans.</w:t>
      </w:r>
    </w:p>
    <w:p>
      <w:pPr>
        <w:spacing w:after="0" w:line="192" w:lineRule="exact"/>
        <w:rPr>
          <w:sz w:val="20"/>
          <w:szCs w:val="20"/>
          <w:color w:val="auto"/>
        </w:rPr>
      </w:pPr>
    </w:p>
    <w:p>
      <w:pPr>
        <w:jc w:val="both"/>
        <w:spacing w:after="0"/>
        <w:rPr>
          <w:sz w:val="20"/>
          <w:szCs w:val="20"/>
          <w:color w:val="auto"/>
        </w:rPr>
      </w:pPr>
      <w:r>
        <w:rPr>
          <w:rFonts w:ascii="Arial" w:cs="Arial" w:eastAsia="Arial" w:hAnsi="Arial"/>
          <w:sz w:val="16"/>
          <w:szCs w:val="16"/>
          <w:color w:val="auto"/>
        </w:rPr>
        <w:t>Pursuant to authority granted by its Board of Directors, the Company can repurchase up to 20,000,000 shares of common stock. The Company repurchased 457,742, 1,587,987 and 3,285,380 shares of common stock during 2017, 2016 and 2015, respectively. At December 31, 2017, 14,668,891 shares of common stock were remaining under the Company’s repurchase authorization.</w:t>
      </w:r>
    </w:p>
    <w:p>
      <w:pPr>
        <w:spacing w:after="0" w:line="194" w:lineRule="exact"/>
        <w:rPr>
          <w:sz w:val="20"/>
          <w:szCs w:val="20"/>
          <w:color w:val="auto"/>
        </w:rPr>
      </w:pPr>
    </w:p>
    <w:p>
      <w:pPr>
        <w:jc w:val="both"/>
        <w:spacing w:after="0"/>
        <w:rPr>
          <w:sz w:val="20"/>
          <w:szCs w:val="20"/>
          <w:color w:val="auto"/>
        </w:rPr>
      </w:pPr>
      <w:r>
        <w:rPr>
          <w:rFonts w:ascii="Arial" w:cs="Arial" w:eastAsia="Arial" w:hAnsi="Arial"/>
          <w:sz w:val="16"/>
          <w:szCs w:val="16"/>
          <w:color w:val="auto"/>
        </w:rPr>
        <w:t>In addition to common stock, the Company’s capital structure includes 10,000,000 shares of preferred stock with a par value of $0.01 a share. On October 21, 2006, the Board of Directors adopted a Rights Agreement (the “Rights Agreement”) and reserved 200,000 shares of Junior Participating Class B Preferred Stock for issuance. In accordance with the Rights Agreement, the Company issued a dividend of one right for each share of the Company’s common stock outstanding as of October 21, 2006, and one right continues to attach to each share of common stock issued thereafter. The rights will become exercisable if any person or group acquires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0085CD"/>
        </w:rPr>
        <w:t>Note N: Commitments and Contingencies</w:t>
      </w:r>
    </w:p>
    <w:p>
      <w:pPr>
        <w:spacing w:after="0" w:line="16" w:lineRule="exact"/>
        <w:rPr>
          <w:sz w:val="20"/>
          <w:szCs w:val="20"/>
          <w:color w:val="auto"/>
        </w:rPr>
      </w:pPr>
    </w:p>
    <w:p>
      <w:pPr>
        <w:jc w:val="both"/>
        <w:spacing w:after="0" w:line="239" w:lineRule="auto"/>
        <w:rPr>
          <w:sz w:val="20"/>
          <w:szCs w:val="20"/>
          <w:color w:val="auto"/>
        </w:rPr>
      </w:pPr>
      <w:r>
        <w:rPr>
          <w:rFonts w:ascii="Arial" w:cs="Arial" w:eastAsia="Arial" w:hAnsi="Arial"/>
          <w:sz w:val="16"/>
          <w:szCs w:val="16"/>
          <w:b w:val="1"/>
          <w:bCs w:val="1"/>
          <w:i w:val="1"/>
          <w:iCs w:val="1"/>
          <w:color w:val="49B28F"/>
        </w:rPr>
        <w:t xml:space="preserve">Legal and Administrative Proceedings. </w:t>
      </w:r>
      <w:r>
        <w:rPr>
          <w:rFonts w:ascii="Arial" w:cs="Arial" w:eastAsia="Arial" w:hAnsi="Arial"/>
          <w:sz w:val="16"/>
          <w:szCs w:val="16"/>
          <w:color w:val="000000"/>
        </w:rPr>
        <w:t>The Company is engaged in</w:t>
      </w:r>
      <w:r>
        <w:rPr>
          <w:rFonts w:ascii="Arial" w:cs="Arial" w:eastAsia="Arial" w:hAnsi="Arial"/>
          <w:sz w:val="16"/>
          <w:szCs w:val="16"/>
          <w:b w:val="1"/>
          <w:bCs w:val="1"/>
          <w:i w:val="1"/>
          <w:iCs w:val="1"/>
          <w:color w:val="49B28F"/>
        </w:rPr>
        <w:t xml:space="preserve"> </w:t>
      </w:r>
      <w:r>
        <w:rPr>
          <w:rFonts w:ascii="Arial" w:cs="Arial" w:eastAsia="Arial" w:hAnsi="Arial"/>
          <w:sz w:val="16"/>
          <w:szCs w:val="16"/>
          <w:color w:val="000000"/>
        </w:rPr>
        <w:t>certain legal and administrative proceedings incidental to its normal business activities. In the opinion of management and counsel, based upon currently-available facts, it is remote that the ultimate outcome of any litigation and other proceedings, including those pertaining to environmental matters (see Note A), relating to the Company and its subsidiaries, will have a material adverse effect on the overall results of the Company’s operations, its cash flows or its financial position.</w:t>
      </w:r>
    </w:p>
    <w:p>
      <w:pPr>
        <w:spacing w:after="0" w:line="175" w:lineRule="exact"/>
        <w:rPr>
          <w:sz w:val="20"/>
          <w:szCs w:val="20"/>
          <w:color w:val="auto"/>
        </w:rPr>
      </w:pPr>
    </w:p>
    <w:p>
      <w:pPr>
        <w:jc w:val="both"/>
        <w:spacing w:after="0" w:line="241" w:lineRule="auto"/>
        <w:rPr>
          <w:sz w:val="20"/>
          <w:szCs w:val="20"/>
          <w:color w:val="auto"/>
        </w:rPr>
      </w:pPr>
      <w:r>
        <w:rPr>
          <w:rFonts w:ascii="Arial" w:cs="Arial" w:eastAsia="Arial" w:hAnsi="Arial"/>
          <w:sz w:val="16"/>
          <w:szCs w:val="16"/>
          <w:b w:val="1"/>
          <w:bCs w:val="1"/>
          <w:i w:val="1"/>
          <w:iCs w:val="1"/>
          <w:color w:val="49B28F"/>
        </w:rPr>
        <w:t xml:space="preserve">Asset Retirement Obligations. </w:t>
      </w:r>
      <w:r>
        <w:rPr>
          <w:rFonts w:ascii="Arial" w:cs="Arial" w:eastAsia="Arial" w:hAnsi="Arial"/>
          <w:sz w:val="16"/>
          <w:szCs w:val="16"/>
          <w:color w:val="000000"/>
        </w:rPr>
        <w:t>The Company incurs reclamation and</w:t>
      </w:r>
      <w:r>
        <w:rPr>
          <w:rFonts w:ascii="Arial" w:cs="Arial" w:eastAsia="Arial" w:hAnsi="Arial"/>
          <w:sz w:val="16"/>
          <w:szCs w:val="16"/>
          <w:b w:val="1"/>
          <w:bCs w:val="1"/>
          <w:i w:val="1"/>
          <w:iCs w:val="1"/>
          <w:color w:val="49B28F"/>
        </w:rPr>
        <w:t xml:space="preserve"> </w:t>
      </w:r>
      <w:r>
        <w:rPr>
          <w:rFonts w:ascii="Arial" w:cs="Arial" w:eastAsia="Arial" w:hAnsi="Arial"/>
          <w:sz w:val="16"/>
          <w:szCs w:val="16"/>
          <w:color w:val="000000"/>
        </w:rPr>
        <w:t>teardown costs as part of its mining and production processes. Estimated future obligations are discounted to their present value and accreted to their projected future obligations via charges to operating expenses. Additionally, the fixed assets recorded concurrently with the liabilities are depreciated over the period until retirement activities are expected to occur. Total accretion and depreciation expenses for 2017, 2016 and 2015 were $8,682,000, $8,823,000 and $6,767,000, respectively, and are included in other operating income and expenses, net, in the consolidated statements of earnings.</w:t>
      </w:r>
    </w:p>
    <w:p>
      <w:pPr>
        <w:spacing w:after="0" w:line="1510" w:lineRule="exact"/>
        <w:rPr>
          <w:sz w:val="20"/>
          <w:szCs w:val="20"/>
          <w:color w:val="auto"/>
        </w:rPr>
      </w:pPr>
    </w:p>
    <w:p>
      <w:pPr>
        <w:sectPr>
          <w:pgSz w:w="11900" w:h="16838" w:orient="portrait"/>
          <w:cols w:equalWidth="0" w:num="2">
            <w:col w:w="5480" w:space="360"/>
            <w:col w:w="5580"/>
          </w:cols>
          <w:pgMar w:left="240" w:top="259" w:right="239" w:bottom="1440" w:gutter="0" w:footer="0" w:header="0"/>
          <w:type w:val="continuous"/>
        </w:sect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36</w:t>
      </w:r>
    </w:p>
    <w:p>
      <w:pPr>
        <w:sectPr>
          <w:pgSz w:w="11900" w:h="16838" w:orient="portrait"/>
          <w:cols w:equalWidth="0" w:num="1">
            <w:col w:w="11420"/>
          </w:cols>
          <w:pgMar w:left="240" w:top="259" w:right="239" w:bottom="1440" w:gutter="0" w:footer="0" w:header="0"/>
          <w:type w:val="continuous"/>
        </w:sectPr>
      </w:pPr>
    </w:p>
    <w:bookmarkStart w:id="89" w:name="page90"/>
    <w:bookmarkEnd w:id="89"/>
    <w:p>
      <w:pPr>
        <w:jc w:val="center"/>
        <w:ind w:right="-19"/>
        <w:spacing w:after="0"/>
        <w:rPr>
          <w:sz w:val="20"/>
          <w:szCs w:val="20"/>
          <w:color w:val="auto"/>
        </w:rPr>
      </w:pPr>
      <w:r>
        <w:rPr>
          <w:rFonts w:ascii="Arial" w:cs="Arial" w:eastAsia="Arial" w:hAnsi="Arial"/>
          <w:sz w:val="17"/>
          <w:szCs w:val="17"/>
          <w:b w:val="1"/>
          <w:bCs w:val="1"/>
          <w:color w:val="0085CD"/>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7">
                      <a:extLst>
                        <a:ext uri="{28A0092B-C50C-407E-A947-70E740481C1C}"/>
                      </a:extLst>
                    </a:blip>
                    <a:srcRect/>
                    <a:stretch>
                      <a:fillRect/>
                    </a:stretch>
                  </pic:blipFill>
                  <pic:spPr bwMode="auto">
                    <a:xfrm>
                      <a:off x="0" y="0"/>
                      <a:ext cx="7293610" cy="37465"/>
                    </a:xfrm>
                    <a:prstGeom prst="rect">
                      <a:avLst/>
                    </a:prstGeom>
                    <a:noFill/>
                  </pic:spPr>
                </pic:pic>
              </a:graphicData>
            </a:graphic>
          </wp:anchor>
        </w:drawing>
        <w:t xml:space="preserve">NOTES TO FINANCIAL STATEMENTS </w:t>
      </w:r>
      <w:r>
        <w:rPr>
          <w:rFonts w:ascii="Arial" w:cs="Arial" w:eastAsia="Arial" w:hAnsi="Arial"/>
          <w:sz w:val="15"/>
          <w:szCs w:val="15"/>
          <w:color w:val="0085CD"/>
        </w:rPr>
        <w:t>(continued)</w:t>
      </w:r>
    </w:p>
    <w:p>
      <w:pPr>
        <w:sectPr>
          <w:pgSz w:w="11900" w:h="16838" w:orient="portrait"/>
          <w:cols w:equalWidth="0" w:num="1">
            <w:col w:w="11420"/>
          </w:cols>
          <w:pgMar w:left="240" w:top="2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shows the changes in the asset retirement obligations: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20" w:type="dxa"/>
            <w:vAlign w:val="bottom"/>
          </w:tcPr>
          <w:p>
            <w:pPr>
              <w:spacing w:after="0"/>
              <w:rPr>
                <w:sz w:val="20"/>
                <w:szCs w:val="20"/>
                <w:color w:val="auto"/>
              </w:rPr>
            </w:pPr>
            <w:r>
              <w:rPr>
                <w:rFonts w:ascii="Arial" w:cs="Arial" w:eastAsia="Arial" w:hAnsi="Arial"/>
                <w:sz w:val="14"/>
                <w:szCs w:val="14"/>
                <w:i w:val="1"/>
                <w:iCs w:val="1"/>
                <w:color w:val="auto"/>
              </w:rPr>
              <w:t>years ended December 31</w:t>
            </w:r>
          </w:p>
        </w:tc>
        <w:tc>
          <w:tcPr>
            <w:tcW w:w="520" w:type="dxa"/>
            <w:vAlign w:val="bottom"/>
          </w:tcPr>
          <w:p>
            <w:pPr>
              <w:spacing w:after="0"/>
              <w:rPr>
                <w:sz w:val="14"/>
                <w:szCs w:val="14"/>
                <w:color w:val="auto"/>
              </w:rPr>
            </w:pPr>
          </w:p>
        </w:tc>
        <w:tc>
          <w:tcPr>
            <w:tcW w:w="800" w:type="dxa"/>
            <w:vAlign w:val="bottom"/>
            <w:vMerge w:val="restart"/>
          </w:tcPr>
          <w:p>
            <w:pPr>
              <w:jc w:val="right"/>
              <w:ind w:right="146"/>
              <w:spacing w:after="0"/>
              <w:rPr>
                <w:sz w:val="20"/>
                <w:szCs w:val="20"/>
                <w:color w:val="auto"/>
              </w:rPr>
            </w:pPr>
            <w:r>
              <w:rPr>
                <w:rFonts w:ascii="Arial" w:cs="Arial" w:eastAsia="Arial" w:hAnsi="Arial"/>
                <w:sz w:val="15"/>
                <w:szCs w:val="15"/>
                <w:b w:val="1"/>
                <w:bCs w:val="1"/>
                <w:color w:val="0085CD"/>
              </w:rPr>
              <w:t>2017</w:t>
            </w: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3220" w:type="dxa"/>
            <w:vAlign w:val="bottom"/>
            <w:tcBorders>
              <w:bottom w:val="single" w:sz="8" w:color="auto"/>
            </w:tcBorders>
          </w:tcPr>
          <w:p>
            <w:pPr>
              <w:spacing w:after="0" w:line="159" w:lineRule="exact"/>
              <w:rPr>
                <w:sz w:val="20"/>
                <w:szCs w:val="20"/>
                <w:color w:val="auto"/>
              </w:rPr>
            </w:pPr>
            <w:r>
              <w:rPr>
                <w:rFonts w:ascii="Arial" w:cs="Arial" w:eastAsia="Arial" w:hAnsi="Arial"/>
                <w:sz w:val="15"/>
                <w:szCs w:val="15"/>
                <w:color w:val="auto"/>
              </w:rPr>
              <w:t>(add 000)</w:t>
            </w:r>
          </w:p>
        </w:tc>
        <w:tc>
          <w:tcPr>
            <w:tcW w:w="5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2016</w:t>
            </w:r>
          </w:p>
        </w:tc>
        <w:tc>
          <w:tcPr>
            <w:tcW w:w="0" w:type="dxa"/>
            <w:vAlign w:val="bottom"/>
          </w:tcPr>
          <w:p>
            <w:pPr>
              <w:spacing w:after="0"/>
              <w:rPr>
                <w:sz w:val="1"/>
                <w:szCs w:val="1"/>
                <w:color w:val="auto"/>
              </w:rPr>
            </w:pPr>
          </w:p>
        </w:tc>
      </w:tr>
      <w:tr>
        <w:trPr>
          <w:trHeight w:val="149"/>
        </w:trPr>
        <w:tc>
          <w:tcPr>
            <w:tcW w:w="322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Balance at beginning of year</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800" w:type="dxa"/>
            <w:vAlign w:val="bottom"/>
            <w:shd w:val="clear" w:color="auto" w:fill="CCEEFF"/>
          </w:tcPr>
          <w:p>
            <w:pPr>
              <w:jc w:val="right"/>
              <w:ind w:right="146"/>
              <w:spacing w:after="0" w:line="149" w:lineRule="exact"/>
              <w:rPr>
                <w:sz w:val="20"/>
                <w:szCs w:val="20"/>
                <w:color w:val="auto"/>
              </w:rPr>
            </w:pPr>
            <w:r>
              <w:rPr>
                <w:rFonts w:ascii="Arial" w:cs="Arial" w:eastAsia="Arial" w:hAnsi="Arial"/>
                <w:sz w:val="15"/>
                <w:szCs w:val="15"/>
                <w:b w:val="1"/>
                <w:bCs w:val="1"/>
                <w:color w:val="auto"/>
              </w:rPr>
              <w:t>101,106</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89,604</w:t>
            </w:r>
          </w:p>
        </w:tc>
        <w:tc>
          <w:tcPr>
            <w:tcW w:w="0" w:type="dxa"/>
            <w:vAlign w:val="bottom"/>
          </w:tcPr>
          <w:p>
            <w:pPr>
              <w:spacing w:after="0"/>
              <w:rPr>
                <w:sz w:val="1"/>
                <w:szCs w:val="1"/>
                <w:color w:val="auto"/>
              </w:rPr>
            </w:pPr>
          </w:p>
        </w:tc>
      </w:tr>
      <w:tr>
        <w:trPr>
          <w:trHeight w:val="156"/>
        </w:trPr>
        <w:tc>
          <w:tcPr>
            <w:tcW w:w="3220" w:type="dxa"/>
            <w:vAlign w:val="bottom"/>
          </w:tcPr>
          <w:p>
            <w:pPr>
              <w:spacing w:after="0" w:line="156" w:lineRule="exact"/>
              <w:rPr>
                <w:sz w:val="20"/>
                <w:szCs w:val="20"/>
                <w:color w:val="auto"/>
              </w:rPr>
            </w:pPr>
            <w:r>
              <w:rPr>
                <w:rFonts w:ascii="Arial" w:cs="Arial" w:eastAsia="Arial" w:hAnsi="Arial"/>
                <w:sz w:val="15"/>
                <w:szCs w:val="15"/>
                <w:color w:val="auto"/>
              </w:rPr>
              <w:t>Accretion expense</w:t>
            </w:r>
          </w:p>
        </w:tc>
        <w:tc>
          <w:tcPr>
            <w:tcW w:w="520" w:type="dxa"/>
            <w:vAlign w:val="bottom"/>
          </w:tcPr>
          <w:p>
            <w:pPr>
              <w:spacing w:after="0"/>
              <w:rPr>
                <w:sz w:val="13"/>
                <w:szCs w:val="13"/>
                <w:color w:val="auto"/>
              </w:rPr>
            </w:pPr>
          </w:p>
        </w:tc>
        <w:tc>
          <w:tcPr>
            <w:tcW w:w="800" w:type="dxa"/>
            <w:vAlign w:val="bottom"/>
          </w:tcPr>
          <w:p>
            <w:pPr>
              <w:jc w:val="right"/>
              <w:ind w:right="146"/>
              <w:spacing w:after="0" w:line="156" w:lineRule="exact"/>
              <w:rPr>
                <w:sz w:val="20"/>
                <w:szCs w:val="20"/>
                <w:color w:val="auto"/>
              </w:rPr>
            </w:pPr>
            <w:r>
              <w:rPr>
                <w:rFonts w:ascii="Arial" w:cs="Arial" w:eastAsia="Arial" w:hAnsi="Arial"/>
                <w:sz w:val="15"/>
                <w:szCs w:val="15"/>
                <w:b w:val="1"/>
                <w:bCs w:val="1"/>
                <w:color w:val="auto"/>
              </w:rPr>
              <w:t>4,768</w:t>
            </w:r>
          </w:p>
        </w:tc>
        <w:tc>
          <w:tcPr>
            <w:tcW w:w="300" w:type="dxa"/>
            <w:vAlign w:val="bottom"/>
          </w:tcPr>
          <w:p>
            <w:pPr>
              <w:spacing w:after="0"/>
              <w:rPr>
                <w:sz w:val="13"/>
                <w:szCs w:val="13"/>
                <w:color w:val="auto"/>
              </w:rPr>
            </w:pPr>
          </w:p>
        </w:tc>
        <w:tc>
          <w:tcPr>
            <w:tcW w:w="640" w:type="dxa"/>
            <w:vAlign w:val="bottom"/>
          </w:tcPr>
          <w:p>
            <w:pPr>
              <w:jc w:val="right"/>
              <w:spacing w:after="0" w:line="156" w:lineRule="exact"/>
              <w:rPr>
                <w:sz w:val="20"/>
                <w:szCs w:val="20"/>
                <w:color w:val="auto"/>
              </w:rPr>
            </w:pPr>
            <w:r>
              <w:rPr>
                <w:rFonts w:ascii="Arial" w:cs="Arial" w:eastAsia="Arial" w:hAnsi="Arial"/>
                <w:sz w:val="15"/>
                <w:szCs w:val="15"/>
                <w:color w:val="auto"/>
              </w:rPr>
              <w:t>4,288</w:t>
            </w:r>
          </w:p>
        </w:tc>
        <w:tc>
          <w:tcPr>
            <w:tcW w:w="0" w:type="dxa"/>
            <w:vAlign w:val="bottom"/>
          </w:tcPr>
          <w:p>
            <w:pPr>
              <w:spacing w:after="0"/>
              <w:rPr>
                <w:sz w:val="1"/>
                <w:szCs w:val="1"/>
                <w:color w:val="auto"/>
              </w:rPr>
            </w:pPr>
          </w:p>
        </w:tc>
      </w:tr>
      <w:tr>
        <w:trPr>
          <w:trHeight w:val="152"/>
        </w:trPr>
        <w:tc>
          <w:tcPr>
            <w:tcW w:w="3220" w:type="dxa"/>
            <w:vAlign w:val="bottom"/>
            <w:shd w:val="clear" w:color="auto" w:fill="CCEEFF"/>
          </w:tcPr>
          <w:p>
            <w:pPr>
              <w:spacing w:after="0" w:line="153" w:lineRule="exact"/>
              <w:rPr>
                <w:sz w:val="20"/>
                <w:szCs w:val="20"/>
                <w:color w:val="auto"/>
              </w:rPr>
            </w:pPr>
            <w:r>
              <w:rPr>
                <w:rFonts w:ascii="Arial" w:cs="Arial" w:eastAsia="Arial" w:hAnsi="Arial"/>
                <w:sz w:val="15"/>
                <w:szCs w:val="15"/>
                <w:color w:val="auto"/>
              </w:rPr>
              <w:t>Liabilities incurred and liabilities assumed in</w:t>
            </w:r>
          </w:p>
        </w:tc>
        <w:tc>
          <w:tcPr>
            <w:tcW w:w="52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146"/>
              <w:spacing w:after="0"/>
              <w:rPr>
                <w:sz w:val="20"/>
                <w:szCs w:val="20"/>
                <w:color w:val="auto"/>
              </w:rPr>
            </w:pPr>
            <w:r>
              <w:rPr>
                <w:rFonts w:ascii="Arial" w:cs="Arial" w:eastAsia="Arial" w:hAnsi="Arial"/>
                <w:sz w:val="15"/>
                <w:szCs w:val="15"/>
                <w:b w:val="1"/>
                <w:bCs w:val="1"/>
                <w:color w:val="auto"/>
              </w:rPr>
              <w:t>7,940</w:t>
            </w:r>
          </w:p>
        </w:tc>
        <w:tc>
          <w:tcPr>
            <w:tcW w:w="3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220" w:type="dxa"/>
            <w:vAlign w:val="bottom"/>
            <w:shd w:val="clear" w:color="auto" w:fill="CCEEFF"/>
          </w:tcPr>
          <w:p>
            <w:pPr>
              <w:ind w:left="160"/>
              <w:spacing w:after="0" w:line="159" w:lineRule="exact"/>
              <w:rPr>
                <w:sz w:val="20"/>
                <w:szCs w:val="20"/>
                <w:color w:val="auto"/>
              </w:rPr>
            </w:pPr>
            <w:r>
              <w:rPr>
                <w:rFonts w:ascii="Arial" w:cs="Arial" w:eastAsia="Arial" w:hAnsi="Arial"/>
                <w:sz w:val="15"/>
                <w:szCs w:val="15"/>
                <w:color w:val="auto"/>
              </w:rPr>
              <w:t>business combinations</w:t>
            </w:r>
          </w:p>
        </w:tc>
        <w:tc>
          <w:tcPr>
            <w:tcW w:w="520" w:type="dxa"/>
            <w:vAlign w:val="bottom"/>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color w:val="auto"/>
              </w:rPr>
              <w:t>6,700</w:t>
            </w:r>
          </w:p>
        </w:tc>
        <w:tc>
          <w:tcPr>
            <w:tcW w:w="0" w:type="dxa"/>
            <w:vAlign w:val="bottom"/>
          </w:tcPr>
          <w:p>
            <w:pPr>
              <w:spacing w:after="0"/>
              <w:rPr>
                <w:sz w:val="1"/>
                <w:szCs w:val="1"/>
                <w:color w:val="auto"/>
              </w:rPr>
            </w:pPr>
          </w:p>
        </w:tc>
      </w:tr>
      <w:tr>
        <w:trPr>
          <w:trHeight w:val="156"/>
        </w:trPr>
        <w:tc>
          <w:tcPr>
            <w:tcW w:w="3220" w:type="dxa"/>
            <w:vAlign w:val="bottom"/>
          </w:tcPr>
          <w:p>
            <w:pPr>
              <w:spacing w:after="0" w:line="156" w:lineRule="exact"/>
              <w:rPr>
                <w:sz w:val="20"/>
                <w:szCs w:val="20"/>
                <w:color w:val="auto"/>
              </w:rPr>
            </w:pPr>
            <w:r>
              <w:rPr>
                <w:rFonts w:ascii="Arial" w:cs="Arial" w:eastAsia="Arial" w:hAnsi="Arial"/>
                <w:sz w:val="15"/>
                <w:szCs w:val="15"/>
                <w:color w:val="auto"/>
              </w:rPr>
              <w:t>Liabilities settled</w:t>
            </w:r>
          </w:p>
        </w:tc>
        <w:tc>
          <w:tcPr>
            <w:tcW w:w="520" w:type="dxa"/>
            <w:vAlign w:val="bottom"/>
          </w:tcPr>
          <w:p>
            <w:pPr>
              <w:spacing w:after="0"/>
              <w:rPr>
                <w:sz w:val="13"/>
                <w:szCs w:val="13"/>
                <w:color w:val="auto"/>
              </w:rPr>
            </w:pPr>
          </w:p>
        </w:tc>
        <w:tc>
          <w:tcPr>
            <w:tcW w:w="800" w:type="dxa"/>
            <w:vAlign w:val="bottom"/>
          </w:tcPr>
          <w:p>
            <w:pPr>
              <w:jc w:val="right"/>
              <w:ind w:right="106"/>
              <w:spacing w:after="0" w:line="156" w:lineRule="exact"/>
              <w:rPr>
                <w:sz w:val="20"/>
                <w:szCs w:val="20"/>
                <w:color w:val="auto"/>
              </w:rPr>
            </w:pPr>
            <w:r>
              <w:rPr>
                <w:rFonts w:ascii="Arial" w:cs="Arial" w:eastAsia="Arial" w:hAnsi="Arial"/>
                <w:sz w:val="15"/>
                <w:szCs w:val="15"/>
                <w:b w:val="1"/>
                <w:bCs w:val="1"/>
                <w:color w:val="auto"/>
              </w:rPr>
              <w:t>(309)</w:t>
            </w:r>
          </w:p>
        </w:tc>
        <w:tc>
          <w:tcPr>
            <w:tcW w:w="300" w:type="dxa"/>
            <w:vAlign w:val="bottom"/>
          </w:tcPr>
          <w:p>
            <w:pPr>
              <w:spacing w:after="0"/>
              <w:rPr>
                <w:sz w:val="13"/>
                <w:szCs w:val="13"/>
                <w:color w:val="auto"/>
              </w:rPr>
            </w:pPr>
          </w:p>
        </w:tc>
        <w:tc>
          <w:tcPr>
            <w:tcW w:w="640" w:type="dxa"/>
            <w:vAlign w:val="bottom"/>
          </w:tcPr>
          <w:p>
            <w:pPr>
              <w:jc w:val="right"/>
              <w:spacing w:after="0" w:line="156" w:lineRule="exact"/>
              <w:rPr>
                <w:sz w:val="20"/>
                <w:szCs w:val="20"/>
                <w:color w:val="auto"/>
              </w:rPr>
            </w:pPr>
            <w:r>
              <w:rPr>
                <w:rFonts w:ascii="Arial" w:cs="Arial" w:eastAsia="Arial" w:hAnsi="Arial"/>
                <w:sz w:val="15"/>
                <w:szCs w:val="15"/>
                <w:color w:val="auto"/>
              </w:rPr>
              <w:t>166</w:t>
            </w:r>
          </w:p>
        </w:tc>
        <w:tc>
          <w:tcPr>
            <w:tcW w:w="0" w:type="dxa"/>
            <w:vAlign w:val="bottom"/>
          </w:tcPr>
          <w:p>
            <w:pPr>
              <w:spacing w:after="0"/>
              <w:rPr>
                <w:sz w:val="1"/>
                <w:szCs w:val="1"/>
                <w:color w:val="auto"/>
              </w:rPr>
            </w:pPr>
          </w:p>
        </w:tc>
      </w:tr>
      <w:tr>
        <w:trPr>
          <w:trHeight w:val="156"/>
        </w:trPr>
        <w:tc>
          <w:tcPr>
            <w:tcW w:w="322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Revisions in estimated cash flows</w:t>
            </w:r>
          </w:p>
        </w:tc>
        <w:tc>
          <w:tcPr>
            <w:tcW w:w="5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106"/>
              <w:spacing w:after="0" w:line="156" w:lineRule="exact"/>
              <w:rPr>
                <w:sz w:val="20"/>
                <w:szCs w:val="20"/>
                <w:color w:val="auto"/>
              </w:rPr>
            </w:pPr>
            <w:r>
              <w:rPr>
                <w:rFonts w:ascii="Arial" w:cs="Arial" w:eastAsia="Arial" w:hAnsi="Arial"/>
                <w:sz w:val="15"/>
                <w:szCs w:val="15"/>
                <w:b w:val="1"/>
                <w:bCs w:val="1"/>
                <w:color w:val="auto"/>
              </w:rPr>
              <w:t>(3,852)</w:t>
            </w:r>
          </w:p>
        </w:tc>
        <w:tc>
          <w:tcPr>
            <w:tcW w:w="30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348</w:t>
            </w:r>
          </w:p>
        </w:tc>
        <w:tc>
          <w:tcPr>
            <w:tcW w:w="0" w:type="dxa"/>
            <w:vAlign w:val="bottom"/>
          </w:tcPr>
          <w:p>
            <w:pPr>
              <w:spacing w:after="0"/>
              <w:rPr>
                <w:sz w:val="1"/>
                <w:szCs w:val="1"/>
                <w:color w:val="auto"/>
              </w:rPr>
            </w:pPr>
          </w:p>
        </w:tc>
      </w:tr>
      <w:tr>
        <w:trPr>
          <w:trHeight w:val="155"/>
        </w:trPr>
        <w:tc>
          <w:tcPr>
            <w:tcW w:w="3220" w:type="dxa"/>
            <w:vAlign w:val="bottom"/>
            <w:tcBorders>
              <w:bottom w:val="single" w:sz="8" w:color="auto"/>
            </w:tcBorders>
          </w:tcPr>
          <w:p>
            <w:pPr>
              <w:spacing w:after="0" w:line="149" w:lineRule="exact"/>
              <w:rPr>
                <w:sz w:val="20"/>
                <w:szCs w:val="20"/>
                <w:color w:val="auto"/>
              </w:rPr>
            </w:pPr>
            <w:r>
              <w:rPr>
                <w:rFonts w:ascii="Arial" w:cs="Arial" w:eastAsia="Arial" w:hAnsi="Arial"/>
                <w:sz w:val="15"/>
                <w:szCs w:val="15"/>
                <w:color w:val="auto"/>
              </w:rPr>
              <w:t>Balance at end of year</w:t>
            </w: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800" w:type="dxa"/>
            <w:vAlign w:val="bottom"/>
            <w:tcBorders>
              <w:bottom w:val="single" w:sz="8" w:color="auto"/>
            </w:tcBorders>
          </w:tcPr>
          <w:p>
            <w:pPr>
              <w:jc w:val="right"/>
              <w:ind w:right="146"/>
              <w:spacing w:after="0" w:line="149" w:lineRule="exact"/>
              <w:rPr>
                <w:sz w:val="20"/>
                <w:szCs w:val="20"/>
                <w:color w:val="auto"/>
              </w:rPr>
            </w:pPr>
            <w:r>
              <w:rPr>
                <w:rFonts w:ascii="Arial" w:cs="Arial" w:eastAsia="Arial" w:hAnsi="Arial"/>
                <w:sz w:val="15"/>
                <w:szCs w:val="15"/>
                <w:b w:val="1"/>
                <w:bCs w:val="1"/>
                <w:color w:val="auto"/>
              </w:rPr>
              <w:t>109,653</w:t>
            </w:r>
          </w:p>
        </w:tc>
        <w:tc>
          <w:tcPr>
            <w:tcW w:w="3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color w:val="auto"/>
              </w:rPr>
              <w:t>$</w:t>
            </w: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color w:val="auto"/>
              </w:rPr>
              <w:t>101,106</w:t>
            </w:r>
          </w:p>
        </w:tc>
        <w:tc>
          <w:tcPr>
            <w:tcW w:w="0" w:type="dxa"/>
            <w:vAlign w:val="bottom"/>
          </w:tcPr>
          <w:p>
            <w:pPr>
              <w:spacing w:after="0"/>
              <w:rPr>
                <w:sz w:val="1"/>
                <w:szCs w:val="1"/>
                <w:color w:val="auto"/>
              </w:rPr>
            </w:pPr>
          </w:p>
        </w:tc>
      </w:tr>
    </w:tbl>
    <w:p>
      <w:pPr>
        <w:spacing w:after="0" w:line="182" w:lineRule="exact"/>
        <w:rPr>
          <w:sz w:val="20"/>
          <w:szCs w:val="20"/>
          <w:color w:val="auto"/>
        </w:rPr>
      </w:pPr>
    </w:p>
    <w:p>
      <w:pPr>
        <w:jc w:val="both"/>
        <w:spacing w:after="0"/>
        <w:rPr>
          <w:sz w:val="20"/>
          <w:szCs w:val="20"/>
          <w:color w:val="auto"/>
        </w:rPr>
      </w:pPr>
      <w:r>
        <w:rPr>
          <w:rFonts w:ascii="Arial" w:cs="Arial" w:eastAsia="Arial" w:hAnsi="Arial"/>
          <w:sz w:val="16"/>
          <w:szCs w:val="16"/>
          <w:b w:val="1"/>
          <w:bCs w:val="1"/>
          <w:i w:val="1"/>
          <w:iCs w:val="1"/>
          <w:color w:val="49B28F"/>
        </w:rPr>
        <w:t xml:space="preserve">Other Environmental Matters. </w:t>
      </w:r>
      <w:r>
        <w:rPr>
          <w:rFonts w:ascii="Arial" w:cs="Arial" w:eastAsia="Arial" w:hAnsi="Arial"/>
          <w:sz w:val="16"/>
          <w:szCs w:val="16"/>
          <w:color w:val="000000"/>
        </w:rPr>
        <w:t>The Company’s operations are subject to</w:t>
      </w:r>
      <w:r>
        <w:rPr>
          <w:rFonts w:ascii="Arial" w:cs="Arial" w:eastAsia="Arial" w:hAnsi="Arial"/>
          <w:sz w:val="16"/>
          <w:szCs w:val="16"/>
          <w:b w:val="1"/>
          <w:bCs w:val="1"/>
          <w:i w:val="1"/>
          <w:iCs w:val="1"/>
          <w:color w:val="49B28F"/>
        </w:rPr>
        <w:t xml:space="preserve"> </w:t>
      </w:r>
      <w:r>
        <w:rPr>
          <w:rFonts w:ascii="Arial" w:cs="Arial" w:eastAsia="Arial" w:hAnsi="Arial"/>
          <w:sz w:val="16"/>
          <w:szCs w:val="16"/>
          <w:color w:val="000000"/>
        </w:rPr>
        <w:t>and affected by federal, state and local laws and regulations relating to the environment, health and safety and other regulatory matters. Certain of the Company’s operations may, from time to time, involve the use of substances that are classified as toxic or hazardous within the meaning of these laws and regulations. Environmental operating permits are, or may be, required for certain of the Company’s operations, and such permits are subject to modification, renewal and revocation. The Company regularly monitors and reviews its operations, procedures and policies for compliance with these laws and regulations. Despite these compliance efforts, risk of environmental remediation liability is inherent in the operation of the Company’s businesses, as it is with other companies engaged in similar businesses. The Company has no material provisions for environmental remediation liabilities and does not believe such liabilities will have a material adverse effect on the Company in the future.</w:t>
      </w:r>
    </w:p>
    <w:p>
      <w:pPr>
        <w:spacing w:after="0" w:line="193"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The United States Environmental Protection Agency (EPA) includes the lime industry as a national enforcement priority under the federal Clean Air Act (CAA). As part of the industry-wide effort, the EPA issued Notices of Violation/Findings of Violation (NOVs) to the Company in 2010 and 2011 regarding its compliance with the CAA New Source Review (NSR) program at its Magnesia Specialties dolomitic lime manufacturing plant in Woodville, Ohio. The Company has been providing information to the EPA in response to these NOVs and has had several meetings with the EPA. Although the Company believes it is in substantial compliance with the NSR program, it anticipates that it will reach a settlement of this matter with the EPA. The Company believes any costs related to any required upgrades to capital equipment will be spread over time and that those costs and any related penalties will not have a material adverse effect on the Company’s results of operations or its financial condition.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rPr>
          <w:sz w:val="20"/>
          <w:szCs w:val="20"/>
          <w:color w:val="auto"/>
        </w:rPr>
      </w:pPr>
      <w:r>
        <w:rPr>
          <w:rFonts w:ascii="Arial" w:cs="Arial" w:eastAsia="Arial" w:hAnsi="Arial"/>
          <w:sz w:val="16"/>
          <w:szCs w:val="16"/>
          <w:b w:val="1"/>
          <w:bCs w:val="1"/>
          <w:i w:val="1"/>
          <w:iCs w:val="1"/>
          <w:color w:val="49B28F"/>
        </w:rPr>
        <w:t xml:space="preserve">Insurance Reserves. </w:t>
      </w:r>
      <w:r>
        <w:rPr>
          <w:rFonts w:ascii="Arial" w:cs="Arial" w:eastAsia="Arial" w:hAnsi="Arial"/>
          <w:sz w:val="16"/>
          <w:szCs w:val="16"/>
          <w:color w:val="000000"/>
        </w:rPr>
        <w:t>The Company has insurance coverage with large</w:t>
      </w:r>
      <w:r>
        <w:rPr>
          <w:rFonts w:ascii="Arial" w:cs="Arial" w:eastAsia="Arial" w:hAnsi="Arial"/>
          <w:sz w:val="16"/>
          <w:szCs w:val="16"/>
          <w:b w:val="1"/>
          <w:bCs w:val="1"/>
          <w:i w:val="1"/>
          <w:iCs w:val="1"/>
          <w:color w:val="49B28F"/>
        </w:rPr>
        <w:t xml:space="preserve"> </w:t>
      </w:r>
      <w:r>
        <w:rPr>
          <w:rFonts w:ascii="Arial" w:cs="Arial" w:eastAsia="Arial" w:hAnsi="Arial"/>
          <w:sz w:val="16"/>
          <w:szCs w:val="16"/>
          <w:color w:val="000000"/>
        </w:rPr>
        <w:t>deductibles for workers’ compensation, automobile liability, marine liability and general liability claims. The Company is also self-insured for health claims. At December 31, 2017 and 2016, reserves of $48,061,000 and $42,184,000, respectively, were recorded for all such insurance claims. The Company carries various risk deductible workers’ compensation policies related to its workers’ compensation liabilities. The Company records the workers’ compensation reserves based on an actuarial-determined analysis. This analysis calculates development factors, which are applied to total reserves within the workers’ compensation program. While the Company believes the assumptions used to calculate these liabilities are appropriate, significant differences in actual experience and/or significant changes in these assumptions may materially affect workers’ compensation costs.</w:t>
      </w:r>
    </w:p>
    <w:p>
      <w:pPr>
        <w:spacing w:after="0" w:line="178" w:lineRule="exact"/>
        <w:rPr>
          <w:sz w:val="20"/>
          <w:szCs w:val="20"/>
          <w:color w:val="auto"/>
        </w:rPr>
      </w:pPr>
    </w:p>
    <w:p>
      <w:pPr>
        <w:jc w:val="both"/>
        <w:spacing w:after="0" w:line="244" w:lineRule="auto"/>
        <w:rPr>
          <w:sz w:val="20"/>
          <w:szCs w:val="20"/>
          <w:color w:val="auto"/>
        </w:rPr>
      </w:pPr>
      <w:r>
        <w:rPr>
          <w:rFonts w:ascii="Arial" w:cs="Arial" w:eastAsia="Arial" w:hAnsi="Arial"/>
          <w:sz w:val="16"/>
          <w:szCs w:val="16"/>
          <w:b w:val="1"/>
          <w:bCs w:val="1"/>
          <w:i w:val="1"/>
          <w:iCs w:val="1"/>
          <w:color w:val="49B28F"/>
        </w:rPr>
        <w:t xml:space="preserve">Letters of Credit. </w:t>
      </w:r>
      <w:r>
        <w:rPr>
          <w:rFonts w:ascii="Arial" w:cs="Arial" w:eastAsia="Arial" w:hAnsi="Arial"/>
          <w:sz w:val="16"/>
          <w:szCs w:val="16"/>
          <w:color w:val="000000"/>
        </w:rPr>
        <w:t>In the normal course of business, the Company provides</w:t>
      </w:r>
      <w:r>
        <w:rPr>
          <w:rFonts w:ascii="Arial" w:cs="Arial" w:eastAsia="Arial" w:hAnsi="Arial"/>
          <w:sz w:val="16"/>
          <w:szCs w:val="16"/>
          <w:b w:val="1"/>
          <w:bCs w:val="1"/>
          <w:i w:val="1"/>
          <w:iCs w:val="1"/>
          <w:color w:val="49B28F"/>
        </w:rPr>
        <w:t xml:space="preserve"> </w:t>
      </w:r>
      <w:r>
        <w:rPr>
          <w:rFonts w:ascii="Arial" w:cs="Arial" w:eastAsia="Arial" w:hAnsi="Arial"/>
          <w:sz w:val="16"/>
          <w:szCs w:val="16"/>
          <w:color w:val="000000"/>
        </w:rPr>
        <w:t>certain third parties with standby letter of credit agreements guaranteeing its payment for certain insurance claims, contract performance and permit requirements. At December 31, 2017, the Company was contingently liable for $45,028,000 in letters of credit, of which $2,301,000 were issued under the Company’s Revolving Facility. The obligations for insurance claims are accrued on the Company’s consolidated balance sheets.</w:t>
      </w:r>
    </w:p>
    <w:p>
      <w:pPr>
        <w:spacing w:after="0" w:line="170" w:lineRule="exact"/>
        <w:rPr>
          <w:sz w:val="20"/>
          <w:szCs w:val="20"/>
          <w:color w:val="auto"/>
        </w:rPr>
      </w:pPr>
    </w:p>
    <w:p>
      <w:pPr>
        <w:jc w:val="both"/>
        <w:spacing w:after="0"/>
        <w:rPr>
          <w:sz w:val="20"/>
          <w:szCs w:val="20"/>
          <w:color w:val="auto"/>
        </w:rPr>
      </w:pPr>
      <w:r>
        <w:rPr>
          <w:rFonts w:ascii="Arial" w:cs="Arial" w:eastAsia="Arial" w:hAnsi="Arial"/>
          <w:sz w:val="16"/>
          <w:szCs w:val="16"/>
          <w:b w:val="1"/>
          <w:bCs w:val="1"/>
          <w:i w:val="1"/>
          <w:iCs w:val="1"/>
          <w:color w:val="49B28F"/>
        </w:rPr>
        <w:t xml:space="preserve">Surety Bonds. </w:t>
      </w:r>
      <w:r>
        <w:rPr>
          <w:rFonts w:ascii="Arial" w:cs="Arial" w:eastAsia="Arial" w:hAnsi="Arial"/>
          <w:sz w:val="16"/>
          <w:szCs w:val="16"/>
          <w:color w:val="000000"/>
        </w:rPr>
        <w:t>In the normal course of business, at December 31, 2017, the</w:t>
      </w:r>
      <w:r>
        <w:rPr>
          <w:rFonts w:ascii="Arial" w:cs="Arial" w:eastAsia="Arial" w:hAnsi="Arial"/>
          <w:sz w:val="16"/>
          <w:szCs w:val="16"/>
          <w:b w:val="1"/>
          <w:bCs w:val="1"/>
          <w:i w:val="1"/>
          <w:iCs w:val="1"/>
          <w:color w:val="49B28F"/>
        </w:rPr>
        <w:t xml:space="preserve"> </w:t>
      </w:r>
      <w:r>
        <w:rPr>
          <w:rFonts w:ascii="Arial" w:cs="Arial" w:eastAsia="Arial" w:hAnsi="Arial"/>
          <w:sz w:val="16"/>
          <w:szCs w:val="16"/>
          <w:color w:val="000000"/>
        </w:rPr>
        <w:t>Company was contingently liable for $348,253,000 in surety bonds required by certain states and municipalities and their related agencies. The bonds are principally for certain insurance claims, construction contracts, reclamation obligations and mining permits guaranteeing the Company’s own performance. Certain of these underlying obligations, including those for asset retirement requirements and insurance claims, are accrued on the Company’s consolidated balance sheets. Five of these bonds total $90,625,000, or 26%, of all outstanding surety bonds. The Company has indemnified the underwriting insurance companies, Liberty Mutual and W.R. Berkley, against any exposure under the surety bonds. In the Company’s past experience, no material claims have been made against these financial instruments.</w:t>
      </w:r>
    </w:p>
    <w:p>
      <w:pPr>
        <w:spacing w:after="0" w:line="1410" w:lineRule="exact"/>
        <w:rPr>
          <w:sz w:val="20"/>
          <w:szCs w:val="20"/>
          <w:color w:val="auto"/>
        </w:rPr>
      </w:pPr>
    </w:p>
    <w:p>
      <w:pPr>
        <w:sectPr>
          <w:pgSz w:w="11900" w:h="16838" w:orient="portrait"/>
          <w:cols w:equalWidth="0" w:num="2">
            <w:col w:w="5480" w:space="360"/>
            <w:col w:w="5580"/>
          </w:cols>
          <w:pgMar w:left="240" w:top="259" w:right="239" w:bottom="1440" w:gutter="0" w:footer="0" w:header="0"/>
          <w:type w:val="continuous"/>
        </w:sectPr>
      </w:pPr>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37</w:t>
      </w:r>
    </w:p>
    <w:p>
      <w:pPr>
        <w:sectPr>
          <w:pgSz w:w="11900" w:h="16838" w:orient="portrait"/>
          <w:cols w:equalWidth="0" w:num="1">
            <w:col w:w="11420"/>
          </w:cols>
          <w:pgMar w:left="240" w:top="259" w:right="239" w:bottom="1440" w:gutter="0" w:footer="0" w:header="0"/>
          <w:type w:val="continuous"/>
        </w:sectPr>
      </w:pPr>
    </w:p>
    <w:bookmarkStart w:id="90" w:name="page91"/>
    <w:bookmarkEnd w:id="90"/>
    <w:p>
      <w:pPr>
        <w:jc w:val="center"/>
        <w:ind w:right="-19"/>
        <w:spacing w:after="0"/>
        <w:rPr>
          <w:sz w:val="20"/>
          <w:szCs w:val="20"/>
          <w:color w:val="auto"/>
        </w:rPr>
      </w:pPr>
      <w:r>
        <w:rPr>
          <w:rFonts w:ascii="Arial" w:cs="Arial" w:eastAsia="Arial" w:hAnsi="Arial"/>
          <w:sz w:val="17"/>
          <w:szCs w:val="17"/>
          <w:b w:val="1"/>
          <w:bCs w:val="1"/>
          <w:color w:val="0085CD"/>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8">
                      <a:extLst>
                        <a:ext uri="{28A0092B-C50C-407E-A947-70E740481C1C}"/>
                      </a:extLst>
                    </a:blip>
                    <a:srcRect/>
                    <a:stretch>
                      <a:fillRect/>
                    </a:stretch>
                  </pic:blipFill>
                  <pic:spPr bwMode="auto">
                    <a:xfrm>
                      <a:off x="0" y="0"/>
                      <a:ext cx="7293610" cy="37465"/>
                    </a:xfrm>
                    <a:prstGeom prst="rect">
                      <a:avLst/>
                    </a:prstGeom>
                    <a:noFill/>
                  </pic:spPr>
                </pic:pic>
              </a:graphicData>
            </a:graphic>
          </wp:anchor>
        </w:drawing>
        <w:t xml:space="preserve">NOTES TO FINANCIAL STATEMENTS </w:t>
      </w:r>
      <w:r>
        <w:rPr>
          <w:rFonts w:ascii="Arial" w:cs="Arial" w:eastAsia="Arial" w:hAnsi="Arial"/>
          <w:sz w:val="15"/>
          <w:szCs w:val="15"/>
          <w:color w:val="0085CD"/>
        </w:rPr>
        <w:t>(continued)</w:t>
      </w:r>
    </w:p>
    <w:p>
      <w:pPr>
        <w:sectPr>
          <w:pgSz w:w="11900" w:h="16838" w:orient="portrait"/>
          <w:cols w:equalWidth="0" w:num="1">
            <w:col w:w="11420"/>
          </w:cols>
          <w:pgMar w:left="240" w:top="2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42" w:lineRule="auto"/>
        <w:rPr>
          <w:sz w:val="20"/>
          <w:szCs w:val="20"/>
          <w:color w:val="auto"/>
        </w:rPr>
      </w:pPr>
      <w:r>
        <w:rPr>
          <w:rFonts w:ascii="Arial" w:cs="Arial" w:eastAsia="Arial" w:hAnsi="Arial"/>
          <w:sz w:val="16"/>
          <w:szCs w:val="16"/>
          <w:b w:val="1"/>
          <w:bCs w:val="1"/>
          <w:i w:val="1"/>
          <w:iCs w:val="1"/>
          <w:color w:val="49B28F"/>
        </w:rPr>
        <w:t xml:space="preserve">Borrowing Arrangements with Affiliate. </w:t>
      </w:r>
      <w:r>
        <w:rPr>
          <w:rFonts w:ascii="Arial" w:cs="Arial" w:eastAsia="Arial" w:hAnsi="Arial"/>
          <w:sz w:val="16"/>
          <w:szCs w:val="16"/>
          <w:color w:val="000000"/>
        </w:rPr>
        <w:t>The Company is a co-borrower</w:t>
      </w:r>
      <w:r>
        <w:rPr>
          <w:rFonts w:ascii="Arial" w:cs="Arial" w:eastAsia="Arial" w:hAnsi="Arial"/>
          <w:sz w:val="16"/>
          <w:szCs w:val="16"/>
          <w:b w:val="1"/>
          <w:bCs w:val="1"/>
          <w:i w:val="1"/>
          <w:iCs w:val="1"/>
          <w:color w:val="49B28F"/>
        </w:rPr>
        <w:t xml:space="preserve"> </w:t>
      </w:r>
      <w:r>
        <w:rPr>
          <w:rFonts w:ascii="Arial" w:cs="Arial" w:eastAsia="Arial" w:hAnsi="Arial"/>
          <w:sz w:val="16"/>
          <w:szCs w:val="16"/>
          <w:color w:val="000000"/>
        </w:rPr>
        <w:t>with an unconsolidated affiliate for a revolving line of credit agreement with BB&amp;T, of which $15,775,000 was outstanding as of December 31, 2017. The line of credit was amended in January 2018 to extend the maturity to March 2020 and reduce the line of credit from $25,000,000 to $15,500,000. The affiliate has agreed to reimburse and indemnify the Company for any payments and expenses the Company may incur from this agreement. The Company holds a lien on the affiliate’s membership interest in a joint venture as collateral for payment under the revolving line of credit.</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2014, the Company loaned the unconsolidated affiliate a total of $6,000,000 as an interest-only note due December 31, 2019.</w:t>
      </w:r>
    </w:p>
    <w:p>
      <w:pPr>
        <w:spacing w:after="0" w:line="163" w:lineRule="exact"/>
        <w:rPr>
          <w:sz w:val="20"/>
          <w:szCs w:val="20"/>
          <w:color w:val="auto"/>
        </w:rPr>
      </w:pPr>
    </w:p>
    <w:p>
      <w:pPr>
        <w:jc w:val="both"/>
        <w:spacing w:after="0" w:line="245" w:lineRule="auto"/>
        <w:rPr>
          <w:sz w:val="20"/>
          <w:szCs w:val="20"/>
          <w:color w:val="auto"/>
        </w:rPr>
      </w:pPr>
      <w:r>
        <w:rPr>
          <w:rFonts w:ascii="Arial" w:cs="Arial" w:eastAsia="Arial" w:hAnsi="Arial"/>
          <w:sz w:val="16"/>
          <w:szCs w:val="16"/>
          <w:b w:val="1"/>
          <w:bCs w:val="1"/>
          <w:i w:val="1"/>
          <w:iCs w:val="1"/>
          <w:color w:val="49B28F"/>
        </w:rPr>
        <w:t xml:space="preserve">Purchase Commitments. </w:t>
      </w:r>
      <w:r>
        <w:rPr>
          <w:rFonts w:ascii="Arial" w:cs="Arial" w:eastAsia="Arial" w:hAnsi="Arial"/>
          <w:sz w:val="16"/>
          <w:szCs w:val="16"/>
          <w:color w:val="000000"/>
        </w:rPr>
        <w:t>The Company had purchase commitments for</w:t>
      </w:r>
      <w:r>
        <w:rPr>
          <w:rFonts w:ascii="Arial" w:cs="Arial" w:eastAsia="Arial" w:hAnsi="Arial"/>
          <w:sz w:val="16"/>
          <w:szCs w:val="16"/>
          <w:b w:val="1"/>
          <w:bCs w:val="1"/>
          <w:i w:val="1"/>
          <w:iCs w:val="1"/>
          <w:color w:val="49B28F"/>
        </w:rPr>
        <w:t xml:space="preserve"> </w:t>
      </w:r>
      <w:r>
        <w:rPr>
          <w:rFonts w:ascii="Arial" w:cs="Arial" w:eastAsia="Arial" w:hAnsi="Arial"/>
          <w:sz w:val="16"/>
          <w:szCs w:val="16"/>
          <w:color w:val="000000"/>
        </w:rPr>
        <w:t>property, plant and equipment of $191,582,000 as of December 31, 2017. The Company also had other purchase obligations related to energy and service contracts of $123,883,000 as of December 31, 2017. The Company’s contractual purchase commitments as of December 31, 2017 are as follows:</w:t>
      </w:r>
    </w:p>
    <w:p>
      <w:pPr>
        <w:spacing w:after="0" w:line="394" w:lineRule="exact"/>
        <w:rPr>
          <w:sz w:val="20"/>
          <w:szCs w:val="20"/>
          <w:color w:val="auto"/>
        </w:rPr>
      </w:pPr>
    </w:p>
    <w:p>
      <w:pPr>
        <w:spacing w:after="0"/>
        <w:rPr>
          <w:sz w:val="20"/>
          <w:szCs w:val="20"/>
          <w:color w:val="auto"/>
        </w:rPr>
      </w:pPr>
      <w:r>
        <w:rPr>
          <w:rFonts w:ascii="Arial" w:cs="Arial" w:eastAsia="Arial" w:hAnsi="Arial"/>
          <w:sz w:val="15"/>
          <w:szCs w:val="15"/>
          <w:color w:val="auto"/>
        </w:rPr>
        <w:t>(add 000)</w:t>
      </w:r>
    </w:p>
    <w:tbl>
      <w:tblPr>
        <w:tblLayout w:type="fixed"/>
        <w:tblInd w:w="0" w:type="dxa"/>
        <w:tblCellMar>
          <w:top w:w="0" w:type="dxa"/>
          <w:left w:w="0" w:type="dxa"/>
          <w:bottom w:w="0" w:type="dxa"/>
          <w:right w:w="0" w:type="dxa"/>
        </w:tblCellMar>
      </w:tblPr>
      <w:tr>
        <w:trPr>
          <w:trHeight w:val="149"/>
        </w:trPr>
        <w:tc>
          <w:tcPr>
            <w:tcW w:w="266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5"/>
                <w:szCs w:val="15"/>
                <w:color w:val="auto"/>
              </w:rPr>
              <w:t>2018</w:t>
            </w:r>
          </w:p>
        </w:tc>
        <w:tc>
          <w:tcPr>
            <w:tcW w:w="21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720" w:type="dxa"/>
            <w:vAlign w:val="bottom"/>
            <w:tcBorders>
              <w:top w:val="single" w:sz="8" w:color="auto"/>
            </w:tcBorders>
            <w:shd w:val="clear" w:color="auto" w:fill="CCEEFF"/>
          </w:tcPr>
          <w:p>
            <w:pPr>
              <w:jc w:val="right"/>
              <w:ind w:right="66"/>
              <w:spacing w:after="0" w:line="149" w:lineRule="exact"/>
              <w:rPr>
                <w:sz w:val="20"/>
                <w:szCs w:val="20"/>
                <w:color w:val="auto"/>
              </w:rPr>
            </w:pPr>
            <w:r>
              <w:rPr>
                <w:rFonts w:ascii="Arial" w:cs="Arial" w:eastAsia="Arial" w:hAnsi="Arial"/>
                <w:sz w:val="15"/>
                <w:szCs w:val="15"/>
                <w:color w:val="auto"/>
              </w:rPr>
              <w:t>238,280</w:t>
            </w:r>
          </w:p>
        </w:tc>
      </w:tr>
      <w:tr>
        <w:trPr>
          <w:trHeight w:val="156"/>
        </w:trPr>
        <w:tc>
          <w:tcPr>
            <w:tcW w:w="2660" w:type="dxa"/>
            <w:vAlign w:val="bottom"/>
          </w:tcPr>
          <w:p>
            <w:pPr>
              <w:spacing w:after="0" w:line="156" w:lineRule="exact"/>
              <w:rPr>
                <w:sz w:val="20"/>
                <w:szCs w:val="20"/>
                <w:color w:val="auto"/>
              </w:rPr>
            </w:pPr>
            <w:r>
              <w:rPr>
                <w:rFonts w:ascii="Arial" w:cs="Arial" w:eastAsia="Arial" w:hAnsi="Arial"/>
                <w:sz w:val="15"/>
                <w:szCs w:val="15"/>
                <w:color w:val="auto"/>
              </w:rPr>
              <w:t>2019</w:t>
            </w:r>
          </w:p>
        </w:tc>
        <w:tc>
          <w:tcPr>
            <w:tcW w:w="2100" w:type="dxa"/>
            <w:vAlign w:val="bottom"/>
          </w:tcPr>
          <w:p>
            <w:pPr>
              <w:spacing w:after="0"/>
              <w:rPr>
                <w:sz w:val="13"/>
                <w:szCs w:val="13"/>
                <w:color w:val="auto"/>
              </w:rPr>
            </w:pPr>
          </w:p>
        </w:tc>
        <w:tc>
          <w:tcPr>
            <w:tcW w:w="720" w:type="dxa"/>
            <w:vAlign w:val="bottom"/>
          </w:tcPr>
          <w:p>
            <w:pPr>
              <w:jc w:val="right"/>
              <w:ind w:right="66"/>
              <w:spacing w:after="0" w:line="156" w:lineRule="exact"/>
              <w:rPr>
                <w:sz w:val="20"/>
                <w:szCs w:val="20"/>
                <w:color w:val="auto"/>
              </w:rPr>
            </w:pPr>
            <w:r>
              <w:rPr>
                <w:rFonts w:ascii="Arial" w:cs="Arial" w:eastAsia="Arial" w:hAnsi="Arial"/>
                <w:sz w:val="15"/>
                <w:szCs w:val="15"/>
                <w:color w:val="auto"/>
              </w:rPr>
              <w:t>37,275</w:t>
            </w:r>
          </w:p>
        </w:tc>
      </w:tr>
      <w:tr>
        <w:trPr>
          <w:trHeight w:val="156"/>
        </w:trPr>
        <w:tc>
          <w:tcPr>
            <w:tcW w:w="266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2020</w:t>
            </w:r>
          </w:p>
        </w:tc>
        <w:tc>
          <w:tcPr>
            <w:tcW w:w="210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66"/>
              <w:spacing w:after="0" w:line="156" w:lineRule="exact"/>
              <w:rPr>
                <w:sz w:val="20"/>
                <w:szCs w:val="20"/>
                <w:color w:val="auto"/>
              </w:rPr>
            </w:pPr>
            <w:r>
              <w:rPr>
                <w:rFonts w:ascii="Arial" w:cs="Arial" w:eastAsia="Arial" w:hAnsi="Arial"/>
                <w:sz w:val="15"/>
                <w:szCs w:val="15"/>
                <w:color w:val="auto"/>
              </w:rPr>
              <w:t>10,983</w:t>
            </w:r>
          </w:p>
        </w:tc>
      </w:tr>
      <w:tr>
        <w:trPr>
          <w:trHeight w:val="156"/>
        </w:trPr>
        <w:tc>
          <w:tcPr>
            <w:tcW w:w="2660" w:type="dxa"/>
            <w:vAlign w:val="bottom"/>
          </w:tcPr>
          <w:p>
            <w:pPr>
              <w:spacing w:after="0" w:line="156" w:lineRule="exact"/>
              <w:rPr>
                <w:sz w:val="20"/>
                <w:szCs w:val="20"/>
                <w:color w:val="auto"/>
              </w:rPr>
            </w:pPr>
            <w:r>
              <w:rPr>
                <w:rFonts w:ascii="Arial" w:cs="Arial" w:eastAsia="Arial" w:hAnsi="Arial"/>
                <w:sz w:val="15"/>
                <w:szCs w:val="15"/>
                <w:color w:val="auto"/>
              </w:rPr>
              <w:t>2021</w:t>
            </w:r>
          </w:p>
        </w:tc>
        <w:tc>
          <w:tcPr>
            <w:tcW w:w="2100" w:type="dxa"/>
            <w:vAlign w:val="bottom"/>
          </w:tcPr>
          <w:p>
            <w:pPr>
              <w:spacing w:after="0"/>
              <w:rPr>
                <w:sz w:val="13"/>
                <w:szCs w:val="13"/>
                <w:color w:val="auto"/>
              </w:rPr>
            </w:pPr>
          </w:p>
        </w:tc>
        <w:tc>
          <w:tcPr>
            <w:tcW w:w="720" w:type="dxa"/>
            <w:vAlign w:val="bottom"/>
          </w:tcPr>
          <w:p>
            <w:pPr>
              <w:jc w:val="right"/>
              <w:ind w:right="66"/>
              <w:spacing w:after="0" w:line="156" w:lineRule="exact"/>
              <w:rPr>
                <w:sz w:val="20"/>
                <w:szCs w:val="20"/>
                <w:color w:val="auto"/>
              </w:rPr>
            </w:pPr>
            <w:r>
              <w:rPr>
                <w:rFonts w:ascii="Arial" w:cs="Arial" w:eastAsia="Arial" w:hAnsi="Arial"/>
                <w:sz w:val="15"/>
                <w:szCs w:val="15"/>
                <w:color w:val="auto"/>
              </w:rPr>
              <w:t>8,809</w:t>
            </w:r>
          </w:p>
        </w:tc>
      </w:tr>
      <w:tr>
        <w:trPr>
          <w:trHeight w:val="156"/>
        </w:trPr>
        <w:tc>
          <w:tcPr>
            <w:tcW w:w="266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2022</w:t>
            </w:r>
          </w:p>
        </w:tc>
        <w:tc>
          <w:tcPr>
            <w:tcW w:w="210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66"/>
              <w:spacing w:after="0" w:line="156" w:lineRule="exact"/>
              <w:rPr>
                <w:sz w:val="20"/>
                <w:szCs w:val="20"/>
                <w:color w:val="auto"/>
              </w:rPr>
            </w:pPr>
            <w:r>
              <w:rPr>
                <w:rFonts w:ascii="Arial" w:cs="Arial" w:eastAsia="Arial" w:hAnsi="Arial"/>
                <w:sz w:val="15"/>
                <w:szCs w:val="15"/>
                <w:color w:val="auto"/>
              </w:rPr>
              <w:t>1,616</w:t>
            </w:r>
          </w:p>
        </w:tc>
      </w:tr>
      <w:tr>
        <w:trPr>
          <w:trHeight w:val="156"/>
        </w:trPr>
        <w:tc>
          <w:tcPr>
            <w:tcW w:w="2660" w:type="dxa"/>
            <w:vAlign w:val="bottom"/>
            <w:tcBorders>
              <w:bottom w:val="single" w:sz="8" w:color="auto"/>
            </w:tcBorders>
          </w:tcPr>
          <w:p>
            <w:pPr>
              <w:spacing w:after="0" w:line="156" w:lineRule="exact"/>
              <w:rPr>
                <w:sz w:val="20"/>
                <w:szCs w:val="20"/>
                <w:color w:val="auto"/>
              </w:rPr>
            </w:pPr>
            <w:r>
              <w:rPr>
                <w:rFonts w:ascii="Arial" w:cs="Arial" w:eastAsia="Arial" w:hAnsi="Arial"/>
                <w:sz w:val="15"/>
                <w:szCs w:val="15"/>
                <w:color w:val="auto"/>
              </w:rPr>
              <w:t>Thereafter</w:t>
            </w:r>
          </w:p>
        </w:tc>
        <w:tc>
          <w:tcPr>
            <w:tcW w:w="2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66"/>
              <w:spacing w:after="0" w:line="156" w:lineRule="exact"/>
              <w:rPr>
                <w:sz w:val="20"/>
                <w:szCs w:val="20"/>
                <w:color w:val="auto"/>
              </w:rPr>
            </w:pPr>
            <w:r>
              <w:rPr>
                <w:rFonts w:ascii="Arial" w:cs="Arial" w:eastAsia="Arial" w:hAnsi="Arial"/>
                <w:sz w:val="15"/>
                <w:szCs w:val="15"/>
                <w:color w:val="auto"/>
              </w:rPr>
              <w:t>18,502</w:t>
            </w:r>
          </w:p>
        </w:tc>
      </w:tr>
      <w:tr>
        <w:trPr>
          <w:trHeight w:val="155"/>
        </w:trPr>
        <w:tc>
          <w:tcPr>
            <w:tcW w:w="266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5"/>
                <w:szCs w:val="15"/>
                <w:color w:val="auto"/>
              </w:rPr>
              <w:t>Total</w:t>
            </w:r>
          </w:p>
        </w:tc>
        <w:tc>
          <w:tcPr>
            <w:tcW w:w="21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shd w:val="clear" w:color="auto" w:fill="CCEEFF"/>
          </w:tcPr>
          <w:p>
            <w:pPr>
              <w:jc w:val="right"/>
              <w:ind w:right="66"/>
              <w:spacing w:after="0" w:line="149" w:lineRule="exact"/>
              <w:rPr>
                <w:sz w:val="20"/>
                <w:szCs w:val="20"/>
                <w:color w:val="auto"/>
              </w:rPr>
            </w:pPr>
            <w:r>
              <w:rPr>
                <w:rFonts w:ascii="Arial" w:cs="Arial" w:eastAsia="Arial" w:hAnsi="Arial"/>
                <w:sz w:val="15"/>
                <w:szCs w:val="15"/>
                <w:color w:val="auto"/>
              </w:rPr>
              <w:t>315,465</w:t>
            </w:r>
          </w:p>
        </w:tc>
      </w:tr>
    </w:tbl>
    <w:p>
      <w:pPr>
        <w:spacing w:after="0" w:line="202"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Capital expenditures in 2017, 2016 and 2015 that were purchase commitments as of the prior year end were $83,748,000, $62,927,000 and $116,681,000, respectively.</w:t>
      </w:r>
    </w:p>
    <w:p>
      <w:pPr>
        <w:spacing w:after="0" w:line="273" w:lineRule="exact"/>
        <w:rPr>
          <w:sz w:val="20"/>
          <w:szCs w:val="20"/>
          <w:color w:val="auto"/>
        </w:rPr>
      </w:pPr>
    </w:p>
    <w:p>
      <w:pPr>
        <w:jc w:val="both"/>
        <w:spacing w:after="0" w:line="242" w:lineRule="auto"/>
        <w:rPr>
          <w:sz w:val="20"/>
          <w:szCs w:val="20"/>
          <w:color w:val="auto"/>
        </w:rPr>
      </w:pPr>
      <w:r>
        <w:rPr>
          <w:rFonts w:ascii="Arial" w:cs="Arial" w:eastAsia="Arial" w:hAnsi="Arial"/>
          <w:sz w:val="16"/>
          <w:szCs w:val="16"/>
          <w:b w:val="1"/>
          <w:bCs w:val="1"/>
          <w:i w:val="1"/>
          <w:iCs w:val="1"/>
          <w:color w:val="49B28F"/>
        </w:rPr>
        <w:t xml:space="preserve">Employees. </w:t>
      </w:r>
      <w:r>
        <w:rPr>
          <w:rFonts w:ascii="Arial" w:cs="Arial" w:eastAsia="Arial" w:hAnsi="Arial"/>
          <w:sz w:val="16"/>
          <w:szCs w:val="16"/>
          <w:color w:val="000000"/>
        </w:rPr>
        <w:t>Approximately 11% of the Company’s employees are</w:t>
      </w:r>
      <w:r>
        <w:rPr>
          <w:rFonts w:ascii="Arial" w:cs="Arial" w:eastAsia="Arial" w:hAnsi="Arial"/>
          <w:sz w:val="16"/>
          <w:szCs w:val="16"/>
          <w:b w:val="1"/>
          <w:bCs w:val="1"/>
          <w:i w:val="1"/>
          <w:iCs w:val="1"/>
          <w:color w:val="49B28F"/>
        </w:rPr>
        <w:t xml:space="preserve"> </w:t>
      </w:r>
      <w:r>
        <w:rPr>
          <w:rFonts w:ascii="Arial" w:cs="Arial" w:eastAsia="Arial" w:hAnsi="Arial"/>
          <w:sz w:val="16"/>
          <w:szCs w:val="16"/>
          <w:color w:val="000000"/>
        </w:rPr>
        <w:t>represented by a labor union. All such employees are hourly employees. The Company maintains collective bargaining agreements relating to the union employees within the Building Materials business and Magnesia Specialties segment. Of the Magnesia Specialties segment, located in Manistee, Michigan and Woodville, Ohio, 100% of its hourly employees are represented by labor unions. The Manistee collective bargaining agreement expires in August 2019. The Woodville collective bargaining agreement expires in May 2018.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b w:val="1"/>
          <w:bCs w:val="1"/>
          <w:color w:val="0085CD"/>
        </w:rPr>
        <w:t>Note O: Segments</w:t>
      </w:r>
    </w:p>
    <w:p>
      <w:pPr>
        <w:spacing w:after="0" w:line="55"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The Building Materials business is comprised of divisions which represent operating segments. Certain divisions are consolidated into reportable segments for financial reporting purposes as they meet the aggregation criteria. The Building Materials business contains three reportable segments: Mid-America Group, Southeast Group and West Group. The Magnesia Specialties business represents an individual operating and reportable segment. The accounting policies used for segment reporting are the same as those described in Note A.</w:t>
      </w:r>
    </w:p>
    <w:p>
      <w:pPr>
        <w:spacing w:after="0" w:line="195"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The Company’s evaluation of performance and allocation of resources are based primarily on earnings from operations. Consolidated earnings from operations include net sales less cost of sales, selling, general and administrative expenses, acquisition-related expenses, other operating income and expenses, net, and exclude interest expense, other nonoperating income and expenses, net, and tax expense/benefit. Corporate consolidated earnings from operations primarily include depreciation on capitalized interest, expenses for corporate administrative functions, acquisition-related expenses, net, and other nonrecurring and/or non-operational income and expenses excluded from the Company’s evaluation of segment performance and resource allocation. All long-term debt and related interest expense are held at Corporate.</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Assets employed by segment include assets directly identified with those operations. Corporate assets consist primarily of cash and cash equivalents; property, plant and equipment for corporate operations; investments and other assets not directly identifiable with a reportable segment.</w:t>
      </w:r>
    </w:p>
    <w:p>
      <w:pPr>
        <w:spacing w:after="0" w:line="192"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In connection with a management change effective January 1, 2017, the cement product line is reported in the West Group. All segment information has been reclassified to conform to the presentation of the Company’s current reportable segments and for the adoption of ASU 2017-07.</w:t>
      </w:r>
    </w:p>
    <w:p>
      <w:pPr>
        <w:spacing w:after="0" w:line="1990" w:lineRule="exact"/>
        <w:rPr>
          <w:sz w:val="20"/>
          <w:szCs w:val="20"/>
          <w:color w:val="auto"/>
        </w:rPr>
      </w:pPr>
    </w:p>
    <w:p>
      <w:pPr>
        <w:sectPr>
          <w:pgSz w:w="11900" w:h="16838" w:orient="portrait"/>
          <w:cols w:equalWidth="0" w:num="2">
            <w:col w:w="5480" w:space="360"/>
            <w:col w:w="5580"/>
          </w:cols>
          <w:pgMar w:left="240" w:top="259" w:right="239" w:bottom="1440" w:gutter="0" w:footer="0" w:header="0"/>
          <w:type w:val="continuous"/>
        </w:sectPr>
      </w:pP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38</w:t>
      </w:r>
    </w:p>
    <w:p>
      <w:pPr>
        <w:sectPr>
          <w:pgSz w:w="11900" w:h="16838" w:orient="portrait"/>
          <w:cols w:equalWidth="0" w:num="1">
            <w:col w:w="11420"/>
          </w:cols>
          <w:pgMar w:left="240" w:top="259" w:right="239" w:bottom="1440" w:gutter="0" w:footer="0" w:header="0"/>
          <w:type w:val="continuous"/>
        </w:sectPr>
      </w:pPr>
    </w:p>
    <w:bookmarkStart w:id="91" w:name="page92"/>
    <w:bookmarkEnd w:id="91"/>
    <w:p>
      <w:pPr>
        <w:jc w:val="center"/>
        <w:ind w:right="-19"/>
        <w:spacing w:after="0"/>
        <w:rPr>
          <w:sz w:val="20"/>
          <w:szCs w:val="20"/>
          <w:color w:val="auto"/>
        </w:rPr>
      </w:pPr>
      <w:r>
        <w:rPr>
          <w:rFonts w:ascii="Arial" w:cs="Arial" w:eastAsia="Arial" w:hAnsi="Arial"/>
          <w:sz w:val="17"/>
          <w:szCs w:val="17"/>
          <w:b w:val="1"/>
          <w:bCs w:val="1"/>
          <w:color w:val="0085CD"/>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9">
                      <a:extLst>
                        <a:ext uri="{28A0092B-C50C-407E-A947-70E740481C1C}"/>
                      </a:extLst>
                    </a:blip>
                    <a:srcRect/>
                    <a:stretch>
                      <a:fillRect/>
                    </a:stretch>
                  </pic:blipFill>
                  <pic:spPr bwMode="auto">
                    <a:xfrm>
                      <a:off x="0" y="0"/>
                      <a:ext cx="7293610" cy="37465"/>
                    </a:xfrm>
                    <a:prstGeom prst="rect">
                      <a:avLst/>
                    </a:prstGeom>
                    <a:noFill/>
                  </pic:spPr>
                </pic:pic>
              </a:graphicData>
            </a:graphic>
          </wp:anchor>
        </w:drawing>
        <w:t xml:space="preserve">NOTES TO FINANCIAL STATEMENTS </w:t>
      </w:r>
      <w:r>
        <w:rPr>
          <w:rFonts w:ascii="Arial" w:cs="Arial" w:eastAsia="Arial" w:hAnsi="Arial"/>
          <w:sz w:val="15"/>
          <w:szCs w:val="15"/>
          <w:color w:val="0085CD"/>
        </w:rPr>
        <w:t>(continued)</w:t>
      </w:r>
    </w:p>
    <w:p>
      <w:pPr>
        <w:sectPr>
          <w:pgSz w:w="11900" w:h="16838" w:orient="portrait"/>
          <w:cols w:equalWidth="0" w:num="1">
            <w:col w:w="11420"/>
          </w:cols>
          <w:pgMar w:left="240" w:top="2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The following tables display selected financial data for the Company’s reportable segments.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40" w:type="dxa"/>
            <w:vAlign w:val="bottom"/>
          </w:tcPr>
          <w:p>
            <w:pPr>
              <w:spacing w:after="0"/>
              <w:rPr>
                <w:sz w:val="20"/>
                <w:szCs w:val="20"/>
                <w:color w:val="auto"/>
              </w:rPr>
            </w:pPr>
            <w:r>
              <w:rPr>
                <w:rFonts w:ascii="Arial" w:cs="Arial" w:eastAsia="Arial" w:hAnsi="Arial"/>
                <w:sz w:val="14"/>
                <w:szCs w:val="14"/>
                <w:i w:val="1"/>
                <w:iCs w:val="1"/>
                <w:color w:val="auto"/>
              </w:rPr>
              <w:t>years ended December 31</w:t>
            </w: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940" w:type="dxa"/>
            <w:vAlign w:val="bottom"/>
          </w:tcPr>
          <w:p>
            <w:pPr>
              <w:spacing w:after="0" w:line="143" w:lineRule="exact"/>
              <w:rPr>
                <w:sz w:val="20"/>
                <w:szCs w:val="20"/>
                <w:color w:val="auto"/>
              </w:rPr>
            </w:pPr>
            <w:r>
              <w:rPr>
                <w:rFonts w:ascii="Arial" w:cs="Arial" w:eastAsia="Arial" w:hAnsi="Arial"/>
                <w:sz w:val="14"/>
                <w:szCs w:val="14"/>
                <w:color w:val="auto"/>
              </w:rPr>
              <w:t>(add 000)</w:t>
            </w:r>
          </w:p>
        </w:tc>
        <w:tc>
          <w:tcPr>
            <w:tcW w:w="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194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Total revenues</w:t>
            </w:r>
          </w:p>
        </w:tc>
        <w:tc>
          <w:tcPr>
            <w:tcW w:w="4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b w:val="1"/>
                <w:bCs w:val="1"/>
                <w:color w:val="0085CD"/>
              </w:rPr>
              <w:t>2017</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2016</w:t>
            </w: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2015</w:t>
            </w:r>
          </w:p>
        </w:tc>
        <w:tc>
          <w:tcPr>
            <w:tcW w:w="0" w:type="dxa"/>
            <w:vAlign w:val="bottom"/>
          </w:tcPr>
          <w:p>
            <w:pPr>
              <w:spacing w:after="0"/>
              <w:rPr>
                <w:sz w:val="1"/>
                <w:szCs w:val="1"/>
                <w:color w:val="auto"/>
              </w:rPr>
            </w:pPr>
          </w:p>
        </w:tc>
      </w:tr>
      <w:tr>
        <w:trPr>
          <w:trHeight w:val="149"/>
        </w:trPr>
        <w:tc>
          <w:tcPr>
            <w:tcW w:w="194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Mid-America Group</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920" w:type="dxa"/>
            <w:vAlign w:val="bottom"/>
            <w:shd w:val="clear" w:color="auto" w:fill="CCEEFF"/>
          </w:tcPr>
          <w:p>
            <w:pPr>
              <w:jc w:val="right"/>
              <w:ind w:right="146"/>
              <w:spacing w:after="0" w:line="149" w:lineRule="exact"/>
              <w:rPr>
                <w:sz w:val="20"/>
                <w:szCs w:val="20"/>
                <w:color w:val="auto"/>
              </w:rPr>
            </w:pPr>
            <w:r>
              <w:rPr>
                <w:rFonts w:ascii="Arial" w:cs="Arial" w:eastAsia="Arial" w:hAnsi="Arial"/>
                <w:sz w:val="15"/>
                <w:szCs w:val="15"/>
                <w:b w:val="1"/>
                <w:bCs w:val="1"/>
                <w:color w:val="auto"/>
              </w:rPr>
              <w:t>1,053,325</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ind w:right="106"/>
              <w:spacing w:after="0" w:line="149" w:lineRule="exact"/>
              <w:rPr>
                <w:sz w:val="20"/>
                <w:szCs w:val="20"/>
                <w:color w:val="auto"/>
              </w:rPr>
            </w:pPr>
            <w:r>
              <w:rPr>
                <w:rFonts w:ascii="Arial" w:cs="Arial" w:eastAsia="Arial" w:hAnsi="Arial"/>
                <w:sz w:val="15"/>
                <w:szCs w:val="15"/>
                <w:color w:val="auto"/>
              </w:rPr>
              <w:t>1,017,098</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ind w:right="6"/>
              <w:spacing w:after="0" w:line="149" w:lineRule="exact"/>
              <w:rPr>
                <w:sz w:val="20"/>
                <w:szCs w:val="20"/>
                <w:color w:val="auto"/>
              </w:rPr>
            </w:pPr>
            <w:r>
              <w:rPr>
                <w:rFonts w:ascii="Arial" w:cs="Arial" w:eastAsia="Arial" w:hAnsi="Arial"/>
                <w:sz w:val="15"/>
                <w:szCs w:val="15"/>
                <w:color w:val="auto"/>
              </w:rPr>
              <w:t>926,251</w:t>
            </w:r>
          </w:p>
        </w:tc>
        <w:tc>
          <w:tcPr>
            <w:tcW w:w="0" w:type="dxa"/>
            <w:vAlign w:val="bottom"/>
          </w:tcPr>
          <w:p>
            <w:pPr>
              <w:spacing w:after="0"/>
              <w:rPr>
                <w:sz w:val="1"/>
                <w:szCs w:val="1"/>
                <w:color w:val="auto"/>
              </w:rPr>
            </w:pPr>
          </w:p>
        </w:tc>
      </w:tr>
      <w:tr>
        <w:trPr>
          <w:trHeight w:val="156"/>
        </w:trPr>
        <w:tc>
          <w:tcPr>
            <w:tcW w:w="1940" w:type="dxa"/>
            <w:vAlign w:val="bottom"/>
          </w:tcPr>
          <w:p>
            <w:pPr>
              <w:spacing w:after="0" w:line="156" w:lineRule="exact"/>
              <w:rPr>
                <w:sz w:val="20"/>
                <w:szCs w:val="20"/>
                <w:color w:val="auto"/>
              </w:rPr>
            </w:pPr>
            <w:r>
              <w:rPr>
                <w:rFonts w:ascii="Arial" w:cs="Arial" w:eastAsia="Arial" w:hAnsi="Arial"/>
                <w:sz w:val="15"/>
                <w:szCs w:val="15"/>
                <w:color w:val="auto"/>
              </w:rPr>
              <w:t>Southeast Group</w:t>
            </w:r>
          </w:p>
        </w:tc>
        <w:tc>
          <w:tcPr>
            <w:tcW w:w="420" w:type="dxa"/>
            <w:vAlign w:val="bottom"/>
          </w:tcPr>
          <w:p>
            <w:pPr>
              <w:spacing w:after="0"/>
              <w:rPr>
                <w:sz w:val="13"/>
                <w:szCs w:val="13"/>
                <w:color w:val="auto"/>
              </w:rPr>
            </w:pPr>
          </w:p>
        </w:tc>
        <w:tc>
          <w:tcPr>
            <w:tcW w:w="920" w:type="dxa"/>
            <w:vAlign w:val="bottom"/>
          </w:tcPr>
          <w:p>
            <w:pPr>
              <w:jc w:val="right"/>
              <w:ind w:right="146"/>
              <w:spacing w:after="0" w:line="156" w:lineRule="exact"/>
              <w:rPr>
                <w:sz w:val="20"/>
                <w:szCs w:val="20"/>
                <w:color w:val="auto"/>
              </w:rPr>
            </w:pPr>
            <w:r>
              <w:rPr>
                <w:rFonts w:ascii="Arial" w:cs="Arial" w:eastAsia="Arial" w:hAnsi="Arial"/>
                <w:sz w:val="15"/>
                <w:szCs w:val="15"/>
                <w:b w:val="1"/>
                <w:bCs w:val="1"/>
                <w:color w:val="auto"/>
              </w:rPr>
              <w:t>362,555</w:t>
            </w:r>
          </w:p>
        </w:tc>
        <w:tc>
          <w:tcPr>
            <w:tcW w:w="260" w:type="dxa"/>
            <w:vAlign w:val="bottom"/>
          </w:tcPr>
          <w:p>
            <w:pPr>
              <w:spacing w:after="0"/>
              <w:rPr>
                <w:sz w:val="13"/>
                <w:szCs w:val="13"/>
                <w:color w:val="auto"/>
              </w:rPr>
            </w:pPr>
          </w:p>
        </w:tc>
        <w:tc>
          <w:tcPr>
            <w:tcW w:w="900" w:type="dxa"/>
            <w:vAlign w:val="bottom"/>
          </w:tcPr>
          <w:p>
            <w:pPr>
              <w:jc w:val="right"/>
              <w:ind w:right="106"/>
              <w:spacing w:after="0" w:line="156" w:lineRule="exact"/>
              <w:rPr>
                <w:sz w:val="20"/>
                <w:szCs w:val="20"/>
                <w:color w:val="auto"/>
              </w:rPr>
            </w:pPr>
            <w:r>
              <w:rPr>
                <w:rFonts w:ascii="Arial" w:cs="Arial" w:eastAsia="Arial" w:hAnsi="Arial"/>
                <w:sz w:val="15"/>
                <w:szCs w:val="15"/>
                <w:color w:val="auto"/>
              </w:rPr>
              <w:t>321,078</w:t>
            </w:r>
          </w:p>
        </w:tc>
        <w:tc>
          <w:tcPr>
            <w:tcW w:w="260" w:type="dxa"/>
            <w:vAlign w:val="bottom"/>
          </w:tcPr>
          <w:p>
            <w:pPr>
              <w:spacing w:after="0"/>
              <w:rPr>
                <w:sz w:val="13"/>
                <w:szCs w:val="13"/>
                <w:color w:val="auto"/>
              </w:rPr>
            </w:pPr>
          </w:p>
        </w:tc>
        <w:tc>
          <w:tcPr>
            <w:tcW w:w="780" w:type="dxa"/>
            <w:vAlign w:val="bottom"/>
          </w:tcPr>
          <w:p>
            <w:pPr>
              <w:jc w:val="right"/>
              <w:ind w:right="6"/>
              <w:spacing w:after="0" w:line="156" w:lineRule="exact"/>
              <w:rPr>
                <w:sz w:val="20"/>
                <w:szCs w:val="20"/>
                <w:color w:val="auto"/>
              </w:rPr>
            </w:pPr>
            <w:r>
              <w:rPr>
                <w:rFonts w:ascii="Arial" w:cs="Arial" w:eastAsia="Arial" w:hAnsi="Arial"/>
                <w:sz w:val="15"/>
                <w:szCs w:val="15"/>
                <w:color w:val="auto"/>
              </w:rPr>
              <w:t>304,472</w:t>
            </w:r>
          </w:p>
        </w:tc>
        <w:tc>
          <w:tcPr>
            <w:tcW w:w="0" w:type="dxa"/>
            <w:vAlign w:val="bottom"/>
          </w:tcPr>
          <w:p>
            <w:pPr>
              <w:spacing w:after="0"/>
              <w:rPr>
                <w:sz w:val="1"/>
                <w:szCs w:val="1"/>
                <w:color w:val="auto"/>
              </w:rPr>
            </w:pPr>
          </w:p>
        </w:tc>
      </w:tr>
      <w:tr>
        <w:trPr>
          <w:trHeight w:val="156"/>
        </w:trPr>
        <w:tc>
          <w:tcPr>
            <w:tcW w:w="194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West Group</w:t>
            </w:r>
          </w:p>
        </w:tc>
        <w:tc>
          <w:tcPr>
            <w:tcW w:w="42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ind w:right="146"/>
              <w:spacing w:after="0" w:line="156" w:lineRule="exact"/>
              <w:rPr>
                <w:sz w:val="20"/>
                <w:szCs w:val="20"/>
                <w:color w:val="auto"/>
              </w:rPr>
            </w:pPr>
            <w:r>
              <w:rPr>
                <w:rFonts w:ascii="Arial" w:cs="Arial" w:eastAsia="Arial" w:hAnsi="Arial"/>
                <w:sz w:val="15"/>
                <w:szCs w:val="15"/>
                <w:b w:val="1"/>
                <w:bCs w:val="1"/>
                <w:color w:val="auto"/>
              </w:rPr>
              <w:t>2,279,723</w:t>
            </w:r>
          </w:p>
        </w:tc>
        <w:tc>
          <w:tcPr>
            <w:tcW w:w="26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106"/>
              <w:spacing w:after="0" w:line="156" w:lineRule="exact"/>
              <w:rPr>
                <w:sz w:val="20"/>
                <w:szCs w:val="20"/>
                <w:color w:val="auto"/>
              </w:rPr>
            </w:pPr>
            <w:r>
              <w:rPr>
                <w:rFonts w:ascii="Arial" w:cs="Arial" w:eastAsia="Arial" w:hAnsi="Arial"/>
                <w:sz w:val="15"/>
                <w:szCs w:val="15"/>
                <w:color w:val="auto"/>
              </w:rPr>
              <w:t>2,223,515</w:t>
            </w:r>
          </w:p>
        </w:tc>
        <w:tc>
          <w:tcPr>
            <w:tcW w:w="26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ind w:right="6"/>
              <w:spacing w:after="0" w:line="156" w:lineRule="exact"/>
              <w:rPr>
                <w:sz w:val="20"/>
                <w:szCs w:val="20"/>
                <w:color w:val="auto"/>
              </w:rPr>
            </w:pPr>
            <w:r>
              <w:rPr>
                <w:rFonts w:ascii="Arial" w:cs="Arial" w:eastAsia="Arial" w:hAnsi="Arial"/>
                <w:sz w:val="15"/>
                <w:szCs w:val="15"/>
                <w:color w:val="auto"/>
              </w:rPr>
              <w:t>2,062,968</w:t>
            </w:r>
          </w:p>
        </w:tc>
        <w:tc>
          <w:tcPr>
            <w:tcW w:w="0" w:type="dxa"/>
            <w:vAlign w:val="bottom"/>
          </w:tcPr>
          <w:p>
            <w:pPr>
              <w:spacing w:after="0"/>
              <w:rPr>
                <w:sz w:val="1"/>
                <w:szCs w:val="1"/>
                <w:color w:val="auto"/>
              </w:rPr>
            </w:pPr>
          </w:p>
        </w:tc>
      </w:tr>
      <w:tr>
        <w:trPr>
          <w:trHeight w:val="145"/>
        </w:trPr>
        <w:tc>
          <w:tcPr>
            <w:tcW w:w="1940" w:type="dxa"/>
            <w:vAlign w:val="bottom"/>
          </w:tcPr>
          <w:p>
            <w:pPr>
              <w:spacing w:after="0" w:line="146" w:lineRule="exact"/>
              <w:rPr>
                <w:sz w:val="20"/>
                <w:szCs w:val="20"/>
                <w:color w:val="auto"/>
              </w:rPr>
            </w:pPr>
            <w:r>
              <w:rPr>
                <w:rFonts w:ascii="Arial" w:cs="Arial" w:eastAsia="Arial" w:hAnsi="Arial"/>
                <w:sz w:val="15"/>
                <w:szCs w:val="15"/>
                <w:color w:val="auto"/>
              </w:rPr>
              <w:t>Total Building</w:t>
            </w:r>
          </w:p>
        </w:tc>
        <w:tc>
          <w:tcPr>
            <w:tcW w:w="420" w:type="dxa"/>
            <w:vAlign w:val="bottom"/>
          </w:tcPr>
          <w:p>
            <w:pPr>
              <w:spacing w:after="0"/>
              <w:rPr>
                <w:sz w:val="12"/>
                <w:szCs w:val="12"/>
                <w:color w:val="auto"/>
              </w:rPr>
            </w:pPr>
          </w:p>
        </w:tc>
        <w:tc>
          <w:tcPr>
            <w:tcW w:w="920" w:type="dxa"/>
            <w:vAlign w:val="bottom"/>
            <w:vMerge w:val="restart"/>
          </w:tcPr>
          <w:p>
            <w:pPr>
              <w:jc w:val="right"/>
              <w:ind w:right="146"/>
              <w:spacing w:after="0"/>
              <w:rPr>
                <w:sz w:val="20"/>
                <w:szCs w:val="20"/>
                <w:color w:val="auto"/>
              </w:rPr>
            </w:pPr>
            <w:r>
              <w:rPr>
                <w:rFonts w:ascii="Arial" w:cs="Arial" w:eastAsia="Arial" w:hAnsi="Arial"/>
                <w:sz w:val="15"/>
                <w:szCs w:val="15"/>
                <w:b w:val="1"/>
                <w:bCs w:val="1"/>
                <w:color w:val="auto"/>
              </w:rPr>
              <w:t>3,695,603</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940" w:type="dxa"/>
            <w:vAlign w:val="bottom"/>
          </w:tcPr>
          <w:p>
            <w:pPr>
              <w:ind w:left="160"/>
              <w:spacing w:after="0" w:line="159" w:lineRule="exact"/>
              <w:rPr>
                <w:sz w:val="20"/>
                <w:szCs w:val="20"/>
                <w:color w:val="auto"/>
              </w:rPr>
            </w:pPr>
            <w:r>
              <w:rPr>
                <w:rFonts w:ascii="Arial" w:cs="Arial" w:eastAsia="Arial" w:hAnsi="Arial"/>
                <w:sz w:val="15"/>
                <w:szCs w:val="15"/>
                <w:color w:val="auto"/>
              </w:rPr>
              <w:t>Materials Business</w:t>
            </w:r>
          </w:p>
        </w:tc>
        <w:tc>
          <w:tcPr>
            <w:tcW w:w="42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ind w:right="106"/>
              <w:spacing w:after="0" w:line="159" w:lineRule="exact"/>
              <w:rPr>
                <w:sz w:val="20"/>
                <w:szCs w:val="20"/>
                <w:color w:val="auto"/>
              </w:rPr>
            </w:pPr>
            <w:r>
              <w:rPr>
                <w:rFonts w:ascii="Arial" w:cs="Arial" w:eastAsia="Arial" w:hAnsi="Arial"/>
                <w:sz w:val="15"/>
                <w:szCs w:val="15"/>
                <w:color w:val="auto"/>
              </w:rPr>
              <w:t>3,561,691</w:t>
            </w:r>
          </w:p>
        </w:tc>
        <w:tc>
          <w:tcPr>
            <w:tcW w:w="260" w:type="dxa"/>
            <w:vAlign w:val="bottom"/>
          </w:tcPr>
          <w:p>
            <w:pPr>
              <w:spacing w:after="0"/>
              <w:rPr>
                <w:sz w:val="13"/>
                <w:szCs w:val="13"/>
                <w:color w:val="auto"/>
              </w:rPr>
            </w:pPr>
          </w:p>
        </w:tc>
        <w:tc>
          <w:tcPr>
            <w:tcW w:w="780" w:type="dxa"/>
            <w:vAlign w:val="bottom"/>
          </w:tcPr>
          <w:p>
            <w:pPr>
              <w:jc w:val="right"/>
              <w:ind w:right="6"/>
              <w:spacing w:after="0" w:line="159" w:lineRule="exact"/>
              <w:rPr>
                <w:sz w:val="20"/>
                <w:szCs w:val="20"/>
                <w:color w:val="auto"/>
              </w:rPr>
            </w:pPr>
            <w:r>
              <w:rPr>
                <w:rFonts w:ascii="Arial" w:cs="Arial" w:eastAsia="Arial" w:hAnsi="Arial"/>
                <w:sz w:val="15"/>
                <w:szCs w:val="15"/>
                <w:color w:val="auto"/>
              </w:rPr>
              <w:t>3,293,691</w:t>
            </w:r>
          </w:p>
        </w:tc>
        <w:tc>
          <w:tcPr>
            <w:tcW w:w="0" w:type="dxa"/>
            <w:vAlign w:val="bottom"/>
          </w:tcPr>
          <w:p>
            <w:pPr>
              <w:spacing w:after="0"/>
              <w:rPr>
                <w:sz w:val="1"/>
                <w:szCs w:val="1"/>
                <w:color w:val="auto"/>
              </w:rPr>
            </w:pPr>
          </w:p>
        </w:tc>
      </w:tr>
      <w:tr>
        <w:trPr>
          <w:trHeight w:val="156"/>
        </w:trPr>
        <w:tc>
          <w:tcPr>
            <w:tcW w:w="194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Magnesia Specialties</w:t>
            </w:r>
          </w:p>
        </w:tc>
        <w:tc>
          <w:tcPr>
            <w:tcW w:w="42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ind w:right="146"/>
              <w:spacing w:after="0" w:line="156" w:lineRule="exact"/>
              <w:rPr>
                <w:sz w:val="20"/>
                <w:szCs w:val="20"/>
                <w:color w:val="auto"/>
              </w:rPr>
            </w:pPr>
            <w:r>
              <w:rPr>
                <w:rFonts w:ascii="Arial" w:cs="Arial" w:eastAsia="Arial" w:hAnsi="Arial"/>
                <w:sz w:val="15"/>
                <w:szCs w:val="15"/>
                <w:b w:val="1"/>
                <w:bCs w:val="1"/>
                <w:color w:val="auto"/>
              </w:rPr>
              <w:t>269,991</w:t>
            </w:r>
          </w:p>
        </w:tc>
        <w:tc>
          <w:tcPr>
            <w:tcW w:w="26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106"/>
              <w:spacing w:after="0" w:line="156" w:lineRule="exact"/>
              <w:rPr>
                <w:sz w:val="20"/>
                <w:szCs w:val="20"/>
                <w:color w:val="auto"/>
              </w:rPr>
            </w:pPr>
            <w:r>
              <w:rPr>
                <w:rFonts w:ascii="Arial" w:cs="Arial" w:eastAsia="Arial" w:hAnsi="Arial"/>
                <w:sz w:val="15"/>
                <w:szCs w:val="15"/>
                <w:color w:val="auto"/>
              </w:rPr>
              <w:t>257,058</w:t>
            </w:r>
          </w:p>
        </w:tc>
        <w:tc>
          <w:tcPr>
            <w:tcW w:w="26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ind w:right="6"/>
              <w:spacing w:after="0" w:line="156" w:lineRule="exact"/>
              <w:rPr>
                <w:sz w:val="20"/>
                <w:szCs w:val="20"/>
                <w:color w:val="auto"/>
              </w:rPr>
            </w:pPr>
            <w:r>
              <w:rPr>
                <w:rFonts w:ascii="Arial" w:cs="Arial" w:eastAsia="Arial" w:hAnsi="Arial"/>
                <w:sz w:val="15"/>
                <w:szCs w:val="15"/>
                <w:color w:val="auto"/>
              </w:rPr>
              <w:t>245,879</w:t>
            </w:r>
          </w:p>
        </w:tc>
        <w:tc>
          <w:tcPr>
            <w:tcW w:w="0" w:type="dxa"/>
            <w:vAlign w:val="bottom"/>
          </w:tcPr>
          <w:p>
            <w:pPr>
              <w:spacing w:after="0"/>
              <w:rPr>
                <w:sz w:val="1"/>
                <w:szCs w:val="1"/>
                <w:color w:val="auto"/>
              </w:rPr>
            </w:pPr>
          </w:p>
        </w:tc>
      </w:tr>
      <w:tr>
        <w:trPr>
          <w:trHeight w:val="155"/>
        </w:trPr>
        <w:tc>
          <w:tcPr>
            <w:tcW w:w="1940" w:type="dxa"/>
            <w:vAlign w:val="bottom"/>
            <w:tcBorders>
              <w:bottom w:val="single" w:sz="8" w:color="auto"/>
            </w:tcBorders>
          </w:tcPr>
          <w:p>
            <w:pPr>
              <w:spacing w:after="0" w:line="149" w:lineRule="exact"/>
              <w:rPr>
                <w:sz w:val="20"/>
                <w:szCs w:val="20"/>
                <w:color w:val="auto"/>
              </w:rPr>
            </w:pPr>
            <w:r>
              <w:rPr>
                <w:rFonts w:ascii="Arial" w:cs="Arial" w:eastAsia="Arial" w:hAnsi="Arial"/>
                <w:sz w:val="15"/>
                <w:szCs w:val="15"/>
                <w:color w:val="auto"/>
              </w:rPr>
              <w:t>Total</w:t>
            </w:r>
          </w:p>
        </w:tc>
        <w:tc>
          <w:tcPr>
            <w:tcW w:w="4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920" w:type="dxa"/>
            <w:vAlign w:val="bottom"/>
            <w:tcBorders>
              <w:bottom w:val="single" w:sz="8" w:color="auto"/>
            </w:tcBorders>
          </w:tcPr>
          <w:p>
            <w:pPr>
              <w:jc w:val="right"/>
              <w:ind w:right="146"/>
              <w:spacing w:after="0" w:line="149" w:lineRule="exact"/>
              <w:rPr>
                <w:sz w:val="20"/>
                <w:szCs w:val="20"/>
                <w:color w:val="auto"/>
              </w:rPr>
            </w:pPr>
            <w:r>
              <w:rPr>
                <w:rFonts w:ascii="Arial" w:cs="Arial" w:eastAsia="Arial" w:hAnsi="Arial"/>
                <w:sz w:val="15"/>
                <w:szCs w:val="15"/>
                <w:b w:val="1"/>
                <w:bCs w:val="1"/>
                <w:color w:val="auto"/>
              </w:rPr>
              <w:t>3,965,594</w:t>
            </w:r>
          </w:p>
        </w:tc>
        <w:tc>
          <w:tcPr>
            <w:tcW w:w="2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tcPr>
          <w:p>
            <w:pPr>
              <w:jc w:val="right"/>
              <w:ind w:right="106"/>
              <w:spacing w:after="0" w:line="149" w:lineRule="exact"/>
              <w:rPr>
                <w:sz w:val="20"/>
                <w:szCs w:val="20"/>
                <w:color w:val="auto"/>
              </w:rPr>
            </w:pPr>
            <w:r>
              <w:rPr>
                <w:rFonts w:ascii="Arial" w:cs="Arial" w:eastAsia="Arial" w:hAnsi="Arial"/>
                <w:sz w:val="15"/>
                <w:szCs w:val="15"/>
                <w:color w:val="auto"/>
              </w:rPr>
              <w:t>3,818,749</w:t>
            </w:r>
          </w:p>
        </w:tc>
        <w:tc>
          <w:tcPr>
            <w:tcW w:w="2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tcPr>
          <w:p>
            <w:pPr>
              <w:jc w:val="right"/>
              <w:ind w:right="6"/>
              <w:spacing w:after="0" w:line="149" w:lineRule="exact"/>
              <w:rPr>
                <w:sz w:val="20"/>
                <w:szCs w:val="20"/>
                <w:color w:val="auto"/>
              </w:rPr>
            </w:pPr>
            <w:r>
              <w:rPr>
                <w:rFonts w:ascii="Arial" w:cs="Arial" w:eastAsia="Arial" w:hAnsi="Arial"/>
                <w:sz w:val="15"/>
                <w:szCs w:val="15"/>
                <w:color w:val="auto"/>
              </w:rPr>
              <w:t>3,539,570</w:t>
            </w:r>
          </w:p>
        </w:tc>
        <w:tc>
          <w:tcPr>
            <w:tcW w:w="0" w:type="dxa"/>
            <w:vAlign w:val="bottom"/>
          </w:tcPr>
          <w:p>
            <w:pPr>
              <w:spacing w:after="0"/>
              <w:rPr>
                <w:sz w:val="1"/>
                <w:szCs w:val="1"/>
                <w:color w:val="auto"/>
              </w:rPr>
            </w:pPr>
          </w:p>
        </w:tc>
      </w:tr>
      <w:tr>
        <w:trPr>
          <w:trHeight w:val="350"/>
        </w:trPr>
        <w:tc>
          <w:tcPr>
            <w:tcW w:w="194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Net sales</w:t>
            </w:r>
          </w:p>
        </w:tc>
        <w:tc>
          <w:tcPr>
            <w:tcW w:w="4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94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Mid-America Group</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920" w:type="dxa"/>
            <w:vAlign w:val="bottom"/>
            <w:shd w:val="clear" w:color="auto" w:fill="CCEEFF"/>
          </w:tcPr>
          <w:p>
            <w:pPr>
              <w:jc w:val="right"/>
              <w:ind w:right="146"/>
              <w:spacing w:after="0" w:line="149" w:lineRule="exact"/>
              <w:rPr>
                <w:sz w:val="20"/>
                <w:szCs w:val="20"/>
                <w:color w:val="auto"/>
              </w:rPr>
            </w:pPr>
            <w:r>
              <w:rPr>
                <w:rFonts w:ascii="Arial" w:cs="Arial" w:eastAsia="Arial" w:hAnsi="Arial"/>
                <w:sz w:val="15"/>
                <w:szCs w:val="15"/>
                <w:b w:val="1"/>
                <w:bCs w:val="1"/>
                <w:color w:val="auto"/>
              </w:rPr>
              <w:t>982,109</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ind w:right="106"/>
              <w:spacing w:after="0" w:line="149" w:lineRule="exact"/>
              <w:rPr>
                <w:sz w:val="20"/>
                <w:szCs w:val="20"/>
                <w:color w:val="auto"/>
              </w:rPr>
            </w:pPr>
            <w:r>
              <w:rPr>
                <w:rFonts w:ascii="Arial" w:cs="Arial" w:eastAsia="Arial" w:hAnsi="Arial"/>
                <w:sz w:val="15"/>
                <w:szCs w:val="15"/>
                <w:color w:val="auto"/>
              </w:rPr>
              <w:t>945,123</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ind w:right="6"/>
              <w:spacing w:after="0" w:line="149" w:lineRule="exact"/>
              <w:rPr>
                <w:sz w:val="20"/>
                <w:szCs w:val="20"/>
                <w:color w:val="auto"/>
              </w:rPr>
            </w:pPr>
            <w:r>
              <w:rPr>
                <w:rFonts w:ascii="Arial" w:cs="Arial" w:eastAsia="Arial" w:hAnsi="Arial"/>
                <w:sz w:val="15"/>
                <w:szCs w:val="15"/>
                <w:color w:val="auto"/>
              </w:rPr>
              <w:t>851,854</w:t>
            </w:r>
          </w:p>
        </w:tc>
        <w:tc>
          <w:tcPr>
            <w:tcW w:w="0" w:type="dxa"/>
            <w:vAlign w:val="bottom"/>
          </w:tcPr>
          <w:p>
            <w:pPr>
              <w:spacing w:after="0"/>
              <w:rPr>
                <w:sz w:val="1"/>
                <w:szCs w:val="1"/>
                <w:color w:val="auto"/>
              </w:rPr>
            </w:pPr>
          </w:p>
        </w:tc>
      </w:tr>
      <w:tr>
        <w:trPr>
          <w:trHeight w:val="156"/>
        </w:trPr>
        <w:tc>
          <w:tcPr>
            <w:tcW w:w="1940" w:type="dxa"/>
            <w:vAlign w:val="bottom"/>
          </w:tcPr>
          <w:p>
            <w:pPr>
              <w:spacing w:after="0" w:line="156" w:lineRule="exact"/>
              <w:rPr>
                <w:sz w:val="20"/>
                <w:szCs w:val="20"/>
                <w:color w:val="auto"/>
              </w:rPr>
            </w:pPr>
            <w:r>
              <w:rPr>
                <w:rFonts w:ascii="Arial" w:cs="Arial" w:eastAsia="Arial" w:hAnsi="Arial"/>
                <w:sz w:val="15"/>
                <w:szCs w:val="15"/>
                <w:color w:val="auto"/>
              </w:rPr>
              <w:t>Southeast Group</w:t>
            </w:r>
          </w:p>
        </w:tc>
        <w:tc>
          <w:tcPr>
            <w:tcW w:w="420" w:type="dxa"/>
            <w:vAlign w:val="bottom"/>
          </w:tcPr>
          <w:p>
            <w:pPr>
              <w:spacing w:after="0"/>
              <w:rPr>
                <w:sz w:val="13"/>
                <w:szCs w:val="13"/>
                <w:color w:val="auto"/>
              </w:rPr>
            </w:pPr>
          </w:p>
        </w:tc>
        <w:tc>
          <w:tcPr>
            <w:tcW w:w="920" w:type="dxa"/>
            <w:vAlign w:val="bottom"/>
          </w:tcPr>
          <w:p>
            <w:pPr>
              <w:jc w:val="right"/>
              <w:ind w:right="146"/>
              <w:spacing w:after="0" w:line="156" w:lineRule="exact"/>
              <w:rPr>
                <w:sz w:val="20"/>
                <w:szCs w:val="20"/>
                <w:color w:val="auto"/>
              </w:rPr>
            </w:pPr>
            <w:r>
              <w:rPr>
                <w:rFonts w:ascii="Arial" w:cs="Arial" w:eastAsia="Arial" w:hAnsi="Arial"/>
                <w:sz w:val="15"/>
                <w:szCs w:val="15"/>
                <w:b w:val="1"/>
                <w:bCs w:val="1"/>
                <w:color w:val="auto"/>
              </w:rPr>
              <w:t>348,409</w:t>
            </w:r>
          </w:p>
        </w:tc>
        <w:tc>
          <w:tcPr>
            <w:tcW w:w="260" w:type="dxa"/>
            <w:vAlign w:val="bottom"/>
          </w:tcPr>
          <w:p>
            <w:pPr>
              <w:spacing w:after="0"/>
              <w:rPr>
                <w:sz w:val="13"/>
                <w:szCs w:val="13"/>
                <w:color w:val="auto"/>
              </w:rPr>
            </w:pPr>
          </w:p>
        </w:tc>
        <w:tc>
          <w:tcPr>
            <w:tcW w:w="900" w:type="dxa"/>
            <w:vAlign w:val="bottom"/>
          </w:tcPr>
          <w:p>
            <w:pPr>
              <w:jc w:val="right"/>
              <w:ind w:right="106"/>
              <w:spacing w:after="0" w:line="156" w:lineRule="exact"/>
              <w:rPr>
                <w:sz w:val="20"/>
                <w:szCs w:val="20"/>
                <w:color w:val="auto"/>
              </w:rPr>
            </w:pPr>
            <w:r>
              <w:rPr>
                <w:rFonts w:ascii="Arial" w:cs="Arial" w:eastAsia="Arial" w:hAnsi="Arial"/>
                <w:sz w:val="15"/>
                <w:szCs w:val="15"/>
                <w:color w:val="auto"/>
              </w:rPr>
              <w:t>304,451</w:t>
            </w:r>
          </w:p>
        </w:tc>
        <w:tc>
          <w:tcPr>
            <w:tcW w:w="260" w:type="dxa"/>
            <w:vAlign w:val="bottom"/>
          </w:tcPr>
          <w:p>
            <w:pPr>
              <w:spacing w:after="0"/>
              <w:rPr>
                <w:sz w:val="13"/>
                <w:szCs w:val="13"/>
                <w:color w:val="auto"/>
              </w:rPr>
            </w:pPr>
          </w:p>
        </w:tc>
        <w:tc>
          <w:tcPr>
            <w:tcW w:w="780" w:type="dxa"/>
            <w:vAlign w:val="bottom"/>
          </w:tcPr>
          <w:p>
            <w:pPr>
              <w:jc w:val="right"/>
              <w:ind w:right="6"/>
              <w:spacing w:after="0" w:line="156" w:lineRule="exact"/>
              <w:rPr>
                <w:sz w:val="20"/>
                <w:szCs w:val="20"/>
                <w:color w:val="auto"/>
              </w:rPr>
            </w:pPr>
            <w:r>
              <w:rPr>
                <w:rFonts w:ascii="Arial" w:cs="Arial" w:eastAsia="Arial" w:hAnsi="Arial"/>
                <w:sz w:val="15"/>
                <w:szCs w:val="15"/>
                <w:color w:val="auto"/>
              </w:rPr>
              <w:t>285,302</w:t>
            </w:r>
          </w:p>
        </w:tc>
        <w:tc>
          <w:tcPr>
            <w:tcW w:w="0" w:type="dxa"/>
            <w:vAlign w:val="bottom"/>
          </w:tcPr>
          <w:p>
            <w:pPr>
              <w:spacing w:after="0"/>
              <w:rPr>
                <w:sz w:val="1"/>
                <w:szCs w:val="1"/>
                <w:color w:val="auto"/>
              </w:rPr>
            </w:pPr>
          </w:p>
        </w:tc>
      </w:tr>
      <w:tr>
        <w:trPr>
          <w:trHeight w:val="156"/>
        </w:trPr>
        <w:tc>
          <w:tcPr>
            <w:tcW w:w="194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West Group</w:t>
            </w:r>
          </w:p>
        </w:tc>
        <w:tc>
          <w:tcPr>
            <w:tcW w:w="42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ind w:right="146"/>
              <w:spacing w:after="0" w:line="156" w:lineRule="exact"/>
              <w:rPr>
                <w:sz w:val="20"/>
                <w:szCs w:val="20"/>
                <w:color w:val="auto"/>
              </w:rPr>
            </w:pPr>
            <w:r>
              <w:rPr>
                <w:rFonts w:ascii="Arial" w:cs="Arial" w:eastAsia="Arial" w:hAnsi="Arial"/>
                <w:sz w:val="15"/>
                <w:szCs w:val="15"/>
                <w:b w:val="1"/>
                <w:bCs w:val="1"/>
                <w:color w:val="auto"/>
              </w:rPr>
              <w:t>2,142,839</w:t>
            </w:r>
          </w:p>
        </w:tc>
        <w:tc>
          <w:tcPr>
            <w:tcW w:w="26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106"/>
              <w:spacing w:after="0" w:line="156" w:lineRule="exact"/>
              <w:rPr>
                <w:sz w:val="20"/>
                <w:szCs w:val="20"/>
                <w:color w:val="auto"/>
              </w:rPr>
            </w:pPr>
            <w:r>
              <w:rPr>
                <w:rFonts w:ascii="Arial" w:cs="Arial" w:eastAsia="Arial" w:hAnsi="Arial"/>
                <w:sz w:val="15"/>
                <w:szCs w:val="15"/>
                <w:color w:val="auto"/>
              </w:rPr>
              <w:t>2,089,192</w:t>
            </w:r>
          </w:p>
        </w:tc>
        <w:tc>
          <w:tcPr>
            <w:tcW w:w="26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ind w:right="6"/>
              <w:spacing w:after="0" w:line="156" w:lineRule="exact"/>
              <w:rPr>
                <w:sz w:val="20"/>
                <w:szCs w:val="20"/>
                <w:color w:val="auto"/>
              </w:rPr>
            </w:pPr>
            <w:r>
              <w:rPr>
                <w:rFonts w:ascii="Arial" w:cs="Arial" w:eastAsia="Arial" w:hAnsi="Arial"/>
                <w:sz w:val="15"/>
                <w:szCs w:val="15"/>
                <w:color w:val="auto"/>
              </w:rPr>
              <w:t>1,903,452</w:t>
            </w:r>
          </w:p>
        </w:tc>
        <w:tc>
          <w:tcPr>
            <w:tcW w:w="0" w:type="dxa"/>
            <w:vAlign w:val="bottom"/>
          </w:tcPr>
          <w:p>
            <w:pPr>
              <w:spacing w:after="0"/>
              <w:rPr>
                <w:sz w:val="1"/>
                <w:szCs w:val="1"/>
                <w:color w:val="auto"/>
              </w:rPr>
            </w:pPr>
          </w:p>
        </w:tc>
      </w:tr>
      <w:tr>
        <w:trPr>
          <w:trHeight w:val="145"/>
        </w:trPr>
        <w:tc>
          <w:tcPr>
            <w:tcW w:w="1940" w:type="dxa"/>
            <w:vAlign w:val="bottom"/>
          </w:tcPr>
          <w:p>
            <w:pPr>
              <w:spacing w:after="0" w:line="146" w:lineRule="exact"/>
              <w:rPr>
                <w:sz w:val="20"/>
                <w:szCs w:val="20"/>
                <w:color w:val="auto"/>
              </w:rPr>
            </w:pPr>
            <w:r>
              <w:rPr>
                <w:rFonts w:ascii="Arial" w:cs="Arial" w:eastAsia="Arial" w:hAnsi="Arial"/>
                <w:sz w:val="15"/>
                <w:szCs w:val="15"/>
                <w:color w:val="auto"/>
              </w:rPr>
              <w:t>Total Building</w:t>
            </w:r>
          </w:p>
        </w:tc>
        <w:tc>
          <w:tcPr>
            <w:tcW w:w="420" w:type="dxa"/>
            <w:vAlign w:val="bottom"/>
          </w:tcPr>
          <w:p>
            <w:pPr>
              <w:spacing w:after="0"/>
              <w:rPr>
                <w:sz w:val="12"/>
                <w:szCs w:val="12"/>
                <w:color w:val="auto"/>
              </w:rPr>
            </w:pPr>
          </w:p>
        </w:tc>
        <w:tc>
          <w:tcPr>
            <w:tcW w:w="920" w:type="dxa"/>
            <w:vAlign w:val="bottom"/>
            <w:vMerge w:val="restart"/>
          </w:tcPr>
          <w:p>
            <w:pPr>
              <w:jc w:val="right"/>
              <w:ind w:right="146"/>
              <w:spacing w:after="0"/>
              <w:rPr>
                <w:sz w:val="20"/>
                <w:szCs w:val="20"/>
                <w:color w:val="auto"/>
              </w:rPr>
            </w:pPr>
            <w:r>
              <w:rPr>
                <w:rFonts w:ascii="Arial" w:cs="Arial" w:eastAsia="Arial" w:hAnsi="Arial"/>
                <w:sz w:val="15"/>
                <w:szCs w:val="15"/>
                <w:b w:val="1"/>
                <w:bCs w:val="1"/>
                <w:color w:val="auto"/>
              </w:rPr>
              <w:t>3,473,357</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940" w:type="dxa"/>
            <w:vAlign w:val="bottom"/>
          </w:tcPr>
          <w:p>
            <w:pPr>
              <w:ind w:left="160"/>
              <w:spacing w:after="0" w:line="159" w:lineRule="exact"/>
              <w:rPr>
                <w:sz w:val="20"/>
                <w:szCs w:val="20"/>
                <w:color w:val="auto"/>
              </w:rPr>
            </w:pPr>
            <w:r>
              <w:rPr>
                <w:rFonts w:ascii="Arial" w:cs="Arial" w:eastAsia="Arial" w:hAnsi="Arial"/>
                <w:sz w:val="15"/>
                <w:szCs w:val="15"/>
                <w:color w:val="auto"/>
              </w:rPr>
              <w:t>Materials Business</w:t>
            </w:r>
          </w:p>
        </w:tc>
        <w:tc>
          <w:tcPr>
            <w:tcW w:w="42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ind w:right="106"/>
              <w:spacing w:after="0" w:line="159" w:lineRule="exact"/>
              <w:rPr>
                <w:sz w:val="20"/>
                <w:szCs w:val="20"/>
                <w:color w:val="auto"/>
              </w:rPr>
            </w:pPr>
            <w:r>
              <w:rPr>
                <w:rFonts w:ascii="Arial" w:cs="Arial" w:eastAsia="Arial" w:hAnsi="Arial"/>
                <w:sz w:val="15"/>
                <w:szCs w:val="15"/>
                <w:color w:val="auto"/>
              </w:rPr>
              <w:t>3,338,766</w:t>
            </w:r>
          </w:p>
        </w:tc>
        <w:tc>
          <w:tcPr>
            <w:tcW w:w="260" w:type="dxa"/>
            <w:vAlign w:val="bottom"/>
          </w:tcPr>
          <w:p>
            <w:pPr>
              <w:spacing w:after="0"/>
              <w:rPr>
                <w:sz w:val="13"/>
                <w:szCs w:val="13"/>
                <w:color w:val="auto"/>
              </w:rPr>
            </w:pPr>
          </w:p>
        </w:tc>
        <w:tc>
          <w:tcPr>
            <w:tcW w:w="780" w:type="dxa"/>
            <w:vAlign w:val="bottom"/>
          </w:tcPr>
          <w:p>
            <w:pPr>
              <w:jc w:val="right"/>
              <w:ind w:right="6"/>
              <w:spacing w:after="0" w:line="159" w:lineRule="exact"/>
              <w:rPr>
                <w:sz w:val="20"/>
                <w:szCs w:val="20"/>
                <w:color w:val="auto"/>
              </w:rPr>
            </w:pPr>
            <w:r>
              <w:rPr>
                <w:rFonts w:ascii="Arial" w:cs="Arial" w:eastAsia="Arial" w:hAnsi="Arial"/>
                <w:sz w:val="15"/>
                <w:szCs w:val="15"/>
                <w:color w:val="auto"/>
              </w:rPr>
              <w:t>3,040,608</w:t>
            </w:r>
          </w:p>
        </w:tc>
        <w:tc>
          <w:tcPr>
            <w:tcW w:w="0" w:type="dxa"/>
            <w:vAlign w:val="bottom"/>
          </w:tcPr>
          <w:p>
            <w:pPr>
              <w:spacing w:after="0"/>
              <w:rPr>
                <w:sz w:val="1"/>
                <w:szCs w:val="1"/>
                <w:color w:val="auto"/>
              </w:rPr>
            </w:pPr>
          </w:p>
        </w:tc>
      </w:tr>
      <w:tr>
        <w:trPr>
          <w:trHeight w:val="156"/>
        </w:trPr>
        <w:tc>
          <w:tcPr>
            <w:tcW w:w="194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Magnesia Specialties</w:t>
            </w:r>
          </w:p>
        </w:tc>
        <w:tc>
          <w:tcPr>
            <w:tcW w:w="42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ind w:right="146"/>
              <w:spacing w:after="0" w:line="156" w:lineRule="exact"/>
              <w:rPr>
                <w:sz w:val="20"/>
                <w:szCs w:val="20"/>
                <w:color w:val="auto"/>
              </w:rPr>
            </w:pPr>
            <w:r>
              <w:rPr>
                <w:rFonts w:ascii="Arial" w:cs="Arial" w:eastAsia="Arial" w:hAnsi="Arial"/>
                <w:sz w:val="15"/>
                <w:szCs w:val="15"/>
                <w:b w:val="1"/>
                <w:bCs w:val="1"/>
                <w:color w:val="auto"/>
              </w:rPr>
              <w:t>248,071</w:t>
            </w:r>
          </w:p>
        </w:tc>
        <w:tc>
          <w:tcPr>
            <w:tcW w:w="26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106"/>
              <w:spacing w:after="0" w:line="156" w:lineRule="exact"/>
              <w:rPr>
                <w:sz w:val="20"/>
                <w:szCs w:val="20"/>
                <w:color w:val="auto"/>
              </w:rPr>
            </w:pPr>
            <w:r>
              <w:rPr>
                <w:rFonts w:ascii="Arial" w:cs="Arial" w:eastAsia="Arial" w:hAnsi="Arial"/>
                <w:sz w:val="15"/>
                <w:szCs w:val="15"/>
                <w:color w:val="auto"/>
              </w:rPr>
              <w:t>238,001</w:t>
            </w:r>
          </w:p>
        </w:tc>
        <w:tc>
          <w:tcPr>
            <w:tcW w:w="26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ind w:right="6"/>
              <w:spacing w:after="0" w:line="156" w:lineRule="exact"/>
              <w:rPr>
                <w:sz w:val="20"/>
                <w:szCs w:val="20"/>
                <w:color w:val="auto"/>
              </w:rPr>
            </w:pPr>
            <w:r>
              <w:rPr>
                <w:rFonts w:ascii="Arial" w:cs="Arial" w:eastAsia="Arial" w:hAnsi="Arial"/>
                <w:sz w:val="15"/>
                <w:szCs w:val="15"/>
                <w:color w:val="auto"/>
              </w:rPr>
              <w:t>227,508</w:t>
            </w:r>
          </w:p>
        </w:tc>
        <w:tc>
          <w:tcPr>
            <w:tcW w:w="0" w:type="dxa"/>
            <w:vAlign w:val="bottom"/>
          </w:tcPr>
          <w:p>
            <w:pPr>
              <w:spacing w:after="0"/>
              <w:rPr>
                <w:sz w:val="1"/>
                <w:szCs w:val="1"/>
                <w:color w:val="auto"/>
              </w:rPr>
            </w:pPr>
          </w:p>
        </w:tc>
      </w:tr>
      <w:tr>
        <w:trPr>
          <w:trHeight w:val="155"/>
        </w:trPr>
        <w:tc>
          <w:tcPr>
            <w:tcW w:w="1940" w:type="dxa"/>
            <w:vAlign w:val="bottom"/>
            <w:tcBorders>
              <w:bottom w:val="single" w:sz="8" w:color="auto"/>
            </w:tcBorders>
          </w:tcPr>
          <w:p>
            <w:pPr>
              <w:spacing w:after="0" w:line="149" w:lineRule="exact"/>
              <w:rPr>
                <w:sz w:val="20"/>
                <w:szCs w:val="20"/>
                <w:color w:val="auto"/>
              </w:rPr>
            </w:pPr>
            <w:r>
              <w:rPr>
                <w:rFonts w:ascii="Arial" w:cs="Arial" w:eastAsia="Arial" w:hAnsi="Arial"/>
                <w:sz w:val="15"/>
                <w:szCs w:val="15"/>
                <w:color w:val="auto"/>
              </w:rPr>
              <w:t>Total</w:t>
            </w:r>
          </w:p>
        </w:tc>
        <w:tc>
          <w:tcPr>
            <w:tcW w:w="4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920" w:type="dxa"/>
            <w:vAlign w:val="bottom"/>
            <w:tcBorders>
              <w:bottom w:val="single" w:sz="8" w:color="auto"/>
            </w:tcBorders>
          </w:tcPr>
          <w:p>
            <w:pPr>
              <w:jc w:val="right"/>
              <w:ind w:right="146"/>
              <w:spacing w:after="0" w:line="149" w:lineRule="exact"/>
              <w:rPr>
                <w:sz w:val="20"/>
                <w:szCs w:val="20"/>
                <w:color w:val="auto"/>
              </w:rPr>
            </w:pPr>
            <w:r>
              <w:rPr>
                <w:rFonts w:ascii="Arial" w:cs="Arial" w:eastAsia="Arial" w:hAnsi="Arial"/>
                <w:sz w:val="15"/>
                <w:szCs w:val="15"/>
                <w:b w:val="1"/>
                <w:bCs w:val="1"/>
                <w:color w:val="auto"/>
              </w:rPr>
              <w:t>3,721,428</w:t>
            </w:r>
          </w:p>
        </w:tc>
        <w:tc>
          <w:tcPr>
            <w:tcW w:w="2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tcPr>
          <w:p>
            <w:pPr>
              <w:jc w:val="right"/>
              <w:ind w:right="106"/>
              <w:spacing w:after="0" w:line="149" w:lineRule="exact"/>
              <w:rPr>
                <w:sz w:val="20"/>
                <w:szCs w:val="20"/>
                <w:color w:val="auto"/>
              </w:rPr>
            </w:pPr>
            <w:r>
              <w:rPr>
                <w:rFonts w:ascii="Arial" w:cs="Arial" w:eastAsia="Arial" w:hAnsi="Arial"/>
                <w:sz w:val="15"/>
                <w:szCs w:val="15"/>
                <w:color w:val="auto"/>
              </w:rPr>
              <w:t>3,576,767</w:t>
            </w:r>
          </w:p>
        </w:tc>
        <w:tc>
          <w:tcPr>
            <w:tcW w:w="2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tcPr>
          <w:p>
            <w:pPr>
              <w:jc w:val="right"/>
              <w:ind w:right="6"/>
              <w:spacing w:after="0" w:line="149" w:lineRule="exact"/>
              <w:rPr>
                <w:sz w:val="20"/>
                <w:szCs w:val="20"/>
                <w:color w:val="auto"/>
              </w:rPr>
            </w:pPr>
            <w:r>
              <w:rPr>
                <w:rFonts w:ascii="Arial" w:cs="Arial" w:eastAsia="Arial" w:hAnsi="Arial"/>
                <w:sz w:val="15"/>
                <w:szCs w:val="15"/>
                <w:color w:val="auto"/>
              </w:rPr>
              <w:t>3,268,116</w:t>
            </w:r>
          </w:p>
        </w:tc>
        <w:tc>
          <w:tcPr>
            <w:tcW w:w="0" w:type="dxa"/>
            <w:vAlign w:val="bottom"/>
          </w:tcPr>
          <w:p>
            <w:pPr>
              <w:spacing w:after="0"/>
              <w:rPr>
                <w:sz w:val="1"/>
                <w:szCs w:val="1"/>
                <w:color w:val="auto"/>
              </w:rPr>
            </w:pPr>
          </w:p>
        </w:tc>
      </w:tr>
      <w:tr>
        <w:trPr>
          <w:trHeight w:val="350"/>
        </w:trPr>
        <w:tc>
          <w:tcPr>
            <w:tcW w:w="194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Gross profit (loss)</w:t>
            </w:r>
          </w:p>
        </w:tc>
        <w:tc>
          <w:tcPr>
            <w:tcW w:w="4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94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Mid-America Group</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920" w:type="dxa"/>
            <w:vAlign w:val="bottom"/>
            <w:shd w:val="clear" w:color="auto" w:fill="CCEEFF"/>
          </w:tcPr>
          <w:p>
            <w:pPr>
              <w:jc w:val="right"/>
              <w:ind w:right="146"/>
              <w:spacing w:after="0" w:line="149" w:lineRule="exact"/>
              <w:rPr>
                <w:sz w:val="20"/>
                <w:szCs w:val="20"/>
                <w:color w:val="auto"/>
              </w:rPr>
            </w:pPr>
            <w:r>
              <w:rPr>
                <w:rFonts w:ascii="Arial" w:cs="Arial" w:eastAsia="Arial" w:hAnsi="Arial"/>
                <w:sz w:val="15"/>
                <w:szCs w:val="15"/>
                <w:b w:val="1"/>
                <w:bCs w:val="1"/>
                <w:color w:val="auto"/>
              </w:rPr>
              <w:t>335,394</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ind w:right="106"/>
              <w:spacing w:after="0" w:line="149" w:lineRule="exact"/>
              <w:rPr>
                <w:sz w:val="20"/>
                <w:szCs w:val="20"/>
                <w:color w:val="auto"/>
              </w:rPr>
            </w:pPr>
            <w:r>
              <w:rPr>
                <w:rFonts w:ascii="Arial" w:cs="Arial" w:eastAsia="Arial" w:hAnsi="Arial"/>
                <w:sz w:val="15"/>
                <w:szCs w:val="15"/>
                <w:color w:val="auto"/>
              </w:rPr>
              <w:t>306,560</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ind w:right="6"/>
              <w:spacing w:after="0" w:line="149" w:lineRule="exact"/>
              <w:rPr>
                <w:sz w:val="20"/>
                <w:szCs w:val="20"/>
                <w:color w:val="auto"/>
              </w:rPr>
            </w:pPr>
            <w:r>
              <w:rPr>
                <w:rFonts w:ascii="Arial" w:cs="Arial" w:eastAsia="Arial" w:hAnsi="Arial"/>
                <w:sz w:val="15"/>
                <w:szCs w:val="15"/>
                <w:color w:val="auto"/>
              </w:rPr>
              <w:t>257,002</w:t>
            </w:r>
          </w:p>
        </w:tc>
        <w:tc>
          <w:tcPr>
            <w:tcW w:w="0" w:type="dxa"/>
            <w:vAlign w:val="bottom"/>
          </w:tcPr>
          <w:p>
            <w:pPr>
              <w:spacing w:after="0"/>
              <w:rPr>
                <w:sz w:val="1"/>
                <w:szCs w:val="1"/>
                <w:color w:val="auto"/>
              </w:rPr>
            </w:pPr>
          </w:p>
        </w:tc>
      </w:tr>
      <w:tr>
        <w:trPr>
          <w:trHeight w:val="156"/>
        </w:trPr>
        <w:tc>
          <w:tcPr>
            <w:tcW w:w="1940" w:type="dxa"/>
            <w:vAlign w:val="bottom"/>
          </w:tcPr>
          <w:p>
            <w:pPr>
              <w:spacing w:after="0" w:line="156" w:lineRule="exact"/>
              <w:rPr>
                <w:sz w:val="20"/>
                <w:szCs w:val="20"/>
                <w:color w:val="auto"/>
              </w:rPr>
            </w:pPr>
            <w:r>
              <w:rPr>
                <w:rFonts w:ascii="Arial" w:cs="Arial" w:eastAsia="Arial" w:hAnsi="Arial"/>
                <w:sz w:val="15"/>
                <w:szCs w:val="15"/>
                <w:color w:val="auto"/>
              </w:rPr>
              <w:t>Southeast Group</w:t>
            </w:r>
          </w:p>
        </w:tc>
        <w:tc>
          <w:tcPr>
            <w:tcW w:w="420" w:type="dxa"/>
            <w:vAlign w:val="bottom"/>
          </w:tcPr>
          <w:p>
            <w:pPr>
              <w:spacing w:after="0"/>
              <w:rPr>
                <w:sz w:val="13"/>
                <w:szCs w:val="13"/>
                <w:color w:val="auto"/>
              </w:rPr>
            </w:pPr>
          </w:p>
        </w:tc>
        <w:tc>
          <w:tcPr>
            <w:tcW w:w="920" w:type="dxa"/>
            <w:vAlign w:val="bottom"/>
          </w:tcPr>
          <w:p>
            <w:pPr>
              <w:jc w:val="right"/>
              <w:ind w:right="146"/>
              <w:spacing w:after="0" w:line="156" w:lineRule="exact"/>
              <w:rPr>
                <w:sz w:val="20"/>
                <w:szCs w:val="20"/>
                <w:color w:val="auto"/>
              </w:rPr>
            </w:pPr>
            <w:r>
              <w:rPr>
                <w:rFonts w:ascii="Arial" w:cs="Arial" w:eastAsia="Arial" w:hAnsi="Arial"/>
                <w:sz w:val="15"/>
                <w:szCs w:val="15"/>
                <w:b w:val="1"/>
                <w:bCs w:val="1"/>
                <w:color w:val="auto"/>
              </w:rPr>
              <w:t>74,642</w:t>
            </w:r>
          </w:p>
        </w:tc>
        <w:tc>
          <w:tcPr>
            <w:tcW w:w="260" w:type="dxa"/>
            <w:vAlign w:val="bottom"/>
          </w:tcPr>
          <w:p>
            <w:pPr>
              <w:spacing w:after="0"/>
              <w:rPr>
                <w:sz w:val="13"/>
                <w:szCs w:val="13"/>
                <w:color w:val="auto"/>
              </w:rPr>
            </w:pPr>
          </w:p>
        </w:tc>
        <w:tc>
          <w:tcPr>
            <w:tcW w:w="900" w:type="dxa"/>
            <w:vAlign w:val="bottom"/>
          </w:tcPr>
          <w:p>
            <w:pPr>
              <w:jc w:val="right"/>
              <w:ind w:right="106"/>
              <w:spacing w:after="0" w:line="156" w:lineRule="exact"/>
              <w:rPr>
                <w:sz w:val="20"/>
                <w:szCs w:val="20"/>
                <w:color w:val="auto"/>
              </w:rPr>
            </w:pPr>
            <w:r>
              <w:rPr>
                <w:rFonts w:ascii="Arial" w:cs="Arial" w:eastAsia="Arial" w:hAnsi="Arial"/>
                <w:sz w:val="15"/>
                <w:szCs w:val="15"/>
                <w:color w:val="auto"/>
              </w:rPr>
              <w:t>57,286</w:t>
            </w:r>
          </w:p>
        </w:tc>
        <w:tc>
          <w:tcPr>
            <w:tcW w:w="260" w:type="dxa"/>
            <w:vAlign w:val="bottom"/>
          </w:tcPr>
          <w:p>
            <w:pPr>
              <w:spacing w:after="0"/>
              <w:rPr>
                <w:sz w:val="13"/>
                <w:szCs w:val="13"/>
                <w:color w:val="auto"/>
              </w:rPr>
            </w:pPr>
          </w:p>
        </w:tc>
        <w:tc>
          <w:tcPr>
            <w:tcW w:w="780" w:type="dxa"/>
            <w:vAlign w:val="bottom"/>
          </w:tcPr>
          <w:p>
            <w:pPr>
              <w:jc w:val="right"/>
              <w:ind w:right="6"/>
              <w:spacing w:after="0" w:line="156" w:lineRule="exact"/>
              <w:rPr>
                <w:sz w:val="20"/>
                <w:szCs w:val="20"/>
                <w:color w:val="auto"/>
              </w:rPr>
            </w:pPr>
            <w:r>
              <w:rPr>
                <w:rFonts w:ascii="Arial" w:cs="Arial" w:eastAsia="Arial" w:hAnsi="Arial"/>
                <w:sz w:val="15"/>
                <w:szCs w:val="15"/>
                <w:color w:val="auto"/>
              </w:rPr>
              <w:t>34,359</w:t>
            </w:r>
          </w:p>
        </w:tc>
        <w:tc>
          <w:tcPr>
            <w:tcW w:w="0" w:type="dxa"/>
            <w:vAlign w:val="bottom"/>
          </w:tcPr>
          <w:p>
            <w:pPr>
              <w:spacing w:after="0"/>
              <w:rPr>
                <w:sz w:val="1"/>
                <w:szCs w:val="1"/>
                <w:color w:val="auto"/>
              </w:rPr>
            </w:pPr>
          </w:p>
        </w:tc>
      </w:tr>
      <w:tr>
        <w:trPr>
          <w:trHeight w:val="156"/>
        </w:trPr>
        <w:tc>
          <w:tcPr>
            <w:tcW w:w="194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West Group</w:t>
            </w:r>
          </w:p>
        </w:tc>
        <w:tc>
          <w:tcPr>
            <w:tcW w:w="42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ind w:right="146"/>
              <w:spacing w:after="0" w:line="156" w:lineRule="exact"/>
              <w:rPr>
                <w:sz w:val="20"/>
                <w:szCs w:val="20"/>
                <w:color w:val="auto"/>
              </w:rPr>
            </w:pPr>
            <w:r>
              <w:rPr>
                <w:rFonts w:ascii="Arial" w:cs="Arial" w:eastAsia="Arial" w:hAnsi="Arial"/>
                <w:sz w:val="15"/>
                <w:szCs w:val="15"/>
                <w:b w:val="1"/>
                <w:bCs w:val="1"/>
                <w:color w:val="auto"/>
              </w:rPr>
              <w:t>465,595</w:t>
            </w:r>
          </w:p>
        </w:tc>
        <w:tc>
          <w:tcPr>
            <w:tcW w:w="26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106"/>
              <w:spacing w:after="0" w:line="156" w:lineRule="exact"/>
              <w:rPr>
                <w:sz w:val="20"/>
                <w:szCs w:val="20"/>
                <w:color w:val="auto"/>
              </w:rPr>
            </w:pPr>
            <w:r>
              <w:rPr>
                <w:rFonts w:ascii="Arial" w:cs="Arial" w:eastAsia="Arial" w:hAnsi="Arial"/>
                <w:sz w:val="15"/>
                <w:szCs w:val="15"/>
                <w:color w:val="auto"/>
              </w:rPr>
              <w:t>466,790</w:t>
            </w:r>
          </w:p>
        </w:tc>
        <w:tc>
          <w:tcPr>
            <w:tcW w:w="26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ind w:right="6"/>
              <w:spacing w:after="0" w:line="156" w:lineRule="exact"/>
              <w:rPr>
                <w:sz w:val="20"/>
                <w:szCs w:val="20"/>
                <w:color w:val="auto"/>
              </w:rPr>
            </w:pPr>
            <w:r>
              <w:rPr>
                <w:rFonts w:ascii="Arial" w:cs="Arial" w:eastAsia="Arial" w:hAnsi="Arial"/>
                <w:sz w:val="15"/>
                <w:szCs w:val="15"/>
                <w:color w:val="auto"/>
              </w:rPr>
              <w:t>360,667</w:t>
            </w:r>
          </w:p>
        </w:tc>
        <w:tc>
          <w:tcPr>
            <w:tcW w:w="0" w:type="dxa"/>
            <w:vAlign w:val="bottom"/>
          </w:tcPr>
          <w:p>
            <w:pPr>
              <w:spacing w:after="0"/>
              <w:rPr>
                <w:sz w:val="1"/>
                <w:szCs w:val="1"/>
                <w:color w:val="auto"/>
              </w:rPr>
            </w:pPr>
          </w:p>
        </w:tc>
      </w:tr>
      <w:tr>
        <w:trPr>
          <w:trHeight w:val="145"/>
        </w:trPr>
        <w:tc>
          <w:tcPr>
            <w:tcW w:w="1940" w:type="dxa"/>
            <w:vAlign w:val="bottom"/>
          </w:tcPr>
          <w:p>
            <w:pPr>
              <w:spacing w:after="0" w:line="146" w:lineRule="exact"/>
              <w:rPr>
                <w:sz w:val="20"/>
                <w:szCs w:val="20"/>
                <w:color w:val="auto"/>
              </w:rPr>
            </w:pPr>
            <w:r>
              <w:rPr>
                <w:rFonts w:ascii="Arial" w:cs="Arial" w:eastAsia="Arial" w:hAnsi="Arial"/>
                <w:sz w:val="15"/>
                <w:szCs w:val="15"/>
                <w:color w:val="auto"/>
              </w:rPr>
              <w:t>Total Building</w:t>
            </w:r>
          </w:p>
        </w:tc>
        <w:tc>
          <w:tcPr>
            <w:tcW w:w="420" w:type="dxa"/>
            <w:vAlign w:val="bottom"/>
          </w:tcPr>
          <w:p>
            <w:pPr>
              <w:spacing w:after="0"/>
              <w:rPr>
                <w:sz w:val="12"/>
                <w:szCs w:val="12"/>
                <w:color w:val="auto"/>
              </w:rPr>
            </w:pPr>
          </w:p>
        </w:tc>
        <w:tc>
          <w:tcPr>
            <w:tcW w:w="920" w:type="dxa"/>
            <w:vAlign w:val="bottom"/>
            <w:vMerge w:val="restart"/>
          </w:tcPr>
          <w:p>
            <w:pPr>
              <w:jc w:val="right"/>
              <w:ind w:right="146"/>
              <w:spacing w:after="0"/>
              <w:rPr>
                <w:sz w:val="20"/>
                <w:szCs w:val="20"/>
                <w:color w:val="auto"/>
              </w:rPr>
            </w:pPr>
            <w:r>
              <w:rPr>
                <w:rFonts w:ascii="Arial" w:cs="Arial" w:eastAsia="Arial" w:hAnsi="Arial"/>
                <w:sz w:val="15"/>
                <w:szCs w:val="15"/>
                <w:b w:val="1"/>
                <w:bCs w:val="1"/>
                <w:color w:val="auto"/>
              </w:rPr>
              <w:t>875,631</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940" w:type="dxa"/>
            <w:vAlign w:val="bottom"/>
          </w:tcPr>
          <w:p>
            <w:pPr>
              <w:ind w:left="160"/>
              <w:spacing w:after="0" w:line="159" w:lineRule="exact"/>
              <w:rPr>
                <w:sz w:val="20"/>
                <w:szCs w:val="20"/>
                <w:color w:val="auto"/>
              </w:rPr>
            </w:pPr>
            <w:r>
              <w:rPr>
                <w:rFonts w:ascii="Arial" w:cs="Arial" w:eastAsia="Arial" w:hAnsi="Arial"/>
                <w:sz w:val="15"/>
                <w:szCs w:val="15"/>
                <w:color w:val="auto"/>
              </w:rPr>
              <w:t>Materials Business</w:t>
            </w:r>
          </w:p>
        </w:tc>
        <w:tc>
          <w:tcPr>
            <w:tcW w:w="42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ind w:right="106"/>
              <w:spacing w:after="0" w:line="159" w:lineRule="exact"/>
              <w:rPr>
                <w:sz w:val="20"/>
                <w:szCs w:val="20"/>
                <w:color w:val="auto"/>
              </w:rPr>
            </w:pPr>
            <w:r>
              <w:rPr>
                <w:rFonts w:ascii="Arial" w:cs="Arial" w:eastAsia="Arial" w:hAnsi="Arial"/>
                <w:sz w:val="15"/>
                <w:szCs w:val="15"/>
                <w:color w:val="auto"/>
              </w:rPr>
              <w:t>830,636</w:t>
            </w:r>
          </w:p>
        </w:tc>
        <w:tc>
          <w:tcPr>
            <w:tcW w:w="260" w:type="dxa"/>
            <w:vAlign w:val="bottom"/>
          </w:tcPr>
          <w:p>
            <w:pPr>
              <w:spacing w:after="0"/>
              <w:rPr>
                <w:sz w:val="13"/>
                <w:szCs w:val="13"/>
                <w:color w:val="auto"/>
              </w:rPr>
            </w:pPr>
          </w:p>
        </w:tc>
        <w:tc>
          <w:tcPr>
            <w:tcW w:w="780" w:type="dxa"/>
            <w:vAlign w:val="bottom"/>
          </w:tcPr>
          <w:p>
            <w:pPr>
              <w:jc w:val="right"/>
              <w:ind w:right="6"/>
              <w:spacing w:after="0" w:line="159" w:lineRule="exact"/>
              <w:rPr>
                <w:sz w:val="20"/>
                <w:szCs w:val="20"/>
                <w:color w:val="auto"/>
              </w:rPr>
            </w:pPr>
            <w:r>
              <w:rPr>
                <w:rFonts w:ascii="Arial" w:cs="Arial" w:eastAsia="Arial" w:hAnsi="Arial"/>
                <w:sz w:val="15"/>
                <w:szCs w:val="15"/>
                <w:color w:val="auto"/>
              </w:rPr>
              <w:t>652,028</w:t>
            </w:r>
          </w:p>
        </w:tc>
        <w:tc>
          <w:tcPr>
            <w:tcW w:w="0" w:type="dxa"/>
            <w:vAlign w:val="bottom"/>
          </w:tcPr>
          <w:p>
            <w:pPr>
              <w:spacing w:after="0"/>
              <w:rPr>
                <w:sz w:val="1"/>
                <w:szCs w:val="1"/>
                <w:color w:val="auto"/>
              </w:rPr>
            </w:pPr>
          </w:p>
        </w:tc>
      </w:tr>
      <w:tr>
        <w:trPr>
          <w:trHeight w:val="156"/>
        </w:trPr>
        <w:tc>
          <w:tcPr>
            <w:tcW w:w="194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Magnesia Specialties</w:t>
            </w:r>
          </w:p>
        </w:tc>
        <w:tc>
          <w:tcPr>
            <w:tcW w:w="42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146"/>
              <w:spacing w:after="0" w:line="156" w:lineRule="exact"/>
              <w:rPr>
                <w:sz w:val="20"/>
                <w:szCs w:val="20"/>
                <w:color w:val="auto"/>
              </w:rPr>
            </w:pPr>
            <w:r>
              <w:rPr>
                <w:rFonts w:ascii="Arial" w:cs="Arial" w:eastAsia="Arial" w:hAnsi="Arial"/>
                <w:sz w:val="15"/>
                <w:szCs w:val="15"/>
                <w:b w:val="1"/>
                <w:bCs w:val="1"/>
                <w:color w:val="auto"/>
              </w:rPr>
              <w:t>89,399</w:t>
            </w: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106"/>
              <w:spacing w:after="0" w:line="156" w:lineRule="exact"/>
              <w:rPr>
                <w:sz w:val="20"/>
                <w:szCs w:val="20"/>
                <w:color w:val="auto"/>
              </w:rPr>
            </w:pPr>
            <w:r>
              <w:rPr>
                <w:rFonts w:ascii="Arial" w:cs="Arial" w:eastAsia="Arial" w:hAnsi="Arial"/>
                <w:sz w:val="15"/>
                <w:szCs w:val="15"/>
                <w:color w:val="auto"/>
              </w:rPr>
              <w:t>89,603</w:t>
            </w:r>
          </w:p>
        </w:tc>
        <w:tc>
          <w:tcPr>
            <w:tcW w:w="26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6"/>
              <w:spacing w:after="0" w:line="156" w:lineRule="exact"/>
              <w:rPr>
                <w:sz w:val="20"/>
                <w:szCs w:val="20"/>
                <w:color w:val="auto"/>
              </w:rPr>
            </w:pPr>
            <w:r>
              <w:rPr>
                <w:rFonts w:ascii="Arial" w:cs="Arial" w:eastAsia="Arial" w:hAnsi="Arial"/>
                <w:sz w:val="15"/>
                <w:szCs w:val="15"/>
                <w:color w:val="auto"/>
              </w:rPr>
              <w:t>79,057</w:t>
            </w:r>
          </w:p>
        </w:tc>
        <w:tc>
          <w:tcPr>
            <w:tcW w:w="0" w:type="dxa"/>
            <w:vAlign w:val="bottom"/>
          </w:tcPr>
          <w:p>
            <w:pPr>
              <w:spacing w:after="0"/>
              <w:rPr>
                <w:sz w:val="1"/>
                <w:szCs w:val="1"/>
                <w:color w:val="auto"/>
              </w:rPr>
            </w:pPr>
          </w:p>
        </w:tc>
      </w:tr>
      <w:tr>
        <w:trPr>
          <w:trHeight w:val="156"/>
        </w:trPr>
        <w:tc>
          <w:tcPr>
            <w:tcW w:w="1940" w:type="dxa"/>
            <w:vAlign w:val="bottom"/>
            <w:tcBorders>
              <w:bottom w:val="single" w:sz="8" w:color="auto"/>
            </w:tcBorders>
          </w:tcPr>
          <w:p>
            <w:pPr>
              <w:spacing w:after="0" w:line="156" w:lineRule="exact"/>
              <w:rPr>
                <w:sz w:val="20"/>
                <w:szCs w:val="20"/>
                <w:color w:val="auto"/>
              </w:rPr>
            </w:pPr>
            <w:r>
              <w:rPr>
                <w:rFonts w:ascii="Arial" w:cs="Arial" w:eastAsia="Arial" w:hAnsi="Arial"/>
                <w:sz w:val="15"/>
                <w:szCs w:val="15"/>
                <w:color w:val="auto"/>
              </w:rPr>
              <w:t>Corporate</w:t>
            </w:r>
          </w:p>
        </w:tc>
        <w:tc>
          <w:tcPr>
            <w:tcW w:w="4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46"/>
              <w:spacing w:after="0" w:line="156" w:lineRule="exact"/>
              <w:rPr>
                <w:sz w:val="20"/>
                <w:szCs w:val="20"/>
                <w:color w:val="auto"/>
              </w:rPr>
            </w:pPr>
            <w:r>
              <w:rPr>
                <w:rFonts w:ascii="Arial" w:cs="Arial" w:eastAsia="Arial" w:hAnsi="Arial"/>
                <w:sz w:val="15"/>
                <w:szCs w:val="15"/>
                <w:b w:val="1"/>
                <w:bCs w:val="1"/>
                <w:color w:val="auto"/>
              </w:rPr>
              <w:t>6,910</w:t>
            </w: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66"/>
              <w:spacing w:after="0" w:line="156" w:lineRule="exact"/>
              <w:rPr>
                <w:sz w:val="20"/>
                <w:szCs w:val="20"/>
                <w:color w:val="auto"/>
              </w:rPr>
            </w:pPr>
            <w:r>
              <w:rPr>
                <w:rFonts w:ascii="Arial" w:cs="Arial" w:eastAsia="Arial" w:hAnsi="Arial"/>
                <w:sz w:val="15"/>
                <w:szCs w:val="15"/>
                <w:color w:val="auto"/>
              </w:rPr>
              <w:t>(8,501)</w:t>
            </w:r>
          </w:p>
        </w:tc>
        <w:tc>
          <w:tcPr>
            <w:tcW w:w="2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(4,165)</w:t>
            </w:r>
          </w:p>
        </w:tc>
        <w:tc>
          <w:tcPr>
            <w:tcW w:w="0" w:type="dxa"/>
            <w:vAlign w:val="bottom"/>
          </w:tcPr>
          <w:p>
            <w:pPr>
              <w:spacing w:after="0"/>
              <w:rPr>
                <w:sz w:val="1"/>
                <w:szCs w:val="1"/>
                <w:color w:val="auto"/>
              </w:rPr>
            </w:pPr>
          </w:p>
        </w:tc>
      </w:tr>
      <w:tr>
        <w:trPr>
          <w:trHeight w:val="155"/>
        </w:trPr>
        <w:tc>
          <w:tcPr>
            <w:tcW w:w="194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5"/>
                <w:szCs w:val="15"/>
                <w:color w:val="auto"/>
              </w:rPr>
              <w:t>Total</w:t>
            </w:r>
          </w:p>
        </w:tc>
        <w:tc>
          <w:tcPr>
            <w:tcW w:w="4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920" w:type="dxa"/>
            <w:vAlign w:val="bottom"/>
            <w:tcBorders>
              <w:bottom w:val="single" w:sz="8" w:color="auto"/>
            </w:tcBorders>
            <w:shd w:val="clear" w:color="auto" w:fill="CCEEFF"/>
          </w:tcPr>
          <w:p>
            <w:pPr>
              <w:jc w:val="right"/>
              <w:ind w:right="146"/>
              <w:spacing w:after="0" w:line="149" w:lineRule="exact"/>
              <w:rPr>
                <w:sz w:val="20"/>
                <w:szCs w:val="20"/>
                <w:color w:val="auto"/>
              </w:rPr>
            </w:pPr>
            <w:r>
              <w:rPr>
                <w:rFonts w:ascii="Arial" w:cs="Arial" w:eastAsia="Arial" w:hAnsi="Arial"/>
                <w:sz w:val="15"/>
                <w:szCs w:val="15"/>
                <w:b w:val="1"/>
                <w:bCs w:val="1"/>
                <w:color w:val="auto"/>
              </w:rPr>
              <w:t>971,940</w:t>
            </w:r>
          </w:p>
        </w:tc>
        <w:tc>
          <w:tcPr>
            <w:tcW w:w="2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shd w:val="clear" w:color="auto" w:fill="CCEEFF"/>
          </w:tcPr>
          <w:p>
            <w:pPr>
              <w:jc w:val="right"/>
              <w:ind w:right="106"/>
              <w:spacing w:after="0" w:line="149" w:lineRule="exact"/>
              <w:rPr>
                <w:sz w:val="20"/>
                <w:szCs w:val="20"/>
                <w:color w:val="auto"/>
              </w:rPr>
            </w:pPr>
            <w:r>
              <w:rPr>
                <w:rFonts w:ascii="Arial" w:cs="Arial" w:eastAsia="Arial" w:hAnsi="Arial"/>
                <w:sz w:val="15"/>
                <w:szCs w:val="15"/>
                <w:color w:val="auto"/>
              </w:rPr>
              <w:t>911,738</w:t>
            </w:r>
          </w:p>
        </w:tc>
        <w:tc>
          <w:tcPr>
            <w:tcW w:w="2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shd w:val="clear" w:color="auto" w:fill="CCEEFF"/>
          </w:tcPr>
          <w:p>
            <w:pPr>
              <w:jc w:val="right"/>
              <w:ind w:right="6"/>
              <w:spacing w:after="0" w:line="149" w:lineRule="exact"/>
              <w:rPr>
                <w:sz w:val="20"/>
                <w:szCs w:val="20"/>
                <w:color w:val="auto"/>
              </w:rPr>
            </w:pPr>
            <w:r>
              <w:rPr>
                <w:rFonts w:ascii="Arial" w:cs="Arial" w:eastAsia="Arial" w:hAnsi="Arial"/>
                <w:sz w:val="15"/>
                <w:szCs w:val="15"/>
                <w:color w:val="auto"/>
              </w:rPr>
              <w:t>726,920</w:t>
            </w:r>
          </w:p>
        </w:tc>
        <w:tc>
          <w:tcPr>
            <w:tcW w:w="0" w:type="dxa"/>
            <w:vAlign w:val="bottom"/>
          </w:tcPr>
          <w:p>
            <w:pPr>
              <w:spacing w:after="0"/>
              <w:rPr>
                <w:sz w:val="1"/>
                <w:szCs w:val="1"/>
                <w:color w:val="auto"/>
              </w:rPr>
            </w:pPr>
          </w:p>
        </w:tc>
      </w:tr>
      <w:tr>
        <w:trPr>
          <w:trHeight w:val="350"/>
        </w:trPr>
        <w:tc>
          <w:tcPr>
            <w:tcW w:w="3280" w:type="dxa"/>
            <w:vAlign w:val="bottom"/>
            <w:tcBorders>
              <w:bottom w:val="single" w:sz="8" w:color="auto"/>
            </w:tcBorders>
            <w:gridSpan w:val="3"/>
          </w:tcPr>
          <w:p>
            <w:pPr>
              <w:spacing w:after="0"/>
              <w:rPr>
                <w:sz w:val="20"/>
                <w:szCs w:val="20"/>
                <w:color w:val="auto"/>
              </w:rPr>
            </w:pPr>
            <w:r>
              <w:rPr>
                <w:rFonts w:ascii="Arial" w:cs="Arial" w:eastAsia="Arial" w:hAnsi="Arial"/>
                <w:sz w:val="15"/>
                <w:szCs w:val="15"/>
                <w:b w:val="1"/>
                <w:bCs w:val="1"/>
                <w:color w:val="auto"/>
              </w:rPr>
              <w:t>Selling, general and administrative expenses</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94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Mid-America Group</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920" w:type="dxa"/>
            <w:vAlign w:val="bottom"/>
            <w:shd w:val="clear" w:color="auto" w:fill="CCEEFF"/>
          </w:tcPr>
          <w:p>
            <w:pPr>
              <w:jc w:val="right"/>
              <w:ind w:right="146"/>
              <w:spacing w:after="0" w:line="149" w:lineRule="exact"/>
              <w:rPr>
                <w:sz w:val="20"/>
                <w:szCs w:val="20"/>
                <w:color w:val="auto"/>
              </w:rPr>
            </w:pPr>
            <w:r>
              <w:rPr>
                <w:rFonts w:ascii="Arial" w:cs="Arial" w:eastAsia="Arial" w:hAnsi="Arial"/>
                <w:sz w:val="15"/>
                <w:szCs w:val="15"/>
                <w:b w:val="1"/>
                <w:bCs w:val="1"/>
                <w:color w:val="auto"/>
              </w:rPr>
              <w:t>53,937</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ind w:right="106"/>
              <w:spacing w:after="0" w:line="149" w:lineRule="exact"/>
              <w:rPr>
                <w:sz w:val="20"/>
                <w:szCs w:val="20"/>
                <w:color w:val="auto"/>
              </w:rPr>
            </w:pPr>
            <w:r>
              <w:rPr>
                <w:rFonts w:ascii="Arial" w:cs="Arial" w:eastAsia="Arial" w:hAnsi="Arial"/>
                <w:sz w:val="15"/>
                <w:szCs w:val="15"/>
                <w:color w:val="auto"/>
              </w:rPr>
              <w:t>52,712</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ind w:right="6"/>
              <w:spacing w:after="0" w:line="149" w:lineRule="exact"/>
              <w:rPr>
                <w:sz w:val="20"/>
                <w:szCs w:val="20"/>
                <w:color w:val="auto"/>
              </w:rPr>
            </w:pPr>
            <w:r>
              <w:rPr>
                <w:rFonts w:ascii="Arial" w:cs="Arial" w:eastAsia="Arial" w:hAnsi="Arial"/>
                <w:sz w:val="15"/>
                <w:szCs w:val="15"/>
                <w:color w:val="auto"/>
              </w:rPr>
              <w:t>52,227</w:t>
            </w:r>
          </w:p>
        </w:tc>
        <w:tc>
          <w:tcPr>
            <w:tcW w:w="0" w:type="dxa"/>
            <w:vAlign w:val="bottom"/>
          </w:tcPr>
          <w:p>
            <w:pPr>
              <w:spacing w:after="0"/>
              <w:rPr>
                <w:sz w:val="1"/>
                <w:szCs w:val="1"/>
                <w:color w:val="auto"/>
              </w:rPr>
            </w:pPr>
          </w:p>
        </w:tc>
      </w:tr>
      <w:tr>
        <w:trPr>
          <w:trHeight w:val="156"/>
        </w:trPr>
        <w:tc>
          <w:tcPr>
            <w:tcW w:w="1940" w:type="dxa"/>
            <w:vAlign w:val="bottom"/>
          </w:tcPr>
          <w:p>
            <w:pPr>
              <w:spacing w:after="0" w:line="156" w:lineRule="exact"/>
              <w:rPr>
                <w:sz w:val="20"/>
                <w:szCs w:val="20"/>
                <w:color w:val="auto"/>
              </w:rPr>
            </w:pPr>
            <w:r>
              <w:rPr>
                <w:rFonts w:ascii="Arial" w:cs="Arial" w:eastAsia="Arial" w:hAnsi="Arial"/>
                <w:sz w:val="15"/>
                <w:szCs w:val="15"/>
                <w:color w:val="auto"/>
              </w:rPr>
              <w:t>Southeast Group</w:t>
            </w:r>
          </w:p>
        </w:tc>
        <w:tc>
          <w:tcPr>
            <w:tcW w:w="420" w:type="dxa"/>
            <w:vAlign w:val="bottom"/>
          </w:tcPr>
          <w:p>
            <w:pPr>
              <w:spacing w:after="0"/>
              <w:rPr>
                <w:sz w:val="13"/>
                <w:szCs w:val="13"/>
                <w:color w:val="auto"/>
              </w:rPr>
            </w:pPr>
          </w:p>
        </w:tc>
        <w:tc>
          <w:tcPr>
            <w:tcW w:w="920" w:type="dxa"/>
            <w:vAlign w:val="bottom"/>
          </w:tcPr>
          <w:p>
            <w:pPr>
              <w:jc w:val="right"/>
              <w:ind w:right="146"/>
              <w:spacing w:after="0" w:line="156" w:lineRule="exact"/>
              <w:rPr>
                <w:sz w:val="20"/>
                <w:szCs w:val="20"/>
                <w:color w:val="auto"/>
              </w:rPr>
            </w:pPr>
            <w:r>
              <w:rPr>
                <w:rFonts w:ascii="Arial" w:cs="Arial" w:eastAsia="Arial" w:hAnsi="Arial"/>
                <w:sz w:val="15"/>
                <w:szCs w:val="15"/>
                <w:b w:val="1"/>
                <w:bCs w:val="1"/>
                <w:color w:val="auto"/>
              </w:rPr>
              <w:t>17,144</w:t>
            </w:r>
          </w:p>
        </w:tc>
        <w:tc>
          <w:tcPr>
            <w:tcW w:w="260" w:type="dxa"/>
            <w:vAlign w:val="bottom"/>
          </w:tcPr>
          <w:p>
            <w:pPr>
              <w:spacing w:after="0"/>
              <w:rPr>
                <w:sz w:val="13"/>
                <w:szCs w:val="13"/>
                <w:color w:val="auto"/>
              </w:rPr>
            </w:pPr>
          </w:p>
        </w:tc>
        <w:tc>
          <w:tcPr>
            <w:tcW w:w="900" w:type="dxa"/>
            <w:vAlign w:val="bottom"/>
          </w:tcPr>
          <w:p>
            <w:pPr>
              <w:jc w:val="right"/>
              <w:ind w:right="106"/>
              <w:spacing w:after="0" w:line="156" w:lineRule="exact"/>
              <w:rPr>
                <w:sz w:val="20"/>
                <w:szCs w:val="20"/>
                <w:color w:val="auto"/>
              </w:rPr>
            </w:pPr>
            <w:r>
              <w:rPr>
                <w:rFonts w:ascii="Arial" w:cs="Arial" w:eastAsia="Arial" w:hAnsi="Arial"/>
                <w:sz w:val="15"/>
                <w:szCs w:val="15"/>
                <w:color w:val="auto"/>
              </w:rPr>
              <w:t>17,245</w:t>
            </w:r>
          </w:p>
        </w:tc>
        <w:tc>
          <w:tcPr>
            <w:tcW w:w="260" w:type="dxa"/>
            <w:vAlign w:val="bottom"/>
          </w:tcPr>
          <w:p>
            <w:pPr>
              <w:spacing w:after="0"/>
              <w:rPr>
                <w:sz w:val="13"/>
                <w:szCs w:val="13"/>
                <w:color w:val="auto"/>
              </w:rPr>
            </w:pPr>
          </w:p>
        </w:tc>
        <w:tc>
          <w:tcPr>
            <w:tcW w:w="780" w:type="dxa"/>
            <w:vAlign w:val="bottom"/>
          </w:tcPr>
          <w:p>
            <w:pPr>
              <w:jc w:val="right"/>
              <w:ind w:right="6"/>
              <w:spacing w:after="0" w:line="156" w:lineRule="exact"/>
              <w:rPr>
                <w:sz w:val="20"/>
                <w:szCs w:val="20"/>
                <w:color w:val="auto"/>
              </w:rPr>
            </w:pPr>
            <w:r>
              <w:rPr>
                <w:rFonts w:ascii="Arial" w:cs="Arial" w:eastAsia="Arial" w:hAnsi="Arial"/>
                <w:sz w:val="15"/>
                <w:szCs w:val="15"/>
                <w:color w:val="auto"/>
              </w:rPr>
              <w:t>18,353</w:t>
            </w:r>
          </w:p>
        </w:tc>
        <w:tc>
          <w:tcPr>
            <w:tcW w:w="0" w:type="dxa"/>
            <w:vAlign w:val="bottom"/>
          </w:tcPr>
          <w:p>
            <w:pPr>
              <w:spacing w:after="0"/>
              <w:rPr>
                <w:sz w:val="1"/>
                <w:szCs w:val="1"/>
                <w:color w:val="auto"/>
              </w:rPr>
            </w:pPr>
          </w:p>
        </w:tc>
      </w:tr>
      <w:tr>
        <w:trPr>
          <w:trHeight w:val="156"/>
        </w:trPr>
        <w:tc>
          <w:tcPr>
            <w:tcW w:w="194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West Group</w:t>
            </w:r>
          </w:p>
        </w:tc>
        <w:tc>
          <w:tcPr>
            <w:tcW w:w="42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ind w:right="146"/>
              <w:spacing w:after="0" w:line="156" w:lineRule="exact"/>
              <w:rPr>
                <w:sz w:val="20"/>
                <w:szCs w:val="20"/>
                <w:color w:val="auto"/>
              </w:rPr>
            </w:pPr>
            <w:r>
              <w:rPr>
                <w:rFonts w:ascii="Arial" w:cs="Arial" w:eastAsia="Arial" w:hAnsi="Arial"/>
                <w:sz w:val="15"/>
                <w:szCs w:val="15"/>
                <w:b w:val="1"/>
                <w:bCs w:val="1"/>
                <w:color w:val="auto"/>
              </w:rPr>
              <w:t>102,650</w:t>
            </w:r>
          </w:p>
        </w:tc>
        <w:tc>
          <w:tcPr>
            <w:tcW w:w="26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106"/>
              <w:spacing w:after="0" w:line="156" w:lineRule="exact"/>
              <w:rPr>
                <w:sz w:val="20"/>
                <w:szCs w:val="20"/>
                <w:color w:val="auto"/>
              </w:rPr>
            </w:pPr>
            <w:r>
              <w:rPr>
                <w:rFonts w:ascii="Arial" w:cs="Arial" w:eastAsia="Arial" w:hAnsi="Arial"/>
                <w:sz w:val="15"/>
                <w:szCs w:val="15"/>
                <w:color w:val="auto"/>
              </w:rPr>
              <w:t>95,631</w:t>
            </w:r>
          </w:p>
        </w:tc>
        <w:tc>
          <w:tcPr>
            <w:tcW w:w="26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ind w:right="6"/>
              <w:spacing w:after="0" w:line="156" w:lineRule="exact"/>
              <w:rPr>
                <w:sz w:val="20"/>
                <w:szCs w:val="20"/>
                <w:color w:val="auto"/>
              </w:rPr>
            </w:pPr>
            <w:r>
              <w:rPr>
                <w:rFonts w:ascii="Arial" w:cs="Arial" w:eastAsia="Arial" w:hAnsi="Arial"/>
                <w:sz w:val="15"/>
                <w:szCs w:val="15"/>
                <w:color w:val="auto"/>
              </w:rPr>
              <w:t>92,988</w:t>
            </w:r>
          </w:p>
        </w:tc>
        <w:tc>
          <w:tcPr>
            <w:tcW w:w="0" w:type="dxa"/>
            <w:vAlign w:val="bottom"/>
          </w:tcPr>
          <w:p>
            <w:pPr>
              <w:spacing w:after="0"/>
              <w:rPr>
                <w:sz w:val="1"/>
                <w:szCs w:val="1"/>
                <w:color w:val="auto"/>
              </w:rPr>
            </w:pPr>
          </w:p>
        </w:tc>
      </w:tr>
      <w:tr>
        <w:trPr>
          <w:trHeight w:val="145"/>
        </w:trPr>
        <w:tc>
          <w:tcPr>
            <w:tcW w:w="1940" w:type="dxa"/>
            <w:vAlign w:val="bottom"/>
          </w:tcPr>
          <w:p>
            <w:pPr>
              <w:spacing w:after="0" w:line="146" w:lineRule="exact"/>
              <w:rPr>
                <w:sz w:val="20"/>
                <w:szCs w:val="20"/>
                <w:color w:val="auto"/>
              </w:rPr>
            </w:pPr>
            <w:r>
              <w:rPr>
                <w:rFonts w:ascii="Arial" w:cs="Arial" w:eastAsia="Arial" w:hAnsi="Arial"/>
                <w:sz w:val="15"/>
                <w:szCs w:val="15"/>
                <w:color w:val="auto"/>
              </w:rPr>
              <w:t>Total Building</w:t>
            </w:r>
          </w:p>
        </w:tc>
        <w:tc>
          <w:tcPr>
            <w:tcW w:w="420" w:type="dxa"/>
            <w:vAlign w:val="bottom"/>
          </w:tcPr>
          <w:p>
            <w:pPr>
              <w:spacing w:after="0"/>
              <w:rPr>
                <w:sz w:val="12"/>
                <w:szCs w:val="12"/>
                <w:color w:val="auto"/>
              </w:rPr>
            </w:pPr>
          </w:p>
        </w:tc>
        <w:tc>
          <w:tcPr>
            <w:tcW w:w="920" w:type="dxa"/>
            <w:vAlign w:val="bottom"/>
            <w:vMerge w:val="restart"/>
          </w:tcPr>
          <w:p>
            <w:pPr>
              <w:jc w:val="right"/>
              <w:ind w:right="146"/>
              <w:spacing w:after="0"/>
              <w:rPr>
                <w:sz w:val="20"/>
                <w:szCs w:val="20"/>
                <w:color w:val="auto"/>
              </w:rPr>
            </w:pPr>
            <w:r>
              <w:rPr>
                <w:rFonts w:ascii="Arial" w:cs="Arial" w:eastAsia="Arial" w:hAnsi="Arial"/>
                <w:sz w:val="15"/>
                <w:szCs w:val="15"/>
                <w:b w:val="1"/>
                <w:bCs w:val="1"/>
                <w:color w:val="auto"/>
              </w:rPr>
              <w:t>173,731</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940" w:type="dxa"/>
            <w:vAlign w:val="bottom"/>
          </w:tcPr>
          <w:p>
            <w:pPr>
              <w:ind w:left="160"/>
              <w:spacing w:after="0" w:line="159" w:lineRule="exact"/>
              <w:rPr>
                <w:sz w:val="20"/>
                <w:szCs w:val="20"/>
                <w:color w:val="auto"/>
              </w:rPr>
            </w:pPr>
            <w:r>
              <w:rPr>
                <w:rFonts w:ascii="Arial" w:cs="Arial" w:eastAsia="Arial" w:hAnsi="Arial"/>
                <w:sz w:val="15"/>
                <w:szCs w:val="15"/>
                <w:color w:val="auto"/>
              </w:rPr>
              <w:t>Materials Business</w:t>
            </w:r>
          </w:p>
        </w:tc>
        <w:tc>
          <w:tcPr>
            <w:tcW w:w="42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ind w:right="106"/>
              <w:spacing w:after="0" w:line="159" w:lineRule="exact"/>
              <w:rPr>
                <w:sz w:val="20"/>
                <w:szCs w:val="20"/>
                <w:color w:val="auto"/>
              </w:rPr>
            </w:pPr>
            <w:r>
              <w:rPr>
                <w:rFonts w:ascii="Arial" w:cs="Arial" w:eastAsia="Arial" w:hAnsi="Arial"/>
                <w:sz w:val="15"/>
                <w:szCs w:val="15"/>
                <w:color w:val="auto"/>
              </w:rPr>
              <w:t>165,588</w:t>
            </w:r>
          </w:p>
        </w:tc>
        <w:tc>
          <w:tcPr>
            <w:tcW w:w="260" w:type="dxa"/>
            <w:vAlign w:val="bottom"/>
          </w:tcPr>
          <w:p>
            <w:pPr>
              <w:spacing w:after="0"/>
              <w:rPr>
                <w:sz w:val="13"/>
                <w:szCs w:val="13"/>
                <w:color w:val="auto"/>
              </w:rPr>
            </w:pPr>
          </w:p>
        </w:tc>
        <w:tc>
          <w:tcPr>
            <w:tcW w:w="780" w:type="dxa"/>
            <w:vAlign w:val="bottom"/>
          </w:tcPr>
          <w:p>
            <w:pPr>
              <w:jc w:val="right"/>
              <w:ind w:right="6"/>
              <w:spacing w:after="0" w:line="159" w:lineRule="exact"/>
              <w:rPr>
                <w:sz w:val="20"/>
                <w:szCs w:val="20"/>
                <w:color w:val="auto"/>
              </w:rPr>
            </w:pPr>
            <w:r>
              <w:rPr>
                <w:rFonts w:ascii="Arial" w:cs="Arial" w:eastAsia="Arial" w:hAnsi="Arial"/>
                <w:sz w:val="15"/>
                <w:szCs w:val="15"/>
                <w:color w:val="auto"/>
              </w:rPr>
              <w:t>163,568</w:t>
            </w:r>
          </w:p>
        </w:tc>
        <w:tc>
          <w:tcPr>
            <w:tcW w:w="0" w:type="dxa"/>
            <w:vAlign w:val="bottom"/>
          </w:tcPr>
          <w:p>
            <w:pPr>
              <w:spacing w:after="0"/>
              <w:rPr>
                <w:sz w:val="1"/>
                <w:szCs w:val="1"/>
                <w:color w:val="auto"/>
              </w:rPr>
            </w:pPr>
          </w:p>
        </w:tc>
      </w:tr>
      <w:tr>
        <w:trPr>
          <w:trHeight w:val="156"/>
        </w:trPr>
        <w:tc>
          <w:tcPr>
            <w:tcW w:w="194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Magnesia Specialties</w:t>
            </w:r>
          </w:p>
        </w:tc>
        <w:tc>
          <w:tcPr>
            <w:tcW w:w="42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146"/>
              <w:spacing w:after="0" w:line="156" w:lineRule="exact"/>
              <w:rPr>
                <w:sz w:val="20"/>
                <w:szCs w:val="20"/>
                <w:color w:val="auto"/>
              </w:rPr>
            </w:pPr>
            <w:r>
              <w:rPr>
                <w:rFonts w:ascii="Arial" w:cs="Arial" w:eastAsia="Arial" w:hAnsi="Arial"/>
                <w:sz w:val="15"/>
                <w:szCs w:val="15"/>
                <w:b w:val="1"/>
                <w:bCs w:val="1"/>
                <w:color w:val="auto"/>
              </w:rPr>
              <w:t>9,537</w:t>
            </w: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106"/>
              <w:spacing w:after="0" w:line="156" w:lineRule="exact"/>
              <w:rPr>
                <w:sz w:val="20"/>
                <w:szCs w:val="20"/>
                <w:color w:val="auto"/>
              </w:rPr>
            </w:pPr>
            <w:r>
              <w:rPr>
                <w:rFonts w:ascii="Arial" w:cs="Arial" w:eastAsia="Arial" w:hAnsi="Arial"/>
                <w:sz w:val="15"/>
                <w:szCs w:val="15"/>
                <w:color w:val="auto"/>
              </w:rPr>
              <w:t>9,617</w:t>
            </w:r>
          </w:p>
        </w:tc>
        <w:tc>
          <w:tcPr>
            <w:tcW w:w="26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6"/>
              <w:spacing w:after="0" w:line="156" w:lineRule="exact"/>
              <w:rPr>
                <w:sz w:val="20"/>
                <w:szCs w:val="20"/>
                <w:color w:val="auto"/>
              </w:rPr>
            </w:pPr>
            <w:r>
              <w:rPr>
                <w:rFonts w:ascii="Arial" w:cs="Arial" w:eastAsia="Arial" w:hAnsi="Arial"/>
                <w:sz w:val="15"/>
                <w:szCs w:val="15"/>
                <w:color w:val="auto"/>
              </w:rPr>
              <w:t>9,408</w:t>
            </w:r>
          </w:p>
        </w:tc>
        <w:tc>
          <w:tcPr>
            <w:tcW w:w="0" w:type="dxa"/>
            <w:vAlign w:val="bottom"/>
          </w:tcPr>
          <w:p>
            <w:pPr>
              <w:spacing w:after="0"/>
              <w:rPr>
                <w:sz w:val="1"/>
                <w:szCs w:val="1"/>
                <w:color w:val="auto"/>
              </w:rPr>
            </w:pPr>
          </w:p>
        </w:tc>
      </w:tr>
      <w:tr>
        <w:trPr>
          <w:trHeight w:val="156"/>
        </w:trPr>
        <w:tc>
          <w:tcPr>
            <w:tcW w:w="1940" w:type="dxa"/>
            <w:vAlign w:val="bottom"/>
            <w:tcBorders>
              <w:bottom w:val="single" w:sz="8" w:color="auto"/>
            </w:tcBorders>
          </w:tcPr>
          <w:p>
            <w:pPr>
              <w:spacing w:after="0" w:line="156" w:lineRule="exact"/>
              <w:rPr>
                <w:sz w:val="20"/>
                <w:szCs w:val="20"/>
                <w:color w:val="auto"/>
              </w:rPr>
            </w:pPr>
            <w:r>
              <w:rPr>
                <w:rFonts w:ascii="Arial" w:cs="Arial" w:eastAsia="Arial" w:hAnsi="Arial"/>
                <w:sz w:val="15"/>
                <w:szCs w:val="15"/>
                <w:color w:val="auto"/>
              </w:rPr>
              <w:t>Corporate</w:t>
            </w:r>
          </w:p>
        </w:tc>
        <w:tc>
          <w:tcPr>
            <w:tcW w:w="4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46"/>
              <w:spacing w:after="0" w:line="156" w:lineRule="exact"/>
              <w:rPr>
                <w:sz w:val="20"/>
                <w:szCs w:val="20"/>
                <w:color w:val="auto"/>
              </w:rPr>
            </w:pPr>
            <w:r>
              <w:rPr>
                <w:rFonts w:ascii="Arial" w:cs="Arial" w:eastAsia="Arial" w:hAnsi="Arial"/>
                <w:sz w:val="15"/>
                <w:szCs w:val="15"/>
                <w:b w:val="1"/>
                <w:bCs w:val="1"/>
                <w:color w:val="auto"/>
              </w:rPr>
              <w:t>78,860</w:t>
            </w: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106"/>
              <w:spacing w:after="0" w:line="156" w:lineRule="exact"/>
              <w:rPr>
                <w:sz w:val="20"/>
                <w:szCs w:val="20"/>
                <w:color w:val="auto"/>
              </w:rPr>
            </w:pPr>
            <w:r>
              <w:rPr>
                <w:rFonts w:ascii="Arial" w:cs="Arial" w:eastAsia="Arial" w:hAnsi="Arial"/>
                <w:sz w:val="15"/>
                <w:szCs w:val="15"/>
                <w:color w:val="auto"/>
              </w:rPr>
              <w:t>66,401</w:t>
            </w:r>
          </w:p>
        </w:tc>
        <w:tc>
          <w:tcPr>
            <w:tcW w:w="2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6"/>
              <w:spacing w:after="0" w:line="156" w:lineRule="exact"/>
              <w:rPr>
                <w:sz w:val="20"/>
                <w:szCs w:val="20"/>
                <w:color w:val="auto"/>
              </w:rPr>
            </w:pPr>
            <w:r>
              <w:rPr>
                <w:rFonts w:ascii="Arial" w:cs="Arial" w:eastAsia="Arial" w:hAnsi="Arial"/>
                <w:sz w:val="15"/>
                <w:szCs w:val="15"/>
                <w:color w:val="auto"/>
              </w:rPr>
              <w:t>37,778</w:t>
            </w:r>
          </w:p>
        </w:tc>
        <w:tc>
          <w:tcPr>
            <w:tcW w:w="0" w:type="dxa"/>
            <w:vAlign w:val="bottom"/>
          </w:tcPr>
          <w:p>
            <w:pPr>
              <w:spacing w:after="0"/>
              <w:rPr>
                <w:sz w:val="1"/>
                <w:szCs w:val="1"/>
                <w:color w:val="auto"/>
              </w:rPr>
            </w:pPr>
          </w:p>
        </w:tc>
      </w:tr>
      <w:tr>
        <w:trPr>
          <w:trHeight w:val="155"/>
        </w:trPr>
        <w:tc>
          <w:tcPr>
            <w:tcW w:w="194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5"/>
                <w:szCs w:val="15"/>
                <w:color w:val="auto"/>
              </w:rPr>
              <w:t>Total</w:t>
            </w:r>
          </w:p>
        </w:tc>
        <w:tc>
          <w:tcPr>
            <w:tcW w:w="4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920" w:type="dxa"/>
            <w:vAlign w:val="bottom"/>
            <w:tcBorders>
              <w:bottom w:val="single" w:sz="8" w:color="auto"/>
            </w:tcBorders>
            <w:shd w:val="clear" w:color="auto" w:fill="CCEEFF"/>
          </w:tcPr>
          <w:p>
            <w:pPr>
              <w:jc w:val="right"/>
              <w:ind w:right="146"/>
              <w:spacing w:after="0" w:line="149" w:lineRule="exact"/>
              <w:rPr>
                <w:sz w:val="20"/>
                <w:szCs w:val="20"/>
                <w:color w:val="auto"/>
              </w:rPr>
            </w:pPr>
            <w:r>
              <w:rPr>
                <w:rFonts w:ascii="Arial" w:cs="Arial" w:eastAsia="Arial" w:hAnsi="Arial"/>
                <w:sz w:val="15"/>
                <w:szCs w:val="15"/>
                <w:b w:val="1"/>
                <w:bCs w:val="1"/>
                <w:color w:val="auto"/>
              </w:rPr>
              <w:t>262,128</w:t>
            </w:r>
          </w:p>
        </w:tc>
        <w:tc>
          <w:tcPr>
            <w:tcW w:w="2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shd w:val="clear" w:color="auto" w:fill="CCEEFF"/>
          </w:tcPr>
          <w:p>
            <w:pPr>
              <w:jc w:val="right"/>
              <w:ind w:right="106"/>
              <w:spacing w:after="0" w:line="149" w:lineRule="exact"/>
              <w:rPr>
                <w:sz w:val="20"/>
                <w:szCs w:val="20"/>
                <w:color w:val="auto"/>
              </w:rPr>
            </w:pPr>
            <w:r>
              <w:rPr>
                <w:rFonts w:ascii="Arial" w:cs="Arial" w:eastAsia="Arial" w:hAnsi="Arial"/>
                <w:sz w:val="15"/>
                <w:szCs w:val="15"/>
                <w:color w:val="auto"/>
              </w:rPr>
              <w:t>241,606</w:t>
            </w:r>
          </w:p>
        </w:tc>
        <w:tc>
          <w:tcPr>
            <w:tcW w:w="2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shd w:val="clear" w:color="auto" w:fill="CCEEFF"/>
          </w:tcPr>
          <w:p>
            <w:pPr>
              <w:jc w:val="right"/>
              <w:ind w:right="6"/>
              <w:spacing w:after="0" w:line="149" w:lineRule="exact"/>
              <w:rPr>
                <w:sz w:val="20"/>
                <w:szCs w:val="20"/>
                <w:color w:val="auto"/>
              </w:rPr>
            </w:pPr>
            <w:r>
              <w:rPr>
                <w:rFonts w:ascii="Arial" w:cs="Arial" w:eastAsia="Arial" w:hAnsi="Arial"/>
                <w:sz w:val="15"/>
                <w:szCs w:val="15"/>
                <w:color w:val="auto"/>
              </w:rPr>
              <w:t>210,754</w:t>
            </w:r>
          </w:p>
        </w:tc>
        <w:tc>
          <w:tcPr>
            <w:tcW w:w="0" w:type="dxa"/>
            <w:vAlign w:val="bottom"/>
          </w:tcPr>
          <w:p>
            <w:pPr>
              <w:spacing w:after="0"/>
              <w:rPr>
                <w:sz w:val="1"/>
                <w:szCs w:val="1"/>
                <w:color w:val="auto"/>
              </w:rPr>
            </w:pPr>
          </w:p>
        </w:tc>
      </w:tr>
      <w:tr>
        <w:trPr>
          <w:trHeight w:val="415"/>
        </w:trPr>
        <w:tc>
          <w:tcPr>
            <w:tcW w:w="2360" w:type="dxa"/>
            <w:vAlign w:val="bottom"/>
            <w:tcBorders>
              <w:bottom w:val="single" w:sz="8" w:color="auto"/>
            </w:tcBorders>
            <w:gridSpan w:val="2"/>
          </w:tcPr>
          <w:p>
            <w:pPr>
              <w:spacing w:after="0"/>
              <w:rPr>
                <w:sz w:val="20"/>
                <w:szCs w:val="20"/>
                <w:color w:val="auto"/>
              </w:rPr>
            </w:pPr>
            <w:r>
              <w:rPr>
                <w:rFonts w:ascii="Arial" w:cs="Arial" w:eastAsia="Arial" w:hAnsi="Arial"/>
                <w:sz w:val="15"/>
                <w:szCs w:val="15"/>
                <w:b w:val="1"/>
                <w:bCs w:val="1"/>
                <w:color w:val="auto"/>
              </w:rPr>
              <w:t>Earnings (Loss) from operations</w:t>
            </w: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94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Mid-America Group</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920" w:type="dxa"/>
            <w:vAlign w:val="bottom"/>
            <w:shd w:val="clear" w:color="auto" w:fill="CCEEFF"/>
          </w:tcPr>
          <w:p>
            <w:pPr>
              <w:jc w:val="right"/>
              <w:ind w:right="146"/>
              <w:spacing w:after="0" w:line="149" w:lineRule="exact"/>
              <w:rPr>
                <w:sz w:val="20"/>
                <w:szCs w:val="20"/>
                <w:color w:val="auto"/>
              </w:rPr>
            </w:pPr>
            <w:r>
              <w:rPr>
                <w:rFonts w:ascii="Arial" w:cs="Arial" w:eastAsia="Arial" w:hAnsi="Arial"/>
                <w:sz w:val="15"/>
                <w:szCs w:val="15"/>
                <w:b w:val="1"/>
                <w:bCs w:val="1"/>
                <w:color w:val="auto"/>
              </w:rPr>
              <w:t>284,789</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ind w:right="106"/>
              <w:spacing w:after="0" w:line="149" w:lineRule="exact"/>
              <w:rPr>
                <w:sz w:val="20"/>
                <w:szCs w:val="20"/>
                <w:color w:val="auto"/>
              </w:rPr>
            </w:pPr>
            <w:r>
              <w:rPr>
                <w:rFonts w:ascii="Arial" w:cs="Arial" w:eastAsia="Arial" w:hAnsi="Arial"/>
                <w:sz w:val="15"/>
                <w:szCs w:val="15"/>
                <w:color w:val="auto"/>
              </w:rPr>
              <w:t>258,422</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ind w:right="6"/>
              <w:spacing w:after="0" w:line="149" w:lineRule="exact"/>
              <w:rPr>
                <w:sz w:val="20"/>
                <w:szCs w:val="20"/>
                <w:color w:val="auto"/>
              </w:rPr>
            </w:pPr>
            <w:r>
              <w:rPr>
                <w:rFonts w:ascii="Arial" w:cs="Arial" w:eastAsia="Arial" w:hAnsi="Arial"/>
                <w:sz w:val="15"/>
                <w:szCs w:val="15"/>
                <w:color w:val="auto"/>
              </w:rPr>
              <w:t>207,619</w:t>
            </w:r>
          </w:p>
        </w:tc>
        <w:tc>
          <w:tcPr>
            <w:tcW w:w="0" w:type="dxa"/>
            <w:vAlign w:val="bottom"/>
          </w:tcPr>
          <w:p>
            <w:pPr>
              <w:spacing w:after="0"/>
              <w:rPr>
                <w:sz w:val="1"/>
                <w:szCs w:val="1"/>
                <w:color w:val="auto"/>
              </w:rPr>
            </w:pPr>
          </w:p>
        </w:tc>
      </w:tr>
      <w:tr>
        <w:trPr>
          <w:trHeight w:val="156"/>
        </w:trPr>
        <w:tc>
          <w:tcPr>
            <w:tcW w:w="1940" w:type="dxa"/>
            <w:vAlign w:val="bottom"/>
          </w:tcPr>
          <w:p>
            <w:pPr>
              <w:spacing w:after="0" w:line="156" w:lineRule="exact"/>
              <w:rPr>
                <w:sz w:val="20"/>
                <w:szCs w:val="20"/>
                <w:color w:val="auto"/>
              </w:rPr>
            </w:pPr>
            <w:r>
              <w:rPr>
                <w:rFonts w:ascii="Arial" w:cs="Arial" w:eastAsia="Arial" w:hAnsi="Arial"/>
                <w:sz w:val="15"/>
                <w:szCs w:val="15"/>
                <w:color w:val="auto"/>
              </w:rPr>
              <w:t>Southeast Group</w:t>
            </w:r>
          </w:p>
        </w:tc>
        <w:tc>
          <w:tcPr>
            <w:tcW w:w="420" w:type="dxa"/>
            <w:vAlign w:val="bottom"/>
          </w:tcPr>
          <w:p>
            <w:pPr>
              <w:spacing w:after="0"/>
              <w:rPr>
                <w:sz w:val="13"/>
                <w:szCs w:val="13"/>
                <w:color w:val="auto"/>
              </w:rPr>
            </w:pPr>
          </w:p>
        </w:tc>
        <w:tc>
          <w:tcPr>
            <w:tcW w:w="920" w:type="dxa"/>
            <w:vAlign w:val="bottom"/>
          </w:tcPr>
          <w:p>
            <w:pPr>
              <w:jc w:val="right"/>
              <w:ind w:right="146"/>
              <w:spacing w:after="0" w:line="156" w:lineRule="exact"/>
              <w:rPr>
                <w:sz w:val="20"/>
                <w:szCs w:val="20"/>
                <w:color w:val="auto"/>
              </w:rPr>
            </w:pPr>
            <w:r>
              <w:rPr>
                <w:rFonts w:ascii="Arial" w:cs="Arial" w:eastAsia="Arial" w:hAnsi="Arial"/>
                <w:sz w:val="15"/>
                <w:szCs w:val="15"/>
                <w:b w:val="1"/>
                <w:bCs w:val="1"/>
                <w:color w:val="auto"/>
              </w:rPr>
              <w:t>61,238</w:t>
            </w:r>
          </w:p>
        </w:tc>
        <w:tc>
          <w:tcPr>
            <w:tcW w:w="260" w:type="dxa"/>
            <w:vAlign w:val="bottom"/>
          </w:tcPr>
          <w:p>
            <w:pPr>
              <w:spacing w:after="0"/>
              <w:rPr>
                <w:sz w:val="13"/>
                <w:szCs w:val="13"/>
                <w:color w:val="auto"/>
              </w:rPr>
            </w:pPr>
          </w:p>
        </w:tc>
        <w:tc>
          <w:tcPr>
            <w:tcW w:w="900" w:type="dxa"/>
            <w:vAlign w:val="bottom"/>
          </w:tcPr>
          <w:p>
            <w:pPr>
              <w:jc w:val="right"/>
              <w:ind w:right="106"/>
              <w:spacing w:after="0" w:line="156" w:lineRule="exact"/>
              <w:rPr>
                <w:sz w:val="20"/>
                <w:szCs w:val="20"/>
                <w:color w:val="auto"/>
              </w:rPr>
            </w:pPr>
            <w:r>
              <w:rPr>
                <w:rFonts w:ascii="Arial" w:cs="Arial" w:eastAsia="Arial" w:hAnsi="Arial"/>
                <w:sz w:val="15"/>
                <w:szCs w:val="15"/>
                <w:color w:val="auto"/>
              </w:rPr>
              <w:t>41,653</w:t>
            </w:r>
          </w:p>
        </w:tc>
        <w:tc>
          <w:tcPr>
            <w:tcW w:w="260" w:type="dxa"/>
            <w:vAlign w:val="bottom"/>
          </w:tcPr>
          <w:p>
            <w:pPr>
              <w:spacing w:after="0"/>
              <w:rPr>
                <w:sz w:val="13"/>
                <w:szCs w:val="13"/>
                <w:color w:val="auto"/>
              </w:rPr>
            </w:pPr>
          </w:p>
        </w:tc>
        <w:tc>
          <w:tcPr>
            <w:tcW w:w="780" w:type="dxa"/>
            <w:vAlign w:val="bottom"/>
          </w:tcPr>
          <w:p>
            <w:pPr>
              <w:jc w:val="right"/>
              <w:ind w:right="6"/>
              <w:spacing w:after="0" w:line="156" w:lineRule="exact"/>
              <w:rPr>
                <w:sz w:val="20"/>
                <w:szCs w:val="20"/>
                <w:color w:val="auto"/>
              </w:rPr>
            </w:pPr>
            <w:r>
              <w:rPr>
                <w:rFonts w:ascii="Arial" w:cs="Arial" w:eastAsia="Arial" w:hAnsi="Arial"/>
                <w:sz w:val="15"/>
                <w:szCs w:val="15"/>
                <w:color w:val="auto"/>
              </w:rPr>
              <w:t>16,712</w:t>
            </w:r>
          </w:p>
        </w:tc>
        <w:tc>
          <w:tcPr>
            <w:tcW w:w="0" w:type="dxa"/>
            <w:vAlign w:val="bottom"/>
          </w:tcPr>
          <w:p>
            <w:pPr>
              <w:spacing w:after="0"/>
              <w:rPr>
                <w:sz w:val="1"/>
                <w:szCs w:val="1"/>
                <w:color w:val="auto"/>
              </w:rPr>
            </w:pPr>
          </w:p>
        </w:tc>
      </w:tr>
      <w:tr>
        <w:trPr>
          <w:trHeight w:val="156"/>
        </w:trPr>
        <w:tc>
          <w:tcPr>
            <w:tcW w:w="194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West Group</w:t>
            </w:r>
          </w:p>
        </w:tc>
        <w:tc>
          <w:tcPr>
            <w:tcW w:w="42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ind w:right="146"/>
              <w:spacing w:after="0" w:line="156" w:lineRule="exact"/>
              <w:rPr>
                <w:sz w:val="20"/>
                <w:szCs w:val="20"/>
                <w:color w:val="auto"/>
              </w:rPr>
            </w:pPr>
            <w:r>
              <w:rPr>
                <w:rFonts w:ascii="Arial" w:cs="Arial" w:eastAsia="Arial" w:hAnsi="Arial"/>
                <w:sz w:val="15"/>
                <w:szCs w:val="15"/>
                <w:b w:val="1"/>
                <w:bCs w:val="1"/>
                <w:color w:val="auto"/>
              </w:rPr>
              <w:t>360,544</w:t>
            </w:r>
          </w:p>
        </w:tc>
        <w:tc>
          <w:tcPr>
            <w:tcW w:w="26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106"/>
              <w:spacing w:after="0" w:line="156" w:lineRule="exact"/>
              <w:rPr>
                <w:sz w:val="20"/>
                <w:szCs w:val="20"/>
                <w:color w:val="auto"/>
              </w:rPr>
            </w:pPr>
            <w:r>
              <w:rPr>
                <w:rFonts w:ascii="Arial" w:cs="Arial" w:eastAsia="Arial" w:hAnsi="Arial"/>
                <w:sz w:val="15"/>
                <w:szCs w:val="15"/>
                <w:color w:val="auto"/>
              </w:rPr>
              <w:t>379,417</w:t>
            </w:r>
          </w:p>
        </w:tc>
        <w:tc>
          <w:tcPr>
            <w:tcW w:w="26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ind w:right="6"/>
              <w:spacing w:after="0" w:line="156" w:lineRule="exact"/>
              <w:rPr>
                <w:sz w:val="20"/>
                <w:szCs w:val="20"/>
                <w:color w:val="auto"/>
              </w:rPr>
            </w:pPr>
            <w:r>
              <w:rPr>
                <w:rFonts w:ascii="Arial" w:cs="Arial" w:eastAsia="Arial" w:hAnsi="Arial"/>
                <w:sz w:val="15"/>
                <w:szCs w:val="15"/>
                <w:color w:val="auto"/>
              </w:rPr>
              <w:t>256,042</w:t>
            </w:r>
          </w:p>
        </w:tc>
        <w:tc>
          <w:tcPr>
            <w:tcW w:w="0" w:type="dxa"/>
            <w:vAlign w:val="bottom"/>
          </w:tcPr>
          <w:p>
            <w:pPr>
              <w:spacing w:after="0"/>
              <w:rPr>
                <w:sz w:val="1"/>
                <w:szCs w:val="1"/>
                <w:color w:val="auto"/>
              </w:rPr>
            </w:pPr>
          </w:p>
        </w:tc>
      </w:tr>
      <w:tr>
        <w:trPr>
          <w:trHeight w:val="145"/>
        </w:trPr>
        <w:tc>
          <w:tcPr>
            <w:tcW w:w="1940" w:type="dxa"/>
            <w:vAlign w:val="bottom"/>
          </w:tcPr>
          <w:p>
            <w:pPr>
              <w:spacing w:after="0" w:line="146" w:lineRule="exact"/>
              <w:rPr>
                <w:sz w:val="20"/>
                <w:szCs w:val="20"/>
                <w:color w:val="auto"/>
              </w:rPr>
            </w:pPr>
            <w:r>
              <w:rPr>
                <w:rFonts w:ascii="Arial" w:cs="Arial" w:eastAsia="Arial" w:hAnsi="Arial"/>
                <w:sz w:val="15"/>
                <w:szCs w:val="15"/>
                <w:color w:val="auto"/>
              </w:rPr>
              <w:t>Total Building</w:t>
            </w:r>
          </w:p>
        </w:tc>
        <w:tc>
          <w:tcPr>
            <w:tcW w:w="420" w:type="dxa"/>
            <w:vAlign w:val="bottom"/>
          </w:tcPr>
          <w:p>
            <w:pPr>
              <w:spacing w:after="0"/>
              <w:rPr>
                <w:sz w:val="12"/>
                <w:szCs w:val="12"/>
                <w:color w:val="auto"/>
              </w:rPr>
            </w:pPr>
          </w:p>
        </w:tc>
        <w:tc>
          <w:tcPr>
            <w:tcW w:w="920" w:type="dxa"/>
            <w:vAlign w:val="bottom"/>
            <w:vMerge w:val="restart"/>
          </w:tcPr>
          <w:p>
            <w:pPr>
              <w:jc w:val="right"/>
              <w:ind w:right="146"/>
              <w:spacing w:after="0"/>
              <w:rPr>
                <w:sz w:val="20"/>
                <w:szCs w:val="20"/>
                <w:color w:val="auto"/>
              </w:rPr>
            </w:pPr>
            <w:r>
              <w:rPr>
                <w:rFonts w:ascii="Arial" w:cs="Arial" w:eastAsia="Arial" w:hAnsi="Arial"/>
                <w:sz w:val="15"/>
                <w:szCs w:val="15"/>
                <w:b w:val="1"/>
                <w:bCs w:val="1"/>
                <w:color w:val="auto"/>
              </w:rPr>
              <w:t>706,571</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940" w:type="dxa"/>
            <w:vAlign w:val="bottom"/>
          </w:tcPr>
          <w:p>
            <w:pPr>
              <w:ind w:left="160"/>
              <w:spacing w:after="0" w:line="159" w:lineRule="exact"/>
              <w:rPr>
                <w:sz w:val="20"/>
                <w:szCs w:val="20"/>
                <w:color w:val="auto"/>
              </w:rPr>
            </w:pPr>
            <w:r>
              <w:rPr>
                <w:rFonts w:ascii="Arial" w:cs="Arial" w:eastAsia="Arial" w:hAnsi="Arial"/>
                <w:sz w:val="15"/>
                <w:szCs w:val="15"/>
                <w:color w:val="auto"/>
              </w:rPr>
              <w:t>Materials Business</w:t>
            </w:r>
          </w:p>
        </w:tc>
        <w:tc>
          <w:tcPr>
            <w:tcW w:w="42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ind w:right="106"/>
              <w:spacing w:after="0" w:line="159" w:lineRule="exact"/>
              <w:rPr>
                <w:sz w:val="20"/>
                <w:szCs w:val="20"/>
                <w:color w:val="auto"/>
              </w:rPr>
            </w:pPr>
            <w:r>
              <w:rPr>
                <w:rFonts w:ascii="Arial" w:cs="Arial" w:eastAsia="Arial" w:hAnsi="Arial"/>
                <w:sz w:val="15"/>
                <w:szCs w:val="15"/>
                <w:color w:val="auto"/>
              </w:rPr>
              <w:t>679,492</w:t>
            </w:r>
          </w:p>
        </w:tc>
        <w:tc>
          <w:tcPr>
            <w:tcW w:w="260" w:type="dxa"/>
            <w:vAlign w:val="bottom"/>
          </w:tcPr>
          <w:p>
            <w:pPr>
              <w:spacing w:after="0"/>
              <w:rPr>
                <w:sz w:val="13"/>
                <w:szCs w:val="13"/>
                <w:color w:val="auto"/>
              </w:rPr>
            </w:pPr>
          </w:p>
        </w:tc>
        <w:tc>
          <w:tcPr>
            <w:tcW w:w="780" w:type="dxa"/>
            <w:vAlign w:val="bottom"/>
          </w:tcPr>
          <w:p>
            <w:pPr>
              <w:jc w:val="right"/>
              <w:ind w:right="6"/>
              <w:spacing w:after="0" w:line="159" w:lineRule="exact"/>
              <w:rPr>
                <w:sz w:val="20"/>
                <w:szCs w:val="20"/>
                <w:color w:val="auto"/>
              </w:rPr>
            </w:pPr>
            <w:r>
              <w:rPr>
                <w:rFonts w:ascii="Arial" w:cs="Arial" w:eastAsia="Arial" w:hAnsi="Arial"/>
                <w:sz w:val="15"/>
                <w:szCs w:val="15"/>
                <w:color w:val="auto"/>
              </w:rPr>
              <w:t>480,373</w:t>
            </w:r>
          </w:p>
        </w:tc>
        <w:tc>
          <w:tcPr>
            <w:tcW w:w="0" w:type="dxa"/>
            <w:vAlign w:val="bottom"/>
          </w:tcPr>
          <w:p>
            <w:pPr>
              <w:spacing w:after="0"/>
              <w:rPr>
                <w:sz w:val="1"/>
                <w:szCs w:val="1"/>
                <w:color w:val="auto"/>
              </w:rPr>
            </w:pPr>
          </w:p>
        </w:tc>
      </w:tr>
      <w:tr>
        <w:trPr>
          <w:trHeight w:val="156"/>
        </w:trPr>
        <w:tc>
          <w:tcPr>
            <w:tcW w:w="194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Magnesia Specialties</w:t>
            </w:r>
          </w:p>
        </w:tc>
        <w:tc>
          <w:tcPr>
            <w:tcW w:w="42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146"/>
              <w:spacing w:after="0" w:line="156" w:lineRule="exact"/>
              <w:rPr>
                <w:sz w:val="20"/>
                <w:szCs w:val="20"/>
                <w:color w:val="auto"/>
              </w:rPr>
            </w:pPr>
            <w:r>
              <w:rPr>
                <w:rFonts w:ascii="Arial" w:cs="Arial" w:eastAsia="Arial" w:hAnsi="Arial"/>
                <w:sz w:val="15"/>
                <w:szCs w:val="15"/>
                <w:b w:val="1"/>
                <w:bCs w:val="1"/>
                <w:color w:val="auto"/>
              </w:rPr>
              <w:t>79,431</w:t>
            </w: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106"/>
              <w:spacing w:after="0" w:line="156" w:lineRule="exact"/>
              <w:rPr>
                <w:sz w:val="20"/>
                <w:szCs w:val="20"/>
                <w:color w:val="auto"/>
              </w:rPr>
            </w:pPr>
            <w:r>
              <w:rPr>
                <w:rFonts w:ascii="Arial" w:cs="Arial" w:eastAsia="Arial" w:hAnsi="Arial"/>
                <w:sz w:val="15"/>
                <w:szCs w:val="15"/>
                <w:color w:val="auto"/>
              </w:rPr>
              <w:t>79,306</w:t>
            </w:r>
          </w:p>
        </w:tc>
        <w:tc>
          <w:tcPr>
            <w:tcW w:w="26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6"/>
              <w:spacing w:after="0" w:line="156" w:lineRule="exact"/>
              <w:rPr>
                <w:sz w:val="20"/>
                <w:szCs w:val="20"/>
                <w:color w:val="auto"/>
              </w:rPr>
            </w:pPr>
            <w:r>
              <w:rPr>
                <w:rFonts w:ascii="Arial" w:cs="Arial" w:eastAsia="Arial" w:hAnsi="Arial"/>
                <w:sz w:val="15"/>
                <w:szCs w:val="15"/>
                <w:color w:val="auto"/>
              </w:rPr>
              <w:t>69,301</w:t>
            </w:r>
          </w:p>
        </w:tc>
        <w:tc>
          <w:tcPr>
            <w:tcW w:w="0" w:type="dxa"/>
            <w:vAlign w:val="bottom"/>
          </w:tcPr>
          <w:p>
            <w:pPr>
              <w:spacing w:after="0"/>
              <w:rPr>
                <w:sz w:val="1"/>
                <w:szCs w:val="1"/>
                <w:color w:val="auto"/>
              </w:rPr>
            </w:pPr>
          </w:p>
        </w:tc>
      </w:tr>
      <w:tr>
        <w:trPr>
          <w:trHeight w:val="156"/>
        </w:trPr>
        <w:tc>
          <w:tcPr>
            <w:tcW w:w="1940" w:type="dxa"/>
            <w:vAlign w:val="bottom"/>
            <w:tcBorders>
              <w:bottom w:val="single" w:sz="8" w:color="auto"/>
            </w:tcBorders>
          </w:tcPr>
          <w:p>
            <w:pPr>
              <w:spacing w:after="0" w:line="156" w:lineRule="exact"/>
              <w:rPr>
                <w:sz w:val="20"/>
                <w:szCs w:val="20"/>
                <w:color w:val="auto"/>
              </w:rPr>
            </w:pPr>
            <w:r>
              <w:rPr>
                <w:rFonts w:ascii="Arial" w:cs="Arial" w:eastAsia="Arial" w:hAnsi="Arial"/>
                <w:sz w:val="15"/>
                <w:szCs w:val="15"/>
                <w:color w:val="auto"/>
              </w:rPr>
              <w:t>Corporate</w:t>
            </w:r>
          </w:p>
        </w:tc>
        <w:tc>
          <w:tcPr>
            <w:tcW w:w="4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06"/>
              <w:spacing w:after="0" w:line="156" w:lineRule="exact"/>
              <w:rPr>
                <w:sz w:val="20"/>
                <w:szCs w:val="20"/>
                <w:color w:val="auto"/>
              </w:rPr>
            </w:pPr>
            <w:r>
              <w:rPr>
                <w:rFonts w:ascii="Arial" w:cs="Arial" w:eastAsia="Arial" w:hAnsi="Arial"/>
                <w:sz w:val="15"/>
                <w:szCs w:val="15"/>
                <w:b w:val="1"/>
                <w:bCs w:val="1"/>
                <w:color w:val="auto"/>
              </w:rPr>
              <w:t>(85,621)</w:t>
            </w: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66"/>
              <w:spacing w:after="0" w:line="156" w:lineRule="exact"/>
              <w:rPr>
                <w:sz w:val="20"/>
                <w:szCs w:val="20"/>
                <w:color w:val="auto"/>
              </w:rPr>
            </w:pPr>
            <w:r>
              <w:rPr>
                <w:rFonts w:ascii="Arial" w:cs="Arial" w:eastAsia="Arial" w:hAnsi="Arial"/>
                <w:sz w:val="15"/>
                <w:szCs w:val="15"/>
                <w:color w:val="auto"/>
              </w:rPr>
              <w:t>(81,532)</w:t>
            </w:r>
          </w:p>
        </w:tc>
        <w:tc>
          <w:tcPr>
            <w:tcW w:w="2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(55,507)</w:t>
            </w:r>
          </w:p>
        </w:tc>
        <w:tc>
          <w:tcPr>
            <w:tcW w:w="0" w:type="dxa"/>
            <w:vAlign w:val="bottom"/>
          </w:tcPr>
          <w:p>
            <w:pPr>
              <w:spacing w:after="0"/>
              <w:rPr>
                <w:sz w:val="1"/>
                <w:szCs w:val="1"/>
                <w:color w:val="auto"/>
              </w:rPr>
            </w:pPr>
          </w:p>
        </w:tc>
      </w:tr>
      <w:tr>
        <w:trPr>
          <w:trHeight w:val="155"/>
        </w:trPr>
        <w:tc>
          <w:tcPr>
            <w:tcW w:w="194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5"/>
                <w:szCs w:val="15"/>
                <w:color w:val="auto"/>
              </w:rPr>
              <w:t>Total</w:t>
            </w:r>
          </w:p>
        </w:tc>
        <w:tc>
          <w:tcPr>
            <w:tcW w:w="4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920" w:type="dxa"/>
            <w:vAlign w:val="bottom"/>
            <w:tcBorders>
              <w:bottom w:val="single" w:sz="8" w:color="auto"/>
            </w:tcBorders>
            <w:shd w:val="clear" w:color="auto" w:fill="CCEEFF"/>
          </w:tcPr>
          <w:p>
            <w:pPr>
              <w:jc w:val="right"/>
              <w:ind w:right="146"/>
              <w:spacing w:after="0" w:line="149" w:lineRule="exact"/>
              <w:rPr>
                <w:sz w:val="20"/>
                <w:szCs w:val="20"/>
                <w:color w:val="auto"/>
              </w:rPr>
            </w:pPr>
            <w:r>
              <w:rPr>
                <w:rFonts w:ascii="Arial" w:cs="Arial" w:eastAsia="Arial" w:hAnsi="Arial"/>
                <w:sz w:val="15"/>
                <w:szCs w:val="15"/>
                <w:b w:val="1"/>
                <w:bCs w:val="1"/>
                <w:color w:val="auto"/>
              </w:rPr>
              <w:t>700,381</w:t>
            </w:r>
          </w:p>
        </w:tc>
        <w:tc>
          <w:tcPr>
            <w:tcW w:w="2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shd w:val="clear" w:color="auto" w:fill="CCEEFF"/>
          </w:tcPr>
          <w:p>
            <w:pPr>
              <w:jc w:val="right"/>
              <w:ind w:right="106"/>
              <w:spacing w:after="0" w:line="149" w:lineRule="exact"/>
              <w:rPr>
                <w:sz w:val="20"/>
                <w:szCs w:val="20"/>
                <w:color w:val="auto"/>
              </w:rPr>
            </w:pPr>
            <w:r>
              <w:rPr>
                <w:rFonts w:ascii="Arial" w:cs="Arial" w:eastAsia="Arial" w:hAnsi="Arial"/>
                <w:sz w:val="15"/>
                <w:szCs w:val="15"/>
                <w:color w:val="auto"/>
              </w:rPr>
              <w:t>677,266</w:t>
            </w:r>
          </w:p>
        </w:tc>
        <w:tc>
          <w:tcPr>
            <w:tcW w:w="2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shd w:val="clear" w:color="auto" w:fill="CCEEFF"/>
          </w:tcPr>
          <w:p>
            <w:pPr>
              <w:jc w:val="right"/>
              <w:ind w:right="6"/>
              <w:spacing w:after="0" w:line="149" w:lineRule="exact"/>
              <w:rPr>
                <w:sz w:val="20"/>
                <w:szCs w:val="20"/>
                <w:color w:val="auto"/>
              </w:rPr>
            </w:pPr>
            <w:r>
              <w:rPr>
                <w:rFonts w:ascii="Arial" w:cs="Arial" w:eastAsia="Arial" w:hAnsi="Arial"/>
                <w:sz w:val="15"/>
                <w:szCs w:val="15"/>
                <w:color w:val="auto"/>
              </w:rPr>
              <w:t>494,167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2000" w:type="dxa"/>
            <w:vAlign w:val="bottom"/>
          </w:tcPr>
          <w:p>
            <w:pPr>
              <w:spacing w:after="0"/>
              <w:rPr>
                <w:sz w:val="20"/>
                <w:szCs w:val="20"/>
                <w:color w:val="auto"/>
              </w:rPr>
            </w:pPr>
            <w:r>
              <w:rPr>
                <w:rFonts w:ascii="Arial" w:cs="Arial" w:eastAsia="Arial" w:hAnsi="Arial"/>
                <w:sz w:val="14"/>
                <w:szCs w:val="14"/>
                <w:i w:val="1"/>
                <w:iCs w:val="1"/>
                <w:color w:val="auto"/>
              </w:rPr>
              <w:t>years ended December 31</w:t>
            </w: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00" w:type="dxa"/>
            <w:vAlign w:val="bottom"/>
          </w:tcPr>
          <w:p>
            <w:pPr>
              <w:spacing w:after="0" w:line="143" w:lineRule="exact"/>
              <w:rPr>
                <w:sz w:val="20"/>
                <w:szCs w:val="20"/>
                <w:color w:val="auto"/>
              </w:rPr>
            </w:pPr>
            <w:r>
              <w:rPr>
                <w:rFonts w:ascii="Arial" w:cs="Arial" w:eastAsia="Arial" w:hAnsi="Arial"/>
                <w:sz w:val="14"/>
                <w:szCs w:val="14"/>
                <w:color w:val="auto"/>
              </w:rPr>
              <w:t>(add 000)</w:t>
            </w: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200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Assets employed</w:t>
            </w:r>
          </w:p>
        </w:tc>
        <w:tc>
          <w:tcPr>
            <w:tcW w:w="4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b w:val="1"/>
                <w:bCs w:val="1"/>
                <w:color w:val="0085CD"/>
              </w:rPr>
              <w:t>2017</w:t>
            </w: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rPr>
              <w:t>2016</w:t>
            </w: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2015</w:t>
            </w:r>
          </w:p>
        </w:tc>
        <w:tc>
          <w:tcPr>
            <w:tcW w:w="0" w:type="dxa"/>
            <w:vAlign w:val="bottom"/>
          </w:tcPr>
          <w:p>
            <w:pPr>
              <w:spacing w:after="0"/>
              <w:rPr>
                <w:sz w:val="1"/>
                <w:szCs w:val="1"/>
                <w:color w:val="auto"/>
              </w:rPr>
            </w:pPr>
          </w:p>
        </w:tc>
      </w:tr>
      <w:tr>
        <w:trPr>
          <w:trHeight w:val="149"/>
        </w:trPr>
        <w:tc>
          <w:tcPr>
            <w:tcW w:w="200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Mid-America Group</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900" w:type="dxa"/>
            <w:vAlign w:val="bottom"/>
            <w:shd w:val="clear" w:color="auto" w:fill="CCEEFF"/>
          </w:tcPr>
          <w:p>
            <w:pPr>
              <w:jc w:val="right"/>
              <w:ind w:right="126"/>
              <w:spacing w:after="0" w:line="149" w:lineRule="exact"/>
              <w:rPr>
                <w:sz w:val="20"/>
                <w:szCs w:val="20"/>
                <w:color w:val="auto"/>
              </w:rPr>
            </w:pPr>
            <w:r>
              <w:rPr>
                <w:rFonts w:ascii="Arial" w:cs="Arial" w:eastAsia="Arial" w:hAnsi="Arial"/>
                <w:sz w:val="15"/>
                <w:szCs w:val="15"/>
                <w:b w:val="1"/>
                <w:bCs w:val="1"/>
                <w:color w:val="auto"/>
              </w:rPr>
              <w:t>1,532,867</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86"/>
              <w:spacing w:after="0" w:line="149" w:lineRule="exact"/>
              <w:rPr>
                <w:sz w:val="20"/>
                <w:szCs w:val="20"/>
                <w:color w:val="auto"/>
              </w:rPr>
            </w:pPr>
            <w:r>
              <w:rPr>
                <w:rFonts w:ascii="Arial" w:cs="Arial" w:eastAsia="Arial" w:hAnsi="Arial"/>
                <w:sz w:val="15"/>
                <w:szCs w:val="15"/>
                <w:color w:val="auto"/>
              </w:rPr>
              <w:t>1,406,526</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1,304,574</w:t>
            </w:r>
          </w:p>
        </w:tc>
        <w:tc>
          <w:tcPr>
            <w:tcW w:w="0" w:type="dxa"/>
            <w:vAlign w:val="bottom"/>
          </w:tcPr>
          <w:p>
            <w:pPr>
              <w:spacing w:after="0"/>
              <w:rPr>
                <w:sz w:val="1"/>
                <w:szCs w:val="1"/>
                <w:color w:val="auto"/>
              </w:rPr>
            </w:pPr>
          </w:p>
        </w:tc>
      </w:tr>
      <w:tr>
        <w:trPr>
          <w:trHeight w:val="156"/>
        </w:trPr>
        <w:tc>
          <w:tcPr>
            <w:tcW w:w="2000" w:type="dxa"/>
            <w:vAlign w:val="bottom"/>
          </w:tcPr>
          <w:p>
            <w:pPr>
              <w:spacing w:after="0" w:line="156" w:lineRule="exact"/>
              <w:rPr>
                <w:sz w:val="20"/>
                <w:szCs w:val="20"/>
                <w:color w:val="auto"/>
              </w:rPr>
            </w:pPr>
            <w:r>
              <w:rPr>
                <w:rFonts w:ascii="Arial" w:cs="Arial" w:eastAsia="Arial" w:hAnsi="Arial"/>
                <w:sz w:val="15"/>
                <w:szCs w:val="15"/>
                <w:color w:val="auto"/>
              </w:rPr>
              <w:t>Southeast Group</w:t>
            </w:r>
          </w:p>
        </w:tc>
        <w:tc>
          <w:tcPr>
            <w:tcW w:w="460" w:type="dxa"/>
            <w:vAlign w:val="bottom"/>
          </w:tcPr>
          <w:p>
            <w:pPr>
              <w:spacing w:after="0"/>
              <w:rPr>
                <w:sz w:val="13"/>
                <w:szCs w:val="13"/>
                <w:color w:val="auto"/>
              </w:rPr>
            </w:pPr>
          </w:p>
        </w:tc>
        <w:tc>
          <w:tcPr>
            <w:tcW w:w="900" w:type="dxa"/>
            <w:vAlign w:val="bottom"/>
          </w:tcPr>
          <w:p>
            <w:pPr>
              <w:jc w:val="right"/>
              <w:ind w:right="126"/>
              <w:spacing w:after="0" w:line="156" w:lineRule="exact"/>
              <w:rPr>
                <w:sz w:val="20"/>
                <w:szCs w:val="20"/>
                <w:color w:val="auto"/>
              </w:rPr>
            </w:pPr>
            <w:r>
              <w:rPr>
                <w:rFonts w:ascii="Arial" w:cs="Arial" w:eastAsia="Arial" w:hAnsi="Arial"/>
                <w:sz w:val="15"/>
                <w:szCs w:val="15"/>
                <w:b w:val="1"/>
                <w:bCs w:val="1"/>
                <w:color w:val="auto"/>
              </w:rPr>
              <w:t>616,344</w:t>
            </w:r>
          </w:p>
        </w:tc>
        <w:tc>
          <w:tcPr>
            <w:tcW w:w="320" w:type="dxa"/>
            <w:vAlign w:val="bottom"/>
          </w:tcPr>
          <w:p>
            <w:pPr>
              <w:spacing w:after="0"/>
              <w:rPr>
                <w:sz w:val="13"/>
                <w:szCs w:val="13"/>
                <w:color w:val="auto"/>
              </w:rPr>
            </w:pPr>
          </w:p>
        </w:tc>
        <w:tc>
          <w:tcPr>
            <w:tcW w:w="860" w:type="dxa"/>
            <w:vAlign w:val="bottom"/>
          </w:tcPr>
          <w:p>
            <w:pPr>
              <w:jc w:val="right"/>
              <w:ind w:right="86"/>
              <w:spacing w:after="0" w:line="156" w:lineRule="exact"/>
              <w:rPr>
                <w:sz w:val="20"/>
                <w:szCs w:val="20"/>
                <w:color w:val="auto"/>
              </w:rPr>
            </w:pPr>
            <w:r>
              <w:rPr>
                <w:rFonts w:ascii="Arial" w:cs="Arial" w:eastAsia="Arial" w:hAnsi="Arial"/>
                <w:sz w:val="15"/>
                <w:szCs w:val="15"/>
                <w:color w:val="auto"/>
              </w:rPr>
              <w:t>594,967</w:t>
            </w:r>
          </w:p>
        </w:tc>
        <w:tc>
          <w:tcPr>
            <w:tcW w:w="280" w:type="dxa"/>
            <w:vAlign w:val="bottom"/>
          </w:tcPr>
          <w:p>
            <w:pPr>
              <w:spacing w:after="0"/>
              <w:rPr>
                <w:sz w:val="13"/>
                <w:szCs w:val="13"/>
                <w:color w:val="auto"/>
              </w:rPr>
            </w:pPr>
          </w:p>
        </w:tc>
        <w:tc>
          <w:tcPr>
            <w:tcW w:w="760" w:type="dxa"/>
            <w:vAlign w:val="bottom"/>
          </w:tcPr>
          <w:p>
            <w:pPr>
              <w:jc w:val="right"/>
              <w:spacing w:after="0" w:line="156" w:lineRule="exact"/>
              <w:rPr>
                <w:sz w:val="20"/>
                <w:szCs w:val="20"/>
                <w:color w:val="auto"/>
              </w:rPr>
            </w:pPr>
            <w:r>
              <w:rPr>
                <w:rFonts w:ascii="Arial" w:cs="Arial" w:eastAsia="Arial" w:hAnsi="Arial"/>
                <w:sz w:val="15"/>
                <w:szCs w:val="15"/>
                <w:color w:val="auto"/>
              </w:rPr>
              <w:t>583,369</w:t>
            </w:r>
          </w:p>
        </w:tc>
        <w:tc>
          <w:tcPr>
            <w:tcW w:w="0" w:type="dxa"/>
            <w:vAlign w:val="bottom"/>
          </w:tcPr>
          <w:p>
            <w:pPr>
              <w:spacing w:after="0"/>
              <w:rPr>
                <w:sz w:val="1"/>
                <w:szCs w:val="1"/>
                <w:color w:val="auto"/>
              </w:rPr>
            </w:pPr>
          </w:p>
        </w:tc>
      </w:tr>
      <w:tr>
        <w:trPr>
          <w:trHeight w:val="156"/>
        </w:trPr>
        <w:tc>
          <w:tcPr>
            <w:tcW w:w="200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West Group</w:t>
            </w:r>
          </w:p>
        </w:tc>
        <w:tc>
          <w:tcPr>
            <w:tcW w:w="46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126"/>
              <w:spacing w:after="0" w:line="156" w:lineRule="exact"/>
              <w:rPr>
                <w:sz w:val="20"/>
                <w:szCs w:val="20"/>
                <w:color w:val="auto"/>
              </w:rPr>
            </w:pPr>
            <w:r>
              <w:rPr>
                <w:rFonts w:ascii="Arial" w:cs="Arial" w:eastAsia="Arial" w:hAnsi="Arial"/>
                <w:sz w:val="15"/>
                <w:szCs w:val="15"/>
                <w:b w:val="1"/>
                <w:bCs w:val="1"/>
                <w:color w:val="auto"/>
              </w:rPr>
              <w:t>5,014,231</w:t>
            </w:r>
          </w:p>
        </w:tc>
        <w:tc>
          <w:tcPr>
            <w:tcW w:w="32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86"/>
              <w:spacing w:after="0" w:line="156" w:lineRule="exact"/>
              <w:rPr>
                <w:sz w:val="20"/>
                <w:szCs w:val="20"/>
                <w:color w:val="auto"/>
              </w:rPr>
            </w:pPr>
            <w:r>
              <w:rPr>
                <w:rFonts w:ascii="Arial" w:cs="Arial" w:eastAsia="Arial" w:hAnsi="Arial"/>
                <w:sz w:val="15"/>
                <w:szCs w:val="15"/>
                <w:color w:val="auto"/>
              </w:rPr>
              <w:t>4,904,018</w:t>
            </w:r>
          </w:p>
        </w:tc>
        <w:tc>
          <w:tcPr>
            <w:tcW w:w="28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4,561,432</w:t>
            </w:r>
          </w:p>
        </w:tc>
        <w:tc>
          <w:tcPr>
            <w:tcW w:w="0" w:type="dxa"/>
            <w:vAlign w:val="bottom"/>
          </w:tcPr>
          <w:p>
            <w:pPr>
              <w:spacing w:after="0"/>
              <w:rPr>
                <w:sz w:val="1"/>
                <w:szCs w:val="1"/>
                <w:color w:val="auto"/>
              </w:rPr>
            </w:pPr>
          </w:p>
        </w:tc>
      </w:tr>
      <w:tr>
        <w:trPr>
          <w:trHeight w:val="145"/>
        </w:trPr>
        <w:tc>
          <w:tcPr>
            <w:tcW w:w="2000" w:type="dxa"/>
            <w:vAlign w:val="bottom"/>
          </w:tcPr>
          <w:p>
            <w:pPr>
              <w:spacing w:after="0" w:line="146" w:lineRule="exact"/>
              <w:rPr>
                <w:sz w:val="20"/>
                <w:szCs w:val="20"/>
                <w:color w:val="auto"/>
              </w:rPr>
            </w:pPr>
            <w:r>
              <w:rPr>
                <w:rFonts w:ascii="Arial" w:cs="Arial" w:eastAsia="Arial" w:hAnsi="Arial"/>
                <w:sz w:val="15"/>
                <w:szCs w:val="15"/>
                <w:color w:val="auto"/>
              </w:rPr>
              <w:t>Total Building</w:t>
            </w:r>
          </w:p>
        </w:tc>
        <w:tc>
          <w:tcPr>
            <w:tcW w:w="460" w:type="dxa"/>
            <w:vAlign w:val="bottom"/>
          </w:tcPr>
          <w:p>
            <w:pPr>
              <w:spacing w:after="0"/>
              <w:rPr>
                <w:sz w:val="12"/>
                <w:szCs w:val="12"/>
                <w:color w:val="auto"/>
              </w:rPr>
            </w:pPr>
          </w:p>
        </w:tc>
        <w:tc>
          <w:tcPr>
            <w:tcW w:w="900" w:type="dxa"/>
            <w:vAlign w:val="bottom"/>
            <w:vMerge w:val="restart"/>
          </w:tcPr>
          <w:p>
            <w:pPr>
              <w:jc w:val="right"/>
              <w:ind w:right="126"/>
              <w:spacing w:after="0"/>
              <w:rPr>
                <w:sz w:val="20"/>
                <w:szCs w:val="20"/>
                <w:color w:val="auto"/>
              </w:rPr>
            </w:pPr>
            <w:r>
              <w:rPr>
                <w:rFonts w:ascii="Arial" w:cs="Arial" w:eastAsia="Arial" w:hAnsi="Arial"/>
                <w:sz w:val="15"/>
                <w:szCs w:val="15"/>
                <w:b w:val="1"/>
                <w:bCs w:val="1"/>
                <w:color w:val="auto"/>
              </w:rPr>
              <w:t>7,163,442</w:t>
            </w: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00" w:type="dxa"/>
            <w:vAlign w:val="bottom"/>
          </w:tcPr>
          <w:p>
            <w:pPr>
              <w:ind w:left="140"/>
              <w:spacing w:after="0" w:line="159" w:lineRule="exact"/>
              <w:rPr>
                <w:sz w:val="20"/>
                <w:szCs w:val="20"/>
                <w:color w:val="auto"/>
              </w:rPr>
            </w:pPr>
            <w:r>
              <w:rPr>
                <w:rFonts w:ascii="Arial" w:cs="Arial" w:eastAsia="Arial" w:hAnsi="Arial"/>
                <w:sz w:val="15"/>
                <w:szCs w:val="15"/>
                <w:color w:val="auto"/>
              </w:rPr>
              <w:t>Materials Business</w:t>
            </w:r>
          </w:p>
        </w:tc>
        <w:tc>
          <w:tcPr>
            <w:tcW w:w="46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jc w:val="right"/>
              <w:ind w:right="86"/>
              <w:spacing w:after="0" w:line="159" w:lineRule="exact"/>
              <w:rPr>
                <w:sz w:val="20"/>
                <w:szCs w:val="20"/>
                <w:color w:val="auto"/>
              </w:rPr>
            </w:pPr>
            <w:r>
              <w:rPr>
                <w:rFonts w:ascii="Arial" w:cs="Arial" w:eastAsia="Arial" w:hAnsi="Arial"/>
                <w:sz w:val="15"/>
                <w:szCs w:val="15"/>
                <w:color w:val="auto"/>
              </w:rPr>
              <w:t>6,905,511</w:t>
            </w:r>
          </w:p>
        </w:tc>
        <w:tc>
          <w:tcPr>
            <w:tcW w:w="28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Arial" w:cs="Arial" w:eastAsia="Arial" w:hAnsi="Arial"/>
                <w:sz w:val="15"/>
                <w:szCs w:val="15"/>
                <w:color w:val="auto"/>
              </w:rPr>
              <w:t>6,449,375</w:t>
            </w:r>
          </w:p>
        </w:tc>
        <w:tc>
          <w:tcPr>
            <w:tcW w:w="0" w:type="dxa"/>
            <w:vAlign w:val="bottom"/>
          </w:tcPr>
          <w:p>
            <w:pPr>
              <w:spacing w:after="0"/>
              <w:rPr>
                <w:sz w:val="1"/>
                <w:szCs w:val="1"/>
                <w:color w:val="auto"/>
              </w:rPr>
            </w:pPr>
          </w:p>
        </w:tc>
      </w:tr>
      <w:tr>
        <w:trPr>
          <w:trHeight w:val="156"/>
        </w:trPr>
        <w:tc>
          <w:tcPr>
            <w:tcW w:w="200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Magnesia Specialties</w:t>
            </w:r>
          </w:p>
        </w:tc>
        <w:tc>
          <w:tcPr>
            <w:tcW w:w="46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126"/>
              <w:spacing w:after="0" w:line="156" w:lineRule="exact"/>
              <w:rPr>
                <w:sz w:val="20"/>
                <w:szCs w:val="20"/>
                <w:color w:val="auto"/>
              </w:rPr>
            </w:pPr>
            <w:r>
              <w:rPr>
                <w:rFonts w:ascii="Arial" w:cs="Arial" w:eastAsia="Arial" w:hAnsi="Arial"/>
                <w:sz w:val="15"/>
                <w:szCs w:val="15"/>
                <w:b w:val="1"/>
                <w:bCs w:val="1"/>
                <w:color w:val="auto"/>
              </w:rPr>
              <w:t>152,257</w:t>
            </w:r>
          </w:p>
        </w:tc>
        <w:tc>
          <w:tcPr>
            <w:tcW w:w="32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86"/>
              <w:spacing w:after="0" w:line="156" w:lineRule="exact"/>
              <w:rPr>
                <w:sz w:val="20"/>
                <w:szCs w:val="20"/>
                <w:color w:val="auto"/>
              </w:rPr>
            </w:pPr>
            <w:r>
              <w:rPr>
                <w:rFonts w:ascii="Arial" w:cs="Arial" w:eastAsia="Arial" w:hAnsi="Arial"/>
                <w:sz w:val="15"/>
                <w:szCs w:val="15"/>
                <w:color w:val="auto"/>
              </w:rPr>
              <w:t>150,969</w:t>
            </w:r>
          </w:p>
        </w:tc>
        <w:tc>
          <w:tcPr>
            <w:tcW w:w="2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147,795</w:t>
            </w:r>
          </w:p>
        </w:tc>
        <w:tc>
          <w:tcPr>
            <w:tcW w:w="0" w:type="dxa"/>
            <w:vAlign w:val="bottom"/>
          </w:tcPr>
          <w:p>
            <w:pPr>
              <w:spacing w:after="0"/>
              <w:rPr>
                <w:sz w:val="1"/>
                <w:szCs w:val="1"/>
                <w:color w:val="auto"/>
              </w:rPr>
            </w:pPr>
          </w:p>
        </w:tc>
      </w:tr>
      <w:tr>
        <w:trPr>
          <w:trHeight w:val="156"/>
        </w:trPr>
        <w:tc>
          <w:tcPr>
            <w:tcW w:w="2000" w:type="dxa"/>
            <w:vAlign w:val="bottom"/>
            <w:tcBorders>
              <w:bottom w:val="single" w:sz="8" w:color="auto"/>
            </w:tcBorders>
          </w:tcPr>
          <w:p>
            <w:pPr>
              <w:spacing w:after="0" w:line="156" w:lineRule="exact"/>
              <w:rPr>
                <w:sz w:val="20"/>
                <w:szCs w:val="20"/>
                <w:color w:val="auto"/>
              </w:rPr>
            </w:pPr>
            <w:r>
              <w:rPr>
                <w:rFonts w:ascii="Arial" w:cs="Arial" w:eastAsia="Arial" w:hAnsi="Arial"/>
                <w:sz w:val="15"/>
                <w:szCs w:val="15"/>
                <w:color w:val="auto"/>
              </w:rPr>
              <w:t>Corporate</w:t>
            </w:r>
          </w:p>
        </w:tc>
        <w:tc>
          <w:tcPr>
            <w:tcW w:w="4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126"/>
              <w:spacing w:after="0" w:line="156" w:lineRule="exact"/>
              <w:rPr>
                <w:sz w:val="20"/>
                <w:szCs w:val="20"/>
                <w:color w:val="auto"/>
              </w:rPr>
            </w:pPr>
            <w:r>
              <w:rPr>
                <w:rFonts w:ascii="Arial" w:cs="Arial" w:eastAsia="Arial" w:hAnsi="Arial"/>
                <w:sz w:val="15"/>
                <w:szCs w:val="15"/>
                <w:b w:val="1"/>
                <w:bCs w:val="1"/>
                <w:color w:val="auto"/>
              </w:rPr>
              <w:t>1,676,812</w:t>
            </w:r>
          </w:p>
        </w:tc>
        <w:tc>
          <w:tcPr>
            <w:tcW w:w="3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86"/>
              <w:spacing w:after="0" w:line="156" w:lineRule="exact"/>
              <w:rPr>
                <w:sz w:val="20"/>
                <w:szCs w:val="20"/>
                <w:color w:val="auto"/>
              </w:rPr>
            </w:pPr>
            <w:r>
              <w:rPr>
                <w:rFonts w:ascii="Arial" w:cs="Arial" w:eastAsia="Arial" w:hAnsi="Arial"/>
                <w:sz w:val="15"/>
                <w:szCs w:val="15"/>
                <w:color w:val="auto"/>
              </w:rPr>
              <w:t>244,425</w:t>
            </w:r>
          </w:p>
        </w:tc>
        <w:tc>
          <w:tcPr>
            <w:tcW w:w="2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360,441</w:t>
            </w:r>
          </w:p>
        </w:tc>
        <w:tc>
          <w:tcPr>
            <w:tcW w:w="0" w:type="dxa"/>
            <w:vAlign w:val="bottom"/>
          </w:tcPr>
          <w:p>
            <w:pPr>
              <w:spacing w:after="0"/>
              <w:rPr>
                <w:sz w:val="1"/>
                <w:szCs w:val="1"/>
                <w:color w:val="auto"/>
              </w:rPr>
            </w:pPr>
          </w:p>
        </w:tc>
      </w:tr>
      <w:tr>
        <w:trPr>
          <w:trHeight w:val="155"/>
        </w:trPr>
        <w:tc>
          <w:tcPr>
            <w:tcW w:w="200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5"/>
                <w:szCs w:val="15"/>
                <w:color w:val="auto"/>
              </w:rPr>
              <w:t>Total</w:t>
            </w:r>
          </w:p>
        </w:tc>
        <w:tc>
          <w:tcPr>
            <w:tcW w:w="4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900" w:type="dxa"/>
            <w:vAlign w:val="bottom"/>
            <w:tcBorders>
              <w:bottom w:val="single" w:sz="8" w:color="auto"/>
            </w:tcBorders>
            <w:shd w:val="clear" w:color="auto" w:fill="CCEEFF"/>
          </w:tcPr>
          <w:p>
            <w:pPr>
              <w:jc w:val="right"/>
              <w:ind w:right="126"/>
              <w:spacing w:after="0" w:line="149" w:lineRule="exact"/>
              <w:rPr>
                <w:sz w:val="20"/>
                <w:szCs w:val="20"/>
                <w:color w:val="auto"/>
              </w:rPr>
            </w:pPr>
            <w:r>
              <w:rPr>
                <w:rFonts w:ascii="Arial" w:cs="Arial" w:eastAsia="Arial" w:hAnsi="Arial"/>
                <w:sz w:val="15"/>
                <w:szCs w:val="15"/>
                <w:b w:val="1"/>
                <w:bCs w:val="1"/>
                <w:color w:val="auto"/>
              </w:rPr>
              <w:t>8,992,511</w:t>
            </w:r>
          </w:p>
        </w:tc>
        <w:tc>
          <w:tcPr>
            <w:tcW w:w="3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shd w:val="clear" w:color="auto" w:fill="CCEEFF"/>
          </w:tcPr>
          <w:p>
            <w:pPr>
              <w:jc w:val="right"/>
              <w:ind w:right="86"/>
              <w:spacing w:after="0" w:line="149" w:lineRule="exact"/>
              <w:rPr>
                <w:sz w:val="20"/>
                <w:szCs w:val="20"/>
                <w:color w:val="auto"/>
              </w:rPr>
            </w:pPr>
            <w:r>
              <w:rPr>
                <w:rFonts w:ascii="Arial" w:cs="Arial" w:eastAsia="Arial" w:hAnsi="Arial"/>
                <w:sz w:val="15"/>
                <w:szCs w:val="15"/>
                <w:color w:val="auto"/>
              </w:rPr>
              <w:t>7,300,905</w:t>
            </w:r>
          </w:p>
        </w:tc>
        <w:tc>
          <w:tcPr>
            <w:tcW w:w="2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6,957,611</w:t>
            </w:r>
          </w:p>
        </w:tc>
        <w:tc>
          <w:tcPr>
            <w:tcW w:w="0" w:type="dxa"/>
            <w:vAlign w:val="bottom"/>
          </w:tcPr>
          <w:p>
            <w:pPr>
              <w:spacing w:after="0"/>
              <w:rPr>
                <w:sz w:val="1"/>
                <w:szCs w:val="1"/>
                <w:color w:val="auto"/>
              </w:rPr>
            </w:pPr>
          </w:p>
        </w:tc>
      </w:tr>
      <w:tr>
        <w:trPr>
          <w:trHeight w:val="350"/>
        </w:trPr>
        <w:tc>
          <w:tcPr>
            <w:tcW w:w="3360" w:type="dxa"/>
            <w:vAlign w:val="bottom"/>
            <w:tcBorders>
              <w:bottom w:val="single" w:sz="8" w:color="auto"/>
            </w:tcBorders>
            <w:gridSpan w:val="3"/>
          </w:tcPr>
          <w:p>
            <w:pPr>
              <w:spacing w:after="0"/>
              <w:rPr>
                <w:sz w:val="20"/>
                <w:szCs w:val="20"/>
                <w:color w:val="auto"/>
              </w:rPr>
            </w:pPr>
            <w:r>
              <w:rPr>
                <w:rFonts w:ascii="Arial" w:cs="Arial" w:eastAsia="Arial" w:hAnsi="Arial"/>
                <w:sz w:val="15"/>
                <w:szCs w:val="15"/>
                <w:b w:val="1"/>
                <w:bCs w:val="1"/>
                <w:color w:val="auto"/>
              </w:rPr>
              <w:t>Depreciation, depletion and amortization</w:t>
            </w:r>
          </w:p>
        </w:tc>
        <w:tc>
          <w:tcPr>
            <w:tcW w:w="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0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Mid-America Group</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900" w:type="dxa"/>
            <w:vAlign w:val="bottom"/>
            <w:shd w:val="clear" w:color="auto" w:fill="CCEEFF"/>
          </w:tcPr>
          <w:p>
            <w:pPr>
              <w:jc w:val="right"/>
              <w:ind w:right="126"/>
              <w:spacing w:after="0" w:line="149" w:lineRule="exact"/>
              <w:rPr>
                <w:sz w:val="20"/>
                <w:szCs w:val="20"/>
                <w:color w:val="auto"/>
              </w:rPr>
            </w:pPr>
            <w:r>
              <w:rPr>
                <w:rFonts w:ascii="Arial" w:cs="Arial" w:eastAsia="Arial" w:hAnsi="Arial"/>
                <w:sz w:val="15"/>
                <w:szCs w:val="15"/>
                <w:b w:val="1"/>
                <w:bCs w:val="1"/>
                <w:color w:val="auto"/>
              </w:rPr>
              <w:t>69,691</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86"/>
              <w:spacing w:after="0" w:line="149" w:lineRule="exact"/>
              <w:rPr>
                <w:sz w:val="20"/>
                <w:szCs w:val="20"/>
                <w:color w:val="auto"/>
              </w:rPr>
            </w:pPr>
            <w:r>
              <w:rPr>
                <w:rFonts w:ascii="Arial" w:cs="Arial" w:eastAsia="Arial" w:hAnsi="Arial"/>
                <w:sz w:val="15"/>
                <w:szCs w:val="15"/>
                <w:color w:val="auto"/>
              </w:rPr>
              <w:t>64,295</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61,693</w:t>
            </w:r>
          </w:p>
        </w:tc>
        <w:tc>
          <w:tcPr>
            <w:tcW w:w="0" w:type="dxa"/>
            <w:vAlign w:val="bottom"/>
          </w:tcPr>
          <w:p>
            <w:pPr>
              <w:spacing w:after="0"/>
              <w:rPr>
                <w:sz w:val="1"/>
                <w:szCs w:val="1"/>
                <w:color w:val="auto"/>
              </w:rPr>
            </w:pPr>
          </w:p>
        </w:tc>
      </w:tr>
      <w:tr>
        <w:trPr>
          <w:trHeight w:val="156"/>
        </w:trPr>
        <w:tc>
          <w:tcPr>
            <w:tcW w:w="2000" w:type="dxa"/>
            <w:vAlign w:val="bottom"/>
          </w:tcPr>
          <w:p>
            <w:pPr>
              <w:spacing w:after="0" w:line="156" w:lineRule="exact"/>
              <w:rPr>
                <w:sz w:val="20"/>
                <w:szCs w:val="20"/>
                <w:color w:val="auto"/>
              </w:rPr>
            </w:pPr>
            <w:r>
              <w:rPr>
                <w:rFonts w:ascii="Arial" w:cs="Arial" w:eastAsia="Arial" w:hAnsi="Arial"/>
                <w:sz w:val="15"/>
                <w:szCs w:val="15"/>
                <w:color w:val="auto"/>
              </w:rPr>
              <w:t>Southeast Group</w:t>
            </w:r>
          </w:p>
        </w:tc>
        <w:tc>
          <w:tcPr>
            <w:tcW w:w="460" w:type="dxa"/>
            <w:vAlign w:val="bottom"/>
          </w:tcPr>
          <w:p>
            <w:pPr>
              <w:spacing w:after="0"/>
              <w:rPr>
                <w:sz w:val="13"/>
                <w:szCs w:val="13"/>
                <w:color w:val="auto"/>
              </w:rPr>
            </w:pPr>
          </w:p>
        </w:tc>
        <w:tc>
          <w:tcPr>
            <w:tcW w:w="900" w:type="dxa"/>
            <w:vAlign w:val="bottom"/>
          </w:tcPr>
          <w:p>
            <w:pPr>
              <w:jc w:val="right"/>
              <w:ind w:right="126"/>
              <w:spacing w:after="0" w:line="156" w:lineRule="exact"/>
              <w:rPr>
                <w:sz w:val="20"/>
                <w:szCs w:val="20"/>
                <w:color w:val="auto"/>
              </w:rPr>
            </w:pPr>
            <w:r>
              <w:rPr>
                <w:rFonts w:ascii="Arial" w:cs="Arial" w:eastAsia="Arial" w:hAnsi="Arial"/>
                <w:sz w:val="15"/>
                <w:szCs w:val="15"/>
                <w:b w:val="1"/>
                <w:bCs w:val="1"/>
                <w:color w:val="auto"/>
              </w:rPr>
              <w:t>30,780</w:t>
            </w:r>
          </w:p>
        </w:tc>
        <w:tc>
          <w:tcPr>
            <w:tcW w:w="320" w:type="dxa"/>
            <w:vAlign w:val="bottom"/>
          </w:tcPr>
          <w:p>
            <w:pPr>
              <w:spacing w:after="0"/>
              <w:rPr>
                <w:sz w:val="13"/>
                <w:szCs w:val="13"/>
                <w:color w:val="auto"/>
              </w:rPr>
            </w:pPr>
          </w:p>
        </w:tc>
        <w:tc>
          <w:tcPr>
            <w:tcW w:w="860" w:type="dxa"/>
            <w:vAlign w:val="bottom"/>
          </w:tcPr>
          <w:p>
            <w:pPr>
              <w:jc w:val="right"/>
              <w:ind w:right="86"/>
              <w:spacing w:after="0" w:line="156" w:lineRule="exact"/>
              <w:rPr>
                <w:sz w:val="20"/>
                <w:szCs w:val="20"/>
                <w:color w:val="auto"/>
              </w:rPr>
            </w:pPr>
            <w:r>
              <w:rPr>
                <w:rFonts w:ascii="Arial" w:cs="Arial" w:eastAsia="Arial" w:hAnsi="Arial"/>
                <w:sz w:val="15"/>
                <w:szCs w:val="15"/>
                <w:color w:val="auto"/>
              </w:rPr>
              <w:t>30,590</w:t>
            </w:r>
          </w:p>
        </w:tc>
        <w:tc>
          <w:tcPr>
            <w:tcW w:w="280" w:type="dxa"/>
            <w:vAlign w:val="bottom"/>
          </w:tcPr>
          <w:p>
            <w:pPr>
              <w:spacing w:after="0"/>
              <w:rPr>
                <w:sz w:val="13"/>
                <w:szCs w:val="13"/>
                <w:color w:val="auto"/>
              </w:rPr>
            </w:pPr>
          </w:p>
        </w:tc>
        <w:tc>
          <w:tcPr>
            <w:tcW w:w="760" w:type="dxa"/>
            <w:vAlign w:val="bottom"/>
          </w:tcPr>
          <w:p>
            <w:pPr>
              <w:jc w:val="right"/>
              <w:spacing w:after="0" w:line="156" w:lineRule="exact"/>
              <w:rPr>
                <w:sz w:val="20"/>
                <w:szCs w:val="20"/>
                <w:color w:val="auto"/>
              </w:rPr>
            </w:pPr>
            <w:r>
              <w:rPr>
                <w:rFonts w:ascii="Arial" w:cs="Arial" w:eastAsia="Arial" w:hAnsi="Arial"/>
                <w:sz w:val="15"/>
                <w:szCs w:val="15"/>
                <w:color w:val="auto"/>
              </w:rPr>
              <w:t>31,644</w:t>
            </w:r>
          </w:p>
        </w:tc>
        <w:tc>
          <w:tcPr>
            <w:tcW w:w="0" w:type="dxa"/>
            <w:vAlign w:val="bottom"/>
          </w:tcPr>
          <w:p>
            <w:pPr>
              <w:spacing w:after="0"/>
              <w:rPr>
                <w:sz w:val="1"/>
                <w:szCs w:val="1"/>
                <w:color w:val="auto"/>
              </w:rPr>
            </w:pPr>
          </w:p>
        </w:tc>
      </w:tr>
      <w:tr>
        <w:trPr>
          <w:trHeight w:val="156"/>
        </w:trPr>
        <w:tc>
          <w:tcPr>
            <w:tcW w:w="200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West Group</w:t>
            </w:r>
          </w:p>
        </w:tc>
        <w:tc>
          <w:tcPr>
            <w:tcW w:w="46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126"/>
              <w:spacing w:after="0" w:line="156" w:lineRule="exact"/>
              <w:rPr>
                <w:sz w:val="20"/>
                <w:szCs w:val="20"/>
                <w:color w:val="auto"/>
              </w:rPr>
            </w:pPr>
            <w:r>
              <w:rPr>
                <w:rFonts w:ascii="Arial" w:cs="Arial" w:eastAsia="Arial" w:hAnsi="Arial"/>
                <w:sz w:val="15"/>
                <w:szCs w:val="15"/>
                <w:b w:val="1"/>
                <w:bCs w:val="1"/>
                <w:color w:val="auto"/>
              </w:rPr>
              <w:t>169,853</w:t>
            </w:r>
          </w:p>
        </w:tc>
        <w:tc>
          <w:tcPr>
            <w:tcW w:w="32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86"/>
              <w:spacing w:after="0" w:line="156" w:lineRule="exact"/>
              <w:rPr>
                <w:sz w:val="20"/>
                <w:szCs w:val="20"/>
                <w:color w:val="auto"/>
              </w:rPr>
            </w:pPr>
            <w:r>
              <w:rPr>
                <w:rFonts w:ascii="Arial" w:cs="Arial" w:eastAsia="Arial" w:hAnsi="Arial"/>
                <w:sz w:val="15"/>
                <w:szCs w:val="15"/>
                <w:color w:val="auto"/>
              </w:rPr>
              <w:t>164,653</w:t>
            </w:r>
          </w:p>
        </w:tc>
        <w:tc>
          <w:tcPr>
            <w:tcW w:w="28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147,619</w:t>
            </w:r>
          </w:p>
        </w:tc>
        <w:tc>
          <w:tcPr>
            <w:tcW w:w="0" w:type="dxa"/>
            <w:vAlign w:val="bottom"/>
          </w:tcPr>
          <w:p>
            <w:pPr>
              <w:spacing w:after="0"/>
              <w:rPr>
                <w:sz w:val="1"/>
                <w:szCs w:val="1"/>
                <w:color w:val="auto"/>
              </w:rPr>
            </w:pPr>
          </w:p>
        </w:tc>
      </w:tr>
      <w:tr>
        <w:trPr>
          <w:trHeight w:val="145"/>
        </w:trPr>
        <w:tc>
          <w:tcPr>
            <w:tcW w:w="2000" w:type="dxa"/>
            <w:vAlign w:val="bottom"/>
          </w:tcPr>
          <w:p>
            <w:pPr>
              <w:spacing w:after="0" w:line="146" w:lineRule="exact"/>
              <w:rPr>
                <w:sz w:val="20"/>
                <w:szCs w:val="20"/>
                <w:color w:val="auto"/>
              </w:rPr>
            </w:pPr>
            <w:r>
              <w:rPr>
                <w:rFonts w:ascii="Arial" w:cs="Arial" w:eastAsia="Arial" w:hAnsi="Arial"/>
                <w:sz w:val="15"/>
                <w:szCs w:val="15"/>
                <w:color w:val="auto"/>
              </w:rPr>
              <w:t>Total Building</w:t>
            </w:r>
          </w:p>
        </w:tc>
        <w:tc>
          <w:tcPr>
            <w:tcW w:w="460" w:type="dxa"/>
            <w:vAlign w:val="bottom"/>
          </w:tcPr>
          <w:p>
            <w:pPr>
              <w:spacing w:after="0"/>
              <w:rPr>
                <w:sz w:val="12"/>
                <w:szCs w:val="12"/>
                <w:color w:val="auto"/>
              </w:rPr>
            </w:pPr>
          </w:p>
        </w:tc>
        <w:tc>
          <w:tcPr>
            <w:tcW w:w="900" w:type="dxa"/>
            <w:vAlign w:val="bottom"/>
            <w:vMerge w:val="restart"/>
          </w:tcPr>
          <w:p>
            <w:pPr>
              <w:jc w:val="right"/>
              <w:ind w:right="126"/>
              <w:spacing w:after="0"/>
              <w:rPr>
                <w:sz w:val="20"/>
                <w:szCs w:val="20"/>
                <w:color w:val="auto"/>
              </w:rPr>
            </w:pPr>
            <w:r>
              <w:rPr>
                <w:rFonts w:ascii="Arial" w:cs="Arial" w:eastAsia="Arial" w:hAnsi="Arial"/>
                <w:sz w:val="15"/>
                <w:szCs w:val="15"/>
                <w:b w:val="1"/>
                <w:bCs w:val="1"/>
                <w:color w:val="auto"/>
              </w:rPr>
              <w:t>270,324</w:t>
            </w: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00" w:type="dxa"/>
            <w:vAlign w:val="bottom"/>
          </w:tcPr>
          <w:p>
            <w:pPr>
              <w:ind w:left="140"/>
              <w:spacing w:after="0" w:line="159" w:lineRule="exact"/>
              <w:rPr>
                <w:sz w:val="20"/>
                <w:szCs w:val="20"/>
                <w:color w:val="auto"/>
              </w:rPr>
            </w:pPr>
            <w:r>
              <w:rPr>
                <w:rFonts w:ascii="Arial" w:cs="Arial" w:eastAsia="Arial" w:hAnsi="Arial"/>
                <w:sz w:val="15"/>
                <w:szCs w:val="15"/>
                <w:color w:val="auto"/>
              </w:rPr>
              <w:t>Materials Business</w:t>
            </w:r>
          </w:p>
        </w:tc>
        <w:tc>
          <w:tcPr>
            <w:tcW w:w="46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jc w:val="right"/>
              <w:ind w:right="86"/>
              <w:spacing w:after="0" w:line="159" w:lineRule="exact"/>
              <w:rPr>
                <w:sz w:val="20"/>
                <w:szCs w:val="20"/>
                <w:color w:val="auto"/>
              </w:rPr>
            </w:pPr>
            <w:r>
              <w:rPr>
                <w:rFonts w:ascii="Arial" w:cs="Arial" w:eastAsia="Arial" w:hAnsi="Arial"/>
                <w:sz w:val="15"/>
                <w:szCs w:val="15"/>
                <w:color w:val="auto"/>
              </w:rPr>
              <w:t>259,538</w:t>
            </w:r>
          </w:p>
        </w:tc>
        <w:tc>
          <w:tcPr>
            <w:tcW w:w="28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Arial" w:cs="Arial" w:eastAsia="Arial" w:hAnsi="Arial"/>
                <w:sz w:val="15"/>
                <w:szCs w:val="15"/>
                <w:color w:val="auto"/>
              </w:rPr>
              <w:t>240,956</w:t>
            </w:r>
          </w:p>
        </w:tc>
        <w:tc>
          <w:tcPr>
            <w:tcW w:w="0" w:type="dxa"/>
            <w:vAlign w:val="bottom"/>
          </w:tcPr>
          <w:p>
            <w:pPr>
              <w:spacing w:after="0"/>
              <w:rPr>
                <w:sz w:val="1"/>
                <w:szCs w:val="1"/>
                <w:color w:val="auto"/>
              </w:rPr>
            </w:pPr>
          </w:p>
        </w:tc>
      </w:tr>
      <w:tr>
        <w:trPr>
          <w:trHeight w:val="156"/>
        </w:trPr>
        <w:tc>
          <w:tcPr>
            <w:tcW w:w="200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Magnesia Specialties</w:t>
            </w:r>
          </w:p>
        </w:tc>
        <w:tc>
          <w:tcPr>
            <w:tcW w:w="46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126"/>
              <w:spacing w:after="0" w:line="156" w:lineRule="exact"/>
              <w:rPr>
                <w:sz w:val="20"/>
                <w:szCs w:val="20"/>
                <w:color w:val="auto"/>
              </w:rPr>
            </w:pPr>
            <w:r>
              <w:rPr>
                <w:rFonts w:ascii="Arial" w:cs="Arial" w:eastAsia="Arial" w:hAnsi="Arial"/>
                <w:sz w:val="15"/>
                <w:szCs w:val="15"/>
                <w:b w:val="1"/>
                <w:bCs w:val="1"/>
                <w:color w:val="auto"/>
              </w:rPr>
              <w:t>10,070</w:t>
            </w:r>
          </w:p>
        </w:tc>
        <w:tc>
          <w:tcPr>
            <w:tcW w:w="32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86"/>
              <w:spacing w:after="0" w:line="156" w:lineRule="exact"/>
              <w:rPr>
                <w:sz w:val="20"/>
                <w:szCs w:val="20"/>
                <w:color w:val="auto"/>
              </w:rPr>
            </w:pPr>
            <w:r>
              <w:rPr>
                <w:rFonts w:ascii="Arial" w:cs="Arial" w:eastAsia="Arial" w:hAnsi="Arial"/>
                <w:sz w:val="15"/>
                <w:szCs w:val="15"/>
                <w:color w:val="auto"/>
              </w:rPr>
              <w:t>10,354</w:t>
            </w:r>
          </w:p>
        </w:tc>
        <w:tc>
          <w:tcPr>
            <w:tcW w:w="2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9,992</w:t>
            </w:r>
          </w:p>
        </w:tc>
        <w:tc>
          <w:tcPr>
            <w:tcW w:w="0" w:type="dxa"/>
            <w:vAlign w:val="bottom"/>
          </w:tcPr>
          <w:p>
            <w:pPr>
              <w:spacing w:after="0"/>
              <w:rPr>
                <w:sz w:val="1"/>
                <w:szCs w:val="1"/>
                <w:color w:val="auto"/>
              </w:rPr>
            </w:pPr>
          </w:p>
        </w:tc>
      </w:tr>
      <w:tr>
        <w:trPr>
          <w:trHeight w:val="156"/>
        </w:trPr>
        <w:tc>
          <w:tcPr>
            <w:tcW w:w="2000" w:type="dxa"/>
            <w:vAlign w:val="bottom"/>
            <w:tcBorders>
              <w:bottom w:val="single" w:sz="8" w:color="auto"/>
            </w:tcBorders>
          </w:tcPr>
          <w:p>
            <w:pPr>
              <w:spacing w:after="0" w:line="156" w:lineRule="exact"/>
              <w:rPr>
                <w:sz w:val="20"/>
                <w:szCs w:val="20"/>
                <w:color w:val="auto"/>
              </w:rPr>
            </w:pPr>
            <w:r>
              <w:rPr>
                <w:rFonts w:ascii="Arial" w:cs="Arial" w:eastAsia="Arial" w:hAnsi="Arial"/>
                <w:sz w:val="15"/>
                <w:szCs w:val="15"/>
                <w:color w:val="auto"/>
              </w:rPr>
              <w:t>Corporate</w:t>
            </w:r>
          </w:p>
        </w:tc>
        <w:tc>
          <w:tcPr>
            <w:tcW w:w="4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126"/>
              <w:spacing w:after="0" w:line="156" w:lineRule="exact"/>
              <w:rPr>
                <w:sz w:val="20"/>
                <w:szCs w:val="20"/>
                <w:color w:val="auto"/>
              </w:rPr>
            </w:pPr>
            <w:r>
              <w:rPr>
                <w:rFonts w:ascii="Arial" w:cs="Arial" w:eastAsia="Arial" w:hAnsi="Arial"/>
                <w:sz w:val="15"/>
                <w:szCs w:val="15"/>
                <w:b w:val="1"/>
                <w:bCs w:val="1"/>
                <w:color w:val="auto"/>
              </w:rPr>
              <w:t>16,768</w:t>
            </w:r>
          </w:p>
        </w:tc>
        <w:tc>
          <w:tcPr>
            <w:tcW w:w="3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86"/>
              <w:spacing w:after="0" w:line="156" w:lineRule="exact"/>
              <w:rPr>
                <w:sz w:val="20"/>
                <w:szCs w:val="20"/>
                <w:color w:val="auto"/>
              </w:rPr>
            </w:pPr>
            <w:r>
              <w:rPr>
                <w:rFonts w:ascii="Arial" w:cs="Arial" w:eastAsia="Arial" w:hAnsi="Arial"/>
                <w:sz w:val="15"/>
                <w:szCs w:val="15"/>
                <w:color w:val="auto"/>
              </w:rPr>
              <w:t>15,361</w:t>
            </w:r>
          </w:p>
        </w:tc>
        <w:tc>
          <w:tcPr>
            <w:tcW w:w="2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12,639</w:t>
            </w:r>
          </w:p>
        </w:tc>
        <w:tc>
          <w:tcPr>
            <w:tcW w:w="0" w:type="dxa"/>
            <w:vAlign w:val="bottom"/>
          </w:tcPr>
          <w:p>
            <w:pPr>
              <w:spacing w:after="0"/>
              <w:rPr>
                <w:sz w:val="1"/>
                <w:szCs w:val="1"/>
                <w:color w:val="auto"/>
              </w:rPr>
            </w:pPr>
          </w:p>
        </w:tc>
      </w:tr>
      <w:tr>
        <w:trPr>
          <w:trHeight w:val="155"/>
        </w:trPr>
        <w:tc>
          <w:tcPr>
            <w:tcW w:w="200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5"/>
                <w:szCs w:val="15"/>
                <w:color w:val="auto"/>
              </w:rPr>
              <w:t>Total</w:t>
            </w:r>
          </w:p>
        </w:tc>
        <w:tc>
          <w:tcPr>
            <w:tcW w:w="4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900" w:type="dxa"/>
            <w:vAlign w:val="bottom"/>
            <w:tcBorders>
              <w:bottom w:val="single" w:sz="8" w:color="auto"/>
            </w:tcBorders>
            <w:shd w:val="clear" w:color="auto" w:fill="CCEEFF"/>
          </w:tcPr>
          <w:p>
            <w:pPr>
              <w:jc w:val="right"/>
              <w:ind w:right="126"/>
              <w:spacing w:after="0" w:line="149" w:lineRule="exact"/>
              <w:rPr>
                <w:sz w:val="20"/>
                <w:szCs w:val="20"/>
                <w:color w:val="auto"/>
              </w:rPr>
            </w:pPr>
            <w:r>
              <w:rPr>
                <w:rFonts w:ascii="Arial" w:cs="Arial" w:eastAsia="Arial" w:hAnsi="Arial"/>
                <w:sz w:val="15"/>
                <w:szCs w:val="15"/>
                <w:b w:val="1"/>
                <w:bCs w:val="1"/>
                <w:color w:val="auto"/>
              </w:rPr>
              <w:t>297,162</w:t>
            </w:r>
          </w:p>
        </w:tc>
        <w:tc>
          <w:tcPr>
            <w:tcW w:w="3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shd w:val="clear" w:color="auto" w:fill="CCEEFF"/>
          </w:tcPr>
          <w:p>
            <w:pPr>
              <w:jc w:val="right"/>
              <w:ind w:right="86"/>
              <w:spacing w:after="0" w:line="149" w:lineRule="exact"/>
              <w:rPr>
                <w:sz w:val="20"/>
                <w:szCs w:val="20"/>
                <w:color w:val="auto"/>
              </w:rPr>
            </w:pPr>
            <w:r>
              <w:rPr>
                <w:rFonts w:ascii="Arial" w:cs="Arial" w:eastAsia="Arial" w:hAnsi="Arial"/>
                <w:sz w:val="15"/>
                <w:szCs w:val="15"/>
                <w:color w:val="auto"/>
              </w:rPr>
              <w:t>285,253</w:t>
            </w:r>
          </w:p>
        </w:tc>
        <w:tc>
          <w:tcPr>
            <w:tcW w:w="2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263,587</w:t>
            </w:r>
          </w:p>
        </w:tc>
        <w:tc>
          <w:tcPr>
            <w:tcW w:w="0" w:type="dxa"/>
            <w:vAlign w:val="bottom"/>
          </w:tcPr>
          <w:p>
            <w:pPr>
              <w:spacing w:after="0"/>
              <w:rPr>
                <w:sz w:val="1"/>
                <w:szCs w:val="1"/>
                <w:color w:val="auto"/>
              </w:rPr>
            </w:pPr>
          </w:p>
        </w:tc>
      </w:tr>
      <w:tr>
        <w:trPr>
          <w:trHeight w:val="350"/>
        </w:trPr>
        <w:tc>
          <w:tcPr>
            <w:tcW w:w="200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Total property additions</w:t>
            </w:r>
          </w:p>
        </w:tc>
        <w:tc>
          <w:tcPr>
            <w:tcW w:w="4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0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Mid-America Group</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900" w:type="dxa"/>
            <w:vAlign w:val="bottom"/>
            <w:shd w:val="clear" w:color="auto" w:fill="CCEEFF"/>
          </w:tcPr>
          <w:p>
            <w:pPr>
              <w:jc w:val="right"/>
              <w:ind w:right="126"/>
              <w:spacing w:after="0" w:line="149" w:lineRule="exact"/>
              <w:rPr>
                <w:sz w:val="20"/>
                <w:szCs w:val="20"/>
                <w:color w:val="auto"/>
              </w:rPr>
            </w:pPr>
            <w:r>
              <w:rPr>
                <w:rFonts w:ascii="Arial" w:cs="Arial" w:eastAsia="Arial" w:hAnsi="Arial"/>
                <w:sz w:val="15"/>
                <w:szCs w:val="15"/>
                <w:b w:val="1"/>
                <w:bCs w:val="1"/>
                <w:color w:val="auto"/>
              </w:rPr>
              <w:t>139,505</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86"/>
              <w:spacing w:after="0" w:line="149" w:lineRule="exact"/>
              <w:rPr>
                <w:sz w:val="20"/>
                <w:szCs w:val="20"/>
                <w:color w:val="auto"/>
              </w:rPr>
            </w:pPr>
            <w:r>
              <w:rPr>
                <w:rFonts w:ascii="Arial" w:cs="Arial" w:eastAsia="Arial" w:hAnsi="Arial"/>
                <w:sz w:val="15"/>
                <w:szCs w:val="15"/>
                <w:color w:val="auto"/>
              </w:rPr>
              <w:t>152,014</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77,640</w:t>
            </w:r>
          </w:p>
        </w:tc>
        <w:tc>
          <w:tcPr>
            <w:tcW w:w="0" w:type="dxa"/>
            <w:vAlign w:val="bottom"/>
          </w:tcPr>
          <w:p>
            <w:pPr>
              <w:spacing w:after="0"/>
              <w:rPr>
                <w:sz w:val="1"/>
                <w:szCs w:val="1"/>
                <w:color w:val="auto"/>
              </w:rPr>
            </w:pPr>
          </w:p>
        </w:tc>
      </w:tr>
      <w:tr>
        <w:trPr>
          <w:trHeight w:val="156"/>
        </w:trPr>
        <w:tc>
          <w:tcPr>
            <w:tcW w:w="2000" w:type="dxa"/>
            <w:vAlign w:val="bottom"/>
          </w:tcPr>
          <w:p>
            <w:pPr>
              <w:spacing w:after="0" w:line="156" w:lineRule="exact"/>
              <w:rPr>
                <w:sz w:val="20"/>
                <w:szCs w:val="20"/>
                <w:color w:val="auto"/>
              </w:rPr>
            </w:pPr>
            <w:r>
              <w:rPr>
                <w:rFonts w:ascii="Arial" w:cs="Arial" w:eastAsia="Arial" w:hAnsi="Arial"/>
                <w:sz w:val="15"/>
                <w:szCs w:val="15"/>
                <w:color w:val="auto"/>
              </w:rPr>
              <w:t>Southeast Group</w:t>
            </w:r>
          </w:p>
        </w:tc>
        <w:tc>
          <w:tcPr>
            <w:tcW w:w="460" w:type="dxa"/>
            <w:vAlign w:val="bottom"/>
          </w:tcPr>
          <w:p>
            <w:pPr>
              <w:spacing w:after="0"/>
              <w:rPr>
                <w:sz w:val="13"/>
                <w:szCs w:val="13"/>
                <w:color w:val="auto"/>
              </w:rPr>
            </w:pPr>
          </w:p>
        </w:tc>
        <w:tc>
          <w:tcPr>
            <w:tcW w:w="900" w:type="dxa"/>
            <w:vAlign w:val="bottom"/>
          </w:tcPr>
          <w:p>
            <w:pPr>
              <w:jc w:val="right"/>
              <w:ind w:right="126"/>
              <w:spacing w:after="0" w:line="156" w:lineRule="exact"/>
              <w:rPr>
                <w:sz w:val="20"/>
                <w:szCs w:val="20"/>
                <w:color w:val="auto"/>
              </w:rPr>
            </w:pPr>
            <w:r>
              <w:rPr>
                <w:rFonts w:ascii="Arial" w:cs="Arial" w:eastAsia="Arial" w:hAnsi="Arial"/>
                <w:sz w:val="15"/>
                <w:szCs w:val="15"/>
                <w:b w:val="1"/>
                <w:bCs w:val="1"/>
                <w:color w:val="auto"/>
              </w:rPr>
              <w:t>34,636</w:t>
            </w:r>
          </w:p>
        </w:tc>
        <w:tc>
          <w:tcPr>
            <w:tcW w:w="320" w:type="dxa"/>
            <w:vAlign w:val="bottom"/>
          </w:tcPr>
          <w:p>
            <w:pPr>
              <w:spacing w:after="0"/>
              <w:rPr>
                <w:sz w:val="13"/>
                <w:szCs w:val="13"/>
                <w:color w:val="auto"/>
              </w:rPr>
            </w:pPr>
          </w:p>
        </w:tc>
        <w:tc>
          <w:tcPr>
            <w:tcW w:w="860" w:type="dxa"/>
            <w:vAlign w:val="bottom"/>
          </w:tcPr>
          <w:p>
            <w:pPr>
              <w:jc w:val="right"/>
              <w:ind w:right="86"/>
              <w:spacing w:after="0" w:line="156" w:lineRule="exact"/>
              <w:rPr>
                <w:sz w:val="20"/>
                <w:szCs w:val="20"/>
                <w:color w:val="auto"/>
              </w:rPr>
            </w:pPr>
            <w:r>
              <w:rPr>
                <w:rFonts w:ascii="Arial" w:cs="Arial" w:eastAsia="Arial" w:hAnsi="Arial"/>
                <w:sz w:val="15"/>
                <w:szCs w:val="15"/>
                <w:color w:val="auto"/>
              </w:rPr>
              <w:t>30,588</w:t>
            </w:r>
          </w:p>
        </w:tc>
        <w:tc>
          <w:tcPr>
            <w:tcW w:w="280" w:type="dxa"/>
            <w:vAlign w:val="bottom"/>
          </w:tcPr>
          <w:p>
            <w:pPr>
              <w:spacing w:after="0"/>
              <w:rPr>
                <w:sz w:val="13"/>
                <w:szCs w:val="13"/>
                <w:color w:val="auto"/>
              </w:rPr>
            </w:pPr>
          </w:p>
        </w:tc>
        <w:tc>
          <w:tcPr>
            <w:tcW w:w="760" w:type="dxa"/>
            <w:vAlign w:val="bottom"/>
          </w:tcPr>
          <w:p>
            <w:pPr>
              <w:jc w:val="right"/>
              <w:spacing w:after="0" w:line="156" w:lineRule="exact"/>
              <w:rPr>
                <w:sz w:val="20"/>
                <w:szCs w:val="20"/>
                <w:color w:val="auto"/>
              </w:rPr>
            </w:pPr>
            <w:r>
              <w:rPr>
                <w:rFonts w:ascii="Arial" w:cs="Arial" w:eastAsia="Arial" w:hAnsi="Arial"/>
                <w:sz w:val="15"/>
                <w:szCs w:val="15"/>
                <w:color w:val="auto"/>
              </w:rPr>
              <w:t>12,155</w:t>
            </w:r>
          </w:p>
        </w:tc>
        <w:tc>
          <w:tcPr>
            <w:tcW w:w="0" w:type="dxa"/>
            <w:vAlign w:val="bottom"/>
          </w:tcPr>
          <w:p>
            <w:pPr>
              <w:spacing w:after="0"/>
              <w:rPr>
                <w:sz w:val="1"/>
                <w:szCs w:val="1"/>
                <w:color w:val="auto"/>
              </w:rPr>
            </w:pPr>
          </w:p>
        </w:tc>
      </w:tr>
      <w:tr>
        <w:trPr>
          <w:trHeight w:val="156"/>
        </w:trPr>
        <w:tc>
          <w:tcPr>
            <w:tcW w:w="200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West Group</w:t>
            </w:r>
          </w:p>
        </w:tc>
        <w:tc>
          <w:tcPr>
            <w:tcW w:w="46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126"/>
              <w:spacing w:after="0" w:line="156" w:lineRule="exact"/>
              <w:rPr>
                <w:sz w:val="20"/>
                <w:szCs w:val="20"/>
                <w:color w:val="auto"/>
              </w:rPr>
            </w:pPr>
            <w:r>
              <w:rPr>
                <w:rFonts w:ascii="Arial" w:cs="Arial" w:eastAsia="Arial" w:hAnsi="Arial"/>
                <w:sz w:val="15"/>
                <w:szCs w:val="15"/>
                <w:b w:val="1"/>
                <w:bCs w:val="1"/>
                <w:color w:val="auto"/>
              </w:rPr>
              <w:t>240,793</w:t>
            </w:r>
          </w:p>
        </w:tc>
        <w:tc>
          <w:tcPr>
            <w:tcW w:w="32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86"/>
              <w:spacing w:after="0" w:line="156" w:lineRule="exact"/>
              <w:rPr>
                <w:sz w:val="20"/>
                <w:szCs w:val="20"/>
                <w:color w:val="auto"/>
              </w:rPr>
            </w:pPr>
            <w:r>
              <w:rPr>
                <w:rFonts w:ascii="Arial" w:cs="Arial" w:eastAsia="Arial" w:hAnsi="Arial"/>
                <w:sz w:val="15"/>
                <w:szCs w:val="15"/>
                <w:color w:val="auto"/>
              </w:rPr>
              <w:t>338,795</w:t>
            </w:r>
          </w:p>
        </w:tc>
        <w:tc>
          <w:tcPr>
            <w:tcW w:w="28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244,844</w:t>
            </w:r>
          </w:p>
        </w:tc>
        <w:tc>
          <w:tcPr>
            <w:tcW w:w="0" w:type="dxa"/>
            <w:vAlign w:val="bottom"/>
          </w:tcPr>
          <w:p>
            <w:pPr>
              <w:spacing w:after="0"/>
              <w:rPr>
                <w:sz w:val="1"/>
                <w:szCs w:val="1"/>
                <w:color w:val="auto"/>
              </w:rPr>
            </w:pPr>
          </w:p>
        </w:tc>
      </w:tr>
      <w:tr>
        <w:trPr>
          <w:trHeight w:val="145"/>
        </w:trPr>
        <w:tc>
          <w:tcPr>
            <w:tcW w:w="2000" w:type="dxa"/>
            <w:vAlign w:val="bottom"/>
          </w:tcPr>
          <w:p>
            <w:pPr>
              <w:spacing w:after="0" w:line="146" w:lineRule="exact"/>
              <w:rPr>
                <w:sz w:val="20"/>
                <w:szCs w:val="20"/>
                <w:color w:val="auto"/>
              </w:rPr>
            </w:pPr>
            <w:r>
              <w:rPr>
                <w:rFonts w:ascii="Arial" w:cs="Arial" w:eastAsia="Arial" w:hAnsi="Arial"/>
                <w:sz w:val="15"/>
                <w:szCs w:val="15"/>
                <w:color w:val="auto"/>
              </w:rPr>
              <w:t>Total Building</w:t>
            </w:r>
          </w:p>
        </w:tc>
        <w:tc>
          <w:tcPr>
            <w:tcW w:w="460" w:type="dxa"/>
            <w:vAlign w:val="bottom"/>
          </w:tcPr>
          <w:p>
            <w:pPr>
              <w:spacing w:after="0"/>
              <w:rPr>
                <w:sz w:val="12"/>
                <w:szCs w:val="12"/>
                <w:color w:val="auto"/>
              </w:rPr>
            </w:pPr>
          </w:p>
        </w:tc>
        <w:tc>
          <w:tcPr>
            <w:tcW w:w="900" w:type="dxa"/>
            <w:vAlign w:val="bottom"/>
            <w:vMerge w:val="restart"/>
          </w:tcPr>
          <w:p>
            <w:pPr>
              <w:jc w:val="right"/>
              <w:ind w:right="126"/>
              <w:spacing w:after="0"/>
              <w:rPr>
                <w:sz w:val="20"/>
                <w:szCs w:val="20"/>
                <w:color w:val="auto"/>
              </w:rPr>
            </w:pPr>
            <w:r>
              <w:rPr>
                <w:rFonts w:ascii="Arial" w:cs="Arial" w:eastAsia="Arial" w:hAnsi="Arial"/>
                <w:sz w:val="15"/>
                <w:szCs w:val="15"/>
                <w:b w:val="1"/>
                <w:bCs w:val="1"/>
                <w:color w:val="auto"/>
              </w:rPr>
              <w:t>414,934</w:t>
            </w: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00" w:type="dxa"/>
            <w:vAlign w:val="bottom"/>
          </w:tcPr>
          <w:p>
            <w:pPr>
              <w:ind w:left="140"/>
              <w:spacing w:after="0" w:line="159" w:lineRule="exact"/>
              <w:rPr>
                <w:sz w:val="20"/>
                <w:szCs w:val="20"/>
                <w:color w:val="auto"/>
              </w:rPr>
            </w:pPr>
            <w:r>
              <w:rPr>
                <w:rFonts w:ascii="Arial" w:cs="Arial" w:eastAsia="Arial" w:hAnsi="Arial"/>
                <w:sz w:val="15"/>
                <w:szCs w:val="15"/>
                <w:color w:val="auto"/>
              </w:rPr>
              <w:t>Materials Business</w:t>
            </w:r>
          </w:p>
        </w:tc>
        <w:tc>
          <w:tcPr>
            <w:tcW w:w="46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jc w:val="right"/>
              <w:ind w:right="86"/>
              <w:spacing w:after="0" w:line="159" w:lineRule="exact"/>
              <w:rPr>
                <w:sz w:val="20"/>
                <w:szCs w:val="20"/>
                <w:color w:val="auto"/>
              </w:rPr>
            </w:pPr>
            <w:r>
              <w:rPr>
                <w:rFonts w:ascii="Arial" w:cs="Arial" w:eastAsia="Arial" w:hAnsi="Arial"/>
                <w:sz w:val="15"/>
                <w:szCs w:val="15"/>
                <w:color w:val="auto"/>
              </w:rPr>
              <w:t>521,397</w:t>
            </w:r>
          </w:p>
        </w:tc>
        <w:tc>
          <w:tcPr>
            <w:tcW w:w="28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Arial" w:cs="Arial" w:eastAsia="Arial" w:hAnsi="Arial"/>
                <w:sz w:val="15"/>
                <w:szCs w:val="15"/>
                <w:color w:val="auto"/>
              </w:rPr>
              <w:t>334,639</w:t>
            </w:r>
          </w:p>
        </w:tc>
        <w:tc>
          <w:tcPr>
            <w:tcW w:w="0" w:type="dxa"/>
            <w:vAlign w:val="bottom"/>
          </w:tcPr>
          <w:p>
            <w:pPr>
              <w:spacing w:after="0"/>
              <w:rPr>
                <w:sz w:val="1"/>
                <w:szCs w:val="1"/>
                <w:color w:val="auto"/>
              </w:rPr>
            </w:pPr>
          </w:p>
        </w:tc>
      </w:tr>
      <w:tr>
        <w:trPr>
          <w:trHeight w:val="156"/>
        </w:trPr>
        <w:tc>
          <w:tcPr>
            <w:tcW w:w="200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Magnesia Specialties</w:t>
            </w:r>
          </w:p>
        </w:tc>
        <w:tc>
          <w:tcPr>
            <w:tcW w:w="46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126"/>
              <w:spacing w:after="0" w:line="156" w:lineRule="exact"/>
              <w:rPr>
                <w:sz w:val="20"/>
                <w:szCs w:val="20"/>
                <w:color w:val="auto"/>
              </w:rPr>
            </w:pPr>
            <w:r>
              <w:rPr>
                <w:rFonts w:ascii="Arial" w:cs="Arial" w:eastAsia="Arial" w:hAnsi="Arial"/>
                <w:sz w:val="15"/>
                <w:szCs w:val="15"/>
                <w:b w:val="1"/>
                <w:bCs w:val="1"/>
                <w:color w:val="auto"/>
              </w:rPr>
              <w:t>11,129</w:t>
            </w:r>
          </w:p>
        </w:tc>
        <w:tc>
          <w:tcPr>
            <w:tcW w:w="32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86"/>
              <w:spacing w:after="0" w:line="156" w:lineRule="exact"/>
              <w:rPr>
                <w:sz w:val="20"/>
                <w:szCs w:val="20"/>
                <w:color w:val="auto"/>
              </w:rPr>
            </w:pPr>
            <w:r>
              <w:rPr>
                <w:rFonts w:ascii="Arial" w:cs="Arial" w:eastAsia="Arial" w:hAnsi="Arial"/>
                <w:sz w:val="15"/>
                <w:szCs w:val="15"/>
                <w:color w:val="auto"/>
              </w:rPr>
              <w:t>8,944</w:t>
            </w:r>
          </w:p>
        </w:tc>
        <w:tc>
          <w:tcPr>
            <w:tcW w:w="2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8,916</w:t>
            </w:r>
          </w:p>
        </w:tc>
        <w:tc>
          <w:tcPr>
            <w:tcW w:w="0" w:type="dxa"/>
            <w:vAlign w:val="bottom"/>
          </w:tcPr>
          <w:p>
            <w:pPr>
              <w:spacing w:after="0"/>
              <w:rPr>
                <w:sz w:val="1"/>
                <w:szCs w:val="1"/>
                <w:color w:val="auto"/>
              </w:rPr>
            </w:pPr>
          </w:p>
        </w:tc>
      </w:tr>
      <w:tr>
        <w:trPr>
          <w:trHeight w:val="156"/>
        </w:trPr>
        <w:tc>
          <w:tcPr>
            <w:tcW w:w="2000" w:type="dxa"/>
            <w:vAlign w:val="bottom"/>
            <w:tcBorders>
              <w:bottom w:val="single" w:sz="8" w:color="auto"/>
            </w:tcBorders>
          </w:tcPr>
          <w:p>
            <w:pPr>
              <w:spacing w:after="0" w:line="156" w:lineRule="exact"/>
              <w:rPr>
                <w:sz w:val="20"/>
                <w:szCs w:val="20"/>
                <w:color w:val="auto"/>
              </w:rPr>
            </w:pPr>
            <w:r>
              <w:rPr>
                <w:rFonts w:ascii="Arial" w:cs="Arial" w:eastAsia="Arial" w:hAnsi="Arial"/>
                <w:sz w:val="15"/>
                <w:szCs w:val="15"/>
                <w:color w:val="auto"/>
              </w:rPr>
              <w:t>Corporate</w:t>
            </w:r>
          </w:p>
        </w:tc>
        <w:tc>
          <w:tcPr>
            <w:tcW w:w="4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126"/>
              <w:spacing w:after="0" w:line="156" w:lineRule="exact"/>
              <w:rPr>
                <w:sz w:val="20"/>
                <w:szCs w:val="20"/>
                <w:color w:val="auto"/>
              </w:rPr>
            </w:pPr>
            <w:r>
              <w:rPr>
                <w:rFonts w:ascii="Arial" w:cs="Arial" w:eastAsia="Arial" w:hAnsi="Arial"/>
                <w:sz w:val="15"/>
                <w:szCs w:val="15"/>
                <w:b w:val="1"/>
                <w:bCs w:val="1"/>
                <w:color w:val="auto"/>
              </w:rPr>
              <w:t>12,558</w:t>
            </w:r>
          </w:p>
        </w:tc>
        <w:tc>
          <w:tcPr>
            <w:tcW w:w="3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86"/>
              <w:spacing w:after="0" w:line="156" w:lineRule="exact"/>
              <w:rPr>
                <w:sz w:val="20"/>
                <w:szCs w:val="20"/>
                <w:color w:val="auto"/>
              </w:rPr>
            </w:pPr>
            <w:r>
              <w:rPr>
                <w:rFonts w:ascii="Arial" w:cs="Arial" w:eastAsia="Arial" w:hAnsi="Arial"/>
                <w:sz w:val="15"/>
                <w:szCs w:val="15"/>
                <w:color w:val="auto"/>
              </w:rPr>
              <w:t>10,430</w:t>
            </w:r>
          </w:p>
        </w:tc>
        <w:tc>
          <w:tcPr>
            <w:tcW w:w="2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20,561</w:t>
            </w:r>
          </w:p>
        </w:tc>
        <w:tc>
          <w:tcPr>
            <w:tcW w:w="0" w:type="dxa"/>
            <w:vAlign w:val="bottom"/>
          </w:tcPr>
          <w:p>
            <w:pPr>
              <w:spacing w:after="0"/>
              <w:rPr>
                <w:sz w:val="1"/>
                <w:szCs w:val="1"/>
                <w:color w:val="auto"/>
              </w:rPr>
            </w:pPr>
          </w:p>
        </w:tc>
      </w:tr>
      <w:tr>
        <w:trPr>
          <w:trHeight w:val="155"/>
        </w:trPr>
        <w:tc>
          <w:tcPr>
            <w:tcW w:w="200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5"/>
                <w:szCs w:val="15"/>
                <w:color w:val="auto"/>
              </w:rPr>
              <w:t>Total</w:t>
            </w:r>
          </w:p>
        </w:tc>
        <w:tc>
          <w:tcPr>
            <w:tcW w:w="4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900" w:type="dxa"/>
            <w:vAlign w:val="bottom"/>
            <w:tcBorders>
              <w:bottom w:val="single" w:sz="8" w:color="auto"/>
            </w:tcBorders>
            <w:shd w:val="clear" w:color="auto" w:fill="CCEEFF"/>
          </w:tcPr>
          <w:p>
            <w:pPr>
              <w:jc w:val="right"/>
              <w:ind w:right="126"/>
              <w:spacing w:after="0" w:line="149" w:lineRule="exact"/>
              <w:rPr>
                <w:sz w:val="20"/>
                <w:szCs w:val="20"/>
                <w:color w:val="auto"/>
              </w:rPr>
            </w:pPr>
            <w:r>
              <w:rPr>
                <w:rFonts w:ascii="Arial" w:cs="Arial" w:eastAsia="Arial" w:hAnsi="Arial"/>
                <w:sz w:val="15"/>
                <w:szCs w:val="15"/>
                <w:b w:val="1"/>
                <w:bCs w:val="1"/>
                <w:color w:val="auto"/>
              </w:rPr>
              <w:t>438,621</w:t>
            </w:r>
          </w:p>
        </w:tc>
        <w:tc>
          <w:tcPr>
            <w:tcW w:w="3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shd w:val="clear" w:color="auto" w:fill="CCEEFF"/>
          </w:tcPr>
          <w:p>
            <w:pPr>
              <w:jc w:val="right"/>
              <w:ind w:right="86"/>
              <w:spacing w:after="0" w:line="149" w:lineRule="exact"/>
              <w:rPr>
                <w:sz w:val="20"/>
                <w:szCs w:val="20"/>
                <w:color w:val="auto"/>
              </w:rPr>
            </w:pPr>
            <w:r>
              <w:rPr>
                <w:rFonts w:ascii="Arial" w:cs="Arial" w:eastAsia="Arial" w:hAnsi="Arial"/>
                <w:sz w:val="15"/>
                <w:szCs w:val="15"/>
                <w:color w:val="auto"/>
              </w:rPr>
              <w:t>540,771</w:t>
            </w:r>
          </w:p>
        </w:tc>
        <w:tc>
          <w:tcPr>
            <w:tcW w:w="2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364,116</w:t>
            </w:r>
          </w:p>
        </w:tc>
        <w:tc>
          <w:tcPr>
            <w:tcW w:w="0" w:type="dxa"/>
            <w:vAlign w:val="bottom"/>
          </w:tcPr>
          <w:p>
            <w:pPr>
              <w:spacing w:after="0"/>
              <w:rPr>
                <w:sz w:val="1"/>
                <w:szCs w:val="1"/>
                <w:color w:val="auto"/>
              </w:rPr>
            </w:pPr>
          </w:p>
        </w:tc>
      </w:tr>
      <w:tr>
        <w:trPr>
          <w:trHeight w:val="350"/>
        </w:trPr>
        <w:tc>
          <w:tcPr>
            <w:tcW w:w="3360" w:type="dxa"/>
            <w:vAlign w:val="bottom"/>
            <w:tcBorders>
              <w:bottom w:val="single" w:sz="8" w:color="auto"/>
            </w:tcBorders>
            <w:gridSpan w:val="3"/>
          </w:tcPr>
          <w:p>
            <w:pPr>
              <w:spacing w:after="0"/>
              <w:rPr>
                <w:sz w:val="20"/>
                <w:szCs w:val="20"/>
                <w:color w:val="auto"/>
              </w:rPr>
            </w:pPr>
            <w:r>
              <w:rPr>
                <w:rFonts w:ascii="Arial" w:cs="Arial" w:eastAsia="Arial" w:hAnsi="Arial"/>
                <w:sz w:val="15"/>
                <w:szCs w:val="15"/>
                <w:b w:val="1"/>
                <w:bCs w:val="1"/>
                <w:color w:val="auto"/>
              </w:rPr>
              <w:t>Property additions through acquisitions</w:t>
            </w:r>
          </w:p>
        </w:tc>
        <w:tc>
          <w:tcPr>
            <w:tcW w:w="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0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Mid-America Group</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900" w:type="dxa"/>
            <w:vAlign w:val="bottom"/>
            <w:shd w:val="clear" w:color="auto" w:fill="CCEEFF"/>
          </w:tcPr>
          <w:p>
            <w:pPr>
              <w:jc w:val="right"/>
              <w:ind w:right="126"/>
              <w:spacing w:after="0" w:line="149" w:lineRule="exact"/>
              <w:rPr>
                <w:sz w:val="20"/>
                <w:szCs w:val="20"/>
                <w:color w:val="auto"/>
              </w:rPr>
            </w:pPr>
            <w:r>
              <w:rPr>
                <w:rFonts w:ascii="Arial" w:cs="Arial" w:eastAsia="Arial" w:hAnsi="Arial"/>
                <w:sz w:val="15"/>
                <w:szCs w:val="15"/>
                <w:b w:val="1"/>
                <w:bCs w:val="1"/>
                <w:color w:val="auto"/>
              </w:rPr>
              <w:t>60</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86"/>
              <w:spacing w:after="0" w:line="149" w:lineRule="exact"/>
              <w:rPr>
                <w:sz w:val="20"/>
                <w:szCs w:val="20"/>
                <w:color w:val="auto"/>
              </w:rPr>
            </w:pPr>
            <w:r>
              <w:rPr>
                <w:rFonts w:ascii="Arial" w:cs="Arial" w:eastAsia="Arial" w:hAnsi="Arial"/>
                <w:sz w:val="15"/>
                <w:szCs w:val="15"/>
                <w:color w:val="auto"/>
              </w:rPr>
              <w:t>1,524</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4,385</w:t>
            </w:r>
          </w:p>
        </w:tc>
        <w:tc>
          <w:tcPr>
            <w:tcW w:w="0" w:type="dxa"/>
            <w:vAlign w:val="bottom"/>
          </w:tcPr>
          <w:p>
            <w:pPr>
              <w:spacing w:after="0"/>
              <w:rPr>
                <w:sz w:val="1"/>
                <w:szCs w:val="1"/>
                <w:color w:val="auto"/>
              </w:rPr>
            </w:pPr>
          </w:p>
        </w:tc>
      </w:tr>
      <w:tr>
        <w:trPr>
          <w:trHeight w:val="156"/>
        </w:trPr>
        <w:tc>
          <w:tcPr>
            <w:tcW w:w="2000" w:type="dxa"/>
            <w:vAlign w:val="bottom"/>
          </w:tcPr>
          <w:p>
            <w:pPr>
              <w:spacing w:after="0" w:line="156" w:lineRule="exact"/>
              <w:rPr>
                <w:sz w:val="20"/>
                <w:szCs w:val="20"/>
                <w:color w:val="auto"/>
              </w:rPr>
            </w:pPr>
            <w:r>
              <w:rPr>
                <w:rFonts w:ascii="Arial" w:cs="Arial" w:eastAsia="Arial" w:hAnsi="Arial"/>
                <w:sz w:val="15"/>
                <w:szCs w:val="15"/>
                <w:color w:val="auto"/>
              </w:rPr>
              <w:t>Southeast Group</w:t>
            </w:r>
          </w:p>
        </w:tc>
        <w:tc>
          <w:tcPr>
            <w:tcW w:w="460" w:type="dxa"/>
            <w:vAlign w:val="bottom"/>
          </w:tcPr>
          <w:p>
            <w:pPr>
              <w:spacing w:after="0"/>
              <w:rPr>
                <w:sz w:val="13"/>
                <w:szCs w:val="13"/>
                <w:color w:val="auto"/>
              </w:rPr>
            </w:pPr>
          </w:p>
        </w:tc>
        <w:tc>
          <w:tcPr>
            <w:tcW w:w="900" w:type="dxa"/>
            <w:vAlign w:val="bottom"/>
          </w:tcPr>
          <w:p>
            <w:pPr>
              <w:jc w:val="right"/>
              <w:ind w:right="126"/>
              <w:spacing w:after="0" w:line="156" w:lineRule="exact"/>
              <w:rPr>
                <w:sz w:val="20"/>
                <w:szCs w:val="20"/>
                <w:color w:val="auto"/>
              </w:rPr>
            </w:pPr>
            <w:r>
              <w:rPr>
                <w:rFonts w:ascii="Arial" w:cs="Arial" w:eastAsia="Arial" w:hAnsi="Arial"/>
                <w:sz w:val="15"/>
                <w:szCs w:val="15"/>
                <w:b w:val="1"/>
                <w:bCs w:val="1"/>
                <w:color w:val="auto"/>
              </w:rPr>
              <w:t>–</w:t>
            </w:r>
          </w:p>
        </w:tc>
        <w:tc>
          <w:tcPr>
            <w:tcW w:w="320" w:type="dxa"/>
            <w:vAlign w:val="bottom"/>
          </w:tcPr>
          <w:p>
            <w:pPr>
              <w:spacing w:after="0"/>
              <w:rPr>
                <w:sz w:val="13"/>
                <w:szCs w:val="13"/>
                <w:color w:val="auto"/>
              </w:rPr>
            </w:pPr>
          </w:p>
        </w:tc>
        <w:tc>
          <w:tcPr>
            <w:tcW w:w="860" w:type="dxa"/>
            <w:vAlign w:val="bottom"/>
          </w:tcPr>
          <w:p>
            <w:pPr>
              <w:jc w:val="right"/>
              <w:ind w:right="86"/>
              <w:spacing w:after="0" w:line="156" w:lineRule="exact"/>
              <w:rPr>
                <w:sz w:val="20"/>
                <w:szCs w:val="20"/>
                <w:color w:val="auto"/>
              </w:rPr>
            </w:pPr>
            <w:r>
              <w:rPr>
                <w:rFonts w:ascii="Arial" w:cs="Arial" w:eastAsia="Arial" w:hAnsi="Arial"/>
                <w:sz w:val="15"/>
                <w:szCs w:val="15"/>
                <w:color w:val="auto"/>
              </w:rPr>
              <w:t>–</w:t>
            </w:r>
          </w:p>
        </w:tc>
        <w:tc>
          <w:tcPr>
            <w:tcW w:w="280" w:type="dxa"/>
            <w:vAlign w:val="bottom"/>
          </w:tcPr>
          <w:p>
            <w:pPr>
              <w:spacing w:after="0"/>
              <w:rPr>
                <w:sz w:val="13"/>
                <w:szCs w:val="13"/>
                <w:color w:val="auto"/>
              </w:rPr>
            </w:pPr>
          </w:p>
        </w:tc>
        <w:tc>
          <w:tcPr>
            <w:tcW w:w="760" w:type="dxa"/>
            <w:vAlign w:val="bottom"/>
          </w:tcPr>
          <w:p>
            <w:pPr>
              <w:jc w:val="right"/>
              <w:spacing w:after="0" w:line="15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6"/>
        </w:trPr>
        <w:tc>
          <w:tcPr>
            <w:tcW w:w="200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West Group</w:t>
            </w:r>
          </w:p>
        </w:tc>
        <w:tc>
          <w:tcPr>
            <w:tcW w:w="46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126"/>
              <w:spacing w:after="0" w:line="156" w:lineRule="exact"/>
              <w:rPr>
                <w:sz w:val="20"/>
                <w:szCs w:val="20"/>
                <w:color w:val="auto"/>
              </w:rPr>
            </w:pPr>
            <w:r>
              <w:rPr>
                <w:rFonts w:ascii="Arial" w:cs="Arial" w:eastAsia="Arial" w:hAnsi="Arial"/>
                <w:sz w:val="15"/>
                <w:szCs w:val="15"/>
                <w:b w:val="1"/>
                <w:bCs w:val="1"/>
                <w:color w:val="auto"/>
              </w:rPr>
              <w:t>2,420</w:t>
            </w:r>
          </w:p>
        </w:tc>
        <w:tc>
          <w:tcPr>
            <w:tcW w:w="32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86"/>
              <w:spacing w:after="0" w:line="156" w:lineRule="exact"/>
              <w:rPr>
                <w:sz w:val="20"/>
                <w:szCs w:val="20"/>
                <w:color w:val="auto"/>
              </w:rPr>
            </w:pPr>
            <w:r>
              <w:rPr>
                <w:rFonts w:ascii="Arial" w:cs="Arial" w:eastAsia="Arial" w:hAnsi="Arial"/>
                <w:sz w:val="15"/>
                <w:szCs w:val="15"/>
                <w:color w:val="auto"/>
              </w:rPr>
              <w:t>132,112</w:t>
            </w:r>
          </w:p>
        </w:tc>
        <w:tc>
          <w:tcPr>
            <w:tcW w:w="28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35,965</w:t>
            </w:r>
          </w:p>
        </w:tc>
        <w:tc>
          <w:tcPr>
            <w:tcW w:w="0" w:type="dxa"/>
            <w:vAlign w:val="bottom"/>
          </w:tcPr>
          <w:p>
            <w:pPr>
              <w:spacing w:after="0"/>
              <w:rPr>
                <w:sz w:val="1"/>
                <w:szCs w:val="1"/>
                <w:color w:val="auto"/>
              </w:rPr>
            </w:pPr>
          </w:p>
        </w:tc>
      </w:tr>
      <w:tr>
        <w:trPr>
          <w:trHeight w:val="145"/>
        </w:trPr>
        <w:tc>
          <w:tcPr>
            <w:tcW w:w="2000" w:type="dxa"/>
            <w:vAlign w:val="bottom"/>
          </w:tcPr>
          <w:p>
            <w:pPr>
              <w:spacing w:after="0" w:line="146" w:lineRule="exact"/>
              <w:rPr>
                <w:sz w:val="20"/>
                <w:szCs w:val="20"/>
                <w:color w:val="auto"/>
              </w:rPr>
            </w:pPr>
            <w:r>
              <w:rPr>
                <w:rFonts w:ascii="Arial" w:cs="Arial" w:eastAsia="Arial" w:hAnsi="Arial"/>
                <w:sz w:val="15"/>
                <w:szCs w:val="15"/>
                <w:color w:val="auto"/>
              </w:rPr>
              <w:t>Total Building</w:t>
            </w:r>
          </w:p>
        </w:tc>
        <w:tc>
          <w:tcPr>
            <w:tcW w:w="460" w:type="dxa"/>
            <w:vAlign w:val="bottom"/>
          </w:tcPr>
          <w:p>
            <w:pPr>
              <w:spacing w:after="0"/>
              <w:rPr>
                <w:sz w:val="12"/>
                <w:szCs w:val="12"/>
                <w:color w:val="auto"/>
              </w:rPr>
            </w:pPr>
          </w:p>
        </w:tc>
        <w:tc>
          <w:tcPr>
            <w:tcW w:w="900" w:type="dxa"/>
            <w:vAlign w:val="bottom"/>
            <w:vMerge w:val="restart"/>
          </w:tcPr>
          <w:p>
            <w:pPr>
              <w:jc w:val="right"/>
              <w:ind w:right="126"/>
              <w:spacing w:after="0"/>
              <w:rPr>
                <w:sz w:val="20"/>
                <w:szCs w:val="20"/>
                <w:color w:val="auto"/>
              </w:rPr>
            </w:pPr>
            <w:r>
              <w:rPr>
                <w:rFonts w:ascii="Arial" w:cs="Arial" w:eastAsia="Arial" w:hAnsi="Arial"/>
                <w:sz w:val="15"/>
                <w:szCs w:val="15"/>
                <w:b w:val="1"/>
                <w:bCs w:val="1"/>
                <w:color w:val="auto"/>
              </w:rPr>
              <w:t>2,480</w:t>
            </w: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00" w:type="dxa"/>
            <w:vAlign w:val="bottom"/>
          </w:tcPr>
          <w:p>
            <w:pPr>
              <w:ind w:left="140"/>
              <w:spacing w:after="0" w:line="159" w:lineRule="exact"/>
              <w:rPr>
                <w:sz w:val="20"/>
                <w:szCs w:val="20"/>
                <w:color w:val="auto"/>
              </w:rPr>
            </w:pPr>
            <w:r>
              <w:rPr>
                <w:rFonts w:ascii="Arial" w:cs="Arial" w:eastAsia="Arial" w:hAnsi="Arial"/>
                <w:sz w:val="15"/>
                <w:szCs w:val="15"/>
                <w:color w:val="auto"/>
              </w:rPr>
              <w:t>Materials Business</w:t>
            </w:r>
          </w:p>
        </w:tc>
        <w:tc>
          <w:tcPr>
            <w:tcW w:w="46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jc w:val="right"/>
              <w:ind w:right="86"/>
              <w:spacing w:after="0" w:line="159" w:lineRule="exact"/>
              <w:rPr>
                <w:sz w:val="20"/>
                <w:szCs w:val="20"/>
                <w:color w:val="auto"/>
              </w:rPr>
            </w:pPr>
            <w:r>
              <w:rPr>
                <w:rFonts w:ascii="Arial" w:cs="Arial" w:eastAsia="Arial" w:hAnsi="Arial"/>
                <w:sz w:val="15"/>
                <w:szCs w:val="15"/>
                <w:color w:val="auto"/>
              </w:rPr>
              <w:t>133,636</w:t>
            </w:r>
          </w:p>
        </w:tc>
        <w:tc>
          <w:tcPr>
            <w:tcW w:w="28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Arial" w:cs="Arial" w:eastAsia="Arial" w:hAnsi="Arial"/>
                <w:sz w:val="15"/>
                <w:szCs w:val="15"/>
                <w:color w:val="auto"/>
              </w:rPr>
              <w:t>40,350</w:t>
            </w:r>
          </w:p>
        </w:tc>
        <w:tc>
          <w:tcPr>
            <w:tcW w:w="0" w:type="dxa"/>
            <w:vAlign w:val="bottom"/>
          </w:tcPr>
          <w:p>
            <w:pPr>
              <w:spacing w:after="0"/>
              <w:rPr>
                <w:sz w:val="1"/>
                <w:szCs w:val="1"/>
                <w:color w:val="auto"/>
              </w:rPr>
            </w:pPr>
          </w:p>
        </w:tc>
      </w:tr>
      <w:tr>
        <w:trPr>
          <w:trHeight w:val="156"/>
        </w:trPr>
        <w:tc>
          <w:tcPr>
            <w:tcW w:w="200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Magnesia Specialties</w:t>
            </w:r>
          </w:p>
        </w:tc>
        <w:tc>
          <w:tcPr>
            <w:tcW w:w="46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126"/>
              <w:spacing w:after="0" w:line="156" w:lineRule="exact"/>
              <w:rPr>
                <w:sz w:val="20"/>
                <w:szCs w:val="20"/>
                <w:color w:val="auto"/>
              </w:rPr>
            </w:pPr>
            <w:r>
              <w:rPr>
                <w:rFonts w:ascii="Arial" w:cs="Arial" w:eastAsia="Arial" w:hAnsi="Arial"/>
                <w:sz w:val="15"/>
                <w:szCs w:val="15"/>
                <w:b w:val="1"/>
                <w:bCs w:val="1"/>
                <w:color w:val="auto"/>
              </w:rPr>
              <w:t>–</w:t>
            </w:r>
          </w:p>
        </w:tc>
        <w:tc>
          <w:tcPr>
            <w:tcW w:w="32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86"/>
              <w:spacing w:after="0" w:line="156" w:lineRule="exact"/>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6"/>
        </w:trPr>
        <w:tc>
          <w:tcPr>
            <w:tcW w:w="2000" w:type="dxa"/>
            <w:vAlign w:val="bottom"/>
            <w:tcBorders>
              <w:bottom w:val="single" w:sz="8" w:color="auto"/>
            </w:tcBorders>
          </w:tcPr>
          <w:p>
            <w:pPr>
              <w:spacing w:after="0" w:line="156" w:lineRule="exact"/>
              <w:rPr>
                <w:sz w:val="20"/>
                <w:szCs w:val="20"/>
                <w:color w:val="auto"/>
              </w:rPr>
            </w:pPr>
            <w:r>
              <w:rPr>
                <w:rFonts w:ascii="Arial" w:cs="Arial" w:eastAsia="Arial" w:hAnsi="Arial"/>
                <w:sz w:val="15"/>
                <w:szCs w:val="15"/>
                <w:color w:val="auto"/>
              </w:rPr>
              <w:t>Corporate</w:t>
            </w:r>
          </w:p>
        </w:tc>
        <w:tc>
          <w:tcPr>
            <w:tcW w:w="4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126"/>
              <w:spacing w:after="0" w:line="156" w:lineRule="exact"/>
              <w:rPr>
                <w:sz w:val="20"/>
                <w:szCs w:val="20"/>
                <w:color w:val="auto"/>
              </w:rPr>
            </w:pPr>
            <w:r>
              <w:rPr>
                <w:rFonts w:ascii="Arial" w:cs="Arial" w:eastAsia="Arial" w:hAnsi="Arial"/>
                <w:sz w:val="15"/>
                <w:szCs w:val="15"/>
                <w:b w:val="1"/>
                <w:bCs w:val="1"/>
                <w:color w:val="auto"/>
              </w:rPr>
              <w:t>–</w:t>
            </w:r>
          </w:p>
        </w:tc>
        <w:tc>
          <w:tcPr>
            <w:tcW w:w="3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86"/>
              <w:spacing w:after="0" w:line="156" w:lineRule="exact"/>
              <w:rPr>
                <w:sz w:val="20"/>
                <w:szCs w:val="20"/>
                <w:color w:val="auto"/>
              </w:rPr>
            </w:pPr>
            <w:r>
              <w:rPr>
                <w:rFonts w:ascii="Arial" w:cs="Arial" w:eastAsia="Arial" w:hAnsi="Arial"/>
                <w:sz w:val="15"/>
                <w:szCs w:val="15"/>
                <w:color w:val="auto"/>
              </w:rPr>
              <w:t>–</w:t>
            </w:r>
          </w:p>
        </w:tc>
        <w:tc>
          <w:tcPr>
            <w:tcW w:w="2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5"/>
        </w:trPr>
        <w:tc>
          <w:tcPr>
            <w:tcW w:w="200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5"/>
                <w:szCs w:val="15"/>
                <w:color w:val="auto"/>
              </w:rPr>
              <w:t>Total</w:t>
            </w:r>
          </w:p>
        </w:tc>
        <w:tc>
          <w:tcPr>
            <w:tcW w:w="4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900" w:type="dxa"/>
            <w:vAlign w:val="bottom"/>
            <w:tcBorders>
              <w:bottom w:val="single" w:sz="8" w:color="auto"/>
            </w:tcBorders>
            <w:shd w:val="clear" w:color="auto" w:fill="CCEEFF"/>
          </w:tcPr>
          <w:p>
            <w:pPr>
              <w:jc w:val="right"/>
              <w:ind w:right="126"/>
              <w:spacing w:after="0" w:line="149" w:lineRule="exact"/>
              <w:rPr>
                <w:sz w:val="20"/>
                <w:szCs w:val="20"/>
                <w:color w:val="auto"/>
              </w:rPr>
            </w:pPr>
            <w:r>
              <w:rPr>
                <w:rFonts w:ascii="Arial" w:cs="Arial" w:eastAsia="Arial" w:hAnsi="Arial"/>
                <w:sz w:val="15"/>
                <w:szCs w:val="15"/>
                <w:b w:val="1"/>
                <w:bCs w:val="1"/>
                <w:color w:val="auto"/>
              </w:rPr>
              <w:t>2,480</w:t>
            </w:r>
          </w:p>
        </w:tc>
        <w:tc>
          <w:tcPr>
            <w:tcW w:w="3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shd w:val="clear" w:color="auto" w:fill="CCEEFF"/>
          </w:tcPr>
          <w:p>
            <w:pPr>
              <w:jc w:val="right"/>
              <w:ind w:right="86"/>
              <w:spacing w:after="0" w:line="149" w:lineRule="exact"/>
              <w:rPr>
                <w:sz w:val="20"/>
                <w:szCs w:val="20"/>
                <w:color w:val="auto"/>
              </w:rPr>
            </w:pPr>
            <w:r>
              <w:rPr>
                <w:rFonts w:ascii="Arial" w:cs="Arial" w:eastAsia="Arial" w:hAnsi="Arial"/>
                <w:sz w:val="15"/>
                <w:szCs w:val="15"/>
                <w:color w:val="auto"/>
              </w:rPr>
              <w:t>133,636</w:t>
            </w:r>
          </w:p>
        </w:tc>
        <w:tc>
          <w:tcPr>
            <w:tcW w:w="2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40,350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The Building Materials business includes the aggregates, cement, ready mixed concrete and asphalt and paving product lines. All cement, ready mixed concrete and asphalt and paving product lines are reported within in the West Group. The following tables, which are reconciled to consolidated amounts, provide total revenues, net sales and gross profit by line of business: Building Materials (further divided by product line) and Magnesia Specialties. Interproduct revenues and interproduct sales represent sales from the aggregates product line to the ready mixed concrete and asphalt and paving product lines and sales from the cement product line to the ready mixed concrete product line.</w:t>
      </w:r>
    </w:p>
    <w:p>
      <w:pPr>
        <w:spacing w:after="0" w:line="200" w:lineRule="exact"/>
        <w:rPr>
          <w:sz w:val="20"/>
          <w:szCs w:val="20"/>
          <w:color w:val="auto"/>
        </w:rPr>
      </w:pPr>
    </w:p>
    <w:p>
      <w:pPr>
        <w:sectPr>
          <w:pgSz w:w="11900" w:h="16838" w:orient="portrait"/>
          <w:cols w:equalWidth="0" w:num="2">
            <w:col w:w="5480" w:space="360"/>
            <w:col w:w="5580"/>
          </w:cols>
          <w:pgMar w:left="240" w:top="259" w:right="239" w:bottom="1440" w:gutter="0" w:footer="0" w:header="0"/>
          <w:type w:val="continuous"/>
        </w:sectPr>
      </w:pP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39</w:t>
      </w:r>
    </w:p>
    <w:p>
      <w:pPr>
        <w:sectPr>
          <w:pgSz w:w="11900" w:h="16838" w:orient="portrait"/>
          <w:cols w:equalWidth="0" w:num="1">
            <w:col w:w="11420"/>
          </w:cols>
          <w:pgMar w:left="240" w:top="259" w:right="239" w:bottom="1440" w:gutter="0" w:footer="0" w:header="0"/>
          <w:type w:val="continuous"/>
        </w:sectPr>
      </w:pPr>
    </w:p>
    <w:bookmarkStart w:id="92" w:name="page93"/>
    <w:bookmarkEnd w:id="92"/>
    <w:p>
      <w:pPr>
        <w:jc w:val="center"/>
        <w:ind w:right="-19"/>
        <w:spacing w:after="0"/>
        <w:rPr>
          <w:sz w:val="20"/>
          <w:szCs w:val="20"/>
          <w:color w:val="auto"/>
        </w:rPr>
      </w:pPr>
      <w:r>
        <w:rPr>
          <w:rFonts w:ascii="Arial" w:cs="Arial" w:eastAsia="Arial" w:hAnsi="Arial"/>
          <w:sz w:val="17"/>
          <w:szCs w:val="17"/>
          <w:b w:val="1"/>
          <w:bCs w:val="1"/>
          <w:color w:val="0085CD"/>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0">
                      <a:extLst>
                        <a:ext uri="{28A0092B-C50C-407E-A947-70E740481C1C}"/>
                      </a:extLst>
                    </a:blip>
                    <a:srcRect/>
                    <a:stretch>
                      <a:fillRect/>
                    </a:stretch>
                  </pic:blipFill>
                  <pic:spPr bwMode="auto">
                    <a:xfrm>
                      <a:off x="0" y="0"/>
                      <a:ext cx="7293610" cy="37465"/>
                    </a:xfrm>
                    <a:prstGeom prst="rect">
                      <a:avLst/>
                    </a:prstGeom>
                    <a:noFill/>
                  </pic:spPr>
                </pic:pic>
              </a:graphicData>
            </a:graphic>
          </wp:anchor>
        </w:drawing>
        <w:t xml:space="preserve">NOTES TO FINANCIAL STATEMENTS </w:t>
      </w:r>
      <w:r>
        <w:rPr>
          <w:rFonts w:ascii="Arial" w:cs="Arial" w:eastAsia="Arial" w:hAnsi="Arial"/>
          <w:sz w:val="15"/>
          <w:szCs w:val="15"/>
          <w:color w:val="0085CD"/>
        </w:rPr>
        <w:t>(continued)</w:t>
      </w:r>
    </w:p>
    <w:p>
      <w:pPr>
        <w:sectPr>
          <w:pgSz w:w="11900" w:h="16838" w:orient="portrait"/>
          <w:cols w:equalWidth="0" w:num="1">
            <w:col w:w="11420"/>
          </w:cols>
          <w:pgMar w:left="240" w:top="2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60" w:type="dxa"/>
            <w:vAlign w:val="bottom"/>
          </w:tcPr>
          <w:p>
            <w:pPr>
              <w:spacing w:after="0"/>
              <w:rPr>
                <w:sz w:val="20"/>
                <w:szCs w:val="20"/>
                <w:color w:val="auto"/>
              </w:rPr>
            </w:pPr>
            <w:r>
              <w:rPr>
                <w:rFonts w:ascii="Arial" w:cs="Arial" w:eastAsia="Arial" w:hAnsi="Arial"/>
                <w:sz w:val="14"/>
                <w:szCs w:val="14"/>
                <w:i w:val="1"/>
                <w:iCs w:val="1"/>
                <w:color w:val="auto"/>
              </w:rPr>
              <w:t>years ended December 31</w:t>
            </w: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60" w:type="dxa"/>
            <w:vAlign w:val="bottom"/>
          </w:tcPr>
          <w:p>
            <w:pPr>
              <w:spacing w:after="0" w:line="143" w:lineRule="exact"/>
              <w:rPr>
                <w:sz w:val="20"/>
                <w:szCs w:val="20"/>
                <w:color w:val="auto"/>
              </w:rPr>
            </w:pPr>
            <w:r>
              <w:rPr>
                <w:rFonts w:ascii="Arial" w:cs="Arial" w:eastAsia="Arial" w:hAnsi="Arial"/>
                <w:sz w:val="14"/>
                <w:szCs w:val="14"/>
                <w:color w:val="auto"/>
              </w:rPr>
              <w:t>(add 000)</w:t>
            </w: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206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Total revenues</w:t>
            </w: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b w:val="1"/>
                <w:bCs w:val="1"/>
                <w:color w:val="0085CD"/>
              </w:rPr>
              <w:t>2017</w:t>
            </w: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2016</w:t>
            </w: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2015</w:t>
            </w:r>
          </w:p>
        </w:tc>
        <w:tc>
          <w:tcPr>
            <w:tcW w:w="0" w:type="dxa"/>
            <w:vAlign w:val="bottom"/>
          </w:tcPr>
          <w:p>
            <w:pPr>
              <w:spacing w:after="0"/>
              <w:rPr>
                <w:sz w:val="1"/>
                <w:szCs w:val="1"/>
                <w:color w:val="auto"/>
              </w:rPr>
            </w:pPr>
          </w:p>
        </w:tc>
      </w:tr>
      <w:tr>
        <w:trPr>
          <w:trHeight w:val="149"/>
        </w:trPr>
        <w:tc>
          <w:tcPr>
            <w:tcW w:w="206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Aggregates</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900" w:type="dxa"/>
            <w:vAlign w:val="bottom"/>
            <w:shd w:val="clear" w:color="auto" w:fill="CCEEFF"/>
          </w:tcPr>
          <w:p>
            <w:pPr>
              <w:jc w:val="right"/>
              <w:ind w:right="126"/>
              <w:spacing w:after="0" w:line="149" w:lineRule="exact"/>
              <w:rPr>
                <w:sz w:val="20"/>
                <w:szCs w:val="20"/>
                <w:color w:val="auto"/>
              </w:rPr>
            </w:pPr>
            <w:r>
              <w:rPr>
                <w:rFonts w:ascii="Arial" w:cs="Arial" w:eastAsia="Arial" w:hAnsi="Arial"/>
                <w:sz w:val="15"/>
                <w:szCs w:val="15"/>
                <w:b w:val="1"/>
                <w:bCs w:val="1"/>
                <w:color w:val="auto"/>
              </w:rPr>
              <w:t>2,341,540</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ind w:right="106"/>
              <w:spacing w:after="0" w:line="149" w:lineRule="exact"/>
              <w:rPr>
                <w:sz w:val="20"/>
                <w:szCs w:val="20"/>
                <w:color w:val="auto"/>
              </w:rPr>
            </w:pPr>
            <w:r>
              <w:rPr>
                <w:rFonts w:ascii="Arial" w:cs="Arial" w:eastAsia="Arial" w:hAnsi="Arial"/>
                <w:sz w:val="15"/>
                <w:szCs w:val="15"/>
                <w:color w:val="auto"/>
              </w:rPr>
              <w:t>2,267,574</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ind w:right="6"/>
              <w:spacing w:after="0" w:line="149" w:lineRule="exact"/>
              <w:rPr>
                <w:sz w:val="20"/>
                <w:szCs w:val="20"/>
                <w:color w:val="auto"/>
              </w:rPr>
            </w:pPr>
            <w:r>
              <w:rPr>
                <w:rFonts w:ascii="Arial" w:cs="Arial" w:eastAsia="Arial" w:hAnsi="Arial"/>
                <w:sz w:val="15"/>
                <w:szCs w:val="15"/>
                <w:color w:val="auto"/>
              </w:rPr>
              <w:t>2,120,245</w:t>
            </w:r>
          </w:p>
        </w:tc>
        <w:tc>
          <w:tcPr>
            <w:tcW w:w="0" w:type="dxa"/>
            <w:vAlign w:val="bottom"/>
          </w:tcPr>
          <w:p>
            <w:pPr>
              <w:spacing w:after="0"/>
              <w:rPr>
                <w:sz w:val="1"/>
                <w:szCs w:val="1"/>
                <w:color w:val="auto"/>
              </w:rPr>
            </w:pPr>
          </w:p>
        </w:tc>
      </w:tr>
      <w:tr>
        <w:trPr>
          <w:trHeight w:val="156"/>
        </w:trPr>
        <w:tc>
          <w:tcPr>
            <w:tcW w:w="2060" w:type="dxa"/>
            <w:vAlign w:val="bottom"/>
          </w:tcPr>
          <w:p>
            <w:pPr>
              <w:spacing w:after="0" w:line="156" w:lineRule="exact"/>
              <w:rPr>
                <w:sz w:val="20"/>
                <w:szCs w:val="20"/>
                <w:color w:val="auto"/>
              </w:rPr>
            </w:pPr>
            <w:r>
              <w:rPr>
                <w:rFonts w:ascii="Arial" w:cs="Arial" w:eastAsia="Arial" w:hAnsi="Arial"/>
                <w:sz w:val="15"/>
                <w:szCs w:val="15"/>
                <w:color w:val="auto"/>
              </w:rPr>
              <w:t>Cement</w:t>
            </w:r>
          </w:p>
        </w:tc>
        <w:tc>
          <w:tcPr>
            <w:tcW w:w="300" w:type="dxa"/>
            <w:vAlign w:val="bottom"/>
          </w:tcPr>
          <w:p>
            <w:pPr>
              <w:spacing w:after="0"/>
              <w:rPr>
                <w:sz w:val="13"/>
                <w:szCs w:val="13"/>
                <w:color w:val="auto"/>
              </w:rPr>
            </w:pPr>
          </w:p>
        </w:tc>
        <w:tc>
          <w:tcPr>
            <w:tcW w:w="900" w:type="dxa"/>
            <w:vAlign w:val="bottom"/>
          </w:tcPr>
          <w:p>
            <w:pPr>
              <w:jc w:val="right"/>
              <w:ind w:right="126"/>
              <w:spacing w:after="0" w:line="156" w:lineRule="exact"/>
              <w:rPr>
                <w:sz w:val="20"/>
                <w:szCs w:val="20"/>
                <w:color w:val="auto"/>
              </w:rPr>
            </w:pPr>
            <w:r>
              <w:rPr>
                <w:rFonts w:ascii="Arial" w:cs="Arial" w:eastAsia="Arial" w:hAnsi="Arial"/>
                <w:sz w:val="15"/>
                <w:szCs w:val="15"/>
                <w:b w:val="1"/>
                <w:bCs w:val="1"/>
                <w:color w:val="auto"/>
              </w:rPr>
              <w:t>384,112</w:t>
            </w:r>
          </w:p>
        </w:tc>
        <w:tc>
          <w:tcPr>
            <w:tcW w:w="280" w:type="dxa"/>
            <w:vAlign w:val="bottom"/>
          </w:tcPr>
          <w:p>
            <w:pPr>
              <w:spacing w:after="0"/>
              <w:rPr>
                <w:sz w:val="13"/>
                <w:szCs w:val="13"/>
                <w:color w:val="auto"/>
              </w:rPr>
            </w:pPr>
          </w:p>
        </w:tc>
        <w:tc>
          <w:tcPr>
            <w:tcW w:w="900" w:type="dxa"/>
            <w:vAlign w:val="bottom"/>
          </w:tcPr>
          <w:p>
            <w:pPr>
              <w:jc w:val="right"/>
              <w:ind w:right="106"/>
              <w:spacing w:after="0" w:line="156" w:lineRule="exact"/>
              <w:rPr>
                <w:sz w:val="20"/>
                <w:szCs w:val="20"/>
                <w:color w:val="auto"/>
              </w:rPr>
            </w:pPr>
            <w:r>
              <w:rPr>
                <w:rFonts w:ascii="Arial" w:cs="Arial" w:eastAsia="Arial" w:hAnsi="Arial"/>
                <w:sz w:val="15"/>
                <w:szCs w:val="15"/>
                <w:color w:val="auto"/>
              </w:rPr>
              <w:t>375,814</w:t>
            </w:r>
          </w:p>
        </w:tc>
        <w:tc>
          <w:tcPr>
            <w:tcW w:w="260" w:type="dxa"/>
            <w:vAlign w:val="bottom"/>
          </w:tcPr>
          <w:p>
            <w:pPr>
              <w:spacing w:after="0"/>
              <w:rPr>
                <w:sz w:val="13"/>
                <w:szCs w:val="13"/>
                <w:color w:val="auto"/>
              </w:rPr>
            </w:pPr>
          </w:p>
        </w:tc>
        <w:tc>
          <w:tcPr>
            <w:tcW w:w="780" w:type="dxa"/>
            <w:vAlign w:val="bottom"/>
          </w:tcPr>
          <w:p>
            <w:pPr>
              <w:jc w:val="right"/>
              <w:ind w:right="6"/>
              <w:spacing w:after="0" w:line="156" w:lineRule="exact"/>
              <w:rPr>
                <w:sz w:val="20"/>
                <w:szCs w:val="20"/>
                <w:color w:val="auto"/>
              </w:rPr>
            </w:pPr>
            <w:r>
              <w:rPr>
                <w:rFonts w:ascii="Arial" w:cs="Arial" w:eastAsia="Arial" w:hAnsi="Arial"/>
                <w:sz w:val="15"/>
                <w:szCs w:val="15"/>
                <w:color w:val="auto"/>
              </w:rPr>
              <w:t>475,725</w:t>
            </w:r>
          </w:p>
        </w:tc>
        <w:tc>
          <w:tcPr>
            <w:tcW w:w="0" w:type="dxa"/>
            <w:vAlign w:val="bottom"/>
          </w:tcPr>
          <w:p>
            <w:pPr>
              <w:spacing w:after="0"/>
              <w:rPr>
                <w:sz w:val="1"/>
                <w:szCs w:val="1"/>
                <w:color w:val="auto"/>
              </w:rPr>
            </w:pPr>
          </w:p>
        </w:tc>
      </w:tr>
      <w:tr>
        <w:trPr>
          <w:trHeight w:val="156"/>
        </w:trPr>
        <w:tc>
          <w:tcPr>
            <w:tcW w:w="206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Ready Mixed Concrete</w:t>
            </w:r>
          </w:p>
        </w:tc>
        <w:tc>
          <w:tcPr>
            <w:tcW w:w="30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126"/>
              <w:spacing w:after="0" w:line="156" w:lineRule="exact"/>
              <w:rPr>
                <w:sz w:val="20"/>
                <w:szCs w:val="20"/>
                <w:color w:val="auto"/>
              </w:rPr>
            </w:pPr>
            <w:r>
              <w:rPr>
                <w:rFonts w:ascii="Arial" w:cs="Arial" w:eastAsia="Arial" w:hAnsi="Arial"/>
                <w:sz w:val="15"/>
                <w:szCs w:val="15"/>
                <w:b w:val="1"/>
                <w:bCs w:val="1"/>
                <w:color w:val="auto"/>
              </w:rPr>
              <w:t>936,979</w:t>
            </w: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106"/>
              <w:spacing w:after="0" w:line="156" w:lineRule="exact"/>
              <w:rPr>
                <w:sz w:val="20"/>
                <w:szCs w:val="20"/>
                <w:color w:val="auto"/>
              </w:rPr>
            </w:pPr>
            <w:r>
              <w:rPr>
                <w:rFonts w:ascii="Arial" w:cs="Arial" w:eastAsia="Arial" w:hAnsi="Arial"/>
                <w:sz w:val="15"/>
                <w:szCs w:val="15"/>
                <w:color w:val="auto"/>
              </w:rPr>
              <w:t>903,803</w:t>
            </w:r>
          </w:p>
        </w:tc>
        <w:tc>
          <w:tcPr>
            <w:tcW w:w="26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6"/>
              <w:spacing w:after="0" w:line="156" w:lineRule="exact"/>
              <w:rPr>
                <w:sz w:val="20"/>
                <w:szCs w:val="20"/>
                <w:color w:val="auto"/>
              </w:rPr>
            </w:pPr>
            <w:r>
              <w:rPr>
                <w:rFonts w:ascii="Arial" w:cs="Arial" w:eastAsia="Arial" w:hAnsi="Arial"/>
                <w:sz w:val="15"/>
                <w:szCs w:val="15"/>
                <w:color w:val="auto"/>
              </w:rPr>
              <w:t>657,831</w:t>
            </w:r>
          </w:p>
        </w:tc>
        <w:tc>
          <w:tcPr>
            <w:tcW w:w="0" w:type="dxa"/>
            <w:vAlign w:val="bottom"/>
          </w:tcPr>
          <w:p>
            <w:pPr>
              <w:spacing w:after="0"/>
              <w:rPr>
                <w:sz w:val="1"/>
                <w:szCs w:val="1"/>
                <w:color w:val="auto"/>
              </w:rPr>
            </w:pPr>
          </w:p>
        </w:tc>
      </w:tr>
      <w:tr>
        <w:trPr>
          <w:trHeight w:val="156"/>
        </w:trPr>
        <w:tc>
          <w:tcPr>
            <w:tcW w:w="2060" w:type="dxa"/>
            <w:vAlign w:val="bottom"/>
          </w:tcPr>
          <w:p>
            <w:pPr>
              <w:spacing w:after="0" w:line="156" w:lineRule="exact"/>
              <w:rPr>
                <w:sz w:val="20"/>
                <w:szCs w:val="20"/>
                <w:color w:val="auto"/>
              </w:rPr>
            </w:pPr>
            <w:r>
              <w:rPr>
                <w:rFonts w:ascii="Arial" w:cs="Arial" w:eastAsia="Arial" w:hAnsi="Arial"/>
                <w:sz w:val="15"/>
                <w:szCs w:val="15"/>
                <w:color w:val="auto"/>
              </w:rPr>
              <w:t>Asphalt and Paving</w:t>
            </w:r>
            <w:r>
              <w:rPr>
                <w:rFonts w:ascii="Arial" w:cs="Arial" w:eastAsia="Arial" w:hAnsi="Arial"/>
                <w:sz w:val="12"/>
                <w:szCs w:val="12"/>
                <w:color w:val="auto"/>
              </w:rPr>
              <w:t>1</w:t>
            </w:r>
          </w:p>
        </w:tc>
        <w:tc>
          <w:tcPr>
            <w:tcW w:w="300" w:type="dxa"/>
            <w:vAlign w:val="bottom"/>
          </w:tcPr>
          <w:p>
            <w:pPr>
              <w:spacing w:after="0"/>
              <w:rPr>
                <w:sz w:val="13"/>
                <w:szCs w:val="13"/>
                <w:color w:val="auto"/>
              </w:rPr>
            </w:pPr>
          </w:p>
        </w:tc>
        <w:tc>
          <w:tcPr>
            <w:tcW w:w="900" w:type="dxa"/>
            <w:vAlign w:val="bottom"/>
          </w:tcPr>
          <w:p>
            <w:pPr>
              <w:jc w:val="right"/>
              <w:ind w:right="126"/>
              <w:spacing w:after="0" w:line="156" w:lineRule="exact"/>
              <w:rPr>
                <w:sz w:val="20"/>
                <w:szCs w:val="20"/>
                <w:color w:val="auto"/>
              </w:rPr>
            </w:pPr>
            <w:r>
              <w:rPr>
                <w:rFonts w:ascii="Arial" w:cs="Arial" w:eastAsia="Arial" w:hAnsi="Arial"/>
                <w:sz w:val="15"/>
                <w:szCs w:val="15"/>
                <w:b w:val="1"/>
                <w:bCs w:val="1"/>
                <w:color w:val="auto"/>
              </w:rPr>
              <w:t>296,956</w:t>
            </w:r>
          </w:p>
        </w:tc>
        <w:tc>
          <w:tcPr>
            <w:tcW w:w="280" w:type="dxa"/>
            <w:vAlign w:val="bottom"/>
          </w:tcPr>
          <w:p>
            <w:pPr>
              <w:spacing w:after="0"/>
              <w:rPr>
                <w:sz w:val="13"/>
                <w:szCs w:val="13"/>
                <w:color w:val="auto"/>
              </w:rPr>
            </w:pPr>
          </w:p>
        </w:tc>
        <w:tc>
          <w:tcPr>
            <w:tcW w:w="900" w:type="dxa"/>
            <w:vAlign w:val="bottom"/>
          </w:tcPr>
          <w:p>
            <w:pPr>
              <w:jc w:val="right"/>
              <w:ind w:right="106"/>
              <w:spacing w:after="0" w:line="156" w:lineRule="exact"/>
              <w:rPr>
                <w:sz w:val="20"/>
                <w:szCs w:val="20"/>
                <w:color w:val="auto"/>
              </w:rPr>
            </w:pPr>
            <w:r>
              <w:rPr>
                <w:rFonts w:ascii="Arial" w:cs="Arial" w:eastAsia="Arial" w:hAnsi="Arial"/>
                <w:sz w:val="15"/>
                <w:szCs w:val="15"/>
                <w:color w:val="auto"/>
              </w:rPr>
              <w:t>261,612</w:t>
            </w:r>
          </w:p>
        </w:tc>
        <w:tc>
          <w:tcPr>
            <w:tcW w:w="260" w:type="dxa"/>
            <w:vAlign w:val="bottom"/>
          </w:tcPr>
          <w:p>
            <w:pPr>
              <w:spacing w:after="0"/>
              <w:rPr>
                <w:sz w:val="13"/>
                <w:szCs w:val="13"/>
                <w:color w:val="auto"/>
              </w:rPr>
            </w:pPr>
          </w:p>
        </w:tc>
        <w:tc>
          <w:tcPr>
            <w:tcW w:w="780" w:type="dxa"/>
            <w:vAlign w:val="bottom"/>
          </w:tcPr>
          <w:p>
            <w:pPr>
              <w:jc w:val="right"/>
              <w:ind w:right="6"/>
              <w:spacing w:after="0" w:line="156" w:lineRule="exact"/>
              <w:rPr>
                <w:sz w:val="20"/>
                <w:szCs w:val="20"/>
                <w:color w:val="auto"/>
              </w:rPr>
            </w:pPr>
            <w:r>
              <w:rPr>
                <w:rFonts w:ascii="Arial" w:cs="Arial" w:eastAsia="Arial" w:hAnsi="Arial"/>
                <w:sz w:val="15"/>
                <w:szCs w:val="15"/>
                <w:color w:val="auto"/>
              </w:rPr>
              <w:t>229,561</w:t>
            </w:r>
          </w:p>
        </w:tc>
        <w:tc>
          <w:tcPr>
            <w:tcW w:w="0" w:type="dxa"/>
            <w:vAlign w:val="bottom"/>
          </w:tcPr>
          <w:p>
            <w:pPr>
              <w:spacing w:after="0"/>
              <w:rPr>
                <w:sz w:val="1"/>
                <w:szCs w:val="1"/>
                <w:color w:val="auto"/>
              </w:rPr>
            </w:pPr>
          </w:p>
        </w:tc>
      </w:tr>
      <w:tr>
        <w:trPr>
          <w:trHeight w:val="156"/>
        </w:trPr>
        <w:tc>
          <w:tcPr>
            <w:tcW w:w="206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Less: Interproduct revenues</w:t>
            </w:r>
            <w:r>
              <w:rPr>
                <w:rFonts w:ascii="Arial" w:cs="Arial" w:eastAsia="Arial" w:hAnsi="Arial"/>
                <w:sz w:val="12"/>
                <w:szCs w:val="12"/>
                <w:color w:val="auto"/>
              </w:rPr>
              <w:t>1</w:t>
            </w:r>
          </w:p>
        </w:tc>
        <w:tc>
          <w:tcPr>
            <w:tcW w:w="30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86"/>
              <w:spacing w:after="0" w:line="156" w:lineRule="exact"/>
              <w:rPr>
                <w:sz w:val="20"/>
                <w:szCs w:val="20"/>
                <w:color w:val="auto"/>
              </w:rPr>
            </w:pPr>
            <w:r>
              <w:rPr>
                <w:rFonts w:ascii="Arial" w:cs="Arial" w:eastAsia="Arial" w:hAnsi="Arial"/>
                <w:sz w:val="15"/>
                <w:szCs w:val="15"/>
                <w:b w:val="1"/>
                <w:bCs w:val="1"/>
                <w:color w:val="auto"/>
              </w:rPr>
              <w:t>(263,984)</w:t>
            </w:r>
          </w:p>
        </w:tc>
        <w:tc>
          <w:tcPr>
            <w:tcW w:w="28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66"/>
              <w:spacing w:after="0" w:line="156" w:lineRule="exact"/>
              <w:rPr>
                <w:sz w:val="20"/>
                <w:szCs w:val="20"/>
                <w:color w:val="auto"/>
              </w:rPr>
            </w:pPr>
            <w:r>
              <w:rPr>
                <w:rFonts w:ascii="Arial" w:cs="Arial" w:eastAsia="Arial" w:hAnsi="Arial"/>
                <w:sz w:val="15"/>
                <w:szCs w:val="15"/>
                <w:color w:val="auto"/>
              </w:rPr>
              <w:t>(247,112)</w:t>
            </w:r>
          </w:p>
        </w:tc>
        <w:tc>
          <w:tcPr>
            <w:tcW w:w="26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(189,671)</w:t>
            </w:r>
          </w:p>
        </w:tc>
        <w:tc>
          <w:tcPr>
            <w:tcW w:w="0" w:type="dxa"/>
            <w:vAlign w:val="bottom"/>
          </w:tcPr>
          <w:p>
            <w:pPr>
              <w:spacing w:after="0"/>
              <w:rPr>
                <w:sz w:val="1"/>
                <w:szCs w:val="1"/>
                <w:color w:val="auto"/>
              </w:rPr>
            </w:pPr>
          </w:p>
        </w:tc>
      </w:tr>
      <w:tr>
        <w:trPr>
          <w:trHeight w:val="145"/>
        </w:trPr>
        <w:tc>
          <w:tcPr>
            <w:tcW w:w="2060" w:type="dxa"/>
            <w:vAlign w:val="bottom"/>
          </w:tcPr>
          <w:p>
            <w:pPr>
              <w:spacing w:after="0" w:line="146" w:lineRule="exact"/>
              <w:rPr>
                <w:sz w:val="20"/>
                <w:szCs w:val="20"/>
                <w:color w:val="auto"/>
              </w:rPr>
            </w:pPr>
            <w:r>
              <w:rPr>
                <w:rFonts w:ascii="Arial" w:cs="Arial" w:eastAsia="Arial" w:hAnsi="Arial"/>
                <w:sz w:val="15"/>
                <w:szCs w:val="15"/>
                <w:color w:val="auto"/>
              </w:rPr>
              <w:t>Total Building</w:t>
            </w:r>
          </w:p>
        </w:tc>
        <w:tc>
          <w:tcPr>
            <w:tcW w:w="300" w:type="dxa"/>
            <w:vAlign w:val="bottom"/>
          </w:tcPr>
          <w:p>
            <w:pPr>
              <w:spacing w:after="0"/>
              <w:rPr>
                <w:sz w:val="12"/>
                <w:szCs w:val="12"/>
                <w:color w:val="auto"/>
              </w:rPr>
            </w:pPr>
          </w:p>
        </w:tc>
        <w:tc>
          <w:tcPr>
            <w:tcW w:w="900" w:type="dxa"/>
            <w:vAlign w:val="bottom"/>
            <w:vMerge w:val="restart"/>
          </w:tcPr>
          <w:p>
            <w:pPr>
              <w:jc w:val="right"/>
              <w:ind w:right="126"/>
              <w:spacing w:after="0"/>
              <w:rPr>
                <w:sz w:val="20"/>
                <w:szCs w:val="20"/>
                <w:color w:val="auto"/>
              </w:rPr>
            </w:pPr>
            <w:r>
              <w:rPr>
                <w:rFonts w:ascii="Arial" w:cs="Arial" w:eastAsia="Arial" w:hAnsi="Arial"/>
                <w:sz w:val="15"/>
                <w:szCs w:val="15"/>
                <w:b w:val="1"/>
                <w:bCs w:val="1"/>
                <w:color w:val="auto"/>
              </w:rPr>
              <w:t>3,695,603</w:t>
            </w: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60" w:type="dxa"/>
            <w:vAlign w:val="bottom"/>
          </w:tcPr>
          <w:p>
            <w:pPr>
              <w:ind w:left="160"/>
              <w:spacing w:after="0" w:line="159" w:lineRule="exact"/>
              <w:rPr>
                <w:sz w:val="20"/>
                <w:szCs w:val="20"/>
                <w:color w:val="auto"/>
              </w:rPr>
            </w:pPr>
            <w:r>
              <w:rPr>
                <w:rFonts w:ascii="Arial" w:cs="Arial" w:eastAsia="Arial" w:hAnsi="Arial"/>
                <w:sz w:val="15"/>
                <w:szCs w:val="15"/>
                <w:color w:val="auto"/>
              </w:rPr>
              <w:t>Materials Business</w:t>
            </w:r>
          </w:p>
        </w:tc>
        <w:tc>
          <w:tcPr>
            <w:tcW w:w="30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ind w:right="106"/>
              <w:spacing w:after="0" w:line="159" w:lineRule="exact"/>
              <w:rPr>
                <w:sz w:val="20"/>
                <w:szCs w:val="20"/>
                <w:color w:val="auto"/>
              </w:rPr>
            </w:pPr>
            <w:r>
              <w:rPr>
                <w:rFonts w:ascii="Arial" w:cs="Arial" w:eastAsia="Arial" w:hAnsi="Arial"/>
                <w:sz w:val="15"/>
                <w:szCs w:val="15"/>
                <w:color w:val="auto"/>
              </w:rPr>
              <w:t>3,561,691</w:t>
            </w:r>
          </w:p>
        </w:tc>
        <w:tc>
          <w:tcPr>
            <w:tcW w:w="260" w:type="dxa"/>
            <w:vAlign w:val="bottom"/>
          </w:tcPr>
          <w:p>
            <w:pPr>
              <w:spacing w:after="0"/>
              <w:rPr>
                <w:sz w:val="13"/>
                <w:szCs w:val="13"/>
                <w:color w:val="auto"/>
              </w:rPr>
            </w:pPr>
          </w:p>
        </w:tc>
        <w:tc>
          <w:tcPr>
            <w:tcW w:w="780" w:type="dxa"/>
            <w:vAlign w:val="bottom"/>
          </w:tcPr>
          <w:p>
            <w:pPr>
              <w:jc w:val="right"/>
              <w:ind w:right="6"/>
              <w:spacing w:after="0" w:line="159" w:lineRule="exact"/>
              <w:rPr>
                <w:sz w:val="20"/>
                <w:szCs w:val="20"/>
                <w:color w:val="auto"/>
              </w:rPr>
            </w:pPr>
            <w:r>
              <w:rPr>
                <w:rFonts w:ascii="Arial" w:cs="Arial" w:eastAsia="Arial" w:hAnsi="Arial"/>
                <w:sz w:val="15"/>
                <w:szCs w:val="15"/>
                <w:color w:val="auto"/>
              </w:rPr>
              <w:t>3,293,691</w:t>
            </w:r>
          </w:p>
        </w:tc>
        <w:tc>
          <w:tcPr>
            <w:tcW w:w="0" w:type="dxa"/>
            <w:vAlign w:val="bottom"/>
          </w:tcPr>
          <w:p>
            <w:pPr>
              <w:spacing w:after="0"/>
              <w:rPr>
                <w:sz w:val="1"/>
                <w:szCs w:val="1"/>
                <w:color w:val="auto"/>
              </w:rPr>
            </w:pPr>
          </w:p>
        </w:tc>
      </w:tr>
      <w:tr>
        <w:trPr>
          <w:trHeight w:val="156"/>
        </w:trPr>
        <w:tc>
          <w:tcPr>
            <w:tcW w:w="206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Magnesia Specialties</w:t>
            </w:r>
          </w:p>
        </w:tc>
        <w:tc>
          <w:tcPr>
            <w:tcW w:w="30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126"/>
              <w:spacing w:after="0" w:line="156" w:lineRule="exact"/>
              <w:rPr>
                <w:sz w:val="20"/>
                <w:szCs w:val="20"/>
                <w:color w:val="auto"/>
              </w:rPr>
            </w:pPr>
            <w:r>
              <w:rPr>
                <w:rFonts w:ascii="Arial" w:cs="Arial" w:eastAsia="Arial" w:hAnsi="Arial"/>
                <w:sz w:val="15"/>
                <w:szCs w:val="15"/>
                <w:b w:val="1"/>
                <w:bCs w:val="1"/>
                <w:color w:val="auto"/>
              </w:rPr>
              <w:t>269,991</w:t>
            </w:r>
          </w:p>
        </w:tc>
        <w:tc>
          <w:tcPr>
            <w:tcW w:w="28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106"/>
              <w:spacing w:after="0" w:line="156" w:lineRule="exact"/>
              <w:rPr>
                <w:sz w:val="20"/>
                <w:szCs w:val="20"/>
                <w:color w:val="auto"/>
              </w:rPr>
            </w:pPr>
            <w:r>
              <w:rPr>
                <w:rFonts w:ascii="Arial" w:cs="Arial" w:eastAsia="Arial" w:hAnsi="Arial"/>
                <w:sz w:val="15"/>
                <w:szCs w:val="15"/>
                <w:color w:val="auto"/>
              </w:rPr>
              <w:t>257,058</w:t>
            </w:r>
          </w:p>
        </w:tc>
        <w:tc>
          <w:tcPr>
            <w:tcW w:w="26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ind w:right="6"/>
              <w:spacing w:after="0" w:line="156" w:lineRule="exact"/>
              <w:rPr>
                <w:sz w:val="20"/>
                <w:szCs w:val="20"/>
                <w:color w:val="auto"/>
              </w:rPr>
            </w:pPr>
            <w:r>
              <w:rPr>
                <w:rFonts w:ascii="Arial" w:cs="Arial" w:eastAsia="Arial" w:hAnsi="Arial"/>
                <w:sz w:val="15"/>
                <w:szCs w:val="15"/>
                <w:color w:val="auto"/>
              </w:rPr>
              <w:t>245,879</w:t>
            </w:r>
          </w:p>
        </w:tc>
        <w:tc>
          <w:tcPr>
            <w:tcW w:w="0" w:type="dxa"/>
            <w:vAlign w:val="bottom"/>
          </w:tcPr>
          <w:p>
            <w:pPr>
              <w:spacing w:after="0"/>
              <w:rPr>
                <w:sz w:val="1"/>
                <w:szCs w:val="1"/>
                <w:color w:val="auto"/>
              </w:rPr>
            </w:pPr>
          </w:p>
        </w:tc>
      </w:tr>
      <w:tr>
        <w:trPr>
          <w:trHeight w:val="155"/>
        </w:trPr>
        <w:tc>
          <w:tcPr>
            <w:tcW w:w="2060" w:type="dxa"/>
            <w:vAlign w:val="bottom"/>
            <w:tcBorders>
              <w:bottom w:val="single" w:sz="8" w:color="auto"/>
            </w:tcBorders>
          </w:tcPr>
          <w:p>
            <w:pPr>
              <w:spacing w:after="0" w:line="149" w:lineRule="exact"/>
              <w:rPr>
                <w:sz w:val="20"/>
                <w:szCs w:val="20"/>
                <w:color w:val="auto"/>
              </w:rPr>
            </w:pPr>
            <w:r>
              <w:rPr>
                <w:rFonts w:ascii="Arial" w:cs="Arial" w:eastAsia="Arial" w:hAnsi="Arial"/>
                <w:sz w:val="15"/>
                <w:szCs w:val="15"/>
                <w:color w:val="auto"/>
              </w:rPr>
              <w:t>Total</w:t>
            </w:r>
          </w:p>
        </w:tc>
        <w:tc>
          <w:tcPr>
            <w:tcW w:w="3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900" w:type="dxa"/>
            <w:vAlign w:val="bottom"/>
            <w:tcBorders>
              <w:bottom w:val="single" w:sz="8" w:color="auto"/>
            </w:tcBorders>
          </w:tcPr>
          <w:p>
            <w:pPr>
              <w:jc w:val="right"/>
              <w:ind w:right="126"/>
              <w:spacing w:after="0" w:line="149" w:lineRule="exact"/>
              <w:rPr>
                <w:sz w:val="20"/>
                <w:szCs w:val="20"/>
                <w:color w:val="auto"/>
              </w:rPr>
            </w:pPr>
            <w:r>
              <w:rPr>
                <w:rFonts w:ascii="Arial" w:cs="Arial" w:eastAsia="Arial" w:hAnsi="Arial"/>
                <w:sz w:val="15"/>
                <w:szCs w:val="15"/>
                <w:b w:val="1"/>
                <w:bCs w:val="1"/>
                <w:color w:val="auto"/>
              </w:rPr>
              <w:t>3,965,594</w:t>
            </w:r>
          </w:p>
        </w:tc>
        <w:tc>
          <w:tcPr>
            <w:tcW w:w="2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tcPr>
          <w:p>
            <w:pPr>
              <w:jc w:val="right"/>
              <w:ind w:right="106"/>
              <w:spacing w:after="0" w:line="149" w:lineRule="exact"/>
              <w:rPr>
                <w:sz w:val="20"/>
                <w:szCs w:val="20"/>
                <w:color w:val="auto"/>
              </w:rPr>
            </w:pPr>
            <w:r>
              <w:rPr>
                <w:rFonts w:ascii="Arial" w:cs="Arial" w:eastAsia="Arial" w:hAnsi="Arial"/>
                <w:sz w:val="15"/>
                <w:szCs w:val="15"/>
                <w:color w:val="auto"/>
              </w:rPr>
              <w:t>3,818,749</w:t>
            </w:r>
          </w:p>
        </w:tc>
        <w:tc>
          <w:tcPr>
            <w:tcW w:w="2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tcPr>
          <w:p>
            <w:pPr>
              <w:jc w:val="right"/>
              <w:ind w:right="6"/>
              <w:spacing w:after="0" w:line="149" w:lineRule="exact"/>
              <w:rPr>
                <w:sz w:val="20"/>
                <w:szCs w:val="20"/>
                <w:color w:val="auto"/>
              </w:rPr>
            </w:pPr>
            <w:r>
              <w:rPr>
                <w:rFonts w:ascii="Arial" w:cs="Arial" w:eastAsia="Arial" w:hAnsi="Arial"/>
                <w:sz w:val="15"/>
                <w:szCs w:val="15"/>
                <w:color w:val="auto"/>
              </w:rPr>
              <w:t>3,539,570</w:t>
            </w:r>
          </w:p>
        </w:tc>
        <w:tc>
          <w:tcPr>
            <w:tcW w:w="0" w:type="dxa"/>
            <w:vAlign w:val="bottom"/>
          </w:tcPr>
          <w:p>
            <w:pPr>
              <w:spacing w:after="0"/>
              <w:rPr>
                <w:sz w:val="1"/>
                <w:szCs w:val="1"/>
                <w:color w:val="auto"/>
              </w:rPr>
            </w:pPr>
          </w:p>
        </w:tc>
      </w:tr>
      <w:tr>
        <w:trPr>
          <w:trHeight w:val="350"/>
        </w:trPr>
        <w:tc>
          <w:tcPr>
            <w:tcW w:w="206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Net sales</w:t>
            </w: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6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Aggregates</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900" w:type="dxa"/>
            <w:vAlign w:val="bottom"/>
            <w:shd w:val="clear" w:color="auto" w:fill="CCEEFF"/>
          </w:tcPr>
          <w:p>
            <w:pPr>
              <w:jc w:val="right"/>
              <w:ind w:right="126"/>
              <w:spacing w:after="0" w:line="149" w:lineRule="exact"/>
              <w:rPr>
                <w:sz w:val="20"/>
                <w:szCs w:val="20"/>
                <w:color w:val="auto"/>
              </w:rPr>
            </w:pPr>
            <w:r>
              <w:rPr>
                <w:rFonts w:ascii="Arial" w:cs="Arial" w:eastAsia="Arial" w:hAnsi="Arial"/>
                <w:sz w:val="15"/>
                <w:szCs w:val="15"/>
                <w:b w:val="1"/>
                <w:bCs w:val="1"/>
                <w:color w:val="auto"/>
              </w:rPr>
              <w:t>2,137,225</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ind w:right="106"/>
              <w:spacing w:after="0" w:line="149" w:lineRule="exact"/>
              <w:rPr>
                <w:sz w:val="20"/>
                <w:szCs w:val="20"/>
                <w:color w:val="auto"/>
              </w:rPr>
            </w:pPr>
            <w:r>
              <w:rPr>
                <w:rFonts w:ascii="Arial" w:cs="Arial" w:eastAsia="Arial" w:hAnsi="Arial"/>
                <w:sz w:val="15"/>
                <w:szCs w:val="15"/>
                <w:color w:val="auto"/>
              </w:rPr>
              <w:t>2,060,876</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ind w:right="6"/>
              <w:spacing w:after="0" w:line="149" w:lineRule="exact"/>
              <w:rPr>
                <w:sz w:val="20"/>
                <w:szCs w:val="20"/>
                <w:color w:val="auto"/>
              </w:rPr>
            </w:pPr>
            <w:r>
              <w:rPr>
                <w:rFonts w:ascii="Arial" w:cs="Arial" w:eastAsia="Arial" w:hAnsi="Arial"/>
                <w:sz w:val="15"/>
                <w:szCs w:val="15"/>
                <w:color w:val="auto"/>
              </w:rPr>
              <w:t>1,896,143</w:t>
            </w:r>
          </w:p>
        </w:tc>
        <w:tc>
          <w:tcPr>
            <w:tcW w:w="0" w:type="dxa"/>
            <w:vAlign w:val="bottom"/>
          </w:tcPr>
          <w:p>
            <w:pPr>
              <w:spacing w:after="0"/>
              <w:rPr>
                <w:sz w:val="1"/>
                <w:szCs w:val="1"/>
                <w:color w:val="auto"/>
              </w:rPr>
            </w:pPr>
          </w:p>
        </w:tc>
      </w:tr>
      <w:tr>
        <w:trPr>
          <w:trHeight w:val="156"/>
        </w:trPr>
        <w:tc>
          <w:tcPr>
            <w:tcW w:w="2060" w:type="dxa"/>
            <w:vAlign w:val="bottom"/>
          </w:tcPr>
          <w:p>
            <w:pPr>
              <w:spacing w:after="0" w:line="156" w:lineRule="exact"/>
              <w:rPr>
                <w:sz w:val="20"/>
                <w:szCs w:val="20"/>
                <w:color w:val="auto"/>
              </w:rPr>
            </w:pPr>
            <w:r>
              <w:rPr>
                <w:rFonts w:ascii="Arial" w:cs="Arial" w:eastAsia="Arial" w:hAnsi="Arial"/>
                <w:sz w:val="15"/>
                <w:szCs w:val="15"/>
                <w:color w:val="auto"/>
              </w:rPr>
              <w:t>Cement</w:t>
            </w:r>
          </w:p>
        </w:tc>
        <w:tc>
          <w:tcPr>
            <w:tcW w:w="300" w:type="dxa"/>
            <w:vAlign w:val="bottom"/>
          </w:tcPr>
          <w:p>
            <w:pPr>
              <w:spacing w:after="0"/>
              <w:rPr>
                <w:sz w:val="13"/>
                <w:szCs w:val="13"/>
                <w:color w:val="auto"/>
              </w:rPr>
            </w:pPr>
          </w:p>
        </w:tc>
        <w:tc>
          <w:tcPr>
            <w:tcW w:w="900" w:type="dxa"/>
            <w:vAlign w:val="bottom"/>
          </w:tcPr>
          <w:p>
            <w:pPr>
              <w:jc w:val="right"/>
              <w:ind w:right="126"/>
              <w:spacing w:after="0" w:line="156" w:lineRule="exact"/>
              <w:rPr>
                <w:sz w:val="20"/>
                <w:szCs w:val="20"/>
                <w:color w:val="auto"/>
              </w:rPr>
            </w:pPr>
            <w:r>
              <w:rPr>
                <w:rFonts w:ascii="Arial" w:cs="Arial" w:eastAsia="Arial" w:hAnsi="Arial"/>
                <w:sz w:val="15"/>
                <w:szCs w:val="15"/>
                <w:b w:val="1"/>
                <w:bCs w:val="1"/>
                <w:color w:val="auto"/>
              </w:rPr>
              <w:t>371,525</w:t>
            </w:r>
          </w:p>
        </w:tc>
        <w:tc>
          <w:tcPr>
            <w:tcW w:w="280" w:type="dxa"/>
            <w:vAlign w:val="bottom"/>
          </w:tcPr>
          <w:p>
            <w:pPr>
              <w:spacing w:after="0"/>
              <w:rPr>
                <w:sz w:val="13"/>
                <w:szCs w:val="13"/>
                <w:color w:val="auto"/>
              </w:rPr>
            </w:pPr>
          </w:p>
        </w:tc>
        <w:tc>
          <w:tcPr>
            <w:tcW w:w="900" w:type="dxa"/>
            <w:vAlign w:val="bottom"/>
          </w:tcPr>
          <w:p>
            <w:pPr>
              <w:jc w:val="right"/>
              <w:ind w:right="106"/>
              <w:spacing w:after="0" w:line="156" w:lineRule="exact"/>
              <w:rPr>
                <w:sz w:val="20"/>
                <w:szCs w:val="20"/>
                <w:color w:val="auto"/>
              </w:rPr>
            </w:pPr>
            <w:r>
              <w:rPr>
                <w:rFonts w:ascii="Arial" w:cs="Arial" w:eastAsia="Arial" w:hAnsi="Arial"/>
                <w:sz w:val="15"/>
                <w:szCs w:val="15"/>
                <w:color w:val="auto"/>
              </w:rPr>
              <w:t>364,445</w:t>
            </w:r>
          </w:p>
        </w:tc>
        <w:tc>
          <w:tcPr>
            <w:tcW w:w="260" w:type="dxa"/>
            <w:vAlign w:val="bottom"/>
          </w:tcPr>
          <w:p>
            <w:pPr>
              <w:spacing w:after="0"/>
              <w:rPr>
                <w:sz w:val="13"/>
                <w:szCs w:val="13"/>
                <w:color w:val="auto"/>
              </w:rPr>
            </w:pPr>
          </w:p>
        </w:tc>
        <w:tc>
          <w:tcPr>
            <w:tcW w:w="780" w:type="dxa"/>
            <w:vAlign w:val="bottom"/>
          </w:tcPr>
          <w:p>
            <w:pPr>
              <w:jc w:val="right"/>
              <w:ind w:right="6"/>
              <w:spacing w:after="0" w:line="156" w:lineRule="exact"/>
              <w:rPr>
                <w:sz w:val="20"/>
                <w:szCs w:val="20"/>
                <w:color w:val="auto"/>
              </w:rPr>
            </w:pPr>
            <w:r>
              <w:rPr>
                <w:rFonts w:ascii="Arial" w:cs="Arial" w:eastAsia="Arial" w:hAnsi="Arial"/>
                <w:sz w:val="15"/>
                <w:szCs w:val="15"/>
                <w:color w:val="auto"/>
              </w:rPr>
              <w:t>455,382</w:t>
            </w:r>
          </w:p>
        </w:tc>
        <w:tc>
          <w:tcPr>
            <w:tcW w:w="0" w:type="dxa"/>
            <w:vAlign w:val="bottom"/>
          </w:tcPr>
          <w:p>
            <w:pPr>
              <w:spacing w:after="0"/>
              <w:rPr>
                <w:sz w:val="1"/>
                <w:szCs w:val="1"/>
                <w:color w:val="auto"/>
              </w:rPr>
            </w:pPr>
          </w:p>
        </w:tc>
      </w:tr>
      <w:tr>
        <w:trPr>
          <w:trHeight w:val="156"/>
        </w:trPr>
        <w:tc>
          <w:tcPr>
            <w:tcW w:w="206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Ready Mixed Concrete</w:t>
            </w:r>
          </w:p>
        </w:tc>
        <w:tc>
          <w:tcPr>
            <w:tcW w:w="30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126"/>
              <w:spacing w:after="0" w:line="156" w:lineRule="exact"/>
              <w:rPr>
                <w:sz w:val="20"/>
                <w:szCs w:val="20"/>
                <w:color w:val="auto"/>
              </w:rPr>
            </w:pPr>
            <w:r>
              <w:rPr>
                <w:rFonts w:ascii="Arial" w:cs="Arial" w:eastAsia="Arial" w:hAnsi="Arial"/>
                <w:sz w:val="15"/>
                <w:szCs w:val="15"/>
                <w:b w:val="1"/>
                <w:bCs w:val="1"/>
                <w:color w:val="auto"/>
              </w:rPr>
              <w:t>936,062</w:t>
            </w: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106"/>
              <w:spacing w:after="0" w:line="156" w:lineRule="exact"/>
              <w:rPr>
                <w:sz w:val="20"/>
                <w:szCs w:val="20"/>
                <w:color w:val="auto"/>
              </w:rPr>
            </w:pPr>
            <w:r>
              <w:rPr>
                <w:rFonts w:ascii="Arial" w:cs="Arial" w:eastAsia="Arial" w:hAnsi="Arial"/>
                <w:sz w:val="15"/>
                <w:szCs w:val="15"/>
                <w:color w:val="auto"/>
              </w:rPr>
              <w:t>902,635</w:t>
            </w:r>
          </w:p>
        </w:tc>
        <w:tc>
          <w:tcPr>
            <w:tcW w:w="26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6"/>
              <w:spacing w:after="0" w:line="156" w:lineRule="exact"/>
              <w:rPr>
                <w:sz w:val="20"/>
                <w:szCs w:val="20"/>
                <w:color w:val="auto"/>
              </w:rPr>
            </w:pPr>
            <w:r>
              <w:rPr>
                <w:rFonts w:ascii="Arial" w:cs="Arial" w:eastAsia="Arial" w:hAnsi="Arial"/>
                <w:sz w:val="15"/>
                <w:szCs w:val="15"/>
                <w:color w:val="auto"/>
              </w:rPr>
              <w:t>656,531</w:t>
            </w:r>
          </w:p>
        </w:tc>
        <w:tc>
          <w:tcPr>
            <w:tcW w:w="0" w:type="dxa"/>
            <w:vAlign w:val="bottom"/>
          </w:tcPr>
          <w:p>
            <w:pPr>
              <w:spacing w:after="0"/>
              <w:rPr>
                <w:sz w:val="1"/>
                <w:szCs w:val="1"/>
                <w:color w:val="auto"/>
              </w:rPr>
            </w:pPr>
          </w:p>
        </w:tc>
      </w:tr>
      <w:tr>
        <w:trPr>
          <w:trHeight w:val="156"/>
        </w:trPr>
        <w:tc>
          <w:tcPr>
            <w:tcW w:w="2060" w:type="dxa"/>
            <w:vAlign w:val="bottom"/>
          </w:tcPr>
          <w:p>
            <w:pPr>
              <w:spacing w:after="0" w:line="156" w:lineRule="exact"/>
              <w:rPr>
                <w:sz w:val="20"/>
                <w:szCs w:val="20"/>
                <w:color w:val="auto"/>
              </w:rPr>
            </w:pPr>
            <w:r>
              <w:rPr>
                <w:rFonts w:ascii="Arial" w:cs="Arial" w:eastAsia="Arial" w:hAnsi="Arial"/>
                <w:sz w:val="15"/>
                <w:szCs w:val="15"/>
                <w:color w:val="auto"/>
              </w:rPr>
              <w:t>Asphalt and Paving</w:t>
            </w:r>
            <w:r>
              <w:rPr>
                <w:rFonts w:ascii="Arial" w:cs="Arial" w:eastAsia="Arial" w:hAnsi="Arial"/>
                <w:sz w:val="12"/>
                <w:szCs w:val="12"/>
                <w:color w:val="auto"/>
              </w:rPr>
              <w:t>1</w:t>
            </w:r>
          </w:p>
        </w:tc>
        <w:tc>
          <w:tcPr>
            <w:tcW w:w="300" w:type="dxa"/>
            <w:vAlign w:val="bottom"/>
          </w:tcPr>
          <w:p>
            <w:pPr>
              <w:spacing w:after="0"/>
              <w:rPr>
                <w:sz w:val="13"/>
                <w:szCs w:val="13"/>
                <w:color w:val="auto"/>
              </w:rPr>
            </w:pPr>
          </w:p>
        </w:tc>
        <w:tc>
          <w:tcPr>
            <w:tcW w:w="900" w:type="dxa"/>
            <w:vAlign w:val="bottom"/>
          </w:tcPr>
          <w:p>
            <w:pPr>
              <w:jc w:val="right"/>
              <w:ind w:right="126"/>
              <w:spacing w:after="0" w:line="156" w:lineRule="exact"/>
              <w:rPr>
                <w:sz w:val="20"/>
                <w:szCs w:val="20"/>
                <w:color w:val="auto"/>
              </w:rPr>
            </w:pPr>
            <w:r>
              <w:rPr>
                <w:rFonts w:ascii="Arial" w:cs="Arial" w:eastAsia="Arial" w:hAnsi="Arial"/>
                <w:sz w:val="15"/>
                <w:szCs w:val="15"/>
                <w:b w:val="1"/>
                <w:bCs w:val="1"/>
                <w:color w:val="auto"/>
              </w:rPr>
              <w:t>292,529</w:t>
            </w:r>
          </w:p>
        </w:tc>
        <w:tc>
          <w:tcPr>
            <w:tcW w:w="280" w:type="dxa"/>
            <w:vAlign w:val="bottom"/>
          </w:tcPr>
          <w:p>
            <w:pPr>
              <w:spacing w:after="0"/>
              <w:rPr>
                <w:sz w:val="13"/>
                <w:szCs w:val="13"/>
                <w:color w:val="auto"/>
              </w:rPr>
            </w:pPr>
          </w:p>
        </w:tc>
        <w:tc>
          <w:tcPr>
            <w:tcW w:w="900" w:type="dxa"/>
            <w:vAlign w:val="bottom"/>
          </w:tcPr>
          <w:p>
            <w:pPr>
              <w:jc w:val="right"/>
              <w:ind w:right="106"/>
              <w:spacing w:after="0" w:line="156" w:lineRule="exact"/>
              <w:rPr>
                <w:sz w:val="20"/>
                <w:szCs w:val="20"/>
                <w:color w:val="auto"/>
              </w:rPr>
            </w:pPr>
            <w:r>
              <w:rPr>
                <w:rFonts w:ascii="Arial" w:cs="Arial" w:eastAsia="Arial" w:hAnsi="Arial"/>
                <w:sz w:val="15"/>
                <w:szCs w:val="15"/>
                <w:color w:val="auto"/>
              </w:rPr>
              <w:t>257,922</w:t>
            </w:r>
          </w:p>
        </w:tc>
        <w:tc>
          <w:tcPr>
            <w:tcW w:w="260" w:type="dxa"/>
            <w:vAlign w:val="bottom"/>
          </w:tcPr>
          <w:p>
            <w:pPr>
              <w:spacing w:after="0"/>
              <w:rPr>
                <w:sz w:val="13"/>
                <w:szCs w:val="13"/>
                <w:color w:val="auto"/>
              </w:rPr>
            </w:pPr>
          </w:p>
        </w:tc>
        <w:tc>
          <w:tcPr>
            <w:tcW w:w="780" w:type="dxa"/>
            <w:vAlign w:val="bottom"/>
          </w:tcPr>
          <w:p>
            <w:pPr>
              <w:jc w:val="right"/>
              <w:ind w:right="6"/>
              <w:spacing w:after="0" w:line="156" w:lineRule="exact"/>
              <w:rPr>
                <w:sz w:val="20"/>
                <w:szCs w:val="20"/>
                <w:color w:val="auto"/>
              </w:rPr>
            </w:pPr>
            <w:r>
              <w:rPr>
                <w:rFonts w:ascii="Arial" w:cs="Arial" w:eastAsia="Arial" w:hAnsi="Arial"/>
                <w:sz w:val="15"/>
                <w:szCs w:val="15"/>
                <w:color w:val="auto"/>
              </w:rPr>
              <w:t>222,223</w:t>
            </w:r>
          </w:p>
        </w:tc>
        <w:tc>
          <w:tcPr>
            <w:tcW w:w="0" w:type="dxa"/>
            <w:vAlign w:val="bottom"/>
          </w:tcPr>
          <w:p>
            <w:pPr>
              <w:spacing w:after="0"/>
              <w:rPr>
                <w:sz w:val="1"/>
                <w:szCs w:val="1"/>
                <w:color w:val="auto"/>
              </w:rPr>
            </w:pPr>
          </w:p>
        </w:tc>
      </w:tr>
      <w:tr>
        <w:trPr>
          <w:trHeight w:val="156"/>
        </w:trPr>
        <w:tc>
          <w:tcPr>
            <w:tcW w:w="206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Less: Interproduct sales</w:t>
            </w:r>
            <w:r>
              <w:rPr>
                <w:rFonts w:ascii="Arial" w:cs="Arial" w:eastAsia="Arial" w:hAnsi="Arial"/>
                <w:sz w:val="12"/>
                <w:szCs w:val="12"/>
                <w:color w:val="auto"/>
              </w:rPr>
              <w:t>1</w:t>
            </w:r>
          </w:p>
        </w:tc>
        <w:tc>
          <w:tcPr>
            <w:tcW w:w="30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86"/>
              <w:spacing w:after="0" w:line="156" w:lineRule="exact"/>
              <w:rPr>
                <w:sz w:val="20"/>
                <w:szCs w:val="20"/>
                <w:color w:val="auto"/>
              </w:rPr>
            </w:pPr>
            <w:r>
              <w:rPr>
                <w:rFonts w:ascii="Arial" w:cs="Arial" w:eastAsia="Arial" w:hAnsi="Arial"/>
                <w:sz w:val="15"/>
                <w:szCs w:val="15"/>
                <w:b w:val="1"/>
                <w:bCs w:val="1"/>
                <w:color w:val="auto"/>
              </w:rPr>
              <w:t>(263,984)</w:t>
            </w:r>
          </w:p>
        </w:tc>
        <w:tc>
          <w:tcPr>
            <w:tcW w:w="28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66"/>
              <w:spacing w:after="0" w:line="156" w:lineRule="exact"/>
              <w:rPr>
                <w:sz w:val="20"/>
                <w:szCs w:val="20"/>
                <w:color w:val="auto"/>
              </w:rPr>
            </w:pPr>
            <w:r>
              <w:rPr>
                <w:rFonts w:ascii="Arial" w:cs="Arial" w:eastAsia="Arial" w:hAnsi="Arial"/>
                <w:sz w:val="15"/>
                <w:szCs w:val="15"/>
                <w:color w:val="auto"/>
              </w:rPr>
              <w:t>(247,112)</w:t>
            </w:r>
          </w:p>
        </w:tc>
        <w:tc>
          <w:tcPr>
            <w:tcW w:w="26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(189,671)</w:t>
            </w:r>
          </w:p>
        </w:tc>
        <w:tc>
          <w:tcPr>
            <w:tcW w:w="0" w:type="dxa"/>
            <w:vAlign w:val="bottom"/>
          </w:tcPr>
          <w:p>
            <w:pPr>
              <w:spacing w:after="0"/>
              <w:rPr>
                <w:sz w:val="1"/>
                <w:szCs w:val="1"/>
                <w:color w:val="auto"/>
              </w:rPr>
            </w:pPr>
          </w:p>
        </w:tc>
      </w:tr>
      <w:tr>
        <w:trPr>
          <w:trHeight w:val="145"/>
        </w:trPr>
        <w:tc>
          <w:tcPr>
            <w:tcW w:w="2060" w:type="dxa"/>
            <w:vAlign w:val="bottom"/>
          </w:tcPr>
          <w:p>
            <w:pPr>
              <w:spacing w:after="0" w:line="146" w:lineRule="exact"/>
              <w:rPr>
                <w:sz w:val="20"/>
                <w:szCs w:val="20"/>
                <w:color w:val="auto"/>
              </w:rPr>
            </w:pPr>
            <w:r>
              <w:rPr>
                <w:rFonts w:ascii="Arial" w:cs="Arial" w:eastAsia="Arial" w:hAnsi="Arial"/>
                <w:sz w:val="15"/>
                <w:szCs w:val="15"/>
                <w:color w:val="auto"/>
              </w:rPr>
              <w:t>Total Building Materials</w:t>
            </w:r>
          </w:p>
        </w:tc>
        <w:tc>
          <w:tcPr>
            <w:tcW w:w="300" w:type="dxa"/>
            <w:vAlign w:val="bottom"/>
          </w:tcPr>
          <w:p>
            <w:pPr>
              <w:spacing w:after="0"/>
              <w:rPr>
                <w:sz w:val="12"/>
                <w:szCs w:val="12"/>
                <w:color w:val="auto"/>
              </w:rPr>
            </w:pPr>
          </w:p>
        </w:tc>
        <w:tc>
          <w:tcPr>
            <w:tcW w:w="900" w:type="dxa"/>
            <w:vAlign w:val="bottom"/>
            <w:vMerge w:val="restart"/>
          </w:tcPr>
          <w:p>
            <w:pPr>
              <w:jc w:val="right"/>
              <w:ind w:right="126"/>
              <w:spacing w:after="0"/>
              <w:rPr>
                <w:sz w:val="20"/>
                <w:szCs w:val="20"/>
                <w:color w:val="auto"/>
              </w:rPr>
            </w:pPr>
            <w:r>
              <w:rPr>
                <w:rFonts w:ascii="Arial" w:cs="Arial" w:eastAsia="Arial" w:hAnsi="Arial"/>
                <w:sz w:val="15"/>
                <w:szCs w:val="15"/>
                <w:b w:val="1"/>
                <w:bCs w:val="1"/>
                <w:color w:val="auto"/>
              </w:rPr>
              <w:t>3,473,357</w:t>
            </w: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60" w:type="dxa"/>
            <w:vAlign w:val="bottom"/>
          </w:tcPr>
          <w:p>
            <w:pPr>
              <w:ind w:left="160"/>
              <w:spacing w:after="0" w:line="159" w:lineRule="exact"/>
              <w:rPr>
                <w:sz w:val="20"/>
                <w:szCs w:val="20"/>
                <w:color w:val="auto"/>
              </w:rPr>
            </w:pPr>
            <w:r>
              <w:rPr>
                <w:rFonts w:ascii="Arial" w:cs="Arial" w:eastAsia="Arial" w:hAnsi="Arial"/>
                <w:sz w:val="15"/>
                <w:szCs w:val="15"/>
                <w:color w:val="auto"/>
              </w:rPr>
              <w:t>Business</w:t>
            </w:r>
          </w:p>
        </w:tc>
        <w:tc>
          <w:tcPr>
            <w:tcW w:w="30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ind w:right="106"/>
              <w:spacing w:after="0" w:line="159" w:lineRule="exact"/>
              <w:rPr>
                <w:sz w:val="20"/>
                <w:szCs w:val="20"/>
                <w:color w:val="auto"/>
              </w:rPr>
            </w:pPr>
            <w:r>
              <w:rPr>
                <w:rFonts w:ascii="Arial" w:cs="Arial" w:eastAsia="Arial" w:hAnsi="Arial"/>
                <w:sz w:val="15"/>
                <w:szCs w:val="15"/>
                <w:color w:val="auto"/>
              </w:rPr>
              <w:t>3,338,766</w:t>
            </w:r>
          </w:p>
        </w:tc>
        <w:tc>
          <w:tcPr>
            <w:tcW w:w="260" w:type="dxa"/>
            <w:vAlign w:val="bottom"/>
          </w:tcPr>
          <w:p>
            <w:pPr>
              <w:spacing w:after="0"/>
              <w:rPr>
                <w:sz w:val="13"/>
                <w:szCs w:val="13"/>
                <w:color w:val="auto"/>
              </w:rPr>
            </w:pPr>
          </w:p>
        </w:tc>
        <w:tc>
          <w:tcPr>
            <w:tcW w:w="780" w:type="dxa"/>
            <w:vAlign w:val="bottom"/>
          </w:tcPr>
          <w:p>
            <w:pPr>
              <w:jc w:val="right"/>
              <w:ind w:right="6"/>
              <w:spacing w:after="0" w:line="159" w:lineRule="exact"/>
              <w:rPr>
                <w:sz w:val="20"/>
                <w:szCs w:val="20"/>
                <w:color w:val="auto"/>
              </w:rPr>
            </w:pPr>
            <w:r>
              <w:rPr>
                <w:rFonts w:ascii="Arial" w:cs="Arial" w:eastAsia="Arial" w:hAnsi="Arial"/>
                <w:sz w:val="15"/>
                <w:szCs w:val="15"/>
                <w:color w:val="auto"/>
              </w:rPr>
              <w:t>3,040,608</w:t>
            </w:r>
          </w:p>
        </w:tc>
        <w:tc>
          <w:tcPr>
            <w:tcW w:w="0" w:type="dxa"/>
            <w:vAlign w:val="bottom"/>
          </w:tcPr>
          <w:p>
            <w:pPr>
              <w:spacing w:after="0"/>
              <w:rPr>
                <w:sz w:val="1"/>
                <w:szCs w:val="1"/>
                <w:color w:val="auto"/>
              </w:rPr>
            </w:pPr>
          </w:p>
        </w:tc>
      </w:tr>
      <w:tr>
        <w:trPr>
          <w:trHeight w:val="156"/>
        </w:trPr>
        <w:tc>
          <w:tcPr>
            <w:tcW w:w="206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Magnesia Specialties</w:t>
            </w:r>
          </w:p>
        </w:tc>
        <w:tc>
          <w:tcPr>
            <w:tcW w:w="30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126"/>
              <w:spacing w:after="0" w:line="156" w:lineRule="exact"/>
              <w:rPr>
                <w:sz w:val="20"/>
                <w:szCs w:val="20"/>
                <w:color w:val="auto"/>
              </w:rPr>
            </w:pPr>
            <w:r>
              <w:rPr>
                <w:rFonts w:ascii="Arial" w:cs="Arial" w:eastAsia="Arial" w:hAnsi="Arial"/>
                <w:sz w:val="15"/>
                <w:szCs w:val="15"/>
                <w:b w:val="1"/>
                <w:bCs w:val="1"/>
                <w:color w:val="auto"/>
              </w:rPr>
              <w:t>248,071</w:t>
            </w:r>
          </w:p>
        </w:tc>
        <w:tc>
          <w:tcPr>
            <w:tcW w:w="28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106"/>
              <w:spacing w:after="0" w:line="156" w:lineRule="exact"/>
              <w:rPr>
                <w:sz w:val="20"/>
                <w:szCs w:val="20"/>
                <w:color w:val="auto"/>
              </w:rPr>
            </w:pPr>
            <w:r>
              <w:rPr>
                <w:rFonts w:ascii="Arial" w:cs="Arial" w:eastAsia="Arial" w:hAnsi="Arial"/>
                <w:sz w:val="15"/>
                <w:szCs w:val="15"/>
                <w:color w:val="auto"/>
              </w:rPr>
              <w:t>238,001</w:t>
            </w:r>
          </w:p>
        </w:tc>
        <w:tc>
          <w:tcPr>
            <w:tcW w:w="26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ind w:right="6"/>
              <w:spacing w:after="0" w:line="156" w:lineRule="exact"/>
              <w:rPr>
                <w:sz w:val="20"/>
                <w:szCs w:val="20"/>
                <w:color w:val="auto"/>
              </w:rPr>
            </w:pPr>
            <w:r>
              <w:rPr>
                <w:rFonts w:ascii="Arial" w:cs="Arial" w:eastAsia="Arial" w:hAnsi="Arial"/>
                <w:sz w:val="15"/>
                <w:szCs w:val="15"/>
                <w:color w:val="auto"/>
              </w:rPr>
              <w:t>227,508</w:t>
            </w:r>
          </w:p>
        </w:tc>
        <w:tc>
          <w:tcPr>
            <w:tcW w:w="0" w:type="dxa"/>
            <w:vAlign w:val="bottom"/>
          </w:tcPr>
          <w:p>
            <w:pPr>
              <w:spacing w:after="0"/>
              <w:rPr>
                <w:sz w:val="1"/>
                <w:szCs w:val="1"/>
                <w:color w:val="auto"/>
              </w:rPr>
            </w:pPr>
          </w:p>
        </w:tc>
      </w:tr>
      <w:tr>
        <w:trPr>
          <w:trHeight w:val="155"/>
        </w:trPr>
        <w:tc>
          <w:tcPr>
            <w:tcW w:w="2060" w:type="dxa"/>
            <w:vAlign w:val="bottom"/>
            <w:tcBorders>
              <w:bottom w:val="single" w:sz="8" w:color="auto"/>
            </w:tcBorders>
          </w:tcPr>
          <w:p>
            <w:pPr>
              <w:spacing w:after="0" w:line="149" w:lineRule="exact"/>
              <w:rPr>
                <w:sz w:val="20"/>
                <w:szCs w:val="20"/>
                <w:color w:val="auto"/>
              </w:rPr>
            </w:pPr>
            <w:r>
              <w:rPr>
                <w:rFonts w:ascii="Arial" w:cs="Arial" w:eastAsia="Arial" w:hAnsi="Arial"/>
                <w:sz w:val="15"/>
                <w:szCs w:val="15"/>
                <w:color w:val="auto"/>
              </w:rPr>
              <w:t>Total</w:t>
            </w:r>
          </w:p>
        </w:tc>
        <w:tc>
          <w:tcPr>
            <w:tcW w:w="3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900" w:type="dxa"/>
            <w:vAlign w:val="bottom"/>
            <w:tcBorders>
              <w:bottom w:val="single" w:sz="8" w:color="auto"/>
            </w:tcBorders>
          </w:tcPr>
          <w:p>
            <w:pPr>
              <w:jc w:val="right"/>
              <w:ind w:right="126"/>
              <w:spacing w:after="0" w:line="149" w:lineRule="exact"/>
              <w:rPr>
                <w:sz w:val="20"/>
                <w:szCs w:val="20"/>
                <w:color w:val="auto"/>
              </w:rPr>
            </w:pPr>
            <w:r>
              <w:rPr>
                <w:rFonts w:ascii="Arial" w:cs="Arial" w:eastAsia="Arial" w:hAnsi="Arial"/>
                <w:sz w:val="15"/>
                <w:szCs w:val="15"/>
                <w:b w:val="1"/>
                <w:bCs w:val="1"/>
                <w:color w:val="auto"/>
              </w:rPr>
              <w:t>3,721,428</w:t>
            </w:r>
          </w:p>
        </w:tc>
        <w:tc>
          <w:tcPr>
            <w:tcW w:w="2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tcPr>
          <w:p>
            <w:pPr>
              <w:jc w:val="right"/>
              <w:ind w:right="106"/>
              <w:spacing w:after="0" w:line="149" w:lineRule="exact"/>
              <w:rPr>
                <w:sz w:val="20"/>
                <w:szCs w:val="20"/>
                <w:color w:val="auto"/>
              </w:rPr>
            </w:pPr>
            <w:r>
              <w:rPr>
                <w:rFonts w:ascii="Arial" w:cs="Arial" w:eastAsia="Arial" w:hAnsi="Arial"/>
                <w:sz w:val="15"/>
                <w:szCs w:val="15"/>
                <w:color w:val="auto"/>
              </w:rPr>
              <w:t>3,576,767</w:t>
            </w:r>
          </w:p>
        </w:tc>
        <w:tc>
          <w:tcPr>
            <w:tcW w:w="2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tcPr>
          <w:p>
            <w:pPr>
              <w:jc w:val="right"/>
              <w:ind w:right="6"/>
              <w:spacing w:after="0" w:line="149" w:lineRule="exact"/>
              <w:rPr>
                <w:sz w:val="20"/>
                <w:szCs w:val="20"/>
                <w:color w:val="auto"/>
              </w:rPr>
            </w:pPr>
            <w:r>
              <w:rPr>
                <w:rFonts w:ascii="Arial" w:cs="Arial" w:eastAsia="Arial" w:hAnsi="Arial"/>
                <w:sz w:val="15"/>
                <w:szCs w:val="15"/>
                <w:color w:val="auto"/>
              </w:rPr>
              <w:t>3,268,116</w:t>
            </w:r>
          </w:p>
        </w:tc>
        <w:tc>
          <w:tcPr>
            <w:tcW w:w="0" w:type="dxa"/>
            <w:vAlign w:val="bottom"/>
          </w:tcPr>
          <w:p>
            <w:pPr>
              <w:spacing w:after="0"/>
              <w:rPr>
                <w:sz w:val="1"/>
                <w:szCs w:val="1"/>
                <w:color w:val="auto"/>
              </w:rPr>
            </w:pPr>
          </w:p>
        </w:tc>
      </w:tr>
    </w:tbl>
    <w:p>
      <w:pPr>
        <w:spacing w:after="0" w:line="59" w:lineRule="exact"/>
        <w:rPr>
          <w:sz w:val="20"/>
          <w:szCs w:val="20"/>
          <w:color w:val="auto"/>
        </w:rPr>
      </w:pPr>
    </w:p>
    <w:p>
      <w:pPr>
        <w:jc w:val="both"/>
        <w:ind w:left="140" w:hanging="139"/>
        <w:spacing w:after="0" w:line="234" w:lineRule="auto"/>
        <w:tabs>
          <w:tab w:leader="none" w:pos="120" w:val="left"/>
        </w:tabs>
        <w:rPr>
          <w:sz w:val="20"/>
          <w:szCs w:val="20"/>
          <w:color w:val="auto"/>
        </w:rPr>
      </w:pPr>
      <w:r>
        <w:rPr>
          <w:rFonts w:ascii="Arial" w:cs="Arial" w:eastAsia="Arial" w:hAnsi="Arial"/>
          <w:sz w:val="10"/>
          <w:szCs w:val="10"/>
          <w:i w:val="1"/>
          <w:iCs w:val="1"/>
          <w:color w:val="auto"/>
        </w:rPr>
        <w:t>1</w:t>
      </w:r>
      <w:r>
        <w:rPr>
          <w:sz w:val="20"/>
          <w:szCs w:val="20"/>
          <w:color w:val="auto"/>
        </w:rPr>
        <w:tab/>
      </w:r>
      <w:r>
        <w:rPr>
          <w:rFonts w:ascii="Arial" w:cs="Arial" w:eastAsia="Arial" w:hAnsi="Arial"/>
          <w:sz w:val="15"/>
          <w:szCs w:val="15"/>
          <w:i w:val="1"/>
          <w:iCs w:val="1"/>
          <w:color w:val="auto"/>
        </w:rPr>
        <w:t>2016 and 2015 amounts have been revised to reflect the elimination of $83,500,000 and $ 61,400,000, respectively, of asphalt sales to the paving operations within that product line.</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Gross profit (loss)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0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5"/>
                <w:szCs w:val="15"/>
                <w:color w:val="auto"/>
              </w:rPr>
              <w:t>Aggregates</w:t>
            </w:r>
          </w:p>
        </w:tc>
        <w:tc>
          <w:tcPr>
            <w:tcW w:w="6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780" w:type="dxa"/>
            <w:vAlign w:val="bottom"/>
            <w:tcBorders>
              <w:top w:val="single" w:sz="8" w:color="auto"/>
            </w:tcBorders>
            <w:shd w:val="clear" w:color="auto" w:fill="CCEEFF"/>
          </w:tcPr>
          <w:p>
            <w:pPr>
              <w:jc w:val="right"/>
              <w:ind w:right="126"/>
              <w:spacing w:after="0" w:line="149" w:lineRule="exact"/>
              <w:rPr>
                <w:sz w:val="20"/>
                <w:szCs w:val="20"/>
                <w:color w:val="auto"/>
              </w:rPr>
            </w:pPr>
            <w:r>
              <w:rPr>
                <w:rFonts w:ascii="Arial" w:cs="Arial" w:eastAsia="Arial" w:hAnsi="Arial"/>
                <w:sz w:val="15"/>
                <w:szCs w:val="15"/>
                <w:b w:val="1"/>
                <w:bCs w:val="1"/>
                <w:color w:val="auto"/>
              </w:rPr>
              <w:t>601,968</w:t>
            </w:r>
          </w:p>
        </w:tc>
        <w:tc>
          <w:tcPr>
            <w:tcW w:w="3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800" w:type="dxa"/>
            <w:vAlign w:val="bottom"/>
            <w:tcBorders>
              <w:top w:val="single" w:sz="8" w:color="auto"/>
            </w:tcBorders>
            <w:shd w:val="clear" w:color="auto" w:fill="CCEEFF"/>
          </w:tcPr>
          <w:p>
            <w:pPr>
              <w:jc w:val="right"/>
              <w:ind w:right="146"/>
              <w:spacing w:after="0" w:line="149" w:lineRule="exact"/>
              <w:rPr>
                <w:sz w:val="20"/>
                <w:szCs w:val="20"/>
                <w:color w:val="auto"/>
              </w:rPr>
            </w:pPr>
            <w:r>
              <w:rPr>
                <w:rFonts w:ascii="Arial" w:cs="Arial" w:eastAsia="Arial" w:hAnsi="Arial"/>
                <w:sz w:val="15"/>
                <w:szCs w:val="15"/>
                <w:color w:val="auto"/>
              </w:rPr>
              <w:t>558,318</w:t>
            </w:r>
          </w:p>
        </w:tc>
        <w:tc>
          <w:tcPr>
            <w:tcW w:w="3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660" w:type="dxa"/>
            <w:vAlign w:val="bottom"/>
            <w:tcBorders>
              <w:top w:val="single" w:sz="8" w:color="auto"/>
            </w:tcBorders>
            <w:shd w:val="clear" w:color="auto" w:fill="CCEEFF"/>
          </w:tcPr>
          <w:p>
            <w:pPr>
              <w:jc w:val="right"/>
              <w:ind w:right="6"/>
              <w:spacing w:after="0" w:line="149" w:lineRule="exact"/>
              <w:rPr>
                <w:sz w:val="20"/>
                <w:szCs w:val="20"/>
                <w:color w:val="auto"/>
              </w:rPr>
            </w:pPr>
            <w:r>
              <w:rPr>
                <w:rFonts w:ascii="Arial" w:cs="Arial" w:eastAsia="Arial" w:hAnsi="Arial"/>
                <w:sz w:val="15"/>
                <w:szCs w:val="15"/>
                <w:color w:val="auto"/>
              </w:rPr>
              <w:t>470,688</w:t>
            </w:r>
          </w:p>
        </w:tc>
        <w:tc>
          <w:tcPr>
            <w:tcW w:w="0" w:type="dxa"/>
            <w:vAlign w:val="bottom"/>
          </w:tcPr>
          <w:p>
            <w:pPr>
              <w:spacing w:after="0"/>
              <w:rPr>
                <w:sz w:val="1"/>
                <w:szCs w:val="1"/>
                <w:color w:val="auto"/>
              </w:rPr>
            </w:pPr>
          </w:p>
        </w:tc>
      </w:tr>
      <w:tr>
        <w:trPr>
          <w:trHeight w:val="156"/>
        </w:trPr>
        <w:tc>
          <w:tcPr>
            <w:tcW w:w="2000" w:type="dxa"/>
            <w:vAlign w:val="bottom"/>
          </w:tcPr>
          <w:p>
            <w:pPr>
              <w:spacing w:after="0" w:line="156" w:lineRule="exact"/>
              <w:rPr>
                <w:sz w:val="20"/>
                <w:szCs w:val="20"/>
                <w:color w:val="auto"/>
              </w:rPr>
            </w:pPr>
            <w:r>
              <w:rPr>
                <w:rFonts w:ascii="Arial" w:cs="Arial" w:eastAsia="Arial" w:hAnsi="Arial"/>
                <w:sz w:val="15"/>
                <w:szCs w:val="15"/>
                <w:color w:val="auto"/>
              </w:rPr>
              <w:t>Cement</w:t>
            </w:r>
          </w:p>
        </w:tc>
        <w:tc>
          <w:tcPr>
            <w:tcW w:w="620" w:type="dxa"/>
            <w:vAlign w:val="bottom"/>
          </w:tcPr>
          <w:p>
            <w:pPr>
              <w:spacing w:after="0"/>
              <w:rPr>
                <w:sz w:val="13"/>
                <w:szCs w:val="13"/>
                <w:color w:val="auto"/>
              </w:rPr>
            </w:pPr>
          </w:p>
        </w:tc>
        <w:tc>
          <w:tcPr>
            <w:tcW w:w="780" w:type="dxa"/>
            <w:vAlign w:val="bottom"/>
          </w:tcPr>
          <w:p>
            <w:pPr>
              <w:jc w:val="right"/>
              <w:ind w:right="126"/>
              <w:spacing w:after="0" w:line="156" w:lineRule="exact"/>
              <w:rPr>
                <w:sz w:val="20"/>
                <w:szCs w:val="20"/>
                <w:color w:val="auto"/>
              </w:rPr>
            </w:pPr>
            <w:r>
              <w:rPr>
                <w:rFonts w:ascii="Arial" w:cs="Arial" w:eastAsia="Arial" w:hAnsi="Arial"/>
                <w:sz w:val="15"/>
                <w:szCs w:val="15"/>
                <w:b w:val="1"/>
                <w:bCs w:val="1"/>
                <w:color w:val="auto"/>
              </w:rPr>
              <w:t>117,313</w:t>
            </w:r>
          </w:p>
        </w:tc>
        <w:tc>
          <w:tcPr>
            <w:tcW w:w="320" w:type="dxa"/>
            <w:vAlign w:val="bottom"/>
          </w:tcPr>
          <w:p>
            <w:pPr>
              <w:spacing w:after="0"/>
              <w:rPr>
                <w:sz w:val="13"/>
                <w:szCs w:val="13"/>
                <w:color w:val="auto"/>
              </w:rPr>
            </w:pPr>
          </w:p>
        </w:tc>
        <w:tc>
          <w:tcPr>
            <w:tcW w:w="800" w:type="dxa"/>
            <w:vAlign w:val="bottom"/>
          </w:tcPr>
          <w:p>
            <w:pPr>
              <w:jc w:val="right"/>
              <w:ind w:right="146"/>
              <w:spacing w:after="0" w:line="156" w:lineRule="exact"/>
              <w:rPr>
                <w:sz w:val="20"/>
                <w:szCs w:val="20"/>
                <w:color w:val="auto"/>
              </w:rPr>
            </w:pPr>
            <w:r>
              <w:rPr>
                <w:rFonts w:ascii="Arial" w:cs="Arial" w:eastAsia="Arial" w:hAnsi="Arial"/>
                <w:sz w:val="15"/>
                <w:szCs w:val="15"/>
                <w:color w:val="auto"/>
              </w:rPr>
              <w:t>120,201</w:t>
            </w:r>
          </w:p>
        </w:tc>
        <w:tc>
          <w:tcPr>
            <w:tcW w:w="300" w:type="dxa"/>
            <w:vAlign w:val="bottom"/>
          </w:tcPr>
          <w:p>
            <w:pPr>
              <w:spacing w:after="0"/>
              <w:rPr>
                <w:sz w:val="13"/>
                <w:szCs w:val="13"/>
                <w:color w:val="auto"/>
              </w:rPr>
            </w:pPr>
          </w:p>
        </w:tc>
        <w:tc>
          <w:tcPr>
            <w:tcW w:w="660" w:type="dxa"/>
            <w:vAlign w:val="bottom"/>
          </w:tcPr>
          <w:p>
            <w:pPr>
              <w:jc w:val="right"/>
              <w:ind w:right="6"/>
              <w:spacing w:after="0" w:line="156" w:lineRule="exact"/>
              <w:rPr>
                <w:sz w:val="20"/>
                <w:szCs w:val="20"/>
                <w:color w:val="auto"/>
              </w:rPr>
            </w:pPr>
            <w:r>
              <w:rPr>
                <w:rFonts w:ascii="Arial" w:cs="Arial" w:eastAsia="Arial" w:hAnsi="Arial"/>
                <w:sz w:val="15"/>
                <w:szCs w:val="15"/>
                <w:color w:val="auto"/>
              </w:rPr>
              <w:t>103,813</w:t>
            </w:r>
          </w:p>
        </w:tc>
        <w:tc>
          <w:tcPr>
            <w:tcW w:w="0" w:type="dxa"/>
            <w:vAlign w:val="bottom"/>
          </w:tcPr>
          <w:p>
            <w:pPr>
              <w:spacing w:after="0"/>
              <w:rPr>
                <w:sz w:val="1"/>
                <w:szCs w:val="1"/>
                <w:color w:val="auto"/>
              </w:rPr>
            </w:pPr>
          </w:p>
        </w:tc>
      </w:tr>
      <w:tr>
        <w:trPr>
          <w:trHeight w:val="156"/>
        </w:trPr>
        <w:tc>
          <w:tcPr>
            <w:tcW w:w="200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Ready Mixed Concrete</w:t>
            </w:r>
          </w:p>
        </w:tc>
        <w:tc>
          <w:tcPr>
            <w:tcW w:w="62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126"/>
              <w:spacing w:after="0" w:line="156" w:lineRule="exact"/>
              <w:rPr>
                <w:sz w:val="20"/>
                <w:szCs w:val="20"/>
                <w:color w:val="auto"/>
              </w:rPr>
            </w:pPr>
            <w:r>
              <w:rPr>
                <w:rFonts w:ascii="Arial" w:cs="Arial" w:eastAsia="Arial" w:hAnsi="Arial"/>
                <w:sz w:val="15"/>
                <w:szCs w:val="15"/>
                <w:b w:val="1"/>
                <w:bCs w:val="1"/>
                <w:color w:val="auto"/>
              </w:rPr>
              <w:t>91,670</w:t>
            </w:r>
          </w:p>
        </w:tc>
        <w:tc>
          <w:tcPr>
            <w:tcW w:w="32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146"/>
              <w:spacing w:after="0" w:line="156" w:lineRule="exact"/>
              <w:rPr>
                <w:sz w:val="20"/>
                <w:szCs w:val="20"/>
                <w:color w:val="auto"/>
              </w:rPr>
            </w:pPr>
            <w:r>
              <w:rPr>
                <w:rFonts w:ascii="Arial" w:cs="Arial" w:eastAsia="Arial" w:hAnsi="Arial"/>
                <w:sz w:val="15"/>
                <w:szCs w:val="15"/>
                <w:color w:val="auto"/>
              </w:rPr>
              <w:t>99,042</w:t>
            </w:r>
          </w:p>
        </w:tc>
        <w:tc>
          <w:tcPr>
            <w:tcW w:w="3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6"/>
              <w:spacing w:after="0" w:line="156" w:lineRule="exact"/>
              <w:rPr>
                <w:sz w:val="20"/>
                <w:szCs w:val="20"/>
                <w:color w:val="auto"/>
              </w:rPr>
            </w:pPr>
            <w:r>
              <w:rPr>
                <w:rFonts w:ascii="Arial" w:cs="Arial" w:eastAsia="Arial" w:hAnsi="Arial"/>
                <w:sz w:val="15"/>
                <w:szCs w:val="15"/>
                <w:color w:val="auto"/>
              </w:rPr>
              <w:t>42,110</w:t>
            </w:r>
          </w:p>
        </w:tc>
        <w:tc>
          <w:tcPr>
            <w:tcW w:w="0" w:type="dxa"/>
            <w:vAlign w:val="bottom"/>
          </w:tcPr>
          <w:p>
            <w:pPr>
              <w:spacing w:after="0"/>
              <w:rPr>
                <w:sz w:val="1"/>
                <w:szCs w:val="1"/>
                <w:color w:val="auto"/>
              </w:rPr>
            </w:pPr>
          </w:p>
        </w:tc>
      </w:tr>
      <w:tr>
        <w:trPr>
          <w:trHeight w:val="156"/>
        </w:trPr>
        <w:tc>
          <w:tcPr>
            <w:tcW w:w="2000" w:type="dxa"/>
            <w:vAlign w:val="bottom"/>
            <w:tcBorders>
              <w:bottom w:val="single" w:sz="8" w:color="auto"/>
            </w:tcBorders>
          </w:tcPr>
          <w:p>
            <w:pPr>
              <w:spacing w:after="0" w:line="156" w:lineRule="exact"/>
              <w:rPr>
                <w:sz w:val="20"/>
                <w:szCs w:val="20"/>
                <w:color w:val="auto"/>
              </w:rPr>
            </w:pPr>
            <w:r>
              <w:rPr>
                <w:rFonts w:ascii="Arial" w:cs="Arial" w:eastAsia="Arial" w:hAnsi="Arial"/>
                <w:sz w:val="15"/>
                <w:szCs w:val="15"/>
                <w:color w:val="auto"/>
              </w:rPr>
              <w:t>Asphalt and Paving</w:t>
            </w:r>
          </w:p>
        </w:tc>
        <w:tc>
          <w:tcPr>
            <w:tcW w:w="6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26"/>
              <w:spacing w:after="0" w:line="156" w:lineRule="exact"/>
              <w:rPr>
                <w:sz w:val="20"/>
                <w:szCs w:val="20"/>
                <w:color w:val="auto"/>
              </w:rPr>
            </w:pPr>
            <w:r>
              <w:rPr>
                <w:rFonts w:ascii="Arial" w:cs="Arial" w:eastAsia="Arial" w:hAnsi="Arial"/>
                <w:sz w:val="15"/>
                <w:szCs w:val="15"/>
                <w:b w:val="1"/>
                <w:bCs w:val="1"/>
                <w:color w:val="auto"/>
              </w:rPr>
              <w:t>64,680</w:t>
            </w:r>
          </w:p>
        </w:tc>
        <w:tc>
          <w:tcPr>
            <w:tcW w:w="3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46"/>
              <w:spacing w:after="0" w:line="156" w:lineRule="exact"/>
              <w:rPr>
                <w:sz w:val="20"/>
                <w:szCs w:val="20"/>
                <w:color w:val="auto"/>
              </w:rPr>
            </w:pPr>
            <w:r>
              <w:rPr>
                <w:rFonts w:ascii="Arial" w:cs="Arial" w:eastAsia="Arial" w:hAnsi="Arial"/>
                <w:sz w:val="15"/>
                <w:szCs w:val="15"/>
                <w:color w:val="auto"/>
              </w:rPr>
              <w:t>53,075</w:t>
            </w:r>
          </w:p>
        </w:tc>
        <w:tc>
          <w:tcPr>
            <w:tcW w:w="3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6"/>
              <w:spacing w:after="0" w:line="156" w:lineRule="exact"/>
              <w:rPr>
                <w:sz w:val="20"/>
                <w:szCs w:val="20"/>
                <w:color w:val="auto"/>
              </w:rPr>
            </w:pPr>
            <w:r>
              <w:rPr>
                <w:rFonts w:ascii="Arial" w:cs="Arial" w:eastAsia="Arial" w:hAnsi="Arial"/>
                <w:sz w:val="15"/>
                <w:szCs w:val="15"/>
                <w:color w:val="auto"/>
              </w:rPr>
              <w:t>35,417</w:t>
            </w:r>
          </w:p>
        </w:tc>
        <w:tc>
          <w:tcPr>
            <w:tcW w:w="0" w:type="dxa"/>
            <w:vAlign w:val="bottom"/>
          </w:tcPr>
          <w:p>
            <w:pPr>
              <w:spacing w:after="0"/>
              <w:rPr>
                <w:sz w:val="1"/>
                <w:szCs w:val="1"/>
                <w:color w:val="auto"/>
              </w:rPr>
            </w:pPr>
          </w:p>
        </w:tc>
      </w:tr>
      <w:tr>
        <w:trPr>
          <w:trHeight w:val="145"/>
        </w:trPr>
        <w:tc>
          <w:tcPr>
            <w:tcW w:w="2000" w:type="dxa"/>
            <w:vAlign w:val="bottom"/>
            <w:shd w:val="clear" w:color="auto" w:fill="CCEEFF"/>
          </w:tcPr>
          <w:p>
            <w:pPr>
              <w:spacing w:after="0" w:line="146" w:lineRule="exact"/>
              <w:rPr>
                <w:sz w:val="20"/>
                <w:szCs w:val="20"/>
                <w:color w:val="auto"/>
              </w:rPr>
            </w:pPr>
            <w:r>
              <w:rPr>
                <w:rFonts w:ascii="Arial" w:cs="Arial" w:eastAsia="Arial" w:hAnsi="Arial"/>
                <w:sz w:val="15"/>
                <w:szCs w:val="15"/>
                <w:color w:val="auto"/>
              </w:rPr>
              <w:t>Total Building Materials</w:t>
            </w:r>
          </w:p>
        </w:tc>
        <w:tc>
          <w:tcPr>
            <w:tcW w:w="6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126"/>
              <w:spacing w:after="0"/>
              <w:rPr>
                <w:sz w:val="20"/>
                <w:szCs w:val="20"/>
                <w:color w:val="auto"/>
              </w:rPr>
            </w:pPr>
            <w:r>
              <w:rPr>
                <w:rFonts w:ascii="Arial" w:cs="Arial" w:eastAsia="Arial" w:hAnsi="Arial"/>
                <w:sz w:val="15"/>
                <w:szCs w:val="15"/>
                <w:b w:val="1"/>
                <w:bCs w:val="1"/>
                <w:color w:val="auto"/>
              </w:rPr>
              <w:t>875,631</w:t>
            </w: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00" w:type="dxa"/>
            <w:vAlign w:val="bottom"/>
            <w:shd w:val="clear" w:color="auto" w:fill="CCEEFF"/>
          </w:tcPr>
          <w:p>
            <w:pPr>
              <w:ind w:left="160"/>
              <w:spacing w:after="0" w:line="159" w:lineRule="exact"/>
              <w:rPr>
                <w:sz w:val="20"/>
                <w:szCs w:val="20"/>
                <w:color w:val="auto"/>
              </w:rPr>
            </w:pPr>
            <w:r>
              <w:rPr>
                <w:rFonts w:ascii="Arial" w:cs="Arial" w:eastAsia="Arial" w:hAnsi="Arial"/>
                <w:sz w:val="15"/>
                <w:szCs w:val="15"/>
                <w:color w:val="auto"/>
              </w:rPr>
              <w:t>Business</w:t>
            </w:r>
          </w:p>
        </w:tc>
        <w:tc>
          <w:tcPr>
            <w:tcW w:w="620" w:type="dxa"/>
            <w:vAlign w:val="bottom"/>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146"/>
              <w:spacing w:after="0" w:line="159" w:lineRule="exact"/>
              <w:rPr>
                <w:sz w:val="20"/>
                <w:szCs w:val="20"/>
                <w:color w:val="auto"/>
              </w:rPr>
            </w:pPr>
            <w:r>
              <w:rPr>
                <w:rFonts w:ascii="Arial" w:cs="Arial" w:eastAsia="Arial" w:hAnsi="Arial"/>
                <w:sz w:val="15"/>
                <w:szCs w:val="15"/>
                <w:color w:val="auto"/>
              </w:rPr>
              <w:t>830,636</w:t>
            </w:r>
          </w:p>
        </w:tc>
        <w:tc>
          <w:tcPr>
            <w:tcW w:w="3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6"/>
              <w:spacing w:after="0" w:line="159" w:lineRule="exact"/>
              <w:rPr>
                <w:sz w:val="20"/>
                <w:szCs w:val="20"/>
                <w:color w:val="auto"/>
              </w:rPr>
            </w:pPr>
            <w:r>
              <w:rPr>
                <w:rFonts w:ascii="Arial" w:cs="Arial" w:eastAsia="Arial" w:hAnsi="Arial"/>
                <w:sz w:val="15"/>
                <w:szCs w:val="15"/>
                <w:color w:val="auto"/>
              </w:rPr>
              <w:t>652,028</w:t>
            </w:r>
          </w:p>
        </w:tc>
        <w:tc>
          <w:tcPr>
            <w:tcW w:w="0" w:type="dxa"/>
            <w:vAlign w:val="bottom"/>
          </w:tcPr>
          <w:p>
            <w:pPr>
              <w:spacing w:after="0"/>
              <w:rPr>
                <w:sz w:val="1"/>
                <w:szCs w:val="1"/>
                <w:color w:val="auto"/>
              </w:rPr>
            </w:pPr>
          </w:p>
        </w:tc>
      </w:tr>
      <w:tr>
        <w:trPr>
          <w:trHeight w:val="156"/>
        </w:trPr>
        <w:tc>
          <w:tcPr>
            <w:tcW w:w="2000" w:type="dxa"/>
            <w:vAlign w:val="bottom"/>
          </w:tcPr>
          <w:p>
            <w:pPr>
              <w:spacing w:after="0" w:line="156" w:lineRule="exact"/>
              <w:rPr>
                <w:sz w:val="20"/>
                <w:szCs w:val="20"/>
                <w:color w:val="auto"/>
              </w:rPr>
            </w:pPr>
            <w:r>
              <w:rPr>
                <w:rFonts w:ascii="Arial" w:cs="Arial" w:eastAsia="Arial" w:hAnsi="Arial"/>
                <w:sz w:val="15"/>
                <w:szCs w:val="15"/>
                <w:color w:val="auto"/>
              </w:rPr>
              <w:t>Magnesia Specialties</w:t>
            </w:r>
          </w:p>
        </w:tc>
        <w:tc>
          <w:tcPr>
            <w:tcW w:w="620" w:type="dxa"/>
            <w:vAlign w:val="bottom"/>
          </w:tcPr>
          <w:p>
            <w:pPr>
              <w:spacing w:after="0"/>
              <w:rPr>
                <w:sz w:val="13"/>
                <w:szCs w:val="13"/>
                <w:color w:val="auto"/>
              </w:rPr>
            </w:pPr>
          </w:p>
        </w:tc>
        <w:tc>
          <w:tcPr>
            <w:tcW w:w="780" w:type="dxa"/>
            <w:vAlign w:val="bottom"/>
          </w:tcPr>
          <w:p>
            <w:pPr>
              <w:jc w:val="right"/>
              <w:ind w:right="126"/>
              <w:spacing w:after="0" w:line="156" w:lineRule="exact"/>
              <w:rPr>
                <w:sz w:val="20"/>
                <w:szCs w:val="20"/>
                <w:color w:val="auto"/>
              </w:rPr>
            </w:pPr>
            <w:r>
              <w:rPr>
                <w:rFonts w:ascii="Arial" w:cs="Arial" w:eastAsia="Arial" w:hAnsi="Arial"/>
                <w:sz w:val="15"/>
                <w:szCs w:val="15"/>
                <w:b w:val="1"/>
                <w:bCs w:val="1"/>
                <w:color w:val="auto"/>
              </w:rPr>
              <w:t>89,399</w:t>
            </w:r>
          </w:p>
        </w:tc>
        <w:tc>
          <w:tcPr>
            <w:tcW w:w="320" w:type="dxa"/>
            <w:vAlign w:val="bottom"/>
          </w:tcPr>
          <w:p>
            <w:pPr>
              <w:spacing w:after="0"/>
              <w:rPr>
                <w:sz w:val="13"/>
                <w:szCs w:val="13"/>
                <w:color w:val="auto"/>
              </w:rPr>
            </w:pPr>
          </w:p>
        </w:tc>
        <w:tc>
          <w:tcPr>
            <w:tcW w:w="800" w:type="dxa"/>
            <w:vAlign w:val="bottom"/>
          </w:tcPr>
          <w:p>
            <w:pPr>
              <w:jc w:val="right"/>
              <w:ind w:right="146"/>
              <w:spacing w:after="0" w:line="156" w:lineRule="exact"/>
              <w:rPr>
                <w:sz w:val="20"/>
                <w:szCs w:val="20"/>
                <w:color w:val="auto"/>
              </w:rPr>
            </w:pPr>
            <w:r>
              <w:rPr>
                <w:rFonts w:ascii="Arial" w:cs="Arial" w:eastAsia="Arial" w:hAnsi="Arial"/>
                <w:sz w:val="15"/>
                <w:szCs w:val="15"/>
                <w:color w:val="auto"/>
              </w:rPr>
              <w:t>89,603</w:t>
            </w:r>
          </w:p>
        </w:tc>
        <w:tc>
          <w:tcPr>
            <w:tcW w:w="300" w:type="dxa"/>
            <w:vAlign w:val="bottom"/>
          </w:tcPr>
          <w:p>
            <w:pPr>
              <w:spacing w:after="0"/>
              <w:rPr>
                <w:sz w:val="13"/>
                <w:szCs w:val="13"/>
                <w:color w:val="auto"/>
              </w:rPr>
            </w:pPr>
          </w:p>
        </w:tc>
        <w:tc>
          <w:tcPr>
            <w:tcW w:w="660" w:type="dxa"/>
            <w:vAlign w:val="bottom"/>
          </w:tcPr>
          <w:p>
            <w:pPr>
              <w:jc w:val="right"/>
              <w:ind w:right="6"/>
              <w:spacing w:after="0" w:line="156" w:lineRule="exact"/>
              <w:rPr>
                <w:sz w:val="20"/>
                <w:szCs w:val="20"/>
                <w:color w:val="auto"/>
              </w:rPr>
            </w:pPr>
            <w:r>
              <w:rPr>
                <w:rFonts w:ascii="Arial" w:cs="Arial" w:eastAsia="Arial" w:hAnsi="Arial"/>
                <w:sz w:val="15"/>
                <w:szCs w:val="15"/>
                <w:color w:val="auto"/>
              </w:rPr>
              <w:t>79,057</w:t>
            </w:r>
          </w:p>
        </w:tc>
        <w:tc>
          <w:tcPr>
            <w:tcW w:w="0" w:type="dxa"/>
            <w:vAlign w:val="bottom"/>
          </w:tcPr>
          <w:p>
            <w:pPr>
              <w:spacing w:after="0"/>
              <w:rPr>
                <w:sz w:val="1"/>
                <w:szCs w:val="1"/>
                <w:color w:val="auto"/>
              </w:rPr>
            </w:pPr>
          </w:p>
        </w:tc>
      </w:tr>
      <w:tr>
        <w:trPr>
          <w:trHeight w:val="156"/>
        </w:trPr>
        <w:tc>
          <w:tcPr>
            <w:tcW w:w="200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Corporate</w:t>
            </w:r>
          </w:p>
        </w:tc>
        <w:tc>
          <w:tcPr>
            <w:tcW w:w="62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ind w:right="126"/>
              <w:spacing w:after="0" w:line="156" w:lineRule="exact"/>
              <w:rPr>
                <w:sz w:val="20"/>
                <w:szCs w:val="20"/>
                <w:color w:val="auto"/>
              </w:rPr>
            </w:pPr>
            <w:r>
              <w:rPr>
                <w:rFonts w:ascii="Arial" w:cs="Arial" w:eastAsia="Arial" w:hAnsi="Arial"/>
                <w:sz w:val="15"/>
                <w:szCs w:val="15"/>
                <w:b w:val="1"/>
                <w:bCs w:val="1"/>
                <w:color w:val="auto"/>
              </w:rPr>
              <w:t>6,910</w:t>
            </w:r>
          </w:p>
        </w:tc>
        <w:tc>
          <w:tcPr>
            <w:tcW w:w="3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86"/>
              <w:spacing w:after="0" w:line="156" w:lineRule="exact"/>
              <w:rPr>
                <w:sz w:val="20"/>
                <w:szCs w:val="20"/>
                <w:color w:val="auto"/>
              </w:rPr>
            </w:pPr>
            <w:r>
              <w:rPr>
                <w:rFonts w:ascii="Arial" w:cs="Arial" w:eastAsia="Arial" w:hAnsi="Arial"/>
                <w:sz w:val="15"/>
                <w:szCs w:val="15"/>
                <w:color w:val="auto"/>
              </w:rPr>
              <w:t>(8,501)</w:t>
            </w:r>
          </w:p>
        </w:tc>
        <w:tc>
          <w:tcPr>
            <w:tcW w:w="30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(4,165)</w:t>
            </w:r>
          </w:p>
        </w:tc>
        <w:tc>
          <w:tcPr>
            <w:tcW w:w="0" w:type="dxa"/>
            <w:vAlign w:val="bottom"/>
          </w:tcPr>
          <w:p>
            <w:pPr>
              <w:spacing w:after="0"/>
              <w:rPr>
                <w:sz w:val="1"/>
                <w:szCs w:val="1"/>
                <w:color w:val="auto"/>
              </w:rPr>
            </w:pPr>
          </w:p>
        </w:tc>
      </w:tr>
      <w:tr>
        <w:trPr>
          <w:trHeight w:val="155"/>
        </w:trPr>
        <w:tc>
          <w:tcPr>
            <w:tcW w:w="2000" w:type="dxa"/>
            <w:vAlign w:val="bottom"/>
            <w:tcBorders>
              <w:bottom w:val="single" w:sz="8" w:color="auto"/>
            </w:tcBorders>
          </w:tcPr>
          <w:p>
            <w:pPr>
              <w:spacing w:after="0" w:line="149" w:lineRule="exact"/>
              <w:rPr>
                <w:sz w:val="20"/>
                <w:szCs w:val="20"/>
                <w:color w:val="auto"/>
              </w:rPr>
            </w:pPr>
            <w:r>
              <w:rPr>
                <w:rFonts w:ascii="Arial" w:cs="Arial" w:eastAsia="Arial" w:hAnsi="Arial"/>
                <w:sz w:val="15"/>
                <w:szCs w:val="15"/>
                <w:color w:val="auto"/>
              </w:rPr>
              <w:t>Total</w:t>
            </w: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780" w:type="dxa"/>
            <w:vAlign w:val="bottom"/>
            <w:tcBorders>
              <w:bottom w:val="single" w:sz="8" w:color="auto"/>
            </w:tcBorders>
          </w:tcPr>
          <w:p>
            <w:pPr>
              <w:jc w:val="right"/>
              <w:ind w:right="126"/>
              <w:spacing w:after="0" w:line="149" w:lineRule="exact"/>
              <w:rPr>
                <w:sz w:val="20"/>
                <w:szCs w:val="20"/>
                <w:color w:val="auto"/>
              </w:rPr>
            </w:pPr>
            <w:r>
              <w:rPr>
                <w:rFonts w:ascii="Arial" w:cs="Arial" w:eastAsia="Arial" w:hAnsi="Arial"/>
                <w:sz w:val="15"/>
                <w:szCs w:val="15"/>
                <w:b w:val="1"/>
                <w:bCs w:val="1"/>
                <w:color w:val="auto"/>
              </w:rPr>
              <w:t>971,940</w:t>
            </w:r>
          </w:p>
        </w:tc>
        <w:tc>
          <w:tcPr>
            <w:tcW w:w="3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tcPr>
          <w:p>
            <w:pPr>
              <w:jc w:val="right"/>
              <w:ind w:right="146"/>
              <w:spacing w:after="0" w:line="149" w:lineRule="exact"/>
              <w:rPr>
                <w:sz w:val="20"/>
                <w:szCs w:val="20"/>
                <w:color w:val="auto"/>
              </w:rPr>
            </w:pPr>
            <w:r>
              <w:rPr>
                <w:rFonts w:ascii="Arial" w:cs="Arial" w:eastAsia="Arial" w:hAnsi="Arial"/>
                <w:sz w:val="15"/>
                <w:szCs w:val="15"/>
                <w:color w:val="auto"/>
              </w:rPr>
              <w:t>911,738</w:t>
            </w:r>
          </w:p>
        </w:tc>
        <w:tc>
          <w:tcPr>
            <w:tcW w:w="3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tcPr>
          <w:p>
            <w:pPr>
              <w:jc w:val="right"/>
              <w:ind w:right="6"/>
              <w:spacing w:after="0" w:line="149" w:lineRule="exact"/>
              <w:rPr>
                <w:sz w:val="20"/>
                <w:szCs w:val="20"/>
                <w:color w:val="auto"/>
              </w:rPr>
            </w:pPr>
            <w:r>
              <w:rPr>
                <w:rFonts w:ascii="Arial" w:cs="Arial" w:eastAsia="Arial" w:hAnsi="Arial"/>
                <w:sz w:val="15"/>
                <w:szCs w:val="15"/>
                <w:color w:val="auto"/>
              </w:rPr>
              <w:t>726,920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b w:val="1"/>
          <w:bCs w:val="1"/>
          <w:color w:val="0085CD"/>
        </w:rPr>
        <w:t>Note P: Supplemental Cash Flow Information</w:t>
      </w:r>
    </w:p>
    <w:p>
      <w:pPr>
        <w:spacing w:after="0" w:line="16"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The components of the change in other assets and liabilities, net, are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440" w:type="dxa"/>
            <w:vAlign w:val="bottom"/>
          </w:tcPr>
          <w:p>
            <w:pPr>
              <w:spacing w:after="0"/>
              <w:rPr>
                <w:sz w:val="20"/>
                <w:szCs w:val="20"/>
                <w:color w:val="auto"/>
              </w:rPr>
            </w:pPr>
            <w:r>
              <w:rPr>
                <w:rFonts w:ascii="Arial" w:cs="Arial" w:eastAsia="Arial" w:hAnsi="Arial"/>
                <w:sz w:val="15"/>
                <w:szCs w:val="15"/>
                <w:i w:val="1"/>
                <w:iCs w:val="1"/>
                <w:color w:val="auto"/>
              </w:rPr>
              <w:t>years ended December 31</w:t>
            </w:r>
          </w:p>
        </w:tc>
        <w:tc>
          <w:tcPr>
            <w:tcW w:w="340" w:type="dxa"/>
            <w:vAlign w:val="bottom"/>
          </w:tcPr>
          <w:p>
            <w:pPr>
              <w:spacing w:after="0"/>
              <w:rPr>
                <w:sz w:val="14"/>
                <w:szCs w:val="14"/>
                <w:color w:val="auto"/>
              </w:rPr>
            </w:pPr>
          </w:p>
        </w:tc>
        <w:tc>
          <w:tcPr>
            <w:tcW w:w="780" w:type="dxa"/>
            <w:vAlign w:val="bottom"/>
            <w:vMerge w:val="restart"/>
          </w:tcPr>
          <w:p>
            <w:pPr>
              <w:jc w:val="right"/>
              <w:ind w:right="126"/>
              <w:spacing w:after="0"/>
              <w:rPr>
                <w:sz w:val="20"/>
                <w:szCs w:val="20"/>
                <w:color w:val="auto"/>
              </w:rPr>
            </w:pPr>
            <w:r>
              <w:rPr>
                <w:rFonts w:ascii="Arial" w:cs="Arial" w:eastAsia="Arial" w:hAnsi="Arial"/>
                <w:sz w:val="15"/>
                <w:szCs w:val="15"/>
                <w:b w:val="1"/>
                <w:bCs w:val="1"/>
                <w:color w:val="0085CD"/>
              </w:rPr>
              <w:t>2017</w:t>
            </w: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440" w:type="dxa"/>
            <w:vAlign w:val="bottom"/>
            <w:tcBorders>
              <w:bottom w:val="single" w:sz="8" w:color="auto"/>
            </w:tcBorders>
          </w:tcPr>
          <w:p>
            <w:pPr>
              <w:spacing w:after="0" w:line="159" w:lineRule="exact"/>
              <w:rPr>
                <w:sz w:val="20"/>
                <w:szCs w:val="20"/>
                <w:color w:val="auto"/>
              </w:rPr>
            </w:pPr>
            <w:r>
              <w:rPr>
                <w:rFonts w:ascii="Arial" w:cs="Arial" w:eastAsia="Arial" w:hAnsi="Arial"/>
                <w:sz w:val="15"/>
                <w:szCs w:val="15"/>
                <w:color w:val="auto"/>
              </w:rPr>
              <w:t>(add 000)</w:t>
            </w:r>
          </w:p>
        </w:tc>
        <w:tc>
          <w:tcPr>
            <w:tcW w:w="3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46"/>
              <w:spacing w:after="0" w:line="159" w:lineRule="exact"/>
              <w:rPr>
                <w:sz w:val="20"/>
                <w:szCs w:val="20"/>
                <w:color w:val="auto"/>
              </w:rPr>
            </w:pPr>
            <w:r>
              <w:rPr>
                <w:rFonts w:ascii="Arial" w:cs="Arial" w:eastAsia="Arial" w:hAnsi="Arial"/>
                <w:sz w:val="15"/>
                <w:szCs w:val="15"/>
                <w:color w:val="auto"/>
              </w:rPr>
              <w:t>2016</w:t>
            </w:r>
          </w:p>
        </w:tc>
        <w:tc>
          <w:tcPr>
            <w:tcW w:w="2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6"/>
              <w:spacing w:after="0" w:line="159" w:lineRule="exact"/>
              <w:rPr>
                <w:sz w:val="20"/>
                <w:szCs w:val="20"/>
                <w:color w:val="auto"/>
              </w:rPr>
            </w:pPr>
            <w:r>
              <w:rPr>
                <w:rFonts w:ascii="Arial" w:cs="Arial" w:eastAsia="Arial" w:hAnsi="Arial"/>
                <w:sz w:val="15"/>
                <w:szCs w:val="15"/>
                <w:color w:val="auto"/>
              </w:rPr>
              <w:t>2015</w:t>
            </w:r>
          </w:p>
        </w:tc>
        <w:tc>
          <w:tcPr>
            <w:tcW w:w="0" w:type="dxa"/>
            <w:vAlign w:val="bottom"/>
          </w:tcPr>
          <w:p>
            <w:pPr>
              <w:spacing w:after="0"/>
              <w:rPr>
                <w:sz w:val="1"/>
                <w:szCs w:val="1"/>
                <w:color w:val="auto"/>
              </w:rPr>
            </w:pPr>
          </w:p>
        </w:tc>
      </w:tr>
      <w:tr>
        <w:trPr>
          <w:trHeight w:val="145"/>
        </w:trPr>
        <w:tc>
          <w:tcPr>
            <w:tcW w:w="2440" w:type="dxa"/>
            <w:vAlign w:val="bottom"/>
            <w:shd w:val="clear" w:color="auto" w:fill="CCEEFF"/>
          </w:tcPr>
          <w:p>
            <w:pPr>
              <w:spacing w:after="0" w:line="146" w:lineRule="exact"/>
              <w:rPr>
                <w:sz w:val="20"/>
                <w:szCs w:val="20"/>
                <w:color w:val="auto"/>
              </w:rPr>
            </w:pPr>
            <w:r>
              <w:rPr>
                <w:rFonts w:ascii="Arial" w:cs="Arial" w:eastAsia="Arial" w:hAnsi="Arial"/>
                <w:sz w:val="15"/>
                <w:szCs w:val="15"/>
                <w:color w:val="auto"/>
              </w:rPr>
              <w:t>Other current and noncurrent</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780" w:type="dxa"/>
            <w:vAlign w:val="bottom"/>
            <w:vMerge w:val="restart"/>
            <w:shd w:val="clear" w:color="auto" w:fill="CCEEFF"/>
          </w:tcPr>
          <w:p>
            <w:pPr>
              <w:jc w:val="right"/>
              <w:ind w:right="86"/>
              <w:spacing w:after="0"/>
              <w:rPr>
                <w:sz w:val="20"/>
                <w:szCs w:val="20"/>
                <w:color w:val="auto"/>
              </w:rPr>
            </w:pPr>
            <w:r>
              <w:rPr>
                <w:rFonts w:ascii="Arial" w:cs="Arial" w:eastAsia="Arial" w:hAnsi="Arial"/>
                <w:sz w:val="15"/>
                <w:szCs w:val="15"/>
                <w:b w:val="1"/>
                <w:bCs w:val="1"/>
                <w:color w:val="auto"/>
              </w:rPr>
              <w:t>(19,424)</w:t>
            </w: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440" w:type="dxa"/>
            <w:vAlign w:val="bottom"/>
            <w:shd w:val="clear" w:color="auto" w:fill="CCEEFF"/>
          </w:tcPr>
          <w:p>
            <w:pPr>
              <w:ind w:left="140"/>
              <w:spacing w:after="0" w:line="159" w:lineRule="exact"/>
              <w:rPr>
                <w:sz w:val="20"/>
                <w:szCs w:val="20"/>
                <w:color w:val="auto"/>
              </w:rPr>
            </w:pPr>
            <w:r>
              <w:rPr>
                <w:rFonts w:ascii="Arial" w:cs="Arial" w:eastAsia="Arial" w:hAnsi="Arial"/>
                <w:sz w:val="15"/>
                <w:szCs w:val="15"/>
                <w:color w:val="auto"/>
              </w:rPr>
              <w:t>assets</w:t>
            </w:r>
          </w:p>
        </w:tc>
        <w:tc>
          <w:tcPr>
            <w:tcW w:w="340" w:type="dxa"/>
            <w:vAlign w:val="bottom"/>
            <w:vMerge w:val="continue"/>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28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ind w:right="146"/>
              <w:spacing w:after="0" w:line="159" w:lineRule="exact"/>
              <w:rPr>
                <w:sz w:val="20"/>
                <w:szCs w:val="20"/>
                <w:color w:val="auto"/>
              </w:rPr>
            </w:pPr>
            <w:r>
              <w:rPr>
                <w:rFonts w:ascii="Arial" w:cs="Arial" w:eastAsia="Arial" w:hAnsi="Arial"/>
                <w:sz w:val="15"/>
                <w:szCs w:val="15"/>
                <w:color w:val="auto"/>
              </w:rPr>
              <w:t>9,171</w:t>
            </w:r>
          </w:p>
        </w:tc>
        <w:tc>
          <w:tcPr>
            <w:tcW w:w="28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color w:val="auto"/>
              </w:rPr>
              <w:t>(3,631)</w:t>
            </w:r>
          </w:p>
        </w:tc>
        <w:tc>
          <w:tcPr>
            <w:tcW w:w="0" w:type="dxa"/>
            <w:vAlign w:val="bottom"/>
          </w:tcPr>
          <w:p>
            <w:pPr>
              <w:spacing w:after="0"/>
              <w:rPr>
                <w:sz w:val="1"/>
                <w:szCs w:val="1"/>
                <w:color w:val="auto"/>
              </w:rPr>
            </w:pPr>
          </w:p>
        </w:tc>
      </w:tr>
      <w:tr>
        <w:trPr>
          <w:trHeight w:val="152"/>
        </w:trPr>
        <w:tc>
          <w:tcPr>
            <w:tcW w:w="2440" w:type="dxa"/>
            <w:vAlign w:val="bottom"/>
          </w:tcPr>
          <w:p>
            <w:pPr>
              <w:spacing w:after="0" w:line="153" w:lineRule="exact"/>
              <w:rPr>
                <w:sz w:val="20"/>
                <w:szCs w:val="20"/>
                <w:color w:val="auto"/>
              </w:rPr>
            </w:pPr>
            <w:r>
              <w:rPr>
                <w:rFonts w:ascii="Arial" w:cs="Arial" w:eastAsia="Arial" w:hAnsi="Arial"/>
                <w:sz w:val="15"/>
                <w:szCs w:val="15"/>
                <w:color w:val="auto"/>
              </w:rPr>
              <w:t>Accrued salaries, benefits and</w:t>
            </w:r>
          </w:p>
        </w:tc>
        <w:tc>
          <w:tcPr>
            <w:tcW w:w="340" w:type="dxa"/>
            <w:vAlign w:val="bottom"/>
          </w:tcPr>
          <w:p>
            <w:pPr>
              <w:spacing w:after="0"/>
              <w:rPr>
                <w:sz w:val="13"/>
                <w:szCs w:val="13"/>
                <w:color w:val="auto"/>
              </w:rPr>
            </w:pPr>
          </w:p>
        </w:tc>
        <w:tc>
          <w:tcPr>
            <w:tcW w:w="780" w:type="dxa"/>
            <w:vAlign w:val="bottom"/>
            <w:vMerge w:val="restart"/>
          </w:tcPr>
          <w:p>
            <w:pPr>
              <w:jc w:val="right"/>
              <w:ind w:right="126"/>
              <w:spacing w:after="0"/>
              <w:rPr>
                <w:sz w:val="20"/>
                <w:szCs w:val="20"/>
                <w:color w:val="auto"/>
              </w:rPr>
            </w:pPr>
            <w:r>
              <w:rPr>
                <w:rFonts w:ascii="Arial" w:cs="Arial" w:eastAsia="Arial" w:hAnsi="Arial"/>
                <w:sz w:val="15"/>
                <w:szCs w:val="15"/>
                <w:b w:val="1"/>
                <w:bCs w:val="1"/>
                <w:color w:val="auto"/>
              </w:rPr>
              <w:t>136</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440" w:type="dxa"/>
            <w:vAlign w:val="bottom"/>
          </w:tcPr>
          <w:p>
            <w:pPr>
              <w:ind w:left="140"/>
              <w:spacing w:after="0" w:line="159" w:lineRule="exact"/>
              <w:rPr>
                <w:sz w:val="20"/>
                <w:szCs w:val="20"/>
                <w:color w:val="auto"/>
              </w:rPr>
            </w:pPr>
            <w:r>
              <w:rPr>
                <w:rFonts w:ascii="Arial" w:cs="Arial" w:eastAsia="Arial" w:hAnsi="Arial"/>
                <w:sz w:val="15"/>
                <w:szCs w:val="15"/>
                <w:color w:val="auto"/>
              </w:rPr>
              <w:t>payroll taxes</w:t>
            </w:r>
          </w:p>
        </w:tc>
        <w:tc>
          <w:tcPr>
            <w:tcW w:w="34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jc w:val="right"/>
              <w:ind w:right="146"/>
              <w:spacing w:after="0" w:line="159" w:lineRule="exact"/>
              <w:rPr>
                <w:sz w:val="20"/>
                <w:szCs w:val="20"/>
                <w:color w:val="auto"/>
              </w:rPr>
            </w:pPr>
            <w:r>
              <w:rPr>
                <w:rFonts w:ascii="Arial" w:cs="Arial" w:eastAsia="Arial" w:hAnsi="Arial"/>
                <w:sz w:val="15"/>
                <w:szCs w:val="15"/>
                <w:color w:val="auto"/>
              </w:rPr>
              <w:t>16,942</w:t>
            </w:r>
          </w:p>
        </w:tc>
        <w:tc>
          <w:tcPr>
            <w:tcW w:w="28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5"/>
                <w:szCs w:val="15"/>
                <w:color w:val="auto"/>
              </w:rPr>
              <w:t>(4,854)</w:t>
            </w:r>
          </w:p>
        </w:tc>
        <w:tc>
          <w:tcPr>
            <w:tcW w:w="0" w:type="dxa"/>
            <w:vAlign w:val="bottom"/>
          </w:tcPr>
          <w:p>
            <w:pPr>
              <w:spacing w:after="0"/>
              <w:rPr>
                <w:sz w:val="1"/>
                <w:szCs w:val="1"/>
                <w:color w:val="auto"/>
              </w:rPr>
            </w:pPr>
          </w:p>
        </w:tc>
      </w:tr>
      <w:tr>
        <w:trPr>
          <w:trHeight w:val="156"/>
        </w:trPr>
        <w:tc>
          <w:tcPr>
            <w:tcW w:w="244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Accrued insurance and other taxes</w:t>
            </w:r>
          </w:p>
        </w:tc>
        <w:tc>
          <w:tcPr>
            <w:tcW w:w="34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126"/>
              <w:spacing w:after="0" w:line="156" w:lineRule="exact"/>
              <w:rPr>
                <w:sz w:val="20"/>
                <w:szCs w:val="20"/>
                <w:color w:val="auto"/>
              </w:rPr>
            </w:pPr>
            <w:r>
              <w:rPr>
                <w:rFonts w:ascii="Arial" w:cs="Arial" w:eastAsia="Arial" w:hAnsi="Arial"/>
                <w:sz w:val="15"/>
                <w:szCs w:val="15"/>
                <w:b w:val="1"/>
                <w:bCs w:val="1"/>
                <w:color w:val="auto"/>
              </w:rPr>
              <w:t>4,866</w:t>
            </w:r>
          </w:p>
        </w:tc>
        <w:tc>
          <w:tcPr>
            <w:tcW w:w="28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106"/>
              <w:spacing w:after="0" w:line="156" w:lineRule="exact"/>
              <w:rPr>
                <w:sz w:val="20"/>
                <w:szCs w:val="20"/>
                <w:color w:val="auto"/>
              </w:rPr>
            </w:pPr>
            <w:r>
              <w:rPr>
                <w:rFonts w:ascii="Arial" w:cs="Arial" w:eastAsia="Arial" w:hAnsi="Arial"/>
                <w:sz w:val="15"/>
                <w:szCs w:val="15"/>
                <w:color w:val="auto"/>
              </w:rPr>
              <w:t>(2,688)</w:t>
            </w: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6"/>
              <w:spacing w:after="0" w:line="156" w:lineRule="exact"/>
              <w:rPr>
                <w:sz w:val="20"/>
                <w:szCs w:val="20"/>
                <w:color w:val="auto"/>
              </w:rPr>
            </w:pPr>
            <w:r>
              <w:rPr>
                <w:rFonts w:ascii="Arial" w:cs="Arial" w:eastAsia="Arial" w:hAnsi="Arial"/>
                <w:sz w:val="15"/>
                <w:szCs w:val="15"/>
                <w:color w:val="auto"/>
              </w:rPr>
              <w:t>4,425</w:t>
            </w:r>
          </w:p>
        </w:tc>
        <w:tc>
          <w:tcPr>
            <w:tcW w:w="0" w:type="dxa"/>
            <w:vAlign w:val="bottom"/>
          </w:tcPr>
          <w:p>
            <w:pPr>
              <w:spacing w:after="0"/>
              <w:rPr>
                <w:sz w:val="1"/>
                <w:szCs w:val="1"/>
                <w:color w:val="auto"/>
              </w:rPr>
            </w:pPr>
          </w:p>
        </w:tc>
      </w:tr>
      <w:tr>
        <w:trPr>
          <w:trHeight w:val="156"/>
        </w:trPr>
        <w:tc>
          <w:tcPr>
            <w:tcW w:w="2440" w:type="dxa"/>
            <w:vAlign w:val="bottom"/>
          </w:tcPr>
          <w:p>
            <w:pPr>
              <w:spacing w:after="0" w:line="156" w:lineRule="exact"/>
              <w:rPr>
                <w:sz w:val="20"/>
                <w:szCs w:val="20"/>
                <w:color w:val="auto"/>
              </w:rPr>
            </w:pPr>
            <w:r>
              <w:rPr>
                <w:rFonts w:ascii="Arial" w:cs="Arial" w:eastAsia="Arial" w:hAnsi="Arial"/>
                <w:sz w:val="15"/>
                <w:szCs w:val="15"/>
                <w:color w:val="auto"/>
              </w:rPr>
              <w:t>Accrued income taxes</w:t>
            </w:r>
          </w:p>
        </w:tc>
        <w:tc>
          <w:tcPr>
            <w:tcW w:w="340" w:type="dxa"/>
            <w:vAlign w:val="bottom"/>
          </w:tcPr>
          <w:p>
            <w:pPr>
              <w:spacing w:after="0"/>
              <w:rPr>
                <w:sz w:val="13"/>
                <w:szCs w:val="13"/>
                <w:color w:val="auto"/>
              </w:rPr>
            </w:pPr>
          </w:p>
        </w:tc>
        <w:tc>
          <w:tcPr>
            <w:tcW w:w="780" w:type="dxa"/>
            <w:vAlign w:val="bottom"/>
          </w:tcPr>
          <w:p>
            <w:pPr>
              <w:jc w:val="right"/>
              <w:ind w:right="86"/>
              <w:spacing w:after="0" w:line="156" w:lineRule="exact"/>
              <w:rPr>
                <w:sz w:val="20"/>
                <w:szCs w:val="20"/>
                <w:color w:val="auto"/>
              </w:rPr>
            </w:pPr>
            <w:r>
              <w:rPr>
                <w:rFonts w:ascii="Arial" w:cs="Arial" w:eastAsia="Arial" w:hAnsi="Arial"/>
                <w:sz w:val="15"/>
                <w:szCs w:val="15"/>
                <w:b w:val="1"/>
                <w:bCs w:val="1"/>
                <w:color w:val="auto"/>
              </w:rPr>
              <w:t>(11,044)</w:t>
            </w:r>
          </w:p>
        </w:tc>
        <w:tc>
          <w:tcPr>
            <w:tcW w:w="280" w:type="dxa"/>
            <w:vAlign w:val="bottom"/>
          </w:tcPr>
          <w:p>
            <w:pPr>
              <w:spacing w:after="0"/>
              <w:rPr>
                <w:sz w:val="13"/>
                <w:szCs w:val="13"/>
                <w:color w:val="auto"/>
              </w:rPr>
            </w:pPr>
          </w:p>
        </w:tc>
        <w:tc>
          <w:tcPr>
            <w:tcW w:w="820" w:type="dxa"/>
            <w:vAlign w:val="bottom"/>
          </w:tcPr>
          <w:p>
            <w:pPr>
              <w:jc w:val="right"/>
              <w:ind w:right="106"/>
              <w:spacing w:after="0" w:line="156" w:lineRule="exact"/>
              <w:rPr>
                <w:sz w:val="20"/>
                <w:szCs w:val="20"/>
                <w:color w:val="auto"/>
              </w:rPr>
            </w:pPr>
            <w:r>
              <w:rPr>
                <w:rFonts w:ascii="Arial" w:cs="Arial" w:eastAsia="Arial" w:hAnsi="Arial"/>
                <w:sz w:val="15"/>
                <w:szCs w:val="15"/>
                <w:color w:val="auto"/>
              </w:rPr>
              <w:t>(12,523)</w:t>
            </w:r>
          </w:p>
        </w:tc>
        <w:tc>
          <w:tcPr>
            <w:tcW w:w="280" w:type="dxa"/>
            <w:vAlign w:val="bottom"/>
          </w:tcPr>
          <w:p>
            <w:pPr>
              <w:spacing w:after="0"/>
              <w:rPr>
                <w:sz w:val="13"/>
                <w:szCs w:val="13"/>
                <w:color w:val="auto"/>
              </w:rPr>
            </w:pPr>
          </w:p>
        </w:tc>
        <w:tc>
          <w:tcPr>
            <w:tcW w:w="640" w:type="dxa"/>
            <w:vAlign w:val="bottom"/>
          </w:tcPr>
          <w:p>
            <w:pPr>
              <w:jc w:val="right"/>
              <w:spacing w:after="0" w:line="156" w:lineRule="exact"/>
              <w:rPr>
                <w:sz w:val="20"/>
                <w:szCs w:val="20"/>
                <w:color w:val="auto"/>
              </w:rPr>
            </w:pPr>
            <w:r>
              <w:rPr>
                <w:rFonts w:ascii="Arial" w:cs="Arial" w:eastAsia="Arial" w:hAnsi="Arial"/>
                <w:sz w:val="15"/>
                <w:szCs w:val="15"/>
                <w:color w:val="auto"/>
              </w:rPr>
              <w:t>(4,364)</w:t>
            </w:r>
          </w:p>
        </w:tc>
        <w:tc>
          <w:tcPr>
            <w:tcW w:w="0" w:type="dxa"/>
            <w:vAlign w:val="bottom"/>
          </w:tcPr>
          <w:p>
            <w:pPr>
              <w:spacing w:after="0"/>
              <w:rPr>
                <w:sz w:val="1"/>
                <w:szCs w:val="1"/>
                <w:color w:val="auto"/>
              </w:rPr>
            </w:pPr>
          </w:p>
        </w:tc>
      </w:tr>
      <w:tr>
        <w:trPr>
          <w:trHeight w:val="152"/>
        </w:trPr>
        <w:tc>
          <w:tcPr>
            <w:tcW w:w="2440" w:type="dxa"/>
            <w:vAlign w:val="bottom"/>
            <w:shd w:val="clear" w:color="auto" w:fill="CCEEFF"/>
          </w:tcPr>
          <w:p>
            <w:pPr>
              <w:spacing w:after="0" w:line="153" w:lineRule="exact"/>
              <w:rPr>
                <w:sz w:val="20"/>
                <w:szCs w:val="20"/>
                <w:color w:val="auto"/>
              </w:rPr>
            </w:pPr>
            <w:r>
              <w:rPr>
                <w:rFonts w:ascii="Arial" w:cs="Arial" w:eastAsia="Arial" w:hAnsi="Arial"/>
                <w:sz w:val="15"/>
                <w:szCs w:val="15"/>
                <w:color w:val="auto"/>
              </w:rPr>
              <w:t>Accrued pension, postretirement</w:t>
            </w:r>
          </w:p>
        </w:tc>
        <w:tc>
          <w:tcPr>
            <w:tcW w:w="34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126"/>
              <w:spacing w:after="0"/>
              <w:rPr>
                <w:sz w:val="20"/>
                <w:szCs w:val="20"/>
                <w:color w:val="auto"/>
              </w:rPr>
            </w:pPr>
            <w:r>
              <w:rPr>
                <w:rFonts w:ascii="Arial" w:cs="Arial" w:eastAsia="Arial" w:hAnsi="Arial"/>
                <w:sz w:val="15"/>
                <w:szCs w:val="15"/>
                <w:b w:val="1"/>
                <w:bCs w:val="1"/>
                <w:color w:val="auto"/>
              </w:rPr>
              <w:t>1,980</w:t>
            </w:r>
          </w:p>
        </w:tc>
        <w:tc>
          <w:tcPr>
            <w:tcW w:w="2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440" w:type="dxa"/>
            <w:vAlign w:val="bottom"/>
            <w:shd w:val="clear" w:color="auto" w:fill="CCEEFF"/>
          </w:tcPr>
          <w:p>
            <w:pPr>
              <w:ind w:left="140"/>
              <w:spacing w:after="0" w:line="159" w:lineRule="exact"/>
              <w:rPr>
                <w:sz w:val="20"/>
                <w:szCs w:val="20"/>
                <w:color w:val="auto"/>
              </w:rPr>
            </w:pPr>
            <w:r>
              <w:rPr>
                <w:rFonts w:ascii="Arial" w:cs="Arial" w:eastAsia="Arial" w:hAnsi="Arial"/>
                <w:sz w:val="15"/>
                <w:szCs w:val="15"/>
                <w:color w:val="auto"/>
              </w:rPr>
              <w:t>and postemployment benefits</w:t>
            </w:r>
          </w:p>
        </w:tc>
        <w:tc>
          <w:tcPr>
            <w:tcW w:w="340" w:type="dxa"/>
            <w:vAlign w:val="bottom"/>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106"/>
              <w:spacing w:after="0" w:line="159" w:lineRule="exact"/>
              <w:rPr>
                <w:sz w:val="20"/>
                <w:szCs w:val="20"/>
                <w:color w:val="auto"/>
              </w:rPr>
            </w:pPr>
            <w:r>
              <w:rPr>
                <w:rFonts w:ascii="Arial" w:cs="Arial" w:eastAsia="Arial" w:hAnsi="Arial"/>
                <w:sz w:val="15"/>
                <w:szCs w:val="15"/>
                <w:color w:val="auto"/>
              </w:rPr>
              <w:t>(15,955)</w:t>
            </w: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color w:val="auto"/>
              </w:rPr>
              <w:t>(18,153)</w:t>
            </w:r>
          </w:p>
        </w:tc>
        <w:tc>
          <w:tcPr>
            <w:tcW w:w="0" w:type="dxa"/>
            <w:vAlign w:val="bottom"/>
          </w:tcPr>
          <w:p>
            <w:pPr>
              <w:spacing w:after="0"/>
              <w:rPr>
                <w:sz w:val="1"/>
                <w:szCs w:val="1"/>
                <w:color w:val="auto"/>
              </w:rPr>
            </w:pPr>
          </w:p>
        </w:tc>
      </w:tr>
      <w:tr>
        <w:trPr>
          <w:trHeight w:val="152"/>
        </w:trPr>
        <w:tc>
          <w:tcPr>
            <w:tcW w:w="2440" w:type="dxa"/>
            <w:vAlign w:val="bottom"/>
          </w:tcPr>
          <w:p>
            <w:pPr>
              <w:spacing w:after="0" w:line="153" w:lineRule="exact"/>
              <w:rPr>
                <w:sz w:val="20"/>
                <w:szCs w:val="20"/>
                <w:color w:val="auto"/>
              </w:rPr>
            </w:pPr>
            <w:r>
              <w:rPr>
                <w:rFonts w:ascii="Arial" w:cs="Arial" w:eastAsia="Arial" w:hAnsi="Arial"/>
                <w:sz w:val="15"/>
                <w:szCs w:val="15"/>
                <w:color w:val="auto"/>
              </w:rPr>
              <w:t>Other current and noncurrent</w:t>
            </w:r>
          </w:p>
        </w:tc>
        <w:tc>
          <w:tcPr>
            <w:tcW w:w="340" w:type="dxa"/>
            <w:vAlign w:val="bottom"/>
          </w:tcPr>
          <w:p>
            <w:pPr>
              <w:spacing w:after="0"/>
              <w:rPr>
                <w:sz w:val="13"/>
                <w:szCs w:val="13"/>
                <w:color w:val="auto"/>
              </w:rPr>
            </w:pPr>
          </w:p>
        </w:tc>
        <w:tc>
          <w:tcPr>
            <w:tcW w:w="780" w:type="dxa"/>
            <w:vAlign w:val="bottom"/>
            <w:vMerge w:val="restart"/>
          </w:tcPr>
          <w:p>
            <w:pPr>
              <w:jc w:val="right"/>
              <w:ind w:right="126"/>
              <w:spacing w:after="0"/>
              <w:rPr>
                <w:sz w:val="20"/>
                <w:szCs w:val="20"/>
                <w:color w:val="auto"/>
              </w:rPr>
            </w:pPr>
            <w:r>
              <w:rPr>
                <w:rFonts w:ascii="Arial" w:cs="Arial" w:eastAsia="Arial" w:hAnsi="Arial"/>
                <w:sz w:val="15"/>
                <w:szCs w:val="15"/>
                <w:b w:val="1"/>
                <w:bCs w:val="1"/>
                <w:color w:val="auto"/>
              </w:rPr>
              <w:t>38,105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440" w:type="dxa"/>
            <w:vAlign w:val="bottom"/>
            <w:tcBorders>
              <w:bottom w:val="single" w:sz="8" w:color="auto"/>
            </w:tcBorders>
          </w:tcPr>
          <w:p>
            <w:pPr>
              <w:ind w:left="140"/>
              <w:spacing w:after="0" w:line="159" w:lineRule="exact"/>
              <w:rPr>
                <w:sz w:val="20"/>
                <w:szCs w:val="20"/>
                <w:color w:val="auto"/>
              </w:rPr>
            </w:pPr>
            <w:r>
              <w:rPr>
                <w:rFonts w:ascii="Arial" w:cs="Arial" w:eastAsia="Arial" w:hAnsi="Arial"/>
                <w:sz w:val="15"/>
                <w:szCs w:val="15"/>
                <w:color w:val="auto"/>
              </w:rPr>
              <w:t>liabilities</w:t>
            </w:r>
          </w:p>
        </w:tc>
        <w:tc>
          <w:tcPr>
            <w:tcW w:w="3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06"/>
              <w:spacing w:after="0" w:line="159" w:lineRule="exact"/>
              <w:rPr>
                <w:sz w:val="20"/>
                <w:szCs w:val="20"/>
                <w:color w:val="auto"/>
              </w:rPr>
            </w:pPr>
            <w:r>
              <w:rPr>
                <w:rFonts w:ascii="Arial" w:cs="Arial" w:eastAsia="Arial" w:hAnsi="Arial"/>
                <w:sz w:val="15"/>
                <w:szCs w:val="15"/>
                <w:color w:val="auto"/>
              </w:rPr>
              <w:t>(6,053)</w:t>
            </w:r>
          </w:p>
        </w:tc>
        <w:tc>
          <w:tcPr>
            <w:tcW w:w="2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(3,014)</w:t>
            </w:r>
          </w:p>
        </w:tc>
        <w:tc>
          <w:tcPr>
            <w:tcW w:w="0" w:type="dxa"/>
            <w:vAlign w:val="bottom"/>
          </w:tcPr>
          <w:p>
            <w:pPr>
              <w:spacing w:after="0"/>
              <w:rPr>
                <w:sz w:val="1"/>
                <w:szCs w:val="1"/>
                <w:color w:val="auto"/>
              </w:rPr>
            </w:pPr>
          </w:p>
        </w:tc>
      </w:tr>
      <w:tr>
        <w:trPr>
          <w:trHeight w:val="145"/>
        </w:trPr>
        <w:tc>
          <w:tcPr>
            <w:tcW w:w="2440" w:type="dxa"/>
            <w:vAlign w:val="bottom"/>
            <w:shd w:val="clear" w:color="auto" w:fill="CCEEFF"/>
          </w:tcPr>
          <w:p>
            <w:pPr>
              <w:spacing w:after="0" w:line="146" w:lineRule="exact"/>
              <w:rPr>
                <w:sz w:val="20"/>
                <w:szCs w:val="20"/>
                <w:color w:val="auto"/>
              </w:rPr>
            </w:pPr>
            <w:r>
              <w:rPr>
                <w:rFonts w:ascii="Arial" w:cs="Arial" w:eastAsia="Arial" w:hAnsi="Arial"/>
                <w:sz w:val="15"/>
                <w:szCs w:val="15"/>
                <w:color w:val="auto"/>
              </w:rPr>
              <w:t>Change in other assets and</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780" w:type="dxa"/>
            <w:vAlign w:val="bottom"/>
            <w:vMerge w:val="restart"/>
            <w:shd w:val="clear" w:color="auto" w:fill="CCEEFF"/>
          </w:tcPr>
          <w:p>
            <w:pPr>
              <w:jc w:val="right"/>
              <w:ind w:right="126"/>
              <w:spacing w:after="0"/>
              <w:rPr>
                <w:sz w:val="20"/>
                <w:szCs w:val="20"/>
                <w:color w:val="auto"/>
              </w:rPr>
            </w:pPr>
            <w:r>
              <w:rPr>
                <w:rFonts w:ascii="Arial" w:cs="Arial" w:eastAsia="Arial" w:hAnsi="Arial"/>
                <w:sz w:val="15"/>
                <w:szCs w:val="15"/>
                <w:b w:val="1"/>
                <w:bCs w:val="1"/>
                <w:color w:val="auto"/>
              </w:rPr>
              <w:t>14,619</w:t>
            </w: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440" w:type="dxa"/>
            <w:vAlign w:val="bottom"/>
            <w:tcBorders>
              <w:bottom w:val="single" w:sz="8" w:color="auto"/>
            </w:tcBorders>
            <w:shd w:val="clear" w:color="auto" w:fill="CCEEFF"/>
          </w:tcPr>
          <w:p>
            <w:pPr>
              <w:ind w:left="140"/>
              <w:spacing w:after="0" w:line="159" w:lineRule="exact"/>
              <w:rPr>
                <w:sz w:val="20"/>
                <w:szCs w:val="20"/>
                <w:color w:val="auto"/>
              </w:rPr>
            </w:pPr>
            <w:r>
              <w:rPr>
                <w:rFonts w:ascii="Arial" w:cs="Arial" w:eastAsia="Arial" w:hAnsi="Arial"/>
                <w:sz w:val="15"/>
                <w:szCs w:val="15"/>
                <w:color w:val="auto"/>
              </w:rPr>
              <w:t>liabilities, net</w:t>
            </w:r>
          </w:p>
        </w:tc>
        <w:tc>
          <w:tcPr>
            <w:tcW w:w="340" w:type="dxa"/>
            <w:vAlign w:val="bottom"/>
            <w:tcBorders>
              <w:bottom w:val="single" w:sz="8" w:color="auto"/>
            </w:tcBorders>
            <w:vMerge w:val="continue"/>
            <w:shd w:val="clear" w:color="auto" w:fill="CCEEFF"/>
          </w:tcPr>
          <w:p>
            <w:pPr>
              <w:spacing w:after="0"/>
              <w:rPr>
                <w:sz w:val="14"/>
                <w:szCs w:val="14"/>
                <w:color w:val="auto"/>
              </w:rPr>
            </w:pPr>
          </w:p>
        </w:tc>
        <w:tc>
          <w:tcPr>
            <w:tcW w:w="780" w:type="dxa"/>
            <w:vAlign w:val="bottom"/>
            <w:tcBorders>
              <w:bottom w:val="single" w:sz="8" w:color="auto"/>
            </w:tcBorders>
            <w:vMerge w:val="continue"/>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shd w:val="clear" w:color="auto" w:fill="CCEEFF"/>
          </w:tcPr>
          <w:p>
            <w:pPr>
              <w:jc w:val="right"/>
              <w:ind w:right="146"/>
              <w:spacing w:after="0" w:line="159" w:lineRule="exact"/>
              <w:rPr>
                <w:sz w:val="20"/>
                <w:szCs w:val="20"/>
                <w:color w:val="auto"/>
              </w:rPr>
            </w:pPr>
            <w:r>
              <w:rPr>
                <w:rFonts w:ascii="Arial" w:cs="Arial" w:eastAsia="Arial" w:hAnsi="Arial"/>
                <w:sz w:val="15"/>
                <w:szCs w:val="15"/>
                <w:color w:val="auto"/>
              </w:rPr>
              <w:t>(11,106)</w:t>
            </w:r>
          </w:p>
        </w:tc>
        <w:tc>
          <w:tcPr>
            <w:tcW w:w="28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5"/>
                <w:szCs w:val="15"/>
                <w:color w:val="auto"/>
              </w:rPr>
              <w:t>$</w:t>
            </w:r>
          </w:p>
        </w:tc>
        <w:tc>
          <w:tcPr>
            <w:tcW w:w="64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5"/>
                <w:szCs w:val="15"/>
                <w:color w:val="auto"/>
              </w:rPr>
              <w:t>(29,591)</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Noncash investing and financing activities are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80" w:type="dxa"/>
            <w:vAlign w:val="bottom"/>
          </w:tcPr>
          <w:p>
            <w:pPr>
              <w:spacing w:after="0"/>
              <w:rPr>
                <w:sz w:val="20"/>
                <w:szCs w:val="20"/>
                <w:color w:val="auto"/>
              </w:rPr>
            </w:pPr>
            <w:r>
              <w:rPr>
                <w:rFonts w:ascii="Arial" w:cs="Arial" w:eastAsia="Arial" w:hAnsi="Arial"/>
                <w:sz w:val="14"/>
                <w:szCs w:val="14"/>
                <w:i w:val="1"/>
                <w:iCs w:val="1"/>
                <w:color w:val="auto"/>
              </w:rPr>
              <w:t>years ended December 31</w:t>
            </w:r>
          </w:p>
        </w:tc>
        <w:tc>
          <w:tcPr>
            <w:tcW w:w="280" w:type="dxa"/>
            <w:vAlign w:val="bottom"/>
          </w:tcPr>
          <w:p>
            <w:pPr>
              <w:spacing w:after="0"/>
              <w:rPr>
                <w:sz w:val="14"/>
                <w:szCs w:val="14"/>
                <w:color w:val="auto"/>
              </w:rPr>
            </w:pPr>
          </w:p>
        </w:tc>
        <w:tc>
          <w:tcPr>
            <w:tcW w:w="660" w:type="dxa"/>
            <w:vAlign w:val="bottom"/>
            <w:vMerge w:val="restart"/>
          </w:tcPr>
          <w:p>
            <w:pPr>
              <w:jc w:val="right"/>
              <w:ind w:right="86"/>
              <w:spacing w:after="0"/>
              <w:rPr>
                <w:sz w:val="20"/>
                <w:szCs w:val="20"/>
                <w:color w:val="auto"/>
              </w:rPr>
            </w:pPr>
            <w:r>
              <w:rPr>
                <w:rFonts w:ascii="Arial" w:cs="Arial" w:eastAsia="Arial" w:hAnsi="Arial"/>
                <w:sz w:val="15"/>
                <w:szCs w:val="15"/>
                <w:b w:val="1"/>
                <w:bCs w:val="1"/>
                <w:color w:val="0085CD"/>
              </w:rPr>
              <w:t>2017</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(add 000)</w:t>
            </w:r>
          </w:p>
        </w:tc>
        <w:tc>
          <w:tcPr>
            <w:tcW w:w="2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rPr>
              <w:t>2016</w:t>
            </w:r>
          </w:p>
        </w:tc>
        <w:tc>
          <w:tcPr>
            <w:tcW w:w="2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2015</w:t>
            </w:r>
          </w:p>
        </w:tc>
        <w:tc>
          <w:tcPr>
            <w:tcW w:w="0" w:type="dxa"/>
            <w:vAlign w:val="bottom"/>
          </w:tcPr>
          <w:p>
            <w:pPr>
              <w:spacing w:after="0"/>
              <w:rPr>
                <w:sz w:val="1"/>
                <w:szCs w:val="1"/>
                <w:color w:val="auto"/>
              </w:rPr>
            </w:pPr>
          </w:p>
        </w:tc>
      </w:tr>
      <w:tr>
        <w:trPr>
          <w:trHeight w:val="145"/>
        </w:trPr>
        <w:tc>
          <w:tcPr>
            <w:tcW w:w="2880" w:type="dxa"/>
            <w:vAlign w:val="bottom"/>
            <w:shd w:val="clear" w:color="auto" w:fill="CCEEFF"/>
          </w:tcPr>
          <w:p>
            <w:pPr>
              <w:spacing w:after="0" w:line="146" w:lineRule="exact"/>
              <w:rPr>
                <w:sz w:val="20"/>
                <w:szCs w:val="20"/>
                <w:color w:val="auto"/>
              </w:rPr>
            </w:pPr>
            <w:r>
              <w:rPr>
                <w:rFonts w:ascii="Arial" w:cs="Arial" w:eastAsia="Arial" w:hAnsi="Arial"/>
                <w:sz w:val="15"/>
                <w:szCs w:val="15"/>
                <w:color w:val="auto"/>
              </w:rPr>
              <w:t>Accrued liabilities for purchases of</w:t>
            </w: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660" w:type="dxa"/>
            <w:vAlign w:val="bottom"/>
            <w:vMerge w:val="restart"/>
            <w:shd w:val="clear" w:color="auto" w:fill="CCEEFF"/>
          </w:tcPr>
          <w:p>
            <w:pPr>
              <w:jc w:val="right"/>
              <w:ind w:right="86"/>
              <w:spacing w:after="0"/>
              <w:rPr>
                <w:sz w:val="20"/>
                <w:szCs w:val="20"/>
                <w:color w:val="auto"/>
              </w:rPr>
            </w:pPr>
            <w:r>
              <w:rPr>
                <w:rFonts w:ascii="Arial" w:cs="Arial" w:eastAsia="Arial" w:hAnsi="Arial"/>
                <w:sz w:val="15"/>
                <w:szCs w:val="15"/>
                <w:b w:val="1"/>
                <w:bCs w:val="1"/>
                <w:color w:val="auto"/>
              </w:rPr>
              <w:t>61,644</w:t>
            </w: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880" w:type="dxa"/>
            <w:vAlign w:val="bottom"/>
            <w:shd w:val="clear" w:color="auto" w:fill="CCEEFF"/>
          </w:tcPr>
          <w:p>
            <w:pPr>
              <w:ind w:left="140"/>
              <w:spacing w:after="0" w:line="159" w:lineRule="exact"/>
              <w:rPr>
                <w:sz w:val="20"/>
                <w:szCs w:val="20"/>
                <w:color w:val="auto"/>
              </w:rPr>
            </w:pPr>
            <w:r>
              <w:rPr>
                <w:rFonts w:ascii="Arial" w:cs="Arial" w:eastAsia="Arial" w:hAnsi="Arial"/>
                <w:sz w:val="15"/>
                <w:szCs w:val="15"/>
                <w:color w:val="auto"/>
              </w:rPr>
              <w:t>property, plant and equipment</w:t>
            </w:r>
          </w:p>
        </w:tc>
        <w:tc>
          <w:tcPr>
            <w:tcW w:w="280" w:type="dxa"/>
            <w:vAlign w:val="bottom"/>
            <w:vMerge w:val="continue"/>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28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ind w:right="86"/>
              <w:spacing w:after="0" w:line="159" w:lineRule="exact"/>
              <w:rPr>
                <w:sz w:val="20"/>
                <w:szCs w:val="20"/>
                <w:color w:val="auto"/>
              </w:rPr>
            </w:pPr>
            <w:r>
              <w:rPr>
                <w:rFonts w:ascii="Arial" w:cs="Arial" w:eastAsia="Arial" w:hAnsi="Arial"/>
                <w:sz w:val="15"/>
                <w:szCs w:val="15"/>
                <w:color w:val="auto"/>
              </w:rPr>
              <w:t>38,566</w:t>
            </w:r>
          </w:p>
        </w:tc>
        <w:tc>
          <w:tcPr>
            <w:tcW w:w="28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color w:val="auto"/>
              </w:rPr>
              <w:t>22,285</w:t>
            </w:r>
          </w:p>
        </w:tc>
        <w:tc>
          <w:tcPr>
            <w:tcW w:w="0" w:type="dxa"/>
            <w:vAlign w:val="bottom"/>
          </w:tcPr>
          <w:p>
            <w:pPr>
              <w:spacing w:after="0"/>
              <w:rPr>
                <w:sz w:val="1"/>
                <w:szCs w:val="1"/>
                <w:color w:val="auto"/>
              </w:rPr>
            </w:pPr>
          </w:p>
        </w:tc>
      </w:tr>
      <w:tr>
        <w:trPr>
          <w:trHeight w:val="156"/>
        </w:trPr>
        <w:tc>
          <w:tcPr>
            <w:tcW w:w="2880" w:type="dxa"/>
            <w:vAlign w:val="bottom"/>
          </w:tcPr>
          <w:p>
            <w:pPr>
              <w:spacing w:after="0" w:line="156" w:lineRule="exact"/>
              <w:rPr>
                <w:sz w:val="20"/>
                <w:szCs w:val="20"/>
                <w:color w:val="auto"/>
              </w:rPr>
            </w:pPr>
            <w:r>
              <w:rPr>
                <w:rFonts w:ascii="Arial" w:cs="Arial" w:eastAsia="Arial" w:hAnsi="Arial"/>
                <w:sz w:val="15"/>
                <w:szCs w:val="15"/>
                <w:color w:val="auto"/>
              </w:rPr>
              <w:t>Acquisition of assets through capital lease</w:t>
            </w:r>
          </w:p>
        </w:tc>
        <w:tc>
          <w:tcPr>
            <w:tcW w:w="280" w:type="dxa"/>
            <w:vAlign w:val="bottom"/>
          </w:tcPr>
          <w:p>
            <w:pPr>
              <w:jc w:val="right"/>
              <w:spacing w:after="0" w:line="156" w:lineRule="exact"/>
              <w:rPr>
                <w:sz w:val="20"/>
                <w:szCs w:val="20"/>
                <w:color w:val="auto"/>
              </w:rPr>
            </w:pPr>
            <w:r>
              <w:rPr>
                <w:rFonts w:ascii="Arial" w:cs="Arial" w:eastAsia="Arial" w:hAnsi="Arial"/>
                <w:sz w:val="15"/>
                <w:szCs w:val="15"/>
                <w:b w:val="1"/>
                <w:bCs w:val="1"/>
                <w:color w:val="auto"/>
              </w:rPr>
              <w:t>$</w:t>
            </w:r>
          </w:p>
        </w:tc>
        <w:tc>
          <w:tcPr>
            <w:tcW w:w="660" w:type="dxa"/>
            <w:vAlign w:val="bottom"/>
          </w:tcPr>
          <w:p>
            <w:pPr>
              <w:jc w:val="right"/>
              <w:ind w:right="86"/>
              <w:spacing w:after="0" w:line="156" w:lineRule="exact"/>
              <w:rPr>
                <w:sz w:val="20"/>
                <w:szCs w:val="20"/>
                <w:color w:val="auto"/>
              </w:rPr>
            </w:pPr>
            <w:r>
              <w:rPr>
                <w:rFonts w:ascii="Arial" w:cs="Arial" w:eastAsia="Arial" w:hAnsi="Arial"/>
                <w:sz w:val="15"/>
                <w:szCs w:val="15"/>
                <w:b w:val="1"/>
                <w:bCs w:val="1"/>
                <w:color w:val="auto"/>
              </w:rPr>
              <w:t>811</w:t>
            </w:r>
          </w:p>
        </w:tc>
        <w:tc>
          <w:tcPr>
            <w:tcW w:w="280" w:type="dxa"/>
            <w:vAlign w:val="bottom"/>
          </w:tcPr>
          <w:p>
            <w:pPr>
              <w:jc w:val="right"/>
              <w:spacing w:after="0" w:line="156" w:lineRule="exact"/>
              <w:rPr>
                <w:sz w:val="20"/>
                <w:szCs w:val="20"/>
                <w:color w:val="auto"/>
              </w:rPr>
            </w:pPr>
            <w:r>
              <w:rPr>
                <w:rFonts w:ascii="Arial" w:cs="Arial" w:eastAsia="Arial" w:hAnsi="Arial"/>
                <w:sz w:val="15"/>
                <w:szCs w:val="15"/>
                <w:color w:val="auto"/>
              </w:rPr>
              <w:t>$</w:t>
            </w:r>
          </w:p>
        </w:tc>
        <w:tc>
          <w:tcPr>
            <w:tcW w:w="660" w:type="dxa"/>
            <w:vAlign w:val="bottom"/>
          </w:tcPr>
          <w:p>
            <w:pPr>
              <w:jc w:val="right"/>
              <w:ind w:right="86"/>
              <w:spacing w:after="0" w:line="156" w:lineRule="exact"/>
              <w:rPr>
                <w:sz w:val="20"/>
                <w:szCs w:val="20"/>
                <w:color w:val="auto"/>
              </w:rPr>
            </w:pPr>
            <w:r>
              <w:rPr>
                <w:rFonts w:ascii="Arial" w:cs="Arial" w:eastAsia="Arial" w:hAnsi="Arial"/>
                <w:sz w:val="15"/>
                <w:szCs w:val="15"/>
                <w:color w:val="auto"/>
              </w:rPr>
              <w:t>1,399</w:t>
            </w:r>
          </w:p>
        </w:tc>
        <w:tc>
          <w:tcPr>
            <w:tcW w:w="280" w:type="dxa"/>
            <w:vAlign w:val="bottom"/>
          </w:tcPr>
          <w:p>
            <w:pPr>
              <w:jc w:val="right"/>
              <w:spacing w:after="0" w:line="156" w:lineRule="exact"/>
              <w:rPr>
                <w:sz w:val="20"/>
                <w:szCs w:val="20"/>
                <w:color w:val="auto"/>
              </w:rPr>
            </w:pPr>
            <w:r>
              <w:rPr>
                <w:rFonts w:ascii="Arial" w:cs="Arial" w:eastAsia="Arial" w:hAnsi="Arial"/>
                <w:sz w:val="15"/>
                <w:szCs w:val="15"/>
                <w:color w:val="auto"/>
              </w:rPr>
              <w:t>$</w:t>
            </w:r>
          </w:p>
        </w:tc>
        <w:tc>
          <w:tcPr>
            <w:tcW w:w="540" w:type="dxa"/>
            <w:vAlign w:val="bottom"/>
          </w:tcPr>
          <w:p>
            <w:pPr>
              <w:jc w:val="right"/>
              <w:spacing w:after="0" w:line="156" w:lineRule="exact"/>
              <w:rPr>
                <w:sz w:val="20"/>
                <w:szCs w:val="20"/>
                <w:color w:val="auto"/>
              </w:rPr>
            </w:pPr>
            <w:r>
              <w:rPr>
                <w:rFonts w:ascii="Arial" w:cs="Arial" w:eastAsia="Arial" w:hAnsi="Arial"/>
                <w:sz w:val="15"/>
                <w:szCs w:val="15"/>
                <w:color w:val="auto"/>
              </w:rPr>
              <w:t>1,445</w:t>
            </w:r>
          </w:p>
        </w:tc>
        <w:tc>
          <w:tcPr>
            <w:tcW w:w="0" w:type="dxa"/>
            <w:vAlign w:val="bottom"/>
          </w:tcPr>
          <w:p>
            <w:pPr>
              <w:spacing w:after="0"/>
              <w:rPr>
                <w:sz w:val="1"/>
                <w:szCs w:val="1"/>
                <w:color w:val="auto"/>
              </w:rPr>
            </w:pPr>
          </w:p>
        </w:tc>
      </w:tr>
      <w:tr>
        <w:trPr>
          <w:trHeight w:val="152"/>
        </w:trPr>
        <w:tc>
          <w:tcPr>
            <w:tcW w:w="2880" w:type="dxa"/>
            <w:vAlign w:val="bottom"/>
            <w:shd w:val="clear" w:color="auto" w:fill="CCEEFF"/>
          </w:tcPr>
          <w:p>
            <w:pPr>
              <w:spacing w:after="0" w:line="153" w:lineRule="exact"/>
              <w:rPr>
                <w:sz w:val="20"/>
                <w:szCs w:val="20"/>
                <w:color w:val="auto"/>
              </w:rPr>
            </w:pPr>
            <w:r>
              <w:rPr>
                <w:rFonts w:ascii="Arial" w:cs="Arial" w:eastAsia="Arial" w:hAnsi="Arial"/>
                <w:sz w:val="15"/>
                <w:szCs w:val="15"/>
                <w:color w:val="auto"/>
              </w:rPr>
              <w:t>Acquisition of assets through asset</w:t>
            </w: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660" w:type="dxa"/>
            <w:vAlign w:val="bottom"/>
            <w:vMerge w:val="restart"/>
            <w:shd w:val="clear" w:color="auto" w:fill="CCEEFF"/>
          </w:tcPr>
          <w:p>
            <w:pPr>
              <w:jc w:val="right"/>
              <w:ind w:right="86"/>
              <w:spacing w:after="0"/>
              <w:rPr>
                <w:sz w:val="20"/>
                <w:szCs w:val="20"/>
                <w:color w:val="auto"/>
              </w:rPr>
            </w:pPr>
            <w:r>
              <w:rPr>
                <w:rFonts w:ascii="Arial" w:cs="Arial" w:eastAsia="Arial" w:hAnsi="Arial"/>
                <w:sz w:val="15"/>
                <w:szCs w:val="15"/>
                <w:b w:val="1"/>
                <w:bCs w:val="1"/>
                <w:color w:val="auto"/>
              </w:rPr>
              <w:t>2,476</w:t>
            </w:r>
          </w:p>
        </w:tc>
        <w:tc>
          <w:tcPr>
            <w:tcW w:w="2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880" w:type="dxa"/>
            <w:vAlign w:val="bottom"/>
            <w:shd w:val="clear" w:color="auto" w:fill="CCEEFF"/>
          </w:tcPr>
          <w:p>
            <w:pPr>
              <w:ind w:left="140"/>
              <w:spacing w:after="0" w:line="159" w:lineRule="exact"/>
              <w:rPr>
                <w:sz w:val="20"/>
                <w:szCs w:val="20"/>
                <w:color w:val="auto"/>
              </w:rPr>
            </w:pPr>
            <w:r>
              <w:rPr>
                <w:rFonts w:ascii="Arial" w:cs="Arial" w:eastAsia="Arial" w:hAnsi="Arial"/>
                <w:sz w:val="15"/>
                <w:szCs w:val="15"/>
                <w:color w:val="auto"/>
              </w:rPr>
              <w:t>exchange</w:t>
            </w:r>
          </w:p>
        </w:tc>
        <w:tc>
          <w:tcPr>
            <w:tcW w:w="280" w:type="dxa"/>
            <w:vAlign w:val="bottom"/>
            <w:vMerge w:val="continue"/>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28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ind w:right="86"/>
              <w:spacing w:after="0" w:line="159" w:lineRule="exact"/>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color w:val="auto"/>
              </w:rPr>
              <w:t>5,000</w:t>
            </w:r>
          </w:p>
        </w:tc>
        <w:tc>
          <w:tcPr>
            <w:tcW w:w="0" w:type="dxa"/>
            <w:vAlign w:val="bottom"/>
          </w:tcPr>
          <w:p>
            <w:pPr>
              <w:spacing w:after="0"/>
              <w:rPr>
                <w:sz w:val="1"/>
                <w:szCs w:val="1"/>
                <w:color w:val="auto"/>
              </w:rPr>
            </w:pPr>
          </w:p>
        </w:tc>
      </w:tr>
      <w:tr>
        <w:trPr>
          <w:trHeight w:val="195"/>
        </w:trPr>
        <w:tc>
          <w:tcPr>
            <w:tcW w:w="2880" w:type="dxa"/>
            <w:vAlign w:val="bottom"/>
          </w:tcPr>
          <w:p>
            <w:pPr>
              <w:spacing w:after="0"/>
              <w:rPr>
                <w:sz w:val="20"/>
                <w:szCs w:val="20"/>
                <w:color w:val="auto"/>
              </w:rPr>
            </w:pPr>
            <w:r>
              <w:rPr>
                <w:rFonts w:ascii="Arial" w:cs="Arial" w:eastAsia="Arial" w:hAnsi="Arial"/>
                <w:sz w:val="15"/>
                <w:szCs w:val="15"/>
                <w:color w:val="auto"/>
              </w:rPr>
              <w:t>Sale of asset to settle liability</w:t>
            </w:r>
          </w:p>
        </w:tc>
        <w:tc>
          <w:tcPr>
            <w:tcW w:w="2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60" w:type="dxa"/>
            <w:vAlign w:val="bottom"/>
          </w:tcPr>
          <w:p>
            <w:pPr>
              <w:jc w:val="right"/>
              <w:ind w:right="86"/>
              <w:spacing w:after="0"/>
              <w:rPr>
                <w:sz w:val="20"/>
                <w:szCs w:val="20"/>
                <w:color w:val="auto"/>
              </w:rPr>
            </w:pPr>
            <w:r>
              <w:rPr>
                <w:rFonts w:ascii="Arial" w:cs="Arial" w:eastAsia="Arial" w:hAnsi="Arial"/>
                <w:sz w:val="15"/>
                <w:szCs w:val="15"/>
                <w:b w:val="1"/>
                <w:bCs w:val="1"/>
                <w:color w:val="auto"/>
              </w:rPr>
              <w:t>900</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Supplemental disclosures of cash flow information are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60" w:type="dxa"/>
            <w:vAlign w:val="bottom"/>
          </w:tcPr>
          <w:p>
            <w:pPr>
              <w:spacing w:after="0"/>
              <w:rPr>
                <w:sz w:val="20"/>
                <w:szCs w:val="20"/>
                <w:color w:val="auto"/>
              </w:rPr>
            </w:pPr>
            <w:r>
              <w:rPr>
                <w:rFonts w:ascii="Arial" w:cs="Arial" w:eastAsia="Arial" w:hAnsi="Arial"/>
                <w:sz w:val="14"/>
                <w:szCs w:val="14"/>
                <w:i w:val="1"/>
                <w:iCs w:val="1"/>
                <w:color w:val="auto"/>
              </w:rPr>
              <w:t>years ended December 31</w:t>
            </w:r>
          </w:p>
        </w:tc>
        <w:tc>
          <w:tcPr>
            <w:tcW w:w="740" w:type="dxa"/>
            <w:vAlign w:val="bottom"/>
          </w:tcPr>
          <w:p>
            <w:pPr>
              <w:spacing w:after="0"/>
              <w:rPr>
                <w:sz w:val="14"/>
                <w:szCs w:val="14"/>
                <w:color w:val="auto"/>
              </w:rPr>
            </w:pPr>
          </w:p>
        </w:tc>
        <w:tc>
          <w:tcPr>
            <w:tcW w:w="700" w:type="dxa"/>
            <w:vAlign w:val="bottom"/>
            <w:vMerge w:val="restart"/>
          </w:tcPr>
          <w:p>
            <w:pPr>
              <w:jc w:val="right"/>
              <w:ind w:right="46"/>
              <w:spacing w:after="0"/>
              <w:rPr>
                <w:sz w:val="20"/>
                <w:szCs w:val="20"/>
                <w:color w:val="auto"/>
              </w:rPr>
            </w:pPr>
            <w:r>
              <w:rPr>
                <w:rFonts w:ascii="Arial" w:cs="Arial" w:eastAsia="Arial" w:hAnsi="Arial"/>
                <w:sz w:val="15"/>
                <w:szCs w:val="15"/>
                <w:b w:val="1"/>
                <w:bCs w:val="1"/>
                <w:color w:val="0085CD"/>
              </w:rPr>
              <w:t>2017</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3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(add 000)</w:t>
            </w:r>
          </w:p>
        </w:tc>
        <w:tc>
          <w:tcPr>
            <w:tcW w:w="7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2016</w:t>
            </w:r>
          </w:p>
        </w:tc>
        <w:tc>
          <w:tcPr>
            <w:tcW w:w="2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2015</w:t>
            </w:r>
          </w:p>
        </w:tc>
        <w:tc>
          <w:tcPr>
            <w:tcW w:w="0" w:type="dxa"/>
            <w:vAlign w:val="bottom"/>
          </w:tcPr>
          <w:p>
            <w:pPr>
              <w:spacing w:after="0"/>
              <w:rPr>
                <w:sz w:val="1"/>
                <w:szCs w:val="1"/>
                <w:color w:val="auto"/>
              </w:rPr>
            </w:pPr>
          </w:p>
        </w:tc>
      </w:tr>
      <w:tr>
        <w:trPr>
          <w:trHeight w:val="149"/>
        </w:trPr>
        <w:tc>
          <w:tcPr>
            <w:tcW w:w="236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Cash paid for interest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700" w:type="dxa"/>
            <w:vAlign w:val="bottom"/>
            <w:shd w:val="clear" w:color="auto" w:fill="CCEEFF"/>
          </w:tcPr>
          <w:p>
            <w:pPr>
              <w:jc w:val="right"/>
              <w:ind w:right="46"/>
              <w:spacing w:after="0" w:line="149" w:lineRule="exact"/>
              <w:rPr>
                <w:sz w:val="20"/>
                <w:szCs w:val="20"/>
                <w:color w:val="auto"/>
              </w:rPr>
            </w:pPr>
            <w:r>
              <w:rPr>
                <w:rFonts w:ascii="Arial" w:cs="Arial" w:eastAsia="Arial" w:hAnsi="Arial"/>
                <w:sz w:val="15"/>
                <w:szCs w:val="15"/>
                <w:b w:val="1"/>
                <w:bCs w:val="1"/>
                <w:color w:val="auto"/>
              </w:rPr>
              <w:t>78,902</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ind w:right="66"/>
              <w:spacing w:after="0" w:line="149" w:lineRule="exact"/>
              <w:rPr>
                <w:sz w:val="20"/>
                <w:szCs w:val="20"/>
                <w:color w:val="auto"/>
              </w:rPr>
            </w:pPr>
            <w:r>
              <w:rPr>
                <w:rFonts w:ascii="Arial" w:cs="Arial" w:eastAsia="Arial" w:hAnsi="Arial"/>
                <w:sz w:val="15"/>
                <w:szCs w:val="15"/>
                <w:color w:val="auto"/>
              </w:rPr>
              <w:t>73,664</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71,011</w:t>
            </w:r>
          </w:p>
        </w:tc>
        <w:tc>
          <w:tcPr>
            <w:tcW w:w="0" w:type="dxa"/>
            <w:vAlign w:val="bottom"/>
          </w:tcPr>
          <w:p>
            <w:pPr>
              <w:spacing w:after="0"/>
              <w:rPr>
                <w:sz w:val="1"/>
                <w:szCs w:val="1"/>
                <w:color w:val="auto"/>
              </w:rPr>
            </w:pPr>
          </w:p>
        </w:tc>
      </w:tr>
      <w:tr>
        <w:trPr>
          <w:trHeight w:val="195"/>
        </w:trPr>
        <w:tc>
          <w:tcPr>
            <w:tcW w:w="2360" w:type="dxa"/>
            <w:vAlign w:val="bottom"/>
          </w:tcPr>
          <w:p>
            <w:pPr>
              <w:spacing w:after="0"/>
              <w:rPr>
                <w:sz w:val="20"/>
                <w:szCs w:val="20"/>
                <w:color w:val="auto"/>
              </w:rPr>
            </w:pPr>
            <w:r>
              <w:rPr>
                <w:rFonts w:ascii="Arial" w:cs="Arial" w:eastAsia="Arial" w:hAnsi="Arial"/>
                <w:sz w:val="15"/>
                <w:szCs w:val="15"/>
                <w:color w:val="auto"/>
              </w:rPr>
              <w:t>Cash paid for income taxes</w:t>
            </w: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700" w:type="dxa"/>
            <w:vAlign w:val="bottom"/>
          </w:tcPr>
          <w:p>
            <w:pPr>
              <w:jc w:val="right"/>
              <w:ind w:right="46"/>
              <w:spacing w:after="0"/>
              <w:rPr>
                <w:sz w:val="20"/>
                <w:szCs w:val="20"/>
                <w:color w:val="auto"/>
              </w:rPr>
            </w:pPr>
            <w:r>
              <w:rPr>
                <w:rFonts w:ascii="Arial" w:cs="Arial" w:eastAsia="Arial" w:hAnsi="Arial"/>
                <w:sz w:val="15"/>
                <w:szCs w:val="15"/>
                <w:b w:val="1"/>
                <w:bCs w:val="1"/>
                <w:color w:val="auto"/>
              </w:rPr>
              <w:t>155,771</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66"/>
              <w:spacing w:after="0"/>
              <w:rPr>
                <w:sz w:val="20"/>
                <w:szCs w:val="20"/>
                <w:color w:val="auto"/>
              </w:rPr>
            </w:pPr>
            <w:r>
              <w:rPr>
                <w:rFonts w:ascii="Arial" w:cs="Arial" w:eastAsia="Arial" w:hAnsi="Arial"/>
                <w:sz w:val="15"/>
                <w:szCs w:val="15"/>
                <w:color w:val="auto"/>
              </w:rPr>
              <w:t>124,342</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46,774</w:t>
            </w:r>
          </w:p>
        </w:tc>
        <w:tc>
          <w:tcPr>
            <w:tcW w:w="0" w:type="dxa"/>
            <w:vAlign w:val="bottom"/>
          </w:tcPr>
          <w:p>
            <w:pPr>
              <w:spacing w:after="0"/>
              <w:rPr>
                <w:sz w:val="1"/>
                <w:szCs w:val="1"/>
                <w:color w:val="auto"/>
              </w:rPr>
            </w:pPr>
          </w:p>
        </w:tc>
      </w:tr>
    </w:tbl>
    <w:p>
      <w:pPr>
        <w:spacing w:after="0" w:line="110" w:lineRule="exact"/>
        <w:rPr>
          <w:sz w:val="20"/>
          <w:szCs w:val="20"/>
          <w:color w:val="auto"/>
        </w:rPr>
      </w:pPr>
    </w:p>
    <w:p>
      <w:pPr>
        <w:sectPr>
          <w:pgSz w:w="11900" w:h="16838" w:orient="portrait"/>
          <w:cols w:equalWidth="0" w:num="2">
            <w:col w:w="5480" w:space="360"/>
            <w:col w:w="5580"/>
          </w:cols>
          <w:pgMar w:left="240" w:top="2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Domestic and foreign total revenues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20" w:type="dxa"/>
            <w:vAlign w:val="bottom"/>
          </w:tcPr>
          <w:p>
            <w:pPr>
              <w:spacing w:after="0"/>
              <w:rPr>
                <w:sz w:val="20"/>
                <w:szCs w:val="20"/>
                <w:color w:val="auto"/>
              </w:rPr>
            </w:pPr>
            <w:r>
              <w:rPr>
                <w:rFonts w:ascii="Arial" w:cs="Arial" w:eastAsia="Arial" w:hAnsi="Arial"/>
                <w:sz w:val="15"/>
                <w:szCs w:val="15"/>
                <w:i w:val="1"/>
                <w:iCs w:val="1"/>
                <w:color w:val="auto"/>
              </w:rPr>
              <w:t>years ended December 31</w:t>
            </w:r>
          </w:p>
        </w:tc>
        <w:tc>
          <w:tcPr>
            <w:tcW w:w="420" w:type="dxa"/>
            <w:vAlign w:val="bottom"/>
          </w:tcPr>
          <w:p>
            <w:pPr>
              <w:spacing w:after="0"/>
              <w:rPr>
                <w:sz w:val="15"/>
                <w:szCs w:val="15"/>
                <w:color w:val="auto"/>
              </w:rPr>
            </w:pPr>
          </w:p>
        </w:tc>
        <w:tc>
          <w:tcPr>
            <w:tcW w:w="860" w:type="dxa"/>
            <w:vAlign w:val="bottom"/>
            <w:vMerge w:val="restart"/>
          </w:tcPr>
          <w:p>
            <w:pPr>
              <w:jc w:val="right"/>
              <w:ind w:right="86"/>
              <w:spacing w:after="0"/>
              <w:rPr>
                <w:sz w:val="20"/>
                <w:szCs w:val="20"/>
                <w:color w:val="auto"/>
              </w:rPr>
            </w:pPr>
            <w:r>
              <w:rPr>
                <w:rFonts w:ascii="Arial" w:cs="Arial" w:eastAsia="Arial" w:hAnsi="Arial"/>
                <w:sz w:val="15"/>
                <w:szCs w:val="15"/>
                <w:b w:val="1"/>
                <w:bCs w:val="1"/>
                <w:color w:val="0085CD"/>
              </w:rPr>
              <w:t>2017</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2020" w:type="dxa"/>
            <w:vAlign w:val="bottom"/>
            <w:tcBorders>
              <w:bottom w:val="single" w:sz="8" w:color="auto"/>
            </w:tcBorders>
          </w:tcPr>
          <w:p>
            <w:pPr>
              <w:spacing w:after="0" w:line="159" w:lineRule="exact"/>
              <w:rPr>
                <w:sz w:val="20"/>
                <w:szCs w:val="20"/>
                <w:color w:val="auto"/>
              </w:rPr>
            </w:pPr>
            <w:r>
              <w:rPr>
                <w:rFonts w:ascii="Arial" w:cs="Arial" w:eastAsia="Arial" w:hAnsi="Arial"/>
                <w:sz w:val="15"/>
                <w:szCs w:val="15"/>
                <w:color w:val="auto"/>
              </w:rPr>
              <w:t>(add 000)</w:t>
            </w:r>
          </w:p>
        </w:tc>
        <w:tc>
          <w:tcPr>
            <w:tcW w:w="4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86"/>
              <w:spacing w:after="0" w:line="159" w:lineRule="exact"/>
              <w:rPr>
                <w:sz w:val="20"/>
                <w:szCs w:val="20"/>
                <w:color w:val="auto"/>
              </w:rPr>
            </w:pPr>
            <w:r>
              <w:rPr>
                <w:rFonts w:ascii="Arial" w:cs="Arial" w:eastAsia="Arial" w:hAnsi="Arial"/>
                <w:sz w:val="15"/>
                <w:szCs w:val="15"/>
                <w:color w:val="auto"/>
              </w:rPr>
              <w:t>2016</w:t>
            </w:r>
          </w:p>
        </w:tc>
        <w:tc>
          <w:tcPr>
            <w:tcW w:w="2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2015</w:t>
            </w:r>
          </w:p>
        </w:tc>
        <w:tc>
          <w:tcPr>
            <w:tcW w:w="0" w:type="dxa"/>
            <w:vAlign w:val="bottom"/>
          </w:tcPr>
          <w:p>
            <w:pPr>
              <w:spacing w:after="0"/>
              <w:rPr>
                <w:sz w:val="1"/>
                <w:szCs w:val="1"/>
                <w:color w:val="auto"/>
              </w:rPr>
            </w:pPr>
          </w:p>
        </w:tc>
      </w:tr>
      <w:tr>
        <w:trPr>
          <w:trHeight w:val="149"/>
        </w:trPr>
        <w:tc>
          <w:tcPr>
            <w:tcW w:w="202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Domestic</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860" w:type="dxa"/>
            <w:vAlign w:val="bottom"/>
            <w:shd w:val="clear" w:color="auto" w:fill="CCEEFF"/>
          </w:tcPr>
          <w:p>
            <w:pPr>
              <w:jc w:val="right"/>
              <w:ind w:right="86"/>
              <w:spacing w:after="0" w:line="149" w:lineRule="exact"/>
              <w:rPr>
                <w:sz w:val="20"/>
                <w:szCs w:val="20"/>
                <w:color w:val="auto"/>
              </w:rPr>
            </w:pPr>
            <w:r>
              <w:rPr>
                <w:rFonts w:ascii="Arial" w:cs="Arial" w:eastAsia="Arial" w:hAnsi="Arial"/>
                <w:sz w:val="15"/>
                <w:szCs w:val="15"/>
                <w:b w:val="1"/>
                <w:bCs w:val="1"/>
                <w:color w:val="auto"/>
              </w:rPr>
              <w:t>3,901,323</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86"/>
              <w:spacing w:after="0" w:line="149" w:lineRule="exact"/>
              <w:rPr>
                <w:sz w:val="20"/>
                <w:szCs w:val="20"/>
                <w:color w:val="auto"/>
              </w:rPr>
            </w:pPr>
            <w:r>
              <w:rPr>
                <w:rFonts w:ascii="Arial" w:cs="Arial" w:eastAsia="Arial" w:hAnsi="Arial"/>
                <w:sz w:val="15"/>
                <w:szCs w:val="15"/>
                <w:color w:val="auto"/>
              </w:rPr>
              <w:t>3,761,651</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3,493,462</w:t>
            </w:r>
          </w:p>
        </w:tc>
        <w:tc>
          <w:tcPr>
            <w:tcW w:w="0" w:type="dxa"/>
            <w:vAlign w:val="bottom"/>
          </w:tcPr>
          <w:p>
            <w:pPr>
              <w:spacing w:after="0"/>
              <w:rPr>
                <w:sz w:val="1"/>
                <w:szCs w:val="1"/>
                <w:color w:val="auto"/>
              </w:rPr>
            </w:pPr>
          </w:p>
        </w:tc>
      </w:tr>
      <w:tr>
        <w:trPr>
          <w:trHeight w:val="156"/>
        </w:trPr>
        <w:tc>
          <w:tcPr>
            <w:tcW w:w="2020" w:type="dxa"/>
            <w:vAlign w:val="bottom"/>
            <w:tcBorders>
              <w:bottom w:val="single" w:sz="8" w:color="auto"/>
            </w:tcBorders>
          </w:tcPr>
          <w:p>
            <w:pPr>
              <w:spacing w:after="0" w:line="156" w:lineRule="exact"/>
              <w:rPr>
                <w:sz w:val="20"/>
                <w:szCs w:val="20"/>
                <w:color w:val="auto"/>
              </w:rPr>
            </w:pPr>
            <w:r>
              <w:rPr>
                <w:rFonts w:ascii="Arial" w:cs="Arial" w:eastAsia="Arial" w:hAnsi="Arial"/>
                <w:sz w:val="15"/>
                <w:szCs w:val="15"/>
                <w:color w:val="auto"/>
              </w:rPr>
              <w:t>Foreign</w:t>
            </w:r>
          </w:p>
        </w:tc>
        <w:tc>
          <w:tcPr>
            <w:tcW w:w="4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86"/>
              <w:spacing w:after="0" w:line="156" w:lineRule="exact"/>
              <w:rPr>
                <w:sz w:val="20"/>
                <w:szCs w:val="20"/>
                <w:color w:val="auto"/>
              </w:rPr>
            </w:pPr>
            <w:r>
              <w:rPr>
                <w:rFonts w:ascii="Arial" w:cs="Arial" w:eastAsia="Arial" w:hAnsi="Arial"/>
                <w:sz w:val="15"/>
                <w:szCs w:val="15"/>
                <w:b w:val="1"/>
                <w:bCs w:val="1"/>
                <w:color w:val="auto"/>
              </w:rPr>
              <w:t>64,271</w:t>
            </w: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86"/>
              <w:spacing w:after="0" w:line="156" w:lineRule="exact"/>
              <w:rPr>
                <w:sz w:val="20"/>
                <w:szCs w:val="20"/>
                <w:color w:val="auto"/>
              </w:rPr>
            </w:pPr>
            <w:r>
              <w:rPr>
                <w:rFonts w:ascii="Arial" w:cs="Arial" w:eastAsia="Arial" w:hAnsi="Arial"/>
                <w:sz w:val="15"/>
                <w:szCs w:val="15"/>
                <w:color w:val="auto"/>
              </w:rPr>
              <w:t>57,098</w:t>
            </w:r>
          </w:p>
        </w:tc>
        <w:tc>
          <w:tcPr>
            <w:tcW w:w="2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46,108</w:t>
            </w:r>
          </w:p>
        </w:tc>
        <w:tc>
          <w:tcPr>
            <w:tcW w:w="0" w:type="dxa"/>
            <w:vAlign w:val="bottom"/>
          </w:tcPr>
          <w:p>
            <w:pPr>
              <w:spacing w:after="0"/>
              <w:rPr>
                <w:sz w:val="1"/>
                <w:szCs w:val="1"/>
                <w:color w:val="auto"/>
              </w:rPr>
            </w:pPr>
          </w:p>
        </w:tc>
      </w:tr>
      <w:tr>
        <w:trPr>
          <w:trHeight w:val="155"/>
        </w:trPr>
        <w:tc>
          <w:tcPr>
            <w:tcW w:w="202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5"/>
                <w:szCs w:val="15"/>
                <w:color w:val="auto"/>
              </w:rPr>
              <w:t>Total</w:t>
            </w:r>
          </w:p>
        </w:tc>
        <w:tc>
          <w:tcPr>
            <w:tcW w:w="4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860" w:type="dxa"/>
            <w:vAlign w:val="bottom"/>
            <w:tcBorders>
              <w:bottom w:val="single" w:sz="8" w:color="auto"/>
            </w:tcBorders>
            <w:shd w:val="clear" w:color="auto" w:fill="CCEEFF"/>
          </w:tcPr>
          <w:p>
            <w:pPr>
              <w:jc w:val="right"/>
              <w:ind w:right="86"/>
              <w:spacing w:after="0" w:line="149" w:lineRule="exact"/>
              <w:rPr>
                <w:sz w:val="20"/>
                <w:szCs w:val="20"/>
                <w:color w:val="auto"/>
              </w:rPr>
            </w:pPr>
            <w:r>
              <w:rPr>
                <w:rFonts w:ascii="Arial" w:cs="Arial" w:eastAsia="Arial" w:hAnsi="Arial"/>
                <w:sz w:val="15"/>
                <w:szCs w:val="15"/>
                <w:b w:val="1"/>
                <w:bCs w:val="1"/>
                <w:color w:val="auto"/>
              </w:rPr>
              <w:t>3,965,594</w:t>
            </w:r>
          </w:p>
        </w:tc>
        <w:tc>
          <w:tcPr>
            <w:tcW w:w="2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shd w:val="clear" w:color="auto" w:fill="CCEEFF"/>
          </w:tcPr>
          <w:p>
            <w:pPr>
              <w:jc w:val="right"/>
              <w:ind w:right="86"/>
              <w:spacing w:after="0" w:line="149" w:lineRule="exact"/>
              <w:rPr>
                <w:sz w:val="20"/>
                <w:szCs w:val="20"/>
                <w:color w:val="auto"/>
              </w:rPr>
            </w:pPr>
            <w:r>
              <w:rPr>
                <w:rFonts w:ascii="Arial" w:cs="Arial" w:eastAsia="Arial" w:hAnsi="Arial"/>
                <w:sz w:val="15"/>
                <w:szCs w:val="15"/>
                <w:color w:val="auto"/>
              </w:rPr>
              <w:t>3,818,749</w:t>
            </w:r>
          </w:p>
        </w:tc>
        <w:tc>
          <w:tcPr>
            <w:tcW w:w="2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3,539,570</w:t>
            </w:r>
          </w:p>
        </w:tc>
        <w:tc>
          <w:tcPr>
            <w:tcW w:w="0" w:type="dxa"/>
            <w:vAlign w:val="bottom"/>
          </w:tcPr>
          <w:p>
            <w:pPr>
              <w:spacing w:after="0"/>
              <w:rPr>
                <w:sz w:val="1"/>
                <w:szCs w:val="1"/>
                <w:color w:val="auto"/>
              </w:rPr>
            </w:pPr>
          </w:p>
        </w:tc>
      </w:tr>
    </w:tbl>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40</w:t>
      </w:r>
    </w:p>
    <w:p>
      <w:pPr>
        <w:sectPr>
          <w:pgSz w:w="11900" w:h="16838" w:orient="portrait"/>
          <w:cols w:equalWidth="0" w:num="1">
            <w:col w:w="11420"/>
          </w:cols>
          <w:pgMar w:left="240" w:top="259" w:right="239" w:bottom="1440" w:gutter="0" w:footer="0" w:header="0"/>
          <w:type w:val="continuous"/>
        </w:sectPr>
      </w:pPr>
    </w:p>
    <w:bookmarkStart w:id="93" w:name="page94"/>
    <w:bookmarkEnd w:id="93"/>
    <w:p>
      <w:pPr>
        <w:jc w:val="right"/>
        <w:ind w:right="2979"/>
        <w:spacing w:after="0"/>
        <w:rPr>
          <w:sz w:val="20"/>
          <w:szCs w:val="20"/>
          <w:color w:val="auto"/>
        </w:rPr>
      </w:pPr>
      <w:r>
        <w:rPr>
          <w:rFonts w:ascii="Arial" w:cs="Arial" w:eastAsia="Arial" w:hAnsi="Arial"/>
          <w:sz w:val="17"/>
          <w:szCs w:val="17"/>
          <w:b w:val="1"/>
          <w:bCs w:val="1"/>
          <w:color w:val="0085CD"/>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1">
                      <a:extLst>
                        <a:ext uri="{28A0092B-C50C-407E-A947-70E740481C1C}"/>
                      </a:extLst>
                    </a:blip>
                    <a:srcRect/>
                    <a:stretch>
                      <a:fillRect/>
                    </a:stretch>
                  </pic:blipFill>
                  <pic:spPr bwMode="auto">
                    <a:xfrm>
                      <a:off x="0" y="0"/>
                      <a:ext cx="7293610" cy="37465"/>
                    </a:xfrm>
                    <a:prstGeom prst="rect">
                      <a:avLst/>
                    </a:prstGeom>
                    <a:noFill/>
                  </pic:spPr>
                </pic:pic>
              </a:graphicData>
            </a:graphic>
          </wp:anchor>
        </w:drawing>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color w:val="0085CD"/>
        </w:rPr>
        <w:t>Note Q: Other Operating Expenses and (Income), Net</w:t>
      </w:r>
    </w:p>
    <w:p>
      <w:pPr>
        <w:spacing w:after="0" w:line="55" w:lineRule="exact"/>
        <w:rPr>
          <w:sz w:val="20"/>
          <w:szCs w:val="20"/>
          <w:color w:val="auto"/>
        </w:rPr>
      </w:pPr>
    </w:p>
    <w:p>
      <w:pPr>
        <w:jc w:val="both"/>
        <w:ind w:right="4739"/>
        <w:spacing w:after="0" w:line="238" w:lineRule="auto"/>
        <w:rPr>
          <w:sz w:val="20"/>
          <w:szCs w:val="20"/>
          <w:color w:val="auto"/>
        </w:rPr>
      </w:pPr>
      <w:r>
        <w:rPr>
          <w:rFonts w:ascii="Arial" w:cs="Arial" w:eastAsia="Arial" w:hAnsi="Arial"/>
          <w:sz w:val="16"/>
          <w:szCs w:val="16"/>
          <w:color w:val="auto"/>
        </w:rPr>
        <w:t>Other operating expenses and income, net, are comprised generally of gains and losses on the sale of assets; gains and losses related to certain customer accounts receivable; rental, royalty and services income; accretion expense, depreciation expense and gains and losses related to asset retirement obligations. These net amounts represented an expense of $793,000 in 2017, income of $8,043,000 in 2016 and an expense of $15,653,000 in 2015. The 2017 amount primarily reflects $19,366,000 of gains on the sale of assets, offset by $12,668,000 of nonrecurring repair costs related to certain of the Company’s leased railcars and approximately $10,813,000 of executive retirement expense. The net expense for 2015 reflects the net impact of the divestitures of the California cement operations and the San Antonio asphalt operations.</w:t>
      </w:r>
    </w:p>
    <w:p>
      <w:pPr>
        <w:spacing w:after="0" w:line="248" w:lineRule="exact"/>
        <w:rPr>
          <w:sz w:val="20"/>
          <w:szCs w:val="20"/>
          <w:color w:val="auto"/>
        </w:rPr>
      </w:pPr>
    </w:p>
    <w:p>
      <w:pPr>
        <w:ind w:left="4820"/>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41</w:t>
      </w:r>
    </w:p>
    <w:p>
      <w:pPr>
        <w:sectPr>
          <w:pgSz w:w="11900" w:h="16838" w:orient="portrait"/>
          <w:cols w:equalWidth="0" w:num="1">
            <w:col w:w="10219"/>
          </w:cols>
          <w:pgMar w:left="240" w:top="259" w:right="1440" w:bottom="1440" w:gutter="0" w:footer="0" w:header="0"/>
        </w:sectPr>
      </w:pPr>
    </w:p>
    <w:bookmarkStart w:id="94" w:name="page95"/>
    <w:bookmarkEnd w:id="94"/>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2">
                      <a:extLst>
                        <a:ext uri="{28A0092B-C50C-407E-A947-70E740481C1C}"/>
                      </a:extLst>
                    </a:blip>
                    <a:srcRect/>
                    <a:stretch>
                      <a:fillRect/>
                    </a:stretch>
                  </pic:blipFill>
                  <pic:spPr bwMode="auto">
                    <a:xfrm>
                      <a:off x="0" y="0"/>
                      <a:ext cx="7293610" cy="37465"/>
                    </a:xfrm>
                    <a:prstGeom prst="rect">
                      <a:avLst/>
                    </a:prstGeom>
                    <a:noFill/>
                  </pic:spPr>
                </pic:pic>
              </a:graphicData>
            </a:graphic>
          </wp:anchor>
        </w:drawing>
        <w:t>MANAGEMENT’S DISCUSSION &amp; ANALYSIS OF FINANCIAL CONDITION &amp; RESULTS OF OPERATIONS</w:t>
      </w:r>
    </w:p>
    <w:p>
      <w:pPr>
        <w:sectPr>
          <w:pgSz w:w="11900" w:h="16838" w:orient="portrait"/>
          <w:cols w:equalWidth="0" w:num="1">
            <w:col w:w="11440"/>
          </w:cols>
          <w:pgMar w:left="240" w:top="260"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color w:val="0085CD"/>
        </w:rPr>
        <w:t>INTRODUCTORY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-3973830</wp:posOffset>
            </wp:positionV>
            <wp:extent cx="2760980" cy="37331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3">
                      <a:extLst>
                        <a:ext uri="{28A0092B-C50C-407E-A947-70E740481C1C}"/>
                      </a:extLst>
                    </a:blip>
                    <a:srcRect/>
                    <a:stretch>
                      <a:fillRect/>
                    </a:stretch>
                  </pic:blipFill>
                  <pic:spPr bwMode="auto">
                    <a:xfrm>
                      <a:off x="0" y="0"/>
                      <a:ext cx="2760980" cy="3733165"/>
                    </a:xfrm>
                    <a:prstGeom prst="rect">
                      <a:avLst/>
                    </a:prstGeom>
                    <a:noFill/>
                  </pic:spPr>
                </pic:pic>
              </a:graphicData>
            </a:graphic>
          </wp:anchor>
        </w:drawing>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Martin Marietta Materials, Inc. (the “Company” or “Martin Marietta”), is a</w:t>
      </w:r>
    </w:p>
    <w:p>
      <w:pPr>
        <w:spacing w:after="0" w:line="237" w:lineRule="auto"/>
        <w:tabs>
          <w:tab w:leader="none" w:pos="640" w:val="left"/>
          <w:tab w:leader="none" w:pos="1940" w:val="left"/>
          <w:tab w:leader="none" w:pos="2640" w:val="left"/>
          <w:tab w:leader="none" w:pos="3460" w:val="left"/>
          <w:tab w:leader="none" w:pos="4320" w:val="left"/>
          <w:tab w:leader="none" w:pos="4760" w:val="left"/>
        </w:tabs>
        <w:rPr>
          <w:sz w:val="20"/>
          <w:szCs w:val="20"/>
          <w:color w:val="auto"/>
        </w:rPr>
      </w:pPr>
      <w:r>
        <w:rPr>
          <w:rFonts w:ascii="Arial" w:cs="Arial" w:eastAsia="Arial" w:hAnsi="Arial"/>
          <w:sz w:val="16"/>
          <w:szCs w:val="16"/>
          <w:color w:val="auto"/>
        </w:rPr>
        <w:t>natural</w:t>
        <w:tab/>
        <w:t>resource-based</w:t>
        <w:tab/>
        <w:t>building</w:t>
        <w:tab/>
        <w:t>materials</w:t>
        <w:tab/>
        <w:t>company.</w:t>
        <w:tab/>
        <w:t>The</w:t>
        <w:tab/>
        <w:t>Company</w:t>
      </w:r>
    </w:p>
    <w:p>
      <w:pPr>
        <w:spacing w:after="0" w:line="237" w:lineRule="auto"/>
        <w:rPr>
          <w:sz w:val="20"/>
          <w:szCs w:val="20"/>
          <w:color w:val="auto"/>
        </w:rPr>
      </w:pPr>
      <w:r>
        <w:rPr>
          <w:rFonts w:ascii="Arial" w:cs="Arial" w:eastAsia="Arial" w:hAnsi="Arial"/>
          <w:sz w:val="16"/>
          <w:szCs w:val="16"/>
          <w:color w:val="auto"/>
        </w:rPr>
        <w:t>supplies aggregates (crushed stone, sand and gravel) through its network</w:t>
      </w:r>
    </w:p>
    <w:p>
      <w:pPr>
        <w:spacing w:after="0" w:line="237" w:lineRule="auto"/>
        <w:rPr>
          <w:sz w:val="20"/>
          <w:szCs w:val="20"/>
          <w:color w:val="auto"/>
        </w:rPr>
      </w:pPr>
      <w:r>
        <w:rPr>
          <w:rFonts w:ascii="Arial" w:cs="Arial" w:eastAsia="Arial" w:hAnsi="Arial"/>
          <w:sz w:val="16"/>
          <w:szCs w:val="16"/>
          <w:color w:val="auto"/>
        </w:rPr>
        <w:t>of 282 quarries and distribution yards to customers in 30 states, Canada,</w:t>
      </w:r>
    </w:p>
    <w:p>
      <w:pPr>
        <w:spacing w:after="0" w:line="237" w:lineRule="auto"/>
        <w:rPr>
          <w:sz w:val="20"/>
          <w:szCs w:val="20"/>
          <w:color w:val="auto"/>
        </w:rPr>
      </w:pPr>
      <w:r>
        <w:rPr>
          <w:rFonts w:ascii="Arial" w:cs="Arial" w:eastAsia="Arial" w:hAnsi="Arial"/>
          <w:sz w:val="16"/>
          <w:szCs w:val="16"/>
          <w:color w:val="auto"/>
        </w:rPr>
        <w:t>the Bahamas and the Caribbean Islands. In the western United States,</w:t>
      </w:r>
    </w:p>
    <w:p>
      <w:pPr>
        <w:spacing w:after="0"/>
        <w:rPr>
          <w:sz w:val="20"/>
          <w:szCs w:val="20"/>
          <w:color w:val="auto"/>
        </w:rPr>
      </w:pPr>
      <w:r>
        <w:rPr>
          <w:rFonts w:ascii="Arial" w:cs="Arial" w:eastAsia="Arial" w:hAnsi="Arial"/>
          <w:sz w:val="16"/>
          <w:szCs w:val="16"/>
          <w:color w:val="auto"/>
        </w:rPr>
        <w:t>Martin Marietta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158750</wp:posOffset>
            </wp:positionV>
            <wp:extent cx="6444615" cy="3130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4">
                      <a:extLst>
                        <a:ext uri="{28A0092B-C50C-407E-A947-70E740481C1C}"/>
                      </a:extLst>
                    </a:blip>
                    <a:srcRect/>
                    <a:stretch>
                      <a:fillRect/>
                    </a:stretch>
                  </pic:blipFill>
                  <pic:spPr bwMode="auto">
                    <a:xfrm>
                      <a:off x="0" y="0"/>
                      <a:ext cx="6444615" cy="3130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ind w:right="20"/>
        <w:spacing w:after="0" w:line="238" w:lineRule="auto"/>
        <w:rPr>
          <w:sz w:val="20"/>
          <w:szCs w:val="20"/>
          <w:color w:val="auto"/>
        </w:rPr>
      </w:pPr>
      <w:r>
        <w:rPr>
          <w:rFonts w:ascii="Arial" w:cs="Arial" w:eastAsia="Arial" w:hAnsi="Arial"/>
          <w:sz w:val="16"/>
          <w:szCs w:val="16"/>
          <w:color w:val="auto"/>
        </w:rPr>
        <w:t>also provides cement and downstream products, namely ready mixed concrete, asphalt and paving services, in markets where the Company has a leading aggregates position. Specifically, the Company has two cement plants in Texas and ready mixed concrete and asphalt operations in Texas, Colorado, Louisiana and Arkansas. Paving services are exclusively in Colorado. The Company’s heavy-side building materials are used in infrastructure, nonresidential and residential construction projects. Aggregates are also used in agricultural, utility and environmental applications and as railroad ballast. The aggregates, cement, ready mixed concrete, asphalt and paving product lines are reported collectively as the “Building Materials” business.</w:t>
      </w:r>
    </w:p>
    <w:p>
      <w:pPr>
        <w:spacing w:after="0" w:line="248" w:lineRule="exact"/>
        <w:rPr>
          <w:sz w:val="20"/>
          <w:szCs w:val="20"/>
          <w:color w:val="auto"/>
        </w:rPr>
      </w:pPr>
    </w:p>
    <w:p>
      <w:pPr>
        <w:jc w:val="both"/>
        <w:ind w:right="20"/>
        <w:spacing w:after="0" w:line="241" w:lineRule="auto"/>
        <w:rPr>
          <w:sz w:val="20"/>
          <w:szCs w:val="20"/>
          <w:color w:val="auto"/>
        </w:rPr>
      </w:pPr>
      <w:r>
        <w:rPr>
          <w:rFonts w:ascii="Arial" w:cs="Arial" w:eastAsia="Arial" w:hAnsi="Arial"/>
          <w:sz w:val="16"/>
          <w:szCs w:val="16"/>
          <w:color w:val="auto"/>
        </w:rPr>
        <w:t xml:space="preserve">As more fully discussed in the </w:t>
      </w:r>
      <w:r>
        <w:rPr>
          <w:rFonts w:ascii="Arial" w:cs="Arial" w:eastAsia="Arial" w:hAnsi="Arial"/>
          <w:sz w:val="16"/>
          <w:szCs w:val="16"/>
          <w:i w:val="1"/>
          <w:iCs w:val="1"/>
          <w:color w:val="auto"/>
        </w:rPr>
        <w:t>Consolidated Strategic Objectives</w:t>
      </w:r>
      <w:r>
        <w:rPr>
          <w:rFonts w:ascii="Arial" w:cs="Arial" w:eastAsia="Arial" w:hAnsi="Arial"/>
          <w:sz w:val="16"/>
          <w:szCs w:val="16"/>
          <w:color w:val="auto"/>
        </w:rPr>
        <w:t xml:space="preserve"> section, geography is critically important for the Building Materials business. The Company conducts its Building Materials business through three reportable segments, organized by geography: Mid-America Group, Southeast Group and West Group. The Mid-America and Southeast Groups provide aggregates products only. The West Group provides aggregates, cement and downstream products. Further, the following states accounted for 74% of the Building Materials business net sales in 2017: Texas, Colorado, North Carolina, Iowa and Georgia.</w:t>
      </w:r>
    </w:p>
    <w:p>
      <w:pPr>
        <w:spacing w:after="0" w:line="279" w:lineRule="exact"/>
        <w:rPr>
          <w:sz w:val="20"/>
          <w:szCs w:val="20"/>
          <w:color w:val="auto"/>
        </w:rPr>
      </w:pPr>
    </w:p>
    <w:p>
      <w:pPr>
        <w:jc w:val="both"/>
        <w:ind w:right="20"/>
        <w:spacing w:after="0" w:line="241" w:lineRule="auto"/>
        <w:rPr>
          <w:sz w:val="20"/>
          <w:szCs w:val="20"/>
          <w:color w:val="auto"/>
        </w:rPr>
      </w:pPr>
      <w:r>
        <w:rPr>
          <w:rFonts w:ascii="Arial" w:cs="Arial" w:eastAsia="Arial" w:hAnsi="Arial"/>
          <w:sz w:val="17"/>
          <w:szCs w:val="17"/>
          <w:color w:val="auto"/>
        </w:rPr>
        <w:t>The Building Materials business is a mature, cyclical business, dependent on activity within the construction marketplace. The United States is currently experiencing the third-longest economic recovery since the Great Depression. As of December 31, 2017, the current expansion, which started in June 2009, has lasted 102 months. By comparison, the average trough-to-peak expansionary cycle since 1938 was 60 months</w:t>
      </w:r>
    </w:p>
    <w:p>
      <w:pPr>
        <w:spacing w:after="0" w:line="2237" w:lineRule="exact"/>
        <w:rPr>
          <w:sz w:val="20"/>
          <w:szCs w:val="20"/>
          <w:color w:val="auto"/>
        </w:rPr>
      </w:pPr>
    </w:p>
    <w:p>
      <w:pPr>
        <w:sectPr>
          <w:pgSz w:w="11900" w:h="16838" w:orient="portrait"/>
          <w:cols w:equalWidth="0" w:num="2">
            <w:col w:w="5480" w:space="360"/>
            <w:col w:w="5600"/>
          </w:cols>
          <w:pgMar w:left="240" w:top="260" w:right="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1400" w:type="dxa"/>
            <w:vAlign w:val="bottom"/>
            <w:tcBorders>
              <w:left w:val="single" w:sz="8" w:color="B7BABC"/>
              <w:right w:val="single" w:sz="8" w:color="B7BABC"/>
            </w:tcBorders>
            <w:shd w:val="clear" w:color="auto" w:fill="0085CD"/>
          </w:tcPr>
          <w:p>
            <w:pPr>
              <w:jc w:val="center"/>
              <w:ind w:left="29"/>
              <w:spacing w:after="0"/>
              <w:rPr>
                <w:sz w:val="20"/>
                <w:szCs w:val="20"/>
                <w:color w:val="auto"/>
              </w:rPr>
            </w:pPr>
            <w:r>
              <w:rPr>
                <w:rFonts w:ascii="Arial" w:cs="Arial" w:eastAsia="Arial" w:hAnsi="Arial"/>
                <w:sz w:val="16"/>
                <w:szCs w:val="16"/>
                <w:b w:val="1"/>
                <w:bCs w:val="1"/>
                <w:color w:val="FFFFFF"/>
                <w:w w:val="98"/>
              </w:rPr>
              <w:t>Reportable</w:t>
            </w:r>
          </w:p>
        </w:tc>
        <w:tc>
          <w:tcPr>
            <w:tcW w:w="3220" w:type="dxa"/>
            <w:vAlign w:val="bottom"/>
            <w:tcBorders>
              <w:right w:val="single" w:sz="8" w:color="B7BABC"/>
            </w:tcBorders>
            <w:vMerge w:val="restart"/>
            <w:shd w:val="clear" w:color="auto" w:fill="B7BABC"/>
          </w:tcPr>
          <w:p>
            <w:pPr>
              <w:jc w:val="center"/>
              <w:spacing w:after="0"/>
              <w:rPr>
                <w:sz w:val="20"/>
                <w:szCs w:val="20"/>
                <w:color w:val="auto"/>
              </w:rPr>
            </w:pPr>
            <w:r>
              <w:rPr>
                <w:rFonts w:ascii="Arial" w:cs="Arial" w:eastAsia="Arial" w:hAnsi="Arial"/>
                <w:sz w:val="16"/>
                <w:szCs w:val="16"/>
                <w:b w:val="1"/>
                <w:bCs w:val="1"/>
                <w:color w:val="FFFFFF"/>
                <w:w w:val="96"/>
              </w:rPr>
              <w:t>Mid-America Group</w:t>
            </w:r>
          </w:p>
        </w:tc>
        <w:tc>
          <w:tcPr>
            <w:tcW w:w="3420" w:type="dxa"/>
            <w:vAlign w:val="bottom"/>
            <w:tcBorders>
              <w:right w:val="single" w:sz="8" w:color="B7BABC"/>
            </w:tcBorders>
            <w:vMerge w:val="restart"/>
            <w:shd w:val="clear" w:color="auto" w:fill="B7BABC"/>
          </w:tcPr>
          <w:p>
            <w:pPr>
              <w:jc w:val="center"/>
              <w:spacing w:after="0"/>
              <w:rPr>
                <w:sz w:val="20"/>
                <w:szCs w:val="20"/>
                <w:color w:val="auto"/>
              </w:rPr>
            </w:pPr>
            <w:r>
              <w:rPr>
                <w:rFonts w:ascii="Arial" w:cs="Arial" w:eastAsia="Arial" w:hAnsi="Arial"/>
                <w:sz w:val="16"/>
                <w:szCs w:val="16"/>
                <w:b w:val="1"/>
                <w:bCs w:val="1"/>
                <w:color w:val="FFFFFF"/>
                <w:w w:val="97"/>
              </w:rPr>
              <w:t>Southeast Group</w:t>
            </w:r>
          </w:p>
        </w:tc>
        <w:tc>
          <w:tcPr>
            <w:tcW w:w="3400" w:type="dxa"/>
            <w:vAlign w:val="bottom"/>
            <w:tcBorders>
              <w:right w:val="single" w:sz="8" w:color="B7BABC"/>
            </w:tcBorders>
            <w:vMerge w:val="restart"/>
            <w:shd w:val="clear" w:color="auto" w:fill="B7BABC"/>
          </w:tcPr>
          <w:p>
            <w:pPr>
              <w:jc w:val="center"/>
              <w:spacing w:after="0"/>
              <w:rPr>
                <w:sz w:val="20"/>
                <w:szCs w:val="20"/>
                <w:color w:val="auto"/>
              </w:rPr>
            </w:pPr>
            <w:r>
              <w:rPr>
                <w:rFonts w:ascii="Arial" w:cs="Arial" w:eastAsia="Arial" w:hAnsi="Arial"/>
                <w:sz w:val="16"/>
                <w:szCs w:val="16"/>
                <w:b w:val="1"/>
                <w:bCs w:val="1"/>
                <w:color w:val="FFFFFF"/>
                <w:w w:val="96"/>
              </w:rPr>
              <w:t>West Group</w:t>
            </w:r>
          </w:p>
        </w:tc>
        <w:tc>
          <w:tcPr>
            <w:tcW w:w="0" w:type="dxa"/>
            <w:vAlign w:val="bottom"/>
          </w:tcPr>
          <w:p>
            <w:pPr>
              <w:spacing w:after="0"/>
              <w:rPr>
                <w:sz w:val="1"/>
                <w:szCs w:val="1"/>
                <w:color w:val="auto"/>
              </w:rPr>
            </w:pPr>
          </w:p>
        </w:tc>
      </w:tr>
      <w:tr>
        <w:trPr>
          <w:trHeight w:val="114"/>
        </w:trPr>
        <w:tc>
          <w:tcPr>
            <w:tcW w:w="1400" w:type="dxa"/>
            <w:vAlign w:val="bottom"/>
            <w:tcBorders>
              <w:left w:val="single" w:sz="8" w:color="B7BABC"/>
              <w:right w:val="single" w:sz="8" w:color="B7BABC"/>
            </w:tcBorders>
            <w:vMerge w:val="restart"/>
            <w:shd w:val="clear" w:color="auto" w:fill="0085CD"/>
          </w:tcPr>
          <w:p>
            <w:pPr>
              <w:jc w:val="center"/>
              <w:ind w:left="29"/>
              <w:spacing w:after="0"/>
              <w:rPr>
                <w:sz w:val="20"/>
                <w:szCs w:val="20"/>
                <w:color w:val="auto"/>
              </w:rPr>
            </w:pPr>
            <w:r>
              <w:rPr>
                <w:rFonts w:ascii="Arial" w:cs="Arial" w:eastAsia="Arial" w:hAnsi="Arial"/>
                <w:sz w:val="16"/>
                <w:szCs w:val="16"/>
                <w:b w:val="1"/>
                <w:bCs w:val="1"/>
                <w:color w:val="FFFFFF"/>
                <w:w w:val="96"/>
              </w:rPr>
              <w:t>Segments</w:t>
            </w:r>
          </w:p>
        </w:tc>
        <w:tc>
          <w:tcPr>
            <w:tcW w:w="3220" w:type="dxa"/>
            <w:vAlign w:val="bottom"/>
            <w:tcBorders>
              <w:right w:val="single" w:sz="8" w:color="B7BABC"/>
            </w:tcBorders>
            <w:vMerge w:val="continue"/>
            <w:shd w:val="clear" w:color="auto" w:fill="B7BABC"/>
          </w:tcPr>
          <w:p>
            <w:pPr>
              <w:spacing w:after="0"/>
              <w:rPr>
                <w:sz w:val="9"/>
                <w:szCs w:val="9"/>
                <w:color w:val="auto"/>
              </w:rPr>
            </w:pPr>
          </w:p>
        </w:tc>
        <w:tc>
          <w:tcPr>
            <w:tcW w:w="3420" w:type="dxa"/>
            <w:vAlign w:val="bottom"/>
            <w:tcBorders>
              <w:right w:val="single" w:sz="8" w:color="B7BABC"/>
            </w:tcBorders>
            <w:vMerge w:val="continue"/>
            <w:shd w:val="clear" w:color="auto" w:fill="B7BABC"/>
          </w:tcPr>
          <w:p>
            <w:pPr>
              <w:spacing w:after="0"/>
              <w:rPr>
                <w:sz w:val="9"/>
                <w:szCs w:val="9"/>
                <w:color w:val="auto"/>
              </w:rPr>
            </w:pPr>
          </w:p>
        </w:tc>
        <w:tc>
          <w:tcPr>
            <w:tcW w:w="3400" w:type="dxa"/>
            <w:vAlign w:val="bottom"/>
            <w:tcBorders>
              <w:right w:val="single" w:sz="8" w:color="B7BABC"/>
            </w:tcBorders>
            <w:vMerge w:val="continue"/>
            <w:shd w:val="clear" w:color="auto" w:fill="B7BABC"/>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1400" w:type="dxa"/>
            <w:vAlign w:val="bottom"/>
            <w:tcBorders>
              <w:left w:val="single" w:sz="8" w:color="B7BABC"/>
              <w:right w:val="single" w:sz="8" w:color="B7BABC"/>
            </w:tcBorders>
            <w:vMerge w:val="continue"/>
            <w:shd w:val="clear" w:color="auto" w:fill="0085CD"/>
          </w:tcPr>
          <w:p>
            <w:pPr>
              <w:spacing w:after="0"/>
              <w:rPr>
                <w:sz w:val="8"/>
                <w:szCs w:val="8"/>
                <w:color w:val="auto"/>
              </w:rPr>
            </w:pPr>
          </w:p>
        </w:tc>
        <w:tc>
          <w:tcPr>
            <w:tcW w:w="3220" w:type="dxa"/>
            <w:vAlign w:val="bottom"/>
            <w:tcBorders>
              <w:right w:val="single" w:sz="8" w:color="B7BABC"/>
            </w:tcBorders>
            <w:shd w:val="clear" w:color="auto" w:fill="B7BABC"/>
          </w:tcPr>
          <w:p>
            <w:pPr>
              <w:spacing w:after="0"/>
              <w:rPr>
                <w:sz w:val="8"/>
                <w:szCs w:val="8"/>
                <w:color w:val="auto"/>
              </w:rPr>
            </w:pPr>
          </w:p>
        </w:tc>
        <w:tc>
          <w:tcPr>
            <w:tcW w:w="3420" w:type="dxa"/>
            <w:vAlign w:val="bottom"/>
            <w:tcBorders>
              <w:right w:val="single" w:sz="8" w:color="B7BABC"/>
            </w:tcBorders>
            <w:shd w:val="clear" w:color="auto" w:fill="B7BABC"/>
          </w:tcPr>
          <w:p>
            <w:pPr>
              <w:spacing w:after="0"/>
              <w:rPr>
                <w:sz w:val="8"/>
                <w:szCs w:val="8"/>
                <w:color w:val="auto"/>
              </w:rPr>
            </w:pPr>
          </w:p>
        </w:tc>
        <w:tc>
          <w:tcPr>
            <w:tcW w:w="3400" w:type="dxa"/>
            <w:vAlign w:val="bottom"/>
            <w:tcBorders>
              <w:right w:val="single" w:sz="8" w:color="B7BABC"/>
            </w:tcBorders>
            <w:shd w:val="clear" w:color="auto" w:fill="B7BABC"/>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1400" w:type="dxa"/>
            <w:vAlign w:val="bottom"/>
            <w:tcBorders>
              <w:left w:val="single" w:sz="8" w:color="B7BABC"/>
              <w:right w:val="single" w:sz="8" w:color="B7BABC"/>
            </w:tcBorders>
            <w:vMerge w:val="restart"/>
          </w:tcPr>
          <w:p>
            <w:pPr>
              <w:jc w:val="center"/>
              <w:ind w:left="29"/>
              <w:spacing w:after="0"/>
              <w:rPr>
                <w:sz w:val="20"/>
                <w:szCs w:val="20"/>
                <w:color w:val="auto"/>
              </w:rPr>
            </w:pPr>
            <w:r>
              <w:rPr>
                <w:rFonts w:ascii="Arial" w:cs="Arial" w:eastAsia="Arial" w:hAnsi="Arial"/>
                <w:sz w:val="14"/>
                <w:szCs w:val="14"/>
                <w:b w:val="1"/>
                <w:bCs w:val="1"/>
                <w:color w:val="auto"/>
                <w:w w:val="99"/>
              </w:rPr>
              <w:t>Operating</w:t>
            </w:r>
          </w:p>
        </w:tc>
        <w:tc>
          <w:tcPr>
            <w:tcW w:w="3220" w:type="dxa"/>
            <w:vAlign w:val="bottom"/>
            <w:tcBorders>
              <w:right w:val="single" w:sz="8" w:color="B7BABC"/>
            </w:tcBorders>
          </w:tcPr>
          <w:p>
            <w:pPr>
              <w:jc w:val="center"/>
              <w:spacing w:after="0"/>
              <w:rPr>
                <w:sz w:val="20"/>
                <w:szCs w:val="20"/>
                <w:color w:val="auto"/>
              </w:rPr>
            </w:pPr>
            <w:r>
              <w:rPr>
                <w:rFonts w:ascii="Arial" w:cs="Arial" w:eastAsia="Arial" w:hAnsi="Arial"/>
                <w:sz w:val="14"/>
                <w:szCs w:val="14"/>
                <w:color w:val="4D5358"/>
                <w:w w:val="98"/>
              </w:rPr>
              <w:t>Indiana, Iowa, northern Kansas, Kentucky,</w:t>
            </w:r>
          </w:p>
        </w:tc>
        <w:tc>
          <w:tcPr>
            <w:tcW w:w="3420" w:type="dxa"/>
            <w:vAlign w:val="bottom"/>
            <w:tcBorders>
              <w:right w:val="single" w:sz="8" w:color="B7BABC"/>
            </w:tcBorders>
            <w:vMerge w:val="restart"/>
          </w:tcPr>
          <w:p>
            <w:pPr>
              <w:jc w:val="center"/>
              <w:spacing w:after="0"/>
              <w:rPr>
                <w:sz w:val="20"/>
                <w:szCs w:val="20"/>
                <w:color w:val="auto"/>
              </w:rPr>
            </w:pPr>
            <w:r>
              <w:rPr>
                <w:rFonts w:ascii="Arial" w:cs="Arial" w:eastAsia="Arial" w:hAnsi="Arial"/>
                <w:sz w:val="14"/>
                <w:szCs w:val="14"/>
                <w:color w:val="4D5358"/>
                <w:w w:val="98"/>
              </w:rPr>
              <w:t>Alabama, Florida, Georgia, Tennessee, Nova Scotia</w:t>
            </w:r>
          </w:p>
        </w:tc>
        <w:tc>
          <w:tcPr>
            <w:tcW w:w="3400" w:type="dxa"/>
            <w:vAlign w:val="bottom"/>
            <w:tcBorders>
              <w:right w:val="single" w:sz="8" w:color="B7BABC"/>
            </w:tcBorders>
            <w:vMerge w:val="restart"/>
          </w:tcPr>
          <w:p>
            <w:pPr>
              <w:jc w:val="center"/>
              <w:spacing w:after="0"/>
              <w:rPr>
                <w:sz w:val="20"/>
                <w:szCs w:val="20"/>
                <w:color w:val="auto"/>
              </w:rPr>
            </w:pPr>
            <w:r>
              <w:rPr>
                <w:rFonts w:ascii="Arial" w:cs="Arial" w:eastAsia="Arial" w:hAnsi="Arial"/>
                <w:sz w:val="14"/>
                <w:szCs w:val="14"/>
                <w:color w:val="4D5358"/>
                <w:w w:val="98"/>
              </w:rPr>
              <w:t>Arkansas, Colorado, southern Kansas, Louisiana,</w:t>
            </w:r>
          </w:p>
        </w:tc>
        <w:tc>
          <w:tcPr>
            <w:tcW w:w="0" w:type="dxa"/>
            <w:vAlign w:val="bottom"/>
          </w:tcPr>
          <w:p>
            <w:pPr>
              <w:spacing w:after="0"/>
              <w:rPr>
                <w:sz w:val="1"/>
                <w:szCs w:val="1"/>
                <w:color w:val="auto"/>
              </w:rPr>
            </w:pPr>
          </w:p>
        </w:tc>
      </w:tr>
      <w:tr>
        <w:trPr>
          <w:trHeight w:val="65"/>
        </w:trPr>
        <w:tc>
          <w:tcPr>
            <w:tcW w:w="1400" w:type="dxa"/>
            <w:vAlign w:val="bottom"/>
            <w:tcBorders>
              <w:left w:val="single" w:sz="8" w:color="B7BABC"/>
              <w:right w:val="single" w:sz="8" w:color="B7BABC"/>
            </w:tcBorders>
            <w:vMerge w:val="continue"/>
          </w:tcPr>
          <w:p>
            <w:pPr>
              <w:spacing w:after="0"/>
              <w:rPr>
                <w:sz w:val="5"/>
                <w:szCs w:val="5"/>
                <w:color w:val="auto"/>
              </w:rPr>
            </w:pPr>
          </w:p>
        </w:tc>
        <w:tc>
          <w:tcPr>
            <w:tcW w:w="3220" w:type="dxa"/>
            <w:vAlign w:val="bottom"/>
            <w:tcBorders>
              <w:right w:val="single" w:sz="8" w:color="B7BABC"/>
            </w:tcBorders>
            <w:vMerge w:val="restart"/>
          </w:tcPr>
          <w:p>
            <w:pPr>
              <w:jc w:val="center"/>
              <w:spacing w:after="0" w:line="127" w:lineRule="exact"/>
              <w:rPr>
                <w:sz w:val="20"/>
                <w:szCs w:val="20"/>
                <w:color w:val="auto"/>
              </w:rPr>
            </w:pPr>
            <w:r>
              <w:rPr>
                <w:rFonts w:ascii="Arial" w:cs="Arial" w:eastAsia="Arial" w:hAnsi="Arial"/>
                <w:sz w:val="14"/>
                <w:szCs w:val="14"/>
                <w:color w:val="4D5358"/>
                <w:w w:val="98"/>
              </w:rPr>
              <w:t>Maryland, Minnesota, Missouri, eastern Nebraska,</w:t>
            </w:r>
          </w:p>
        </w:tc>
        <w:tc>
          <w:tcPr>
            <w:tcW w:w="3420" w:type="dxa"/>
            <w:vAlign w:val="bottom"/>
            <w:tcBorders>
              <w:right w:val="single" w:sz="8" w:color="B7BABC"/>
            </w:tcBorders>
            <w:vMerge w:val="continue"/>
          </w:tcPr>
          <w:p>
            <w:pPr>
              <w:spacing w:after="0"/>
              <w:rPr>
                <w:sz w:val="5"/>
                <w:szCs w:val="5"/>
                <w:color w:val="auto"/>
              </w:rPr>
            </w:pPr>
          </w:p>
        </w:tc>
        <w:tc>
          <w:tcPr>
            <w:tcW w:w="3400" w:type="dxa"/>
            <w:vAlign w:val="bottom"/>
            <w:tcBorders>
              <w:right w:val="single" w:sz="8" w:color="B7BABC"/>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1400" w:type="dxa"/>
            <w:vAlign w:val="bottom"/>
            <w:tcBorders>
              <w:left w:val="single" w:sz="8" w:color="B7BABC"/>
              <w:right w:val="single" w:sz="8" w:color="B7BABC"/>
            </w:tcBorders>
            <w:vMerge w:val="continue"/>
          </w:tcPr>
          <w:p>
            <w:pPr>
              <w:spacing w:after="0"/>
              <w:rPr>
                <w:sz w:val="5"/>
                <w:szCs w:val="5"/>
                <w:color w:val="auto"/>
              </w:rPr>
            </w:pPr>
          </w:p>
        </w:tc>
        <w:tc>
          <w:tcPr>
            <w:tcW w:w="3220" w:type="dxa"/>
            <w:vAlign w:val="bottom"/>
            <w:tcBorders>
              <w:right w:val="single" w:sz="8" w:color="B7BABC"/>
            </w:tcBorders>
            <w:vMerge w:val="continue"/>
          </w:tcPr>
          <w:p>
            <w:pPr>
              <w:spacing w:after="0"/>
              <w:rPr>
                <w:sz w:val="5"/>
                <w:szCs w:val="5"/>
                <w:color w:val="auto"/>
              </w:rPr>
            </w:pPr>
          </w:p>
        </w:tc>
        <w:tc>
          <w:tcPr>
            <w:tcW w:w="3420" w:type="dxa"/>
            <w:vAlign w:val="bottom"/>
            <w:tcBorders>
              <w:right w:val="single" w:sz="8" w:color="B7BABC"/>
            </w:tcBorders>
            <w:vMerge w:val="continue"/>
          </w:tcPr>
          <w:p>
            <w:pPr>
              <w:spacing w:after="0"/>
              <w:rPr>
                <w:sz w:val="5"/>
                <w:szCs w:val="5"/>
                <w:color w:val="auto"/>
              </w:rPr>
            </w:pPr>
          </w:p>
        </w:tc>
        <w:tc>
          <w:tcPr>
            <w:tcW w:w="3400" w:type="dxa"/>
            <w:vAlign w:val="bottom"/>
            <w:tcBorders>
              <w:right w:val="single" w:sz="8" w:color="B7BABC"/>
            </w:tcBorders>
            <w:vMerge w:val="restart"/>
          </w:tcPr>
          <w:p>
            <w:pPr>
              <w:jc w:val="center"/>
              <w:spacing w:after="0" w:line="156" w:lineRule="exact"/>
              <w:rPr>
                <w:sz w:val="20"/>
                <w:szCs w:val="20"/>
                <w:color w:val="auto"/>
              </w:rPr>
            </w:pPr>
            <w:r>
              <w:rPr>
                <w:rFonts w:ascii="Arial" w:cs="Arial" w:eastAsia="Arial" w:hAnsi="Arial"/>
                <w:sz w:val="14"/>
                <w:szCs w:val="14"/>
                <w:color w:val="4D5358"/>
                <w:w w:val="98"/>
              </w:rPr>
              <w:t>western Nebraska, Nevada, Oklahoma, Texas, Utah</w:t>
            </w:r>
          </w:p>
        </w:tc>
        <w:tc>
          <w:tcPr>
            <w:tcW w:w="0" w:type="dxa"/>
            <w:vAlign w:val="bottom"/>
          </w:tcPr>
          <w:p>
            <w:pPr>
              <w:spacing w:after="0"/>
              <w:rPr>
                <w:sz w:val="1"/>
                <w:szCs w:val="1"/>
                <w:color w:val="auto"/>
              </w:rPr>
            </w:pPr>
          </w:p>
        </w:tc>
      </w:tr>
      <w:tr>
        <w:trPr>
          <w:trHeight w:val="94"/>
        </w:trPr>
        <w:tc>
          <w:tcPr>
            <w:tcW w:w="1400" w:type="dxa"/>
            <w:vAlign w:val="bottom"/>
            <w:tcBorders>
              <w:left w:val="single" w:sz="8" w:color="B7BABC"/>
              <w:right w:val="single" w:sz="8" w:color="B7BABC"/>
            </w:tcBorders>
            <w:vMerge w:val="restart"/>
          </w:tcPr>
          <w:p>
            <w:pPr>
              <w:jc w:val="center"/>
              <w:ind w:left="29"/>
              <w:spacing w:after="0"/>
              <w:rPr>
                <w:sz w:val="20"/>
                <w:szCs w:val="20"/>
                <w:color w:val="auto"/>
              </w:rPr>
            </w:pPr>
            <w:r>
              <w:rPr>
                <w:rFonts w:ascii="Arial" w:cs="Arial" w:eastAsia="Arial" w:hAnsi="Arial"/>
                <w:sz w:val="14"/>
                <w:szCs w:val="14"/>
                <w:b w:val="1"/>
                <w:bCs w:val="1"/>
                <w:color w:val="auto"/>
                <w:w w:val="99"/>
              </w:rPr>
              <w:t>Locations</w:t>
            </w:r>
          </w:p>
        </w:tc>
        <w:tc>
          <w:tcPr>
            <w:tcW w:w="3220" w:type="dxa"/>
            <w:vAlign w:val="bottom"/>
            <w:tcBorders>
              <w:right w:val="single" w:sz="8" w:color="B7BABC"/>
            </w:tcBorders>
            <w:vMerge w:val="restart"/>
          </w:tcPr>
          <w:p>
            <w:pPr>
              <w:jc w:val="center"/>
              <w:spacing w:after="0"/>
              <w:rPr>
                <w:sz w:val="20"/>
                <w:szCs w:val="20"/>
                <w:color w:val="auto"/>
              </w:rPr>
            </w:pPr>
            <w:r>
              <w:rPr>
                <w:rFonts w:ascii="Arial" w:cs="Arial" w:eastAsia="Arial" w:hAnsi="Arial"/>
                <w:sz w:val="14"/>
                <w:szCs w:val="14"/>
                <w:color w:val="4D5358"/>
                <w:w w:val="99"/>
              </w:rPr>
              <w:t>North Carolina, Ohio, South Carolina, Virginia,</w:t>
            </w:r>
          </w:p>
        </w:tc>
        <w:tc>
          <w:tcPr>
            <w:tcW w:w="3420" w:type="dxa"/>
            <w:vAlign w:val="bottom"/>
            <w:tcBorders>
              <w:right w:val="single" w:sz="8" w:color="B7BABC"/>
            </w:tcBorders>
            <w:vMerge w:val="restart"/>
          </w:tcPr>
          <w:p>
            <w:pPr>
              <w:jc w:val="center"/>
              <w:spacing w:after="0"/>
              <w:rPr>
                <w:sz w:val="20"/>
                <w:szCs w:val="20"/>
                <w:color w:val="auto"/>
              </w:rPr>
            </w:pPr>
            <w:r>
              <w:rPr>
                <w:rFonts w:ascii="Arial" w:cs="Arial" w:eastAsia="Arial" w:hAnsi="Arial"/>
                <w:sz w:val="14"/>
                <w:szCs w:val="14"/>
                <w:color w:val="4D5358"/>
                <w:w w:val="98"/>
              </w:rPr>
              <w:t>and the Bahamas</w:t>
            </w:r>
          </w:p>
        </w:tc>
        <w:tc>
          <w:tcPr>
            <w:tcW w:w="3400" w:type="dxa"/>
            <w:vAlign w:val="bottom"/>
            <w:tcBorders>
              <w:right w:val="single" w:sz="8" w:color="B7BABC"/>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400" w:type="dxa"/>
            <w:vAlign w:val="bottom"/>
            <w:tcBorders>
              <w:left w:val="single" w:sz="8" w:color="B7BABC"/>
              <w:right w:val="single" w:sz="8" w:color="B7BABC"/>
            </w:tcBorders>
            <w:vMerge w:val="continue"/>
          </w:tcPr>
          <w:p>
            <w:pPr>
              <w:spacing w:after="0"/>
              <w:rPr>
                <w:sz w:val="7"/>
                <w:szCs w:val="7"/>
                <w:color w:val="auto"/>
              </w:rPr>
            </w:pPr>
          </w:p>
        </w:tc>
        <w:tc>
          <w:tcPr>
            <w:tcW w:w="3220" w:type="dxa"/>
            <w:vAlign w:val="bottom"/>
            <w:tcBorders>
              <w:right w:val="single" w:sz="8" w:color="B7BABC"/>
            </w:tcBorders>
            <w:vMerge w:val="continue"/>
          </w:tcPr>
          <w:p>
            <w:pPr>
              <w:spacing w:after="0"/>
              <w:rPr>
                <w:sz w:val="7"/>
                <w:szCs w:val="7"/>
                <w:color w:val="auto"/>
              </w:rPr>
            </w:pPr>
          </w:p>
        </w:tc>
        <w:tc>
          <w:tcPr>
            <w:tcW w:w="3420" w:type="dxa"/>
            <w:vAlign w:val="bottom"/>
            <w:tcBorders>
              <w:right w:val="single" w:sz="8" w:color="B7BABC"/>
            </w:tcBorders>
            <w:vMerge w:val="continue"/>
          </w:tcPr>
          <w:p>
            <w:pPr>
              <w:spacing w:after="0"/>
              <w:rPr>
                <w:sz w:val="7"/>
                <w:szCs w:val="7"/>
                <w:color w:val="auto"/>
              </w:rPr>
            </w:pPr>
          </w:p>
        </w:tc>
        <w:tc>
          <w:tcPr>
            <w:tcW w:w="3400" w:type="dxa"/>
            <w:vAlign w:val="bottom"/>
            <w:tcBorders>
              <w:right w:val="single" w:sz="8" w:color="B7BABC"/>
            </w:tcBorders>
            <w:vMerge w:val="restart"/>
          </w:tcPr>
          <w:p>
            <w:pPr>
              <w:jc w:val="center"/>
              <w:spacing w:after="0"/>
              <w:rPr>
                <w:sz w:val="20"/>
                <w:szCs w:val="20"/>
                <w:color w:val="auto"/>
              </w:rPr>
            </w:pPr>
            <w:r>
              <w:rPr>
                <w:rFonts w:ascii="Arial" w:cs="Arial" w:eastAsia="Arial" w:hAnsi="Arial"/>
                <w:sz w:val="14"/>
                <w:szCs w:val="14"/>
                <w:color w:val="4D5358"/>
                <w:w w:val="98"/>
              </w:rPr>
              <w:t>and Wyoming</w:t>
            </w:r>
          </w:p>
        </w:tc>
        <w:tc>
          <w:tcPr>
            <w:tcW w:w="0" w:type="dxa"/>
            <w:vAlign w:val="bottom"/>
          </w:tcPr>
          <w:p>
            <w:pPr>
              <w:spacing w:after="0"/>
              <w:rPr>
                <w:sz w:val="1"/>
                <w:szCs w:val="1"/>
                <w:color w:val="auto"/>
              </w:rPr>
            </w:pPr>
          </w:p>
        </w:tc>
      </w:tr>
      <w:tr>
        <w:trPr>
          <w:trHeight w:val="74"/>
        </w:trPr>
        <w:tc>
          <w:tcPr>
            <w:tcW w:w="1400" w:type="dxa"/>
            <w:vAlign w:val="bottom"/>
            <w:tcBorders>
              <w:left w:val="single" w:sz="8" w:color="B7BABC"/>
              <w:right w:val="single" w:sz="8" w:color="B7BABC"/>
            </w:tcBorders>
          </w:tcPr>
          <w:p>
            <w:pPr>
              <w:spacing w:after="0"/>
              <w:rPr>
                <w:sz w:val="6"/>
                <w:szCs w:val="6"/>
                <w:color w:val="auto"/>
              </w:rPr>
            </w:pPr>
          </w:p>
        </w:tc>
        <w:tc>
          <w:tcPr>
            <w:tcW w:w="3220" w:type="dxa"/>
            <w:vAlign w:val="bottom"/>
            <w:tcBorders>
              <w:right w:val="single" w:sz="8" w:color="B7BABC"/>
            </w:tcBorders>
            <w:vMerge w:val="restart"/>
          </w:tcPr>
          <w:p>
            <w:pPr>
              <w:jc w:val="center"/>
              <w:spacing w:after="0"/>
              <w:rPr>
                <w:sz w:val="20"/>
                <w:szCs w:val="20"/>
                <w:color w:val="auto"/>
              </w:rPr>
            </w:pPr>
            <w:r>
              <w:rPr>
                <w:rFonts w:ascii="Arial" w:cs="Arial" w:eastAsia="Arial" w:hAnsi="Arial"/>
                <w:sz w:val="14"/>
                <w:szCs w:val="14"/>
                <w:color w:val="4D5358"/>
                <w:w w:val="98"/>
              </w:rPr>
              <w:t>Washington and West Virginia</w:t>
            </w:r>
          </w:p>
        </w:tc>
        <w:tc>
          <w:tcPr>
            <w:tcW w:w="3420" w:type="dxa"/>
            <w:vAlign w:val="bottom"/>
            <w:tcBorders>
              <w:right w:val="single" w:sz="8" w:color="B7BABC"/>
            </w:tcBorders>
          </w:tcPr>
          <w:p>
            <w:pPr>
              <w:spacing w:after="0"/>
              <w:rPr>
                <w:sz w:val="6"/>
                <w:szCs w:val="6"/>
                <w:color w:val="auto"/>
              </w:rPr>
            </w:pPr>
          </w:p>
        </w:tc>
        <w:tc>
          <w:tcPr>
            <w:tcW w:w="3400" w:type="dxa"/>
            <w:vAlign w:val="bottom"/>
            <w:tcBorders>
              <w:right w:val="single" w:sz="8" w:color="B7BABC"/>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7"/>
        </w:trPr>
        <w:tc>
          <w:tcPr>
            <w:tcW w:w="1400" w:type="dxa"/>
            <w:vAlign w:val="bottom"/>
            <w:tcBorders>
              <w:left w:val="single" w:sz="8" w:color="B7BABC"/>
              <w:bottom w:val="single" w:sz="8" w:color="B7BABC"/>
              <w:right w:val="single" w:sz="8" w:color="B7BABC"/>
            </w:tcBorders>
          </w:tcPr>
          <w:p>
            <w:pPr>
              <w:spacing w:after="0"/>
              <w:rPr>
                <w:sz w:val="8"/>
                <w:szCs w:val="8"/>
                <w:color w:val="auto"/>
              </w:rPr>
            </w:pPr>
          </w:p>
        </w:tc>
        <w:tc>
          <w:tcPr>
            <w:tcW w:w="3220" w:type="dxa"/>
            <w:vAlign w:val="bottom"/>
            <w:tcBorders>
              <w:bottom w:val="single" w:sz="8" w:color="B7BABC"/>
              <w:right w:val="single" w:sz="8" w:color="B7BABC"/>
            </w:tcBorders>
            <w:vMerge w:val="continue"/>
          </w:tcPr>
          <w:p>
            <w:pPr>
              <w:spacing w:after="0"/>
              <w:rPr>
                <w:sz w:val="8"/>
                <w:szCs w:val="8"/>
                <w:color w:val="auto"/>
              </w:rPr>
            </w:pPr>
          </w:p>
        </w:tc>
        <w:tc>
          <w:tcPr>
            <w:tcW w:w="3420" w:type="dxa"/>
            <w:vAlign w:val="bottom"/>
            <w:tcBorders>
              <w:bottom w:val="single" w:sz="8" w:color="B7BABC"/>
              <w:right w:val="single" w:sz="8" w:color="B7BABC"/>
            </w:tcBorders>
          </w:tcPr>
          <w:p>
            <w:pPr>
              <w:spacing w:after="0"/>
              <w:rPr>
                <w:sz w:val="8"/>
                <w:szCs w:val="8"/>
                <w:color w:val="auto"/>
              </w:rPr>
            </w:pPr>
          </w:p>
        </w:tc>
        <w:tc>
          <w:tcPr>
            <w:tcW w:w="3400" w:type="dxa"/>
            <w:vAlign w:val="bottom"/>
            <w:tcBorders>
              <w:bottom w:val="single" w:sz="8" w:color="B7BABC"/>
              <w:right w:val="single" w:sz="8" w:color="B7BABC"/>
            </w:tcBorders>
          </w:tcPr>
          <w:p>
            <w:pPr>
              <w:spacing w:after="0"/>
              <w:rPr>
                <w:sz w:val="8"/>
                <w:szCs w:val="8"/>
                <w:color w:val="auto"/>
              </w:rPr>
            </w:pPr>
          </w:p>
        </w:tc>
        <w:tc>
          <w:tcPr>
            <w:tcW w:w="0" w:type="dxa"/>
            <w:vAlign w:val="bottom"/>
          </w:tcPr>
          <w:p>
            <w:pPr>
              <w:spacing w:after="0"/>
              <w:rPr>
                <w:sz w:val="1"/>
                <w:szCs w:val="1"/>
                <w:color w:val="auto"/>
              </w:rPr>
            </w:pPr>
          </w:p>
        </w:tc>
      </w:tr>
      <w:tr>
        <w:trPr>
          <w:trHeight w:val="159"/>
        </w:trPr>
        <w:tc>
          <w:tcPr>
            <w:tcW w:w="1400" w:type="dxa"/>
            <w:vAlign w:val="bottom"/>
            <w:tcBorders>
              <w:left w:val="single" w:sz="8" w:color="B7BABC"/>
              <w:right w:val="single" w:sz="8" w:color="B7BABC"/>
            </w:tcBorders>
            <w:vMerge w:val="restart"/>
          </w:tcPr>
          <w:p>
            <w:pPr>
              <w:jc w:val="center"/>
              <w:ind w:left="9"/>
              <w:spacing w:after="0"/>
              <w:rPr>
                <w:sz w:val="20"/>
                <w:szCs w:val="20"/>
                <w:color w:val="auto"/>
              </w:rPr>
            </w:pPr>
            <w:r>
              <w:rPr>
                <w:rFonts w:ascii="Arial" w:cs="Arial" w:eastAsia="Arial" w:hAnsi="Arial"/>
                <w:sz w:val="14"/>
                <w:szCs w:val="14"/>
                <w:b w:val="1"/>
                <w:bCs w:val="1"/>
                <w:color w:val="auto"/>
                <w:w w:val="98"/>
              </w:rPr>
              <w:t>Product Lines</w:t>
            </w:r>
          </w:p>
        </w:tc>
        <w:tc>
          <w:tcPr>
            <w:tcW w:w="3220" w:type="dxa"/>
            <w:vAlign w:val="bottom"/>
            <w:tcBorders>
              <w:right w:val="single" w:sz="8" w:color="B7BABC"/>
            </w:tcBorders>
            <w:vMerge w:val="restart"/>
          </w:tcPr>
          <w:p>
            <w:pPr>
              <w:jc w:val="center"/>
              <w:spacing w:after="0"/>
              <w:rPr>
                <w:sz w:val="20"/>
                <w:szCs w:val="20"/>
                <w:color w:val="auto"/>
              </w:rPr>
            </w:pPr>
            <w:r>
              <w:rPr>
                <w:rFonts w:ascii="Arial" w:cs="Arial" w:eastAsia="Arial" w:hAnsi="Arial"/>
                <w:sz w:val="14"/>
                <w:szCs w:val="14"/>
                <w:color w:val="4D5358"/>
              </w:rPr>
              <w:t>Aggregates</w:t>
            </w:r>
          </w:p>
        </w:tc>
        <w:tc>
          <w:tcPr>
            <w:tcW w:w="3420" w:type="dxa"/>
            <w:vAlign w:val="bottom"/>
            <w:tcBorders>
              <w:right w:val="single" w:sz="8" w:color="B7BABC"/>
            </w:tcBorders>
            <w:vMerge w:val="restart"/>
          </w:tcPr>
          <w:p>
            <w:pPr>
              <w:jc w:val="center"/>
              <w:spacing w:after="0"/>
              <w:rPr>
                <w:sz w:val="20"/>
                <w:szCs w:val="20"/>
                <w:color w:val="auto"/>
              </w:rPr>
            </w:pPr>
            <w:r>
              <w:rPr>
                <w:rFonts w:ascii="Arial" w:cs="Arial" w:eastAsia="Arial" w:hAnsi="Arial"/>
                <w:sz w:val="14"/>
                <w:szCs w:val="14"/>
                <w:color w:val="4D5358"/>
              </w:rPr>
              <w:t>Aggregates</w:t>
            </w:r>
          </w:p>
        </w:tc>
        <w:tc>
          <w:tcPr>
            <w:tcW w:w="3400" w:type="dxa"/>
            <w:vAlign w:val="bottom"/>
            <w:tcBorders>
              <w:right w:val="single" w:sz="8" w:color="B7BABC"/>
            </w:tcBorders>
          </w:tcPr>
          <w:p>
            <w:pPr>
              <w:jc w:val="center"/>
              <w:spacing w:after="0" w:line="159" w:lineRule="exact"/>
              <w:rPr>
                <w:sz w:val="20"/>
                <w:szCs w:val="20"/>
                <w:color w:val="auto"/>
              </w:rPr>
            </w:pPr>
            <w:r>
              <w:rPr>
                <w:rFonts w:ascii="Arial" w:cs="Arial" w:eastAsia="Arial" w:hAnsi="Arial"/>
                <w:sz w:val="14"/>
                <w:szCs w:val="14"/>
                <w:color w:val="4D5358"/>
                <w:w w:val="98"/>
              </w:rPr>
              <w:t>Aggregates, Cement, Ready Mixed Concrete,</w:t>
            </w:r>
          </w:p>
        </w:tc>
        <w:tc>
          <w:tcPr>
            <w:tcW w:w="0" w:type="dxa"/>
            <w:vAlign w:val="bottom"/>
          </w:tcPr>
          <w:p>
            <w:pPr>
              <w:spacing w:after="0"/>
              <w:rPr>
                <w:sz w:val="1"/>
                <w:szCs w:val="1"/>
                <w:color w:val="auto"/>
              </w:rPr>
            </w:pPr>
          </w:p>
        </w:tc>
      </w:tr>
      <w:tr>
        <w:trPr>
          <w:trHeight w:val="113"/>
        </w:trPr>
        <w:tc>
          <w:tcPr>
            <w:tcW w:w="1400" w:type="dxa"/>
            <w:vAlign w:val="bottom"/>
            <w:tcBorders>
              <w:left w:val="single" w:sz="8" w:color="B7BABC"/>
              <w:right w:val="single" w:sz="8" w:color="B7BABC"/>
            </w:tcBorders>
            <w:vMerge w:val="continue"/>
          </w:tcPr>
          <w:p>
            <w:pPr>
              <w:spacing w:after="0"/>
              <w:rPr>
                <w:sz w:val="9"/>
                <w:szCs w:val="9"/>
                <w:color w:val="auto"/>
              </w:rPr>
            </w:pPr>
          </w:p>
        </w:tc>
        <w:tc>
          <w:tcPr>
            <w:tcW w:w="3220" w:type="dxa"/>
            <w:vAlign w:val="bottom"/>
            <w:tcBorders>
              <w:right w:val="single" w:sz="8" w:color="B7BABC"/>
            </w:tcBorders>
            <w:vMerge w:val="continue"/>
          </w:tcPr>
          <w:p>
            <w:pPr>
              <w:spacing w:after="0"/>
              <w:rPr>
                <w:sz w:val="9"/>
                <w:szCs w:val="9"/>
                <w:color w:val="auto"/>
              </w:rPr>
            </w:pPr>
          </w:p>
        </w:tc>
        <w:tc>
          <w:tcPr>
            <w:tcW w:w="3420" w:type="dxa"/>
            <w:vAlign w:val="bottom"/>
            <w:tcBorders>
              <w:right w:val="single" w:sz="8" w:color="B7BABC"/>
            </w:tcBorders>
            <w:vMerge w:val="continue"/>
          </w:tcPr>
          <w:p>
            <w:pPr>
              <w:spacing w:after="0"/>
              <w:rPr>
                <w:sz w:val="9"/>
                <w:szCs w:val="9"/>
                <w:color w:val="auto"/>
              </w:rPr>
            </w:pPr>
          </w:p>
        </w:tc>
        <w:tc>
          <w:tcPr>
            <w:tcW w:w="3400" w:type="dxa"/>
            <w:vAlign w:val="bottom"/>
            <w:tcBorders>
              <w:right w:val="single" w:sz="8" w:color="B7BABC"/>
            </w:tcBorders>
            <w:vMerge w:val="restart"/>
          </w:tcPr>
          <w:p>
            <w:pPr>
              <w:jc w:val="center"/>
              <w:spacing w:after="0"/>
              <w:rPr>
                <w:sz w:val="20"/>
                <w:szCs w:val="20"/>
                <w:color w:val="auto"/>
              </w:rPr>
            </w:pPr>
            <w:r>
              <w:rPr>
                <w:rFonts w:ascii="Arial" w:cs="Arial" w:eastAsia="Arial" w:hAnsi="Arial"/>
                <w:sz w:val="14"/>
                <w:szCs w:val="14"/>
                <w:color w:val="4D5358"/>
                <w:w w:val="98"/>
              </w:rPr>
              <w:t>Asphalt and Paving Services</w:t>
            </w:r>
          </w:p>
        </w:tc>
        <w:tc>
          <w:tcPr>
            <w:tcW w:w="0" w:type="dxa"/>
            <w:vAlign w:val="bottom"/>
          </w:tcPr>
          <w:p>
            <w:pPr>
              <w:spacing w:after="0"/>
              <w:rPr>
                <w:sz w:val="1"/>
                <w:szCs w:val="1"/>
                <w:color w:val="auto"/>
              </w:rPr>
            </w:pPr>
          </w:p>
        </w:tc>
      </w:tr>
      <w:tr>
        <w:trPr>
          <w:trHeight w:val="52"/>
        </w:trPr>
        <w:tc>
          <w:tcPr>
            <w:tcW w:w="1400" w:type="dxa"/>
            <w:vAlign w:val="bottom"/>
            <w:tcBorders>
              <w:left w:val="single" w:sz="8" w:color="B7BABC"/>
              <w:right w:val="single" w:sz="8" w:color="B7BABC"/>
            </w:tcBorders>
          </w:tcPr>
          <w:p>
            <w:pPr>
              <w:spacing w:after="0"/>
              <w:rPr>
                <w:sz w:val="4"/>
                <w:szCs w:val="4"/>
                <w:color w:val="auto"/>
              </w:rPr>
            </w:pPr>
          </w:p>
        </w:tc>
        <w:tc>
          <w:tcPr>
            <w:tcW w:w="3220" w:type="dxa"/>
            <w:vAlign w:val="bottom"/>
            <w:tcBorders>
              <w:right w:val="single" w:sz="8" w:color="B7BABC"/>
            </w:tcBorders>
          </w:tcPr>
          <w:p>
            <w:pPr>
              <w:spacing w:after="0"/>
              <w:rPr>
                <w:sz w:val="4"/>
                <w:szCs w:val="4"/>
                <w:color w:val="auto"/>
              </w:rPr>
            </w:pPr>
          </w:p>
        </w:tc>
        <w:tc>
          <w:tcPr>
            <w:tcW w:w="3420" w:type="dxa"/>
            <w:vAlign w:val="bottom"/>
            <w:tcBorders>
              <w:right w:val="single" w:sz="8" w:color="B7BABC"/>
            </w:tcBorders>
          </w:tcPr>
          <w:p>
            <w:pPr>
              <w:spacing w:after="0"/>
              <w:rPr>
                <w:sz w:val="4"/>
                <w:szCs w:val="4"/>
                <w:color w:val="auto"/>
              </w:rPr>
            </w:pPr>
          </w:p>
        </w:tc>
        <w:tc>
          <w:tcPr>
            <w:tcW w:w="3400" w:type="dxa"/>
            <w:vAlign w:val="bottom"/>
            <w:tcBorders>
              <w:right w:val="single" w:sz="8" w:color="B7BABC"/>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8"/>
        </w:trPr>
        <w:tc>
          <w:tcPr>
            <w:tcW w:w="1400" w:type="dxa"/>
            <w:vAlign w:val="bottom"/>
            <w:tcBorders>
              <w:left w:val="single" w:sz="8" w:color="B7BABC"/>
              <w:bottom w:val="single" w:sz="8" w:color="B7BABC"/>
              <w:right w:val="single" w:sz="8" w:color="B7BABC"/>
            </w:tcBorders>
          </w:tcPr>
          <w:p>
            <w:pPr>
              <w:spacing w:after="0"/>
              <w:rPr>
                <w:sz w:val="3"/>
                <w:szCs w:val="3"/>
                <w:color w:val="auto"/>
              </w:rPr>
            </w:pPr>
          </w:p>
        </w:tc>
        <w:tc>
          <w:tcPr>
            <w:tcW w:w="3220" w:type="dxa"/>
            <w:vAlign w:val="bottom"/>
            <w:tcBorders>
              <w:bottom w:val="single" w:sz="8" w:color="B7BABC"/>
              <w:right w:val="single" w:sz="8" w:color="B7BABC"/>
            </w:tcBorders>
          </w:tcPr>
          <w:p>
            <w:pPr>
              <w:spacing w:after="0"/>
              <w:rPr>
                <w:sz w:val="3"/>
                <w:szCs w:val="3"/>
                <w:color w:val="auto"/>
              </w:rPr>
            </w:pPr>
          </w:p>
        </w:tc>
        <w:tc>
          <w:tcPr>
            <w:tcW w:w="3420" w:type="dxa"/>
            <w:vAlign w:val="bottom"/>
            <w:tcBorders>
              <w:bottom w:val="single" w:sz="8" w:color="B7BABC"/>
              <w:right w:val="single" w:sz="8" w:color="B7BABC"/>
            </w:tcBorders>
          </w:tcPr>
          <w:p>
            <w:pPr>
              <w:spacing w:after="0"/>
              <w:rPr>
                <w:sz w:val="3"/>
                <w:szCs w:val="3"/>
                <w:color w:val="auto"/>
              </w:rPr>
            </w:pPr>
          </w:p>
        </w:tc>
        <w:tc>
          <w:tcPr>
            <w:tcW w:w="3400" w:type="dxa"/>
            <w:vAlign w:val="bottom"/>
            <w:tcBorders>
              <w:bottom w:val="single" w:sz="8" w:color="B7BABC"/>
              <w:right w:val="single" w:sz="8" w:color="B7BABC"/>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1400" w:type="dxa"/>
            <w:vAlign w:val="bottom"/>
            <w:tcBorders>
              <w:left w:val="single" w:sz="8" w:color="B7BABC"/>
              <w:bottom w:val="single" w:sz="8" w:color="B7BABC"/>
              <w:right w:val="single" w:sz="8" w:color="B7BABC"/>
            </w:tcBorders>
          </w:tcPr>
          <w:p>
            <w:pPr>
              <w:jc w:val="center"/>
              <w:ind w:left="29"/>
              <w:spacing w:after="0"/>
              <w:rPr>
                <w:sz w:val="20"/>
                <w:szCs w:val="20"/>
                <w:color w:val="auto"/>
              </w:rPr>
            </w:pPr>
            <w:r>
              <w:rPr>
                <w:rFonts w:ascii="Arial" w:cs="Arial" w:eastAsia="Arial" w:hAnsi="Arial"/>
                <w:sz w:val="14"/>
                <w:szCs w:val="14"/>
                <w:b w:val="1"/>
                <w:bCs w:val="1"/>
                <w:color w:val="auto"/>
                <w:w w:val="99"/>
              </w:rPr>
              <w:t>Plant Types</w:t>
            </w:r>
          </w:p>
        </w:tc>
        <w:tc>
          <w:tcPr>
            <w:tcW w:w="3220" w:type="dxa"/>
            <w:vAlign w:val="bottom"/>
            <w:tcBorders>
              <w:bottom w:val="single" w:sz="8" w:color="B7BABC"/>
              <w:right w:val="single" w:sz="8" w:color="B7BABC"/>
            </w:tcBorders>
          </w:tcPr>
          <w:p>
            <w:pPr>
              <w:jc w:val="center"/>
              <w:spacing w:after="0"/>
              <w:rPr>
                <w:sz w:val="20"/>
                <w:szCs w:val="20"/>
                <w:color w:val="auto"/>
              </w:rPr>
            </w:pPr>
            <w:r>
              <w:rPr>
                <w:rFonts w:ascii="Arial" w:cs="Arial" w:eastAsia="Arial" w:hAnsi="Arial"/>
                <w:sz w:val="14"/>
                <w:szCs w:val="14"/>
                <w:color w:val="4D5358"/>
                <w:w w:val="99"/>
              </w:rPr>
              <w:t>Quarries, Mines and Distribution Facilities</w:t>
            </w:r>
          </w:p>
        </w:tc>
        <w:tc>
          <w:tcPr>
            <w:tcW w:w="3420" w:type="dxa"/>
            <w:vAlign w:val="bottom"/>
            <w:tcBorders>
              <w:bottom w:val="single" w:sz="8" w:color="B7BABC"/>
              <w:right w:val="single" w:sz="8" w:color="B7BABC"/>
            </w:tcBorders>
          </w:tcPr>
          <w:p>
            <w:pPr>
              <w:jc w:val="center"/>
              <w:spacing w:after="0"/>
              <w:rPr>
                <w:sz w:val="20"/>
                <w:szCs w:val="20"/>
                <w:color w:val="auto"/>
              </w:rPr>
            </w:pPr>
            <w:r>
              <w:rPr>
                <w:rFonts w:ascii="Arial" w:cs="Arial" w:eastAsia="Arial" w:hAnsi="Arial"/>
                <w:sz w:val="14"/>
                <w:szCs w:val="14"/>
                <w:color w:val="4D5358"/>
                <w:w w:val="99"/>
              </w:rPr>
              <w:t>Quarries, Mines and Distribution Facilities</w:t>
            </w:r>
          </w:p>
        </w:tc>
        <w:tc>
          <w:tcPr>
            <w:tcW w:w="3400" w:type="dxa"/>
            <w:vAlign w:val="bottom"/>
            <w:tcBorders>
              <w:bottom w:val="single" w:sz="8" w:color="B7BABC"/>
              <w:right w:val="single" w:sz="8" w:color="B7BABC"/>
            </w:tcBorders>
          </w:tcPr>
          <w:p>
            <w:pPr>
              <w:jc w:val="center"/>
              <w:spacing w:after="0"/>
              <w:rPr>
                <w:sz w:val="20"/>
                <w:szCs w:val="20"/>
                <w:color w:val="auto"/>
              </w:rPr>
            </w:pPr>
            <w:r>
              <w:rPr>
                <w:rFonts w:ascii="Arial" w:cs="Arial" w:eastAsia="Arial" w:hAnsi="Arial"/>
                <w:sz w:val="14"/>
                <w:szCs w:val="14"/>
                <w:color w:val="4D5358"/>
                <w:w w:val="99"/>
              </w:rPr>
              <w:t>Quarries, Mines, Plants and Distribution Facilities</w:t>
            </w:r>
          </w:p>
        </w:tc>
        <w:tc>
          <w:tcPr>
            <w:tcW w:w="0" w:type="dxa"/>
            <w:vAlign w:val="bottom"/>
          </w:tcPr>
          <w:p>
            <w:pPr>
              <w:spacing w:after="0"/>
              <w:rPr>
                <w:sz w:val="1"/>
                <w:szCs w:val="1"/>
                <w:color w:val="auto"/>
              </w:rPr>
            </w:pPr>
          </w:p>
        </w:tc>
      </w:tr>
      <w:tr>
        <w:trPr>
          <w:trHeight w:val="182"/>
        </w:trPr>
        <w:tc>
          <w:tcPr>
            <w:tcW w:w="1400" w:type="dxa"/>
            <w:vAlign w:val="bottom"/>
            <w:tcBorders>
              <w:left w:val="single" w:sz="8" w:color="B7BABC"/>
              <w:right w:val="single" w:sz="8" w:color="B7BABC"/>
            </w:tcBorders>
          </w:tcPr>
          <w:p>
            <w:pPr>
              <w:jc w:val="center"/>
              <w:ind w:left="29"/>
              <w:spacing w:after="0"/>
              <w:rPr>
                <w:sz w:val="20"/>
                <w:szCs w:val="20"/>
                <w:color w:val="auto"/>
              </w:rPr>
            </w:pPr>
            <w:r>
              <w:rPr>
                <w:rFonts w:ascii="Arial" w:cs="Arial" w:eastAsia="Arial" w:hAnsi="Arial"/>
                <w:sz w:val="14"/>
                <w:szCs w:val="14"/>
                <w:b w:val="1"/>
                <w:bCs w:val="1"/>
                <w:color w:val="auto"/>
              </w:rPr>
              <w:t>Modes of</w:t>
            </w:r>
          </w:p>
        </w:tc>
        <w:tc>
          <w:tcPr>
            <w:tcW w:w="3220" w:type="dxa"/>
            <w:vAlign w:val="bottom"/>
            <w:tcBorders>
              <w:right w:val="single" w:sz="8" w:color="B7BABC"/>
            </w:tcBorders>
            <w:vMerge w:val="restart"/>
          </w:tcPr>
          <w:p>
            <w:pPr>
              <w:jc w:val="center"/>
              <w:spacing w:after="0"/>
              <w:rPr>
                <w:sz w:val="20"/>
                <w:szCs w:val="20"/>
                <w:color w:val="auto"/>
              </w:rPr>
            </w:pPr>
            <w:r>
              <w:rPr>
                <w:rFonts w:ascii="Arial" w:cs="Arial" w:eastAsia="Arial" w:hAnsi="Arial"/>
                <w:sz w:val="14"/>
                <w:szCs w:val="14"/>
                <w:color w:val="4D5358"/>
                <w:w w:val="98"/>
              </w:rPr>
              <w:t>Truck and Railcar</w:t>
            </w:r>
          </w:p>
        </w:tc>
        <w:tc>
          <w:tcPr>
            <w:tcW w:w="3420" w:type="dxa"/>
            <w:vAlign w:val="bottom"/>
            <w:tcBorders>
              <w:right w:val="single" w:sz="8" w:color="B7BABC"/>
            </w:tcBorders>
            <w:vMerge w:val="restart"/>
          </w:tcPr>
          <w:p>
            <w:pPr>
              <w:jc w:val="center"/>
              <w:spacing w:after="0"/>
              <w:rPr>
                <w:sz w:val="20"/>
                <w:szCs w:val="20"/>
                <w:color w:val="auto"/>
              </w:rPr>
            </w:pPr>
            <w:r>
              <w:rPr>
                <w:rFonts w:ascii="Arial" w:cs="Arial" w:eastAsia="Arial" w:hAnsi="Arial"/>
                <w:sz w:val="14"/>
                <w:szCs w:val="14"/>
                <w:color w:val="4D5358"/>
                <w:w w:val="98"/>
              </w:rPr>
              <w:t>Truck, Railcar and Ship</w:t>
            </w:r>
          </w:p>
        </w:tc>
        <w:tc>
          <w:tcPr>
            <w:tcW w:w="3400" w:type="dxa"/>
            <w:vAlign w:val="bottom"/>
            <w:tcBorders>
              <w:right w:val="single" w:sz="8" w:color="B7BABC"/>
            </w:tcBorders>
            <w:vMerge w:val="restart"/>
          </w:tcPr>
          <w:p>
            <w:pPr>
              <w:jc w:val="center"/>
              <w:spacing w:after="0"/>
              <w:rPr>
                <w:sz w:val="20"/>
                <w:szCs w:val="20"/>
                <w:color w:val="auto"/>
              </w:rPr>
            </w:pPr>
            <w:r>
              <w:rPr>
                <w:rFonts w:ascii="Arial" w:cs="Arial" w:eastAsia="Arial" w:hAnsi="Arial"/>
                <w:sz w:val="14"/>
                <w:szCs w:val="14"/>
                <w:color w:val="4D5358"/>
                <w:w w:val="98"/>
              </w:rPr>
              <w:t>Truck and Railcar</w:t>
            </w:r>
          </w:p>
        </w:tc>
        <w:tc>
          <w:tcPr>
            <w:tcW w:w="0" w:type="dxa"/>
            <w:vAlign w:val="bottom"/>
          </w:tcPr>
          <w:p>
            <w:pPr>
              <w:spacing w:after="0"/>
              <w:rPr>
                <w:sz w:val="1"/>
                <w:szCs w:val="1"/>
                <w:color w:val="auto"/>
              </w:rPr>
            </w:pPr>
          </w:p>
        </w:tc>
      </w:tr>
      <w:tr>
        <w:trPr>
          <w:trHeight w:val="103"/>
        </w:trPr>
        <w:tc>
          <w:tcPr>
            <w:tcW w:w="1400" w:type="dxa"/>
            <w:vAlign w:val="bottom"/>
            <w:tcBorders>
              <w:left w:val="single" w:sz="8" w:color="B7BABC"/>
              <w:right w:val="single" w:sz="8" w:color="B7BABC"/>
            </w:tcBorders>
            <w:vMerge w:val="restart"/>
          </w:tcPr>
          <w:p>
            <w:pPr>
              <w:ind w:left="300"/>
              <w:spacing w:after="0"/>
              <w:rPr>
                <w:sz w:val="20"/>
                <w:szCs w:val="20"/>
                <w:color w:val="auto"/>
              </w:rPr>
            </w:pPr>
            <w:r>
              <w:rPr>
                <w:rFonts w:ascii="Arial" w:cs="Arial" w:eastAsia="Arial" w:hAnsi="Arial"/>
                <w:sz w:val="14"/>
                <w:szCs w:val="14"/>
                <w:b w:val="1"/>
                <w:bCs w:val="1"/>
                <w:color w:val="auto"/>
              </w:rPr>
              <w:t>Transportation</w:t>
            </w:r>
          </w:p>
        </w:tc>
        <w:tc>
          <w:tcPr>
            <w:tcW w:w="3220" w:type="dxa"/>
            <w:vAlign w:val="bottom"/>
            <w:tcBorders>
              <w:right w:val="single" w:sz="8" w:color="B7BABC"/>
            </w:tcBorders>
            <w:vMerge w:val="continue"/>
          </w:tcPr>
          <w:p>
            <w:pPr>
              <w:spacing w:after="0"/>
              <w:rPr>
                <w:sz w:val="8"/>
                <w:szCs w:val="8"/>
                <w:color w:val="auto"/>
              </w:rPr>
            </w:pPr>
          </w:p>
        </w:tc>
        <w:tc>
          <w:tcPr>
            <w:tcW w:w="3420" w:type="dxa"/>
            <w:vAlign w:val="bottom"/>
            <w:tcBorders>
              <w:right w:val="single" w:sz="8" w:color="B7BABC"/>
            </w:tcBorders>
            <w:vMerge w:val="continue"/>
          </w:tcPr>
          <w:p>
            <w:pPr>
              <w:spacing w:after="0"/>
              <w:rPr>
                <w:sz w:val="8"/>
                <w:szCs w:val="8"/>
                <w:color w:val="auto"/>
              </w:rPr>
            </w:pPr>
          </w:p>
        </w:tc>
        <w:tc>
          <w:tcPr>
            <w:tcW w:w="3400" w:type="dxa"/>
            <w:vAlign w:val="bottom"/>
            <w:tcBorders>
              <w:right w:val="single" w:sz="8" w:color="B7BABC"/>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1400" w:type="dxa"/>
            <w:vAlign w:val="bottom"/>
            <w:tcBorders>
              <w:left w:val="single" w:sz="8" w:color="B7BABC"/>
              <w:right w:val="single" w:sz="8" w:color="B7BABC"/>
            </w:tcBorders>
            <w:vMerge w:val="continue"/>
          </w:tcPr>
          <w:p>
            <w:pPr>
              <w:spacing w:after="0"/>
              <w:rPr>
                <w:sz w:val="6"/>
                <w:szCs w:val="6"/>
                <w:color w:val="auto"/>
              </w:rPr>
            </w:pPr>
          </w:p>
        </w:tc>
        <w:tc>
          <w:tcPr>
            <w:tcW w:w="3220" w:type="dxa"/>
            <w:vAlign w:val="bottom"/>
            <w:tcBorders>
              <w:right w:val="single" w:sz="8" w:color="B7BABC"/>
            </w:tcBorders>
          </w:tcPr>
          <w:p>
            <w:pPr>
              <w:spacing w:after="0"/>
              <w:rPr>
                <w:sz w:val="6"/>
                <w:szCs w:val="6"/>
                <w:color w:val="auto"/>
              </w:rPr>
            </w:pPr>
          </w:p>
        </w:tc>
        <w:tc>
          <w:tcPr>
            <w:tcW w:w="3420" w:type="dxa"/>
            <w:vAlign w:val="bottom"/>
            <w:tcBorders>
              <w:right w:val="single" w:sz="8" w:color="B7BABC"/>
            </w:tcBorders>
          </w:tcPr>
          <w:p>
            <w:pPr>
              <w:spacing w:after="0"/>
              <w:rPr>
                <w:sz w:val="6"/>
                <w:szCs w:val="6"/>
                <w:color w:val="auto"/>
              </w:rPr>
            </w:pPr>
          </w:p>
        </w:tc>
        <w:tc>
          <w:tcPr>
            <w:tcW w:w="3400" w:type="dxa"/>
            <w:vAlign w:val="bottom"/>
            <w:tcBorders>
              <w:right w:val="single" w:sz="8" w:color="B7BABC"/>
            </w:tcBorders>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1400" w:type="dxa"/>
            <w:vAlign w:val="bottom"/>
            <w:tcBorders>
              <w:left w:val="single" w:sz="8" w:color="B7BABC"/>
              <w:bottom w:val="single" w:sz="8" w:color="B7BABC"/>
              <w:right w:val="single" w:sz="8" w:color="B7BABC"/>
            </w:tcBorders>
          </w:tcPr>
          <w:p>
            <w:pPr>
              <w:spacing w:after="0"/>
              <w:rPr>
                <w:sz w:val="3"/>
                <w:szCs w:val="3"/>
                <w:color w:val="auto"/>
              </w:rPr>
            </w:pPr>
          </w:p>
        </w:tc>
        <w:tc>
          <w:tcPr>
            <w:tcW w:w="3220" w:type="dxa"/>
            <w:vAlign w:val="bottom"/>
            <w:tcBorders>
              <w:bottom w:val="single" w:sz="8" w:color="B7BABC"/>
              <w:right w:val="single" w:sz="8" w:color="B7BABC"/>
            </w:tcBorders>
          </w:tcPr>
          <w:p>
            <w:pPr>
              <w:spacing w:after="0"/>
              <w:rPr>
                <w:sz w:val="3"/>
                <w:szCs w:val="3"/>
                <w:color w:val="auto"/>
              </w:rPr>
            </w:pPr>
          </w:p>
        </w:tc>
        <w:tc>
          <w:tcPr>
            <w:tcW w:w="3420" w:type="dxa"/>
            <w:vAlign w:val="bottom"/>
            <w:tcBorders>
              <w:bottom w:val="single" w:sz="8" w:color="B7BABC"/>
              <w:right w:val="single" w:sz="8" w:color="B7BABC"/>
            </w:tcBorders>
          </w:tcPr>
          <w:p>
            <w:pPr>
              <w:spacing w:after="0"/>
              <w:rPr>
                <w:sz w:val="3"/>
                <w:szCs w:val="3"/>
                <w:color w:val="auto"/>
              </w:rPr>
            </w:pPr>
          </w:p>
        </w:tc>
        <w:tc>
          <w:tcPr>
            <w:tcW w:w="3400" w:type="dxa"/>
            <w:vAlign w:val="bottom"/>
            <w:tcBorders>
              <w:bottom w:val="single" w:sz="8" w:color="B7BABC"/>
              <w:right w:val="single" w:sz="8" w:color="B7BAB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42</w:t>
      </w:r>
    </w:p>
    <w:p>
      <w:pPr>
        <w:sectPr>
          <w:pgSz w:w="11900" w:h="16838" w:orient="portrait"/>
          <w:cols w:equalWidth="0" w:num="1">
            <w:col w:w="11440"/>
          </w:cols>
          <w:pgMar w:left="240" w:top="260" w:right="219" w:bottom="1440" w:gutter="0" w:footer="0" w:header="0"/>
          <w:type w:val="continuous"/>
        </w:sectPr>
      </w:pPr>
    </w:p>
    <w:bookmarkStart w:id="95" w:name="page96"/>
    <w:bookmarkEnd w:id="95"/>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5">
                      <a:extLst>
                        <a:ext uri="{28A0092B-C50C-407E-A947-70E740481C1C}"/>
                      </a:extLst>
                    </a:blip>
                    <a:srcRect/>
                    <a:stretch>
                      <a:fillRect/>
                    </a:stretch>
                  </pic:blipFill>
                  <pic:spPr bwMode="auto">
                    <a:xfrm>
                      <a:off x="0" y="0"/>
                      <a:ext cx="7293610" cy="37465"/>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420"/>
          </w:cols>
          <w:pgMar w:left="240" w:top="2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spacing w:after="0"/>
        <w:rPr>
          <w:sz w:val="20"/>
          <w:szCs w:val="20"/>
          <w:color w:val="auto"/>
        </w:rPr>
      </w:pPr>
      <w:r>
        <w:rPr>
          <w:rFonts w:ascii="Arial" w:cs="Arial" w:eastAsia="Arial" w:hAnsi="Arial"/>
          <w:sz w:val="16"/>
          <w:szCs w:val="16"/>
          <w:color w:val="auto"/>
        </w:rPr>
        <w:t>and, in May 2018, the current cycle will become the second-longest economic recovery since the Great Depression. During this current economic expansion, however, governmental uncertainty, labor shortages and record levels of precipitation have slowed the pace of heavy construction activity, resulting in a slow, steady, extended construction cycle that is expected to continue over the next several years. The Company’s overall aggregates product line shipments remain approximately 10% below mid-cycle demand. Importantly, the level of recovery varies within the Company’s geographic footprint. Specifically, North Carolina and Georgia, key states in the Mid-America and Southeast Groups, respectively, are approximately 20% below mid-cycle demand, while Texas, a key state in the West Group, is modestly above mid-cycle demand.</w:t>
      </w: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b w:val="1"/>
          <w:bCs w:val="1"/>
          <w:color w:val="0085CD"/>
        </w:rPr>
        <w:t>Magnesia Specialties</w:t>
      </w:r>
    </w:p>
    <w:p>
      <w:pPr>
        <w:spacing w:after="0" w:line="55"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The Company also operates a Magnesia Specialties business with production facilities in Michigan and Ohio. The Magnesia Specialties business produces magnesia-based chemicals products which are used in industrial, agricultural and environmental applications. It also produces dolomitic lime sold primarily to customers in the steel and mining industries. Magnesia Specialties’ products are shipped to customers worldwide.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0085CD"/>
        </w:rPr>
        <w:t>Consolidated Strategic Objectives</w:t>
      </w:r>
    </w:p>
    <w:p>
      <w:pPr>
        <w:spacing w:after="0" w:line="42"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The Company’s strategic planning process, or Strategic Operating Analysis and Review (SOAR), provides the framework for execution of Martin Marietta’s long-term strategic plan. Guided by this framework and giving consideration to the cyclicality of the Building Materials business, the Company determines capital allocation priorities to maximize long-term shareholder value. The Company’s strategy includes ongoing evaluation of aggregates-led opportunities of scale in new domestic markets (i.e., platform acquisitions), expansion through acquisitions that complement existing operations (i.e., bolt-on acquisitions), divestitures of assets that are not consistent with stated strategic goals, and arrangements with other companies engaged in similar or complementary businesses. The Company finances such opportunities with the goal of preserving its financial flexibility by having a leverage ratio (consolidated debt-to-consolidated earnings before interest, taxes, depreciation and amortization, or EBITDA) within a target range of 2.0 times to 2.5 times within a reasonable time following the completion of a transaction.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By purposeful design, the Company, currently with leading positions in 85% of its markets, will continue to be an aggregates-led business, focusing on markets with strong, underlying growth fundamentals and where it can sustain or achieve a leading market position. In 2017, the aggregates product line represented 59% of consolidated total revenues. As part of its long-term strategic plan, the Company may pursue strategic cement and targeted downstream opportunities. For Martin Marietta, strategic cement and targeted downstream operations are located in vertically-integrated markets where the Company has, or envisions a clear path toward, a leading aggregates position. Additionally, strategic cement operations are those where market supply cannot be meaningfully interdicted by water.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2348865" cy="397192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6">
                      <a:extLst>
                        <a:ext uri="{28A0092B-C50C-407E-A947-70E740481C1C}"/>
                      </a:extLst>
                    </a:blip>
                    <a:srcRect/>
                    <a:stretch>
                      <a:fillRect/>
                    </a:stretch>
                  </pic:blipFill>
                  <pic:spPr bwMode="auto">
                    <a:xfrm>
                      <a:off x="0" y="0"/>
                      <a:ext cx="2348865" cy="3971925"/>
                    </a:xfrm>
                    <a:prstGeom prst="rect">
                      <a:avLst/>
                    </a:prstGeom>
                    <a:noFill/>
                  </pic:spPr>
                </pic:pic>
              </a:graphicData>
            </a:graphic>
          </wp:anchor>
        </w:drawing>
      </w:r>
    </w:p>
    <w:p>
      <w:pPr>
        <w:spacing w:after="0" w:line="5433" w:lineRule="exact"/>
        <w:rPr>
          <w:sz w:val="20"/>
          <w:szCs w:val="20"/>
          <w:color w:val="auto"/>
        </w:rPr>
      </w:pPr>
    </w:p>
    <w:p>
      <w:pPr>
        <w:sectPr>
          <w:pgSz w:w="11900" w:h="16838" w:orient="portrait"/>
          <w:cols w:equalWidth="0" w:num="2">
            <w:col w:w="5480" w:space="360"/>
            <w:col w:w="5580"/>
          </w:cols>
          <w:pgMar w:left="240" w:top="25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43</w:t>
      </w:r>
    </w:p>
    <w:p>
      <w:pPr>
        <w:sectPr>
          <w:pgSz w:w="11900" w:h="16838" w:orient="portrait"/>
          <w:cols w:equalWidth="0" w:num="1">
            <w:col w:w="11420"/>
          </w:cols>
          <w:pgMar w:left="240" w:top="259" w:right="239" w:bottom="1440" w:gutter="0" w:footer="0" w:header="0"/>
          <w:type w:val="continuous"/>
        </w:sectPr>
      </w:pPr>
    </w:p>
    <w:bookmarkStart w:id="96" w:name="page97"/>
    <w:bookmarkEnd w:id="96"/>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7">
                      <a:extLst>
                        <a:ext uri="{28A0092B-C50C-407E-A947-70E740481C1C}"/>
                      </a:extLst>
                    </a:blip>
                    <a:srcRect/>
                    <a:stretch>
                      <a:fillRect/>
                    </a:stretch>
                  </pic:blipFill>
                  <pic:spPr bwMode="auto">
                    <a:xfrm>
                      <a:off x="0" y="0"/>
                      <a:ext cx="7293610" cy="37465"/>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420"/>
          </w:cols>
          <w:pgMar w:left="240" w:top="2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Generally, the Company’s building materials products are both sourced and sold locally. As a result, geography is critically important when assessing market attractiveness and growth opportunities. Attractive geographies a) exhibit population growth and/or population density, both of which are drivers of heavy-side building materials consumption; b) have business and employment diversity, drivers of greater economic stability; and c) have a superior state financial position, a driver of public infrastructure growth and support.</w:t>
      </w:r>
    </w:p>
    <w:p>
      <w:pPr>
        <w:spacing w:after="0" w:line="195"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 xml:space="preserve">In order to assess population growth and density, the Company focuses on the megaregions of the United States. Megaregions are large networks of metropolitan population centers covering thousands of square miles. According to </w:t>
      </w:r>
      <w:r>
        <w:rPr>
          <w:rFonts w:ascii="Arial" w:cs="Arial" w:eastAsia="Arial" w:hAnsi="Arial"/>
          <w:sz w:val="16"/>
          <w:szCs w:val="16"/>
          <w:i w:val="1"/>
          <w:iCs w:val="1"/>
          <w:color w:val="auto"/>
        </w:rPr>
        <w:t>America 2050,</w:t>
      </w:r>
      <w:r>
        <w:rPr>
          <w:rFonts w:ascii="Arial" w:cs="Arial" w:eastAsia="Arial" w:hAnsi="Arial"/>
          <w:sz w:val="16"/>
          <w:szCs w:val="16"/>
          <w:color w:val="auto"/>
        </w:rPr>
        <w:t xml:space="preserve"> a planning and policy program of the Regional Plan Association (RPA), a majority of the nation’s population and economic growth through 2050 will occur in 11 megaregions. The Company has a significant strategic presence in five of the megaregions. The Company’s leading positions in the Front Range and Texas Triangle megaregions and its enhanced position in the Piedmont Atlantic, primarily the Atlanta area, are the results of acquisitions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left="9"/>
        <w:spacing w:after="0" w:line="245" w:lineRule="auto"/>
        <w:rPr>
          <w:sz w:val="20"/>
          <w:szCs w:val="20"/>
          <w:color w:val="auto"/>
        </w:rPr>
      </w:pPr>
      <w:r>
        <w:rPr>
          <w:rFonts w:ascii="Arial" w:cs="Arial" w:eastAsia="Arial" w:hAnsi="Arial"/>
          <w:sz w:val="16"/>
          <w:szCs w:val="16"/>
          <w:color w:val="auto"/>
        </w:rPr>
        <w:t xml:space="preserve">since 2011, evidence of the successful execution of SOAR. The megaregions and the key states for the Company are more fully discussed in the </w:t>
      </w:r>
      <w:r>
        <w:rPr>
          <w:rFonts w:ascii="Arial" w:cs="Arial" w:eastAsia="Arial" w:hAnsi="Arial"/>
          <w:sz w:val="16"/>
          <w:szCs w:val="16"/>
          <w:i w:val="1"/>
          <w:iCs w:val="1"/>
          <w:color w:val="auto"/>
        </w:rPr>
        <w:t>Building Materials Business’ Key Considerations</w:t>
      </w:r>
      <w:r>
        <w:rPr>
          <w:rFonts w:ascii="Arial" w:cs="Arial" w:eastAsia="Arial" w:hAnsi="Arial"/>
          <w:sz w:val="16"/>
          <w:szCs w:val="16"/>
          <w:color w:val="auto"/>
        </w:rPr>
        <w:t xml:space="preserve"> section.</w:t>
      </w:r>
    </w:p>
    <w:p>
      <w:pPr>
        <w:spacing w:after="0" w:line="189" w:lineRule="exact"/>
        <w:rPr>
          <w:sz w:val="20"/>
          <w:szCs w:val="20"/>
          <w:color w:val="auto"/>
        </w:rPr>
      </w:pPr>
    </w:p>
    <w:p>
      <w:pPr>
        <w:jc w:val="both"/>
        <w:ind w:left="9"/>
        <w:spacing w:after="0" w:line="239" w:lineRule="auto"/>
        <w:rPr>
          <w:sz w:val="20"/>
          <w:szCs w:val="20"/>
          <w:color w:val="auto"/>
        </w:rPr>
      </w:pPr>
      <w:r>
        <w:rPr>
          <w:rFonts w:ascii="Arial" w:cs="Arial" w:eastAsia="Arial" w:hAnsi="Arial"/>
          <w:sz w:val="16"/>
          <w:szCs w:val="16"/>
          <w:color w:val="auto"/>
        </w:rPr>
        <w:t>In considering business and employment diversity, the Company focuses its geographic footprint along significant transportation corridors, particularly where land is readily available for the construction of fulfillment centers and data centers. The retail sector values transportation corridors, as logistics and distribution are critical considerations for construction supporting that industry. In addition, technology companies view these areas as attractive locations for data centers.</w:t>
      </w:r>
    </w:p>
    <w:p>
      <w:pPr>
        <w:spacing w:after="0" w:line="197" w:lineRule="exact"/>
        <w:rPr>
          <w:sz w:val="20"/>
          <w:szCs w:val="20"/>
          <w:color w:val="auto"/>
        </w:rPr>
      </w:pPr>
    </w:p>
    <w:p>
      <w:pPr>
        <w:jc w:val="both"/>
        <w:ind w:left="9"/>
        <w:spacing w:after="0" w:line="237" w:lineRule="auto"/>
        <w:rPr>
          <w:sz w:val="20"/>
          <w:szCs w:val="20"/>
          <w:color w:val="auto"/>
        </w:rPr>
      </w:pPr>
      <w:r>
        <w:rPr>
          <w:rFonts w:ascii="Arial" w:cs="Arial" w:eastAsia="Arial" w:hAnsi="Arial"/>
          <w:sz w:val="16"/>
          <w:szCs w:val="16"/>
          <w:color w:val="auto"/>
        </w:rPr>
        <w:t>In line with the Company’s strategic objectives, management’s overall focus is on the following items, among other things:</w:t>
      </w:r>
    </w:p>
    <w:p>
      <w:pPr>
        <w:ind w:left="289" w:hanging="289"/>
        <w:spacing w:after="0"/>
        <w:tabs>
          <w:tab w:leader="none" w:pos="289" w:val="left"/>
        </w:tabs>
        <w:numPr>
          <w:ilvl w:val="0"/>
          <w:numId w:val="19"/>
        </w:numPr>
        <w:rPr>
          <w:rFonts w:ascii="Arial" w:cs="Arial" w:eastAsia="Arial" w:hAnsi="Arial"/>
          <w:sz w:val="16"/>
          <w:szCs w:val="16"/>
          <w:color w:val="auto"/>
        </w:rPr>
      </w:pPr>
      <w:r>
        <w:rPr>
          <w:rFonts w:ascii="Arial" w:cs="Arial" w:eastAsia="Arial" w:hAnsi="Arial"/>
          <w:sz w:val="16"/>
          <w:szCs w:val="16"/>
          <w:color w:val="auto"/>
        </w:rPr>
        <w:t>Upholding the Company’s commitment to its mission, vision and values</w:t>
      </w:r>
    </w:p>
    <w:p>
      <w:pPr>
        <w:spacing w:after="0" w:line="10" w:lineRule="exact"/>
        <w:rPr>
          <w:rFonts w:ascii="Arial" w:cs="Arial" w:eastAsia="Arial" w:hAnsi="Arial"/>
          <w:sz w:val="16"/>
          <w:szCs w:val="16"/>
          <w:color w:val="auto"/>
        </w:rPr>
      </w:pPr>
    </w:p>
    <w:p>
      <w:pPr>
        <w:jc w:val="both"/>
        <w:ind w:left="289" w:hanging="289"/>
        <w:spacing w:after="0" w:line="245" w:lineRule="auto"/>
        <w:tabs>
          <w:tab w:leader="none" w:pos="289" w:val="left"/>
        </w:tabs>
        <w:numPr>
          <w:ilvl w:val="0"/>
          <w:numId w:val="19"/>
        </w:numPr>
        <w:rPr>
          <w:rFonts w:ascii="Arial" w:cs="Arial" w:eastAsia="Arial" w:hAnsi="Arial"/>
          <w:sz w:val="16"/>
          <w:szCs w:val="16"/>
          <w:color w:val="auto"/>
        </w:rPr>
      </w:pPr>
      <w:r>
        <w:rPr>
          <w:rFonts w:ascii="Arial" w:cs="Arial" w:eastAsia="Arial" w:hAnsi="Arial"/>
          <w:sz w:val="16"/>
          <w:szCs w:val="16"/>
          <w:color w:val="auto"/>
        </w:rPr>
        <w:t>Navigating effectively through a slow-and-steady economic recovery cycle, balancing investment and cost decisions against slower-than-expected volume growth</w:t>
      </w:r>
    </w:p>
    <w:p>
      <w:pPr>
        <w:spacing w:after="0" w:line="332" w:lineRule="exact"/>
        <w:rPr>
          <w:sz w:val="20"/>
          <w:szCs w:val="20"/>
          <w:color w:val="auto"/>
        </w:rPr>
      </w:pPr>
    </w:p>
    <w:p>
      <w:pPr>
        <w:sectPr>
          <w:pgSz w:w="11900" w:h="16838" w:orient="portrait"/>
          <w:cols w:equalWidth="0" w:num="2">
            <w:col w:w="5480" w:space="351"/>
            <w:col w:w="5589"/>
          </w:cols>
          <w:pgMar w:left="240" w:top="259" w:right="239" w:bottom="1440" w:gutter="0" w:footer="0" w:header="0"/>
          <w:type w:val="continuous"/>
        </w:sectPr>
      </w:pP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44</w:t>
      </w:r>
    </w:p>
    <w:p>
      <w:pPr>
        <w:sectPr>
          <w:pgSz w:w="11900" w:h="16838" w:orient="portrait"/>
          <w:cols w:equalWidth="0" w:num="1">
            <w:col w:w="11420"/>
          </w:cols>
          <w:pgMar w:left="240" w:top="259" w:right="239" w:bottom="1440" w:gutter="0" w:footer="0" w:header="0"/>
          <w:type w:val="continuous"/>
        </w:sectPr>
      </w:pPr>
    </w:p>
    <w:bookmarkStart w:id="97" w:name="page98"/>
    <w:bookmarkEnd w:id="97"/>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8">
                      <a:extLst>
                        <a:ext uri="{28A0092B-C50C-407E-A947-70E740481C1C}"/>
                      </a:extLst>
                    </a:blip>
                    <a:srcRect/>
                    <a:stretch>
                      <a:fillRect/>
                    </a:stretch>
                  </pic:blipFill>
                  <pic:spPr bwMode="auto">
                    <a:xfrm>
                      <a:off x="0" y="0"/>
                      <a:ext cx="7293610" cy="37465"/>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420"/>
          </w:cols>
          <w:pgMar w:left="240" w:top="2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ind w:left="200" w:hanging="196"/>
        <w:spacing w:after="0" w:line="237" w:lineRule="auto"/>
        <w:tabs>
          <w:tab w:leader="none" w:pos="2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Tracking shifts in population trends as well as local, state and national economic conditions to ensure changing trends are reflected in execution against the strategic plan</w:t>
      </w:r>
    </w:p>
    <w:p>
      <w:pPr>
        <w:ind w:left="200" w:hanging="196"/>
        <w:spacing w:after="0"/>
        <w:tabs>
          <w:tab w:leader="none" w:pos="2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Integrating acquired businesses efficiently to achieve maximum value</w:t>
      </w:r>
    </w:p>
    <w:p>
      <w:pPr>
        <w:spacing w:after="0" w:line="10" w:lineRule="exact"/>
        <w:rPr>
          <w:rFonts w:ascii="Arial" w:cs="Arial" w:eastAsia="Arial" w:hAnsi="Arial"/>
          <w:sz w:val="16"/>
          <w:szCs w:val="16"/>
          <w:color w:val="auto"/>
        </w:rPr>
      </w:pPr>
    </w:p>
    <w:p>
      <w:pPr>
        <w:ind w:left="200" w:hanging="196"/>
        <w:spacing w:after="0" w:line="253" w:lineRule="auto"/>
        <w:tabs>
          <w:tab w:leader="none" w:pos="2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Allocating capital in a manner consistent with the following long-standing priorities while maintaining financial flexibility</w:t>
      </w:r>
    </w:p>
    <w:p>
      <w:pPr>
        <w:spacing w:after="0" w:line="14" w:lineRule="exact"/>
        <w:rPr>
          <w:rFonts w:ascii="Arial" w:cs="Arial" w:eastAsia="Arial" w:hAnsi="Arial"/>
          <w:sz w:val="16"/>
          <w:szCs w:val="16"/>
          <w:color w:val="auto"/>
        </w:rPr>
      </w:pPr>
    </w:p>
    <w:p>
      <w:pPr>
        <w:ind w:left="360" w:hanging="174"/>
        <w:spacing w:after="0"/>
        <w:tabs>
          <w:tab w:leader="none" w:pos="36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Acquisitions</w:t>
      </w:r>
    </w:p>
    <w:p>
      <w:pPr>
        <w:spacing w:after="0" w:line="36" w:lineRule="exact"/>
        <w:rPr>
          <w:rFonts w:ascii="Arial" w:cs="Arial" w:eastAsia="Arial" w:hAnsi="Arial"/>
          <w:sz w:val="16"/>
          <w:szCs w:val="16"/>
          <w:color w:val="auto"/>
        </w:rPr>
      </w:pPr>
    </w:p>
    <w:p>
      <w:pPr>
        <w:ind w:left="360" w:hanging="174"/>
        <w:spacing w:after="0"/>
        <w:tabs>
          <w:tab w:leader="none" w:pos="360" w:val="left"/>
        </w:tabs>
        <w:numPr>
          <w:ilvl w:val="1"/>
          <w:numId w:val="20"/>
        </w:numPr>
        <w:rPr>
          <w:rFonts w:ascii="Arial" w:cs="Arial" w:eastAsia="Arial" w:hAnsi="Arial"/>
          <w:sz w:val="16"/>
          <w:szCs w:val="16"/>
          <w:color w:val="auto"/>
        </w:rPr>
      </w:pPr>
      <w:r>
        <w:rPr>
          <w:rFonts w:ascii="Arial" w:cs="Arial" w:eastAsia="Arial" w:hAnsi="Arial"/>
          <w:sz w:val="16"/>
          <w:szCs w:val="16"/>
          <w:color w:val="auto"/>
        </w:rPr>
        <w:t>Organic capital investment</w:t>
      </w:r>
    </w:p>
    <w:p>
      <w:pPr>
        <w:spacing w:after="0" w:line="36" w:lineRule="exact"/>
        <w:rPr>
          <w:rFonts w:ascii="Arial" w:cs="Arial" w:eastAsia="Arial" w:hAnsi="Arial"/>
          <w:sz w:val="16"/>
          <w:szCs w:val="16"/>
          <w:color w:val="auto"/>
        </w:rPr>
      </w:pPr>
    </w:p>
    <w:p>
      <w:pPr>
        <w:ind w:left="360" w:hanging="174"/>
        <w:spacing w:after="0" w:line="253" w:lineRule="auto"/>
        <w:tabs>
          <w:tab w:leader="none" w:pos="360" w:val="left"/>
        </w:tabs>
        <w:numPr>
          <w:ilvl w:val="1"/>
          <w:numId w:val="20"/>
        </w:numPr>
        <w:rPr>
          <w:rFonts w:ascii="Arial" w:cs="Arial" w:eastAsia="Arial" w:hAnsi="Arial"/>
          <w:sz w:val="16"/>
          <w:szCs w:val="16"/>
          <w:color w:val="auto"/>
        </w:rPr>
      </w:pPr>
      <w:r>
        <w:rPr>
          <w:rFonts w:ascii="Arial" w:cs="Arial" w:eastAsia="Arial" w:hAnsi="Arial"/>
          <w:sz w:val="16"/>
          <w:szCs w:val="16"/>
          <w:color w:val="auto"/>
        </w:rPr>
        <w:t>Return of cash to shareholders through dividends and share repurchases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0085CD"/>
        </w:rPr>
        <w:t>2017 Performance Highlights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49B28F"/>
        </w:rPr>
        <w:t>Achieved Record Safety Performance</w:t>
      </w:r>
    </w:p>
    <w:p>
      <w:pPr>
        <w:spacing w:after="0" w:line="57" w:lineRule="exact"/>
        <w:rPr>
          <w:sz w:val="20"/>
          <w:szCs w:val="20"/>
          <w:color w:val="auto"/>
        </w:rPr>
      </w:pPr>
    </w:p>
    <w:p>
      <w:pPr>
        <w:ind w:left="200" w:hanging="196"/>
        <w:spacing w:after="0" w:line="253" w:lineRule="auto"/>
        <w:tabs>
          <w:tab w:leader="none" w:pos="2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Company-wide Lost Time Incident Rate (LTIR) of 0.13, surpassing world-class LTIR of 0.20 or lower</w:t>
      </w:r>
    </w:p>
    <w:p>
      <w:pPr>
        <w:spacing w:after="0" w:line="14" w:lineRule="exact"/>
        <w:rPr>
          <w:rFonts w:ascii="Arial" w:cs="Arial" w:eastAsia="Arial" w:hAnsi="Arial"/>
          <w:sz w:val="16"/>
          <w:szCs w:val="16"/>
          <w:color w:val="auto"/>
        </w:rPr>
      </w:pPr>
    </w:p>
    <w:p>
      <w:pPr>
        <w:ind w:left="200" w:hanging="196"/>
        <w:spacing w:after="0" w:line="253" w:lineRule="auto"/>
        <w:tabs>
          <w:tab w:leader="none" w:pos="2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Total Injury Incident Rate (TIIR) of 1.07, a 19% improvement compared with 2016</w:t>
      </w:r>
    </w:p>
    <w:p>
      <w:pPr>
        <w:spacing w:after="0" w:line="14" w:lineRule="exact"/>
        <w:rPr>
          <w:rFonts w:ascii="Arial" w:cs="Arial" w:eastAsia="Arial" w:hAnsi="Arial"/>
          <w:sz w:val="16"/>
          <w:szCs w:val="16"/>
          <w:color w:val="auto"/>
        </w:rPr>
      </w:pPr>
    </w:p>
    <w:p>
      <w:pPr>
        <w:ind w:left="200" w:right="20" w:hanging="196"/>
        <w:spacing w:after="0" w:line="253" w:lineRule="auto"/>
        <w:tabs>
          <w:tab w:leader="none" w:pos="2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Nineteen sites reached 500,000 consecutive hours worked without any incident and 11 sites surpassed one million hours of incident-free work</w:t>
      </w:r>
    </w:p>
    <w:p>
      <w:pPr>
        <w:spacing w:after="0" w:line="163" w:lineRule="exact"/>
        <w:rPr>
          <w:sz w:val="20"/>
          <w:szCs w:val="20"/>
          <w:color w:val="auto"/>
        </w:rPr>
      </w:pPr>
    </w:p>
    <w:p>
      <w:pPr>
        <w:ind w:right="520"/>
        <w:spacing w:after="0" w:line="250" w:lineRule="auto"/>
        <w:rPr>
          <w:sz w:val="20"/>
          <w:szCs w:val="20"/>
          <w:color w:val="auto"/>
        </w:rPr>
      </w:pPr>
      <w:r>
        <w:rPr>
          <w:rFonts w:ascii="Arial" w:cs="Arial" w:eastAsia="Arial" w:hAnsi="Arial"/>
          <w:sz w:val="16"/>
          <w:szCs w:val="16"/>
          <w:b w:val="1"/>
          <w:bCs w:val="1"/>
          <w:i w:val="1"/>
          <w:iCs w:val="1"/>
          <w:color w:val="49B28F"/>
        </w:rPr>
        <w:t>Expanded the Business Through Execution Against Disciplined Growth Strategy</w:t>
      </w:r>
    </w:p>
    <w:p>
      <w:pPr>
        <w:jc w:val="both"/>
        <w:spacing w:after="0"/>
        <w:rPr>
          <w:sz w:val="20"/>
          <w:szCs w:val="20"/>
          <w:color w:val="auto"/>
        </w:rPr>
      </w:pPr>
      <w:r>
        <w:rPr>
          <w:rFonts w:ascii="Arial" w:cs="Arial" w:eastAsia="Arial" w:hAnsi="Arial"/>
          <w:sz w:val="16"/>
          <w:szCs w:val="16"/>
          <w:color w:val="auto"/>
        </w:rPr>
        <w:t>On June 26, 2017, the Company announced a definitive agreement to acquire Bluegrass Materials Company (Bluegrass) for $1.625 billion in cash. Bluegrass is the largest privately held, pure-play aggregates business in the United States and has a portfolio of 23 active sites with more than 125 years of strategically-located, high-quality reserves, in Georgia, South Carolina, Tennessee, Maryland, Kentucky and Pennsylvania. These operations complement the Company’s existing southeastern footprint and provide a new growth platform within the southern portion of the Northeast megaregion. The Company and Bluegrass are working closely and cooperatively with the Department of Justice in its review of the proposed transaction. The parties currently anticipate that the proposed acquisition will be completed in the first half of 2018. In anticipation of closing the Bluegrass acquisition, the Company successfully completed a debt offering in December 2017, which included $300 million aggregate principal amount of Floating Rate Senior Notes due 2019, $500 million aggregate principal amount of 3.500% Senior Notes due in 2027 and $600 million aggregate principal amount of 4.250% Senior Notes due in 2047, the proceeds of which will be used in part to finance the pending acquisition.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9"/>
        <w:spacing w:after="0"/>
        <w:rPr>
          <w:sz w:val="20"/>
          <w:szCs w:val="20"/>
          <w:color w:val="auto"/>
        </w:rPr>
      </w:pPr>
      <w:r>
        <w:rPr>
          <w:rFonts w:ascii="Arial" w:cs="Arial" w:eastAsia="Arial" w:hAnsi="Arial"/>
          <w:sz w:val="16"/>
          <w:szCs w:val="16"/>
          <w:b w:val="1"/>
          <w:bCs w:val="1"/>
          <w:i w:val="1"/>
          <w:iCs w:val="1"/>
          <w:color w:val="49B28F"/>
        </w:rPr>
        <w:t>Achieved Record Financial Performance</w:t>
      </w:r>
    </w:p>
    <w:p>
      <w:pPr>
        <w:spacing w:after="0" w:line="18" w:lineRule="exact"/>
        <w:rPr>
          <w:sz w:val="20"/>
          <w:szCs w:val="20"/>
          <w:color w:val="auto"/>
        </w:rPr>
      </w:pPr>
    </w:p>
    <w:p>
      <w:pPr>
        <w:jc w:val="both"/>
        <w:ind w:left="9"/>
        <w:spacing w:after="0" w:line="238" w:lineRule="auto"/>
        <w:rPr>
          <w:sz w:val="20"/>
          <w:szCs w:val="20"/>
          <w:color w:val="auto"/>
        </w:rPr>
      </w:pPr>
      <w:r>
        <w:rPr>
          <w:rFonts w:ascii="Arial" w:cs="Arial" w:eastAsia="Arial" w:hAnsi="Arial"/>
          <w:sz w:val="16"/>
          <w:szCs w:val="16"/>
          <w:color w:val="auto"/>
        </w:rPr>
        <w:t>The Company achieved record total revenues, gross profit, earnings from operations and earnings per diluted share despite externally-driven headwinds, notably the significant amount of precipitation, which was exacerbated by weather-related events, across a majority of the Company’s geographies. Importantly, inclement weather was most significant during the second and third quarters, which represents the zenith of the construction season. According to the 2017 statewide precipitation map for the six-month period from April through September, for the 123 years the National Oceanic Atmospheric Administration (NOAA) has been tracking data, most areas experienced above-average rainfall. This, coupled with government uncertainty regarding additional infrastructure investment, attendant project delays and tight labor markets, exerted downward pressure on 2017 shipment and production levels. However, the Company’s commitment to operational excellence led to achieving the following metrics (comparisons with 2016, unless otherwise noted):</w:t>
      </w:r>
    </w:p>
    <w:p>
      <w:pPr>
        <w:spacing w:after="0" w:line="27" w:lineRule="exact"/>
        <w:rPr>
          <w:sz w:val="20"/>
          <w:szCs w:val="20"/>
          <w:color w:val="auto"/>
        </w:rPr>
      </w:pPr>
    </w:p>
    <w:p>
      <w:pPr>
        <w:jc w:val="both"/>
        <w:ind w:left="189" w:hanging="189"/>
        <w:spacing w:after="0" w:line="245" w:lineRule="auto"/>
        <w:tabs>
          <w:tab w:leader="none" w:pos="189"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Record earnings per diluted share of $11.25, inclusive of a $4.07 per diluted share benefit from the provisional assessment of the Tax Cuts and Jobs Act of 2017 (2017 Tax Act)</w:t>
      </w:r>
    </w:p>
    <w:p>
      <w:pPr>
        <w:spacing w:after="0" w:line="20" w:lineRule="exact"/>
        <w:rPr>
          <w:rFonts w:ascii="Arial" w:cs="Arial" w:eastAsia="Arial" w:hAnsi="Arial"/>
          <w:sz w:val="16"/>
          <w:szCs w:val="16"/>
          <w:color w:val="auto"/>
        </w:rPr>
      </w:pPr>
    </w:p>
    <w:p>
      <w:pPr>
        <w:ind w:left="349" w:hanging="170"/>
        <w:spacing w:after="0" w:line="253" w:lineRule="auto"/>
        <w:tabs>
          <w:tab w:leader="none" w:pos="349"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Even excluding the provisional benefits of the 2017 Tax Act, record earnings per diluted share achieved</w:t>
      </w:r>
    </w:p>
    <w:p>
      <w:pPr>
        <w:spacing w:after="0" w:line="14" w:lineRule="exact"/>
        <w:rPr>
          <w:rFonts w:ascii="Arial" w:cs="Arial" w:eastAsia="Arial" w:hAnsi="Arial"/>
          <w:sz w:val="16"/>
          <w:szCs w:val="16"/>
          <w:color w:val="auto"/>
        </w:rPr>
      </w:pPr>
    </w:p>
    <w:p>
      <w:pPr>
        <w:jc w:val="both"/>
        <w:ind w:left="189" w:hanging="189"/>
        <w:spacing w:after="0" w:line="242" w:lineRule="auto"/>
        <w:tabs>
          <w:tab w:leader="none" w:pos="189"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Record net earnings attributable to Martin Marietta of $713.3 million, an increase of 68%, inclusive of a $258.1 million one-time income tax benefit from the provisional remeasurement of deferred tax assets and liabilities following enactment of the 2017 Tax Act</w:t>
      </w:r>
    </w:p>
    <w:p>
      <w:pPr>
        <w:spacing w:after="0" w:line="23" w:lineRule="exact"/>
        <w:rPr>
          <w:rFonts w:ascii="Arial" w:cs="Arial" w:eastAsia="Arial" w:hAnsi="Arial"/>
          <w:sz w:val="16"/>
          <w:szCs w:val="16"/>
          <w:color w:val="auto"/>
        </w:rPr>
      </w:pPr>
    </w:p>
    <w:p>
      <w:pPr>
        <w:ind w:left="189" w:hanging="189"/>
        <w:spacing w:after="0" w:line="253" w:lineRule="auto"/>
        <w:tabs>
          <w:tab w:leader="none" w:pos="189"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Record consolidated EBITDA of $1.0 billion, a 3% improvement, and a 25% EBITDA margin (as a percentage of total revenues)</w:t>
      </w:r>
    </w:p>
    <w:p>
      <w:pPr>
        <w:spacing w:after="0" w:line="14" w:lineRule="exact"/>
        <w:rPr>
          <w:rFonts w:ascii="Arial" w:cs="Arial" w:eastAsia="Arial" w:hAnsi="Arial"/>
          <w:sz w:val="16"/>
          <w:szCs w:val="16"/>
          <w:color w:val="auto"/>
        </w:rPr>
      </w:pPr>
    </w:p>
    <w:p>
      <w:pPr>
        <w:ind w:left="189" w:hanging="189"/>
        <w:spacing w:after="0" w:line="253" w:lineRule="auto"/>
        <w:tabs>
          <w:tab w:leader="none" w:pos="189" w:val="left"/>
        </w:tabs>
        <w:numPr>
          <w:ilvl w:val="0"/>
          <w:numId w:val="22"/>
        </w:numPr>
        <w:rPr>
          <w:rFonts w:ascii="Arial" w:cs="Arial" w:eastAsia="Arial" w:hAnsi="Arial"/>
          <w:sz w:val="16"/>
          <w:szCs w:val="16"/>
          <w:color w:val="auto"/>
        </w:rPr>
      </w:pPr>
      <w:r>
        <w:rPr>
          <w:rFonts w:ascii="Arial" w:cs="Arial" w:eastAsia="Arial" w:hAnsi="Arial"/>
          <w:sz w:val="16"/>
          <w:szCs w:val="16"/>
          <w:color w:val="auto"/>
        </w:rPr>
        <w:t>Aggregates product line pricing increase of 4.5% and volume decline of 0.6%</w:t>
      </w:r>
    </w:p>
    <w:p>
      <w:pPr>
        <w:spacing w:after="0" w:line="14" w:lineRule="exact"/>
        <w:rPr>
          <w:rFonts w:ascii="Arial" w:cs="Arial" w:eastAsia="Arial" w:hAnsi="Arial"/>
          <w:sz w:val="16"/>
          <w:szCs w:val="16"/>
          <w:color w:val="auto"/>
        </w:rPr>
      </w:pPr>
    </w:p>
    <w:p>
      <w:pPr>
        <w:ind w:left="189" w:right="20" w:hanging="189"/>
        <w:spacing w:after="0" w:line="253" w:lineRule="auto"/>
        <w:tabs>
          <w:tab w:leader="none" w:pos="189"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Record Magnesia Specialties’ total revenues of $270.0 million and earnings from operations of $79.4 million</w:t>
      </w:r>
    </w:p>
    <w:p>
      <w:pPr>
        <w:spacing w:after="0" w:line="14" w:lineRule="exact"/>
        <w:rPr>
          <w:rFonts w:ascii="Arial" w:cs="Arial" w:eastAsia="Arial" w:hAnsi="Arial"/>
          <w:sz w:val="16"/>
          <w:szCs w:val="16"/>
          <w:color w:val="auto"/>
        </w:rPr>
      </w:pPr>
    </w:p>
    <w:p>
      <w:pPr>
        <w:ind w:left="189" w:hanging="189"/>
        <w:spacing w:after="0" w:line="253" w:lineRule="auto"/>
        <w:tabs>
          <w:tab w:leader="none" w:pos="189" w:val="left"/>
        </w:tabs>
        <w:numPr>
          <w:ilvl w:val="0"/>
          <w:numId w:val="22"/>
        </w:numPr>
        <w:rPr>
          <w:rFonts w:ascii="Arial" w:cs="Arial" w:eastAsia="Arial" w:hAnsi="Arial"/>
          <w:sz w:val="16"/>
          <w:szCs w:val="16"/>
          <w:color w:val="auto"/>
        </w:rPr>
      </w:pPr>
      <w:r>
        <w:rPr>
          <w:rFonts w:ascii="Arial" w:cs="Arial" w:eastAsia="Arial" w:hAnsi="Arial"/>
          <w:sz w:val="16"/>
          <w:szCs w:val="16"/>
          <w:color w:val="auto"/>
        </w:rPr>
        <w:t>Effective management of controllable production costs, as evidenced by a 60-basis-point improvement in consolidated gross margin</w:t>
      </w:r>
    </w:p>
    <w:p>
      <w:pPr>
        <w:spacing w:after="0" w:line="14" w:lineRule="exact"/>
        <w:rPr>
          <w:rFonts w:ascii="Arial" w:cs="Arial" w:eastAsia="Arial" w:hAnsi="Arial"/>
          <w:sz w:val="16"/>
          <w:szCs w:val="16"/>
          <w:color w:val="auto"/>
        </w:rPr>
      </w:pPr>
    </w:p>
    <w:p>
      <w:pPr>
        <w:ind w:left="189" w:hanging="189"/>
        <w:spacing w:after="0" w:line="253" w:lineRule="auto"/>
        <w:tabs>
          <w:tab w:leader="none" w:pos="189" w:val="left"/>
        </w:tabs>
        <w:numPr>
          <w:ilvl w:val="0"/>
          <w:numId w:val="22"/>
        </w:numPr>
        <w:rPr>
          <w:rFonts w:ascii="Arial" w:cs="Arial" w:eastAsia="Arial" w:hAnsi="Arial"/>
          <w:sz w:val="16"/>
          <w:szCs w:val="16"/>
          <w:color w:val="auto"/>
        </w:rPr>
      </w:pPr>
      <w:r>
        <w:rPr>
          <w:rFonts w:ascii="Arial" w:cs="Arial" w:eastAsia="Arial" w:hAnsi="Arial"/>
          <w:sz w:val="16"/>
          <w:szCs w:val="16"/>
          <w:color w:val="auto"/>
        </w:rPr>
        <w:t>Selling, general and administrative (SG&amp;A) expenses representing 6.6% of total revenues</w:t>
      </w:r>
    </w:p>
    <w:p>
      <w:pPr>
        <w:spacing w:after="0" w:line="1229" w:lineRule="exact"/>
        <w:rPr>
          <w:sz w:val="20"/>
          <w:szCs w:val="20"/>
          <w:color w:val="auto"/>
        </w:rPr>
      </w:pPr>
    </w:p>
    <w:p>
      <w:pPr>
        <w:sectPr>
          <w:pgSz w:w="11900" w:h="16838" w:orient="portrait"/>
          <w:cols w:equalWidth="0" w:num="2">
            <w:col w:w="5480" w:space="351"/>
            <w:col w:w="5589"/>
          </w:cols>
          <w:pgMar w:left="240" w:top="259" w:right="239" w:bottom="1440" w:gutter="0" w:footer="0" w:header="0"/>
          <w:type w:val="continuous"/>
        </w:sect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45</w:t>
      </w:r>
    </w:p>
    <w:p>
      <w:pPr>
        <w:sectPr>
          <w:pgSz w:w="11900" w:h="16838" w:orient="portrait"/>
          <w:cols w:equalWidth="0" w:num="1">
            <w:col w:w="11420"/>
          </w:cols>
          <w:pgMar w:left="240" w:top="259" w:right="239" w:bottom="1440" w:gutter="0" w:footer="0" w:header="0"/>
          <w:type w:val="continuous"/>
        </w:sectPr>
      </w:pPr>
    </w:p>
    <w:bookmarkStart w:id="98" w:name="page99"/>
    <w:bookmarkEnd w:id="98"/>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9">
                      <a:extLst>
                        <a:ext uri="{28A0092B-C50C-407E-A947-70E740481C1C}"/>
                      </a:extLst>
                    </a:blip>
                    <a:srcRect/>
                    <a:stretch>
                      <a:fillRect/>
                    </a:stretch>
                  </pic:blipFill>
                  <pic:spPr bwMode="auto">
                    <a:xfrm>
                      <a:off x="0" y="0"/>
                      <a:ext cx="7293610" cy="37465"/>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420"/>
          </w:cols>
          <w:pgMar w:left="240" w:top="2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49B28F"/>
        </w:rPr>
        <w:t>Cash Flows</w:t>
      </w:r>
    </w:p>
    <w:p>
      <w:pPr>
        <w:spacing w:after="0" w:line="53" w:lineRule="exact"/>
        <w:rPr>
          <w:sz w:val="20"/>
          <w:szCs w:val="20"/>
          <w:color w:val="auto"/>
        </w:rPr>
      </w:pPr>
    </w:p>
    <w:p>
      <w:pPr>
        <w:ind w:left="200" w:hanging="196"/>
        <w:spacing w:after="0"/>
        <w:tabs>
          <w:tab w:leader="none" w:pos="2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Operating cash flow of $657.9 million</w:t>
      </w:r>
    </w:p>
    <w:p>
      <w:pPr>
        <w:spacing w:after="0" w:line="49" w:lineRule="exact"/>
        <w:rPr>
          <w:rFonts w:ascii="Arial" w:cs="Arial" w:eastAsia="Arial" w:hAnsi="Arial"/>
          <w:sz w:val="16"/>
          <w:szCs w:val="16"/>
          <w:color w:val="auto"/>
        </w:rPr>
      </w:pPr>
    </w:p>
    <w:p>
      <w:pPr>
        <w:ind w:left="200" w:hanging="196"/>
        <w:spacing w:after="0" w:line="253" w:lineRule="auto"/>
        <w:tabs>
          <w:tab w:leader="none" w:pos="2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Return of $208.9 million of cash to shareholders through share repurchases ($100.0 million) and dividends ($108.9 million)</w:t>
      </w:r>
    </w:p>
    <w:p>
      <w:pPr>
        <w:spacing w:after="0" w:line="14" w:lineRule="exact"/>
        <w:rPr>
          <w:rFonts w:ascii="Arial" w:cs="Arial" w:eastAsia="Arial" w:hAnsi="Arial"/>
          <w:sz w:val="16"/>
          <w:szCs w:val="16"/>
          <w:color w:val="auto"/>
        </w:rPr>
      </w:pPr>
    </w:p>
    <w:p>
      <w:pPr>
        <w:jc w:val="both"/>
        <w:ind w:left="200" w:hanging="196"/>
        <w:spacing w:after="0" w:line="242" w:lineRule="auto"/>
        <w:tabs>
          <w:tab w:leader="none" w:pos="2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Ratio of consolidated net debt-to-consolidated EBITDA of 1.6 times for the trailing-twelve months ended December 31, 2017, calculated as prescribed in the Company’s bank credit agreements and in compliance with the covenant maximum of 3.5 times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0085CD"/>
        </w:rPr>
        <w:t>BUSINESS ENVIRONMENT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0085CD"/>
        </w:rPr>
        <w:t>Building Materials Business</w:t>
      </w:r>
    </w:p>
    <w:p>
      <w:pPr>
        <w:spacing w:after="0" w:line="33"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The Building Materials business serves customers in the construction marketplace. The business’ profitability is sensitive to national, regional and local economic conditions and cyclical swings in construction spending, which are in turn affected by fluctuations in interest rates; access to capital markets; levels of public-sector infrastructure funding; and demographic, geographic, employment and population dynamics.</w:t>
      </w:r>
    </w:p>
    <w:p>
      <w:pPr>
        <w:spacing w:after="0" w:line="194"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 xml:space="preserve">The heavy-side construction business, inclusive of much of the Company’s operations, is conducted outdoors. Therefore, erratic weather patterns, precipitation and other weather related conditions, including flooding, hurricanes, snowstorms and droughts, can significantly affect production schedules, shipments, costs, efficiencies and profitability. Generally, the financial results for the first and fourth quarters are significantly lower than the second and third quarters due to winter weather. The impacts of erratic weather patterns are more fully discussed in the </w:t>
      </w:r>
      <w:r>
        <w:rPr>
          <w:rFonts w:ascii="Arial" w:cs="Arial" w:eastAsia="Arial" w:hAnsi="Arial"/>
          <w:sz w:val="16"/>
          <w:szCs w:val="16"/>
          <w:i w:val="1"/>
          <w:iCs w:val="1"/>
          <w:color w:val="auto"/>
        </w:rPr>
        <w:t>Building Materials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Business’ Key Considerations </w:t>
      </w:r>
      <w:r>
        <w:rPr>
          <w:rFonts w:ascii="Arial" w:cs="Arial" w:eastAsia="Arial" w:hAnsi="Arial"/>
          <w:sz w:val="16"/>
          <w:szCs w:val="16"/>
          <w:color w:val="auto"/>
        </w:rPr>
        <w:t>section.</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8D5D6C"/>
        </w:rPr>
        <w:t>Product Lines</w:t>
      </w:r>
    </w:p>
    <w:p>
      <w:pPr>
        <w:spacing w:after="0" w:line="42"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Aggregates are an engineered granular material consisting of crushed stone, sand and gravel of varying mineralogies, manufactured to specific sizes, grades and chemistry for use primarily in construction applications. The Company’s operations consist primarily of open pit quarries; however, the Company is the largest operator of underground aggregates mines in the United States, with 14 active underground mines located in the Mid-America Group. On average, the Company’s aggregates reserves exceed 60 years based on normalized production levels and approximate 100 years at current production rates.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Cement is the basic binding agent used to bind water, aggregates and sand, in the production of ready mixed concrete. The Company has a strategic and leading cement position in the Texas markets, with production facilities in Midlothian, Texas, south of Dallas-Fort Worth, and Hunter, Texas, north of San Antonio. These plants produce Portland and specialty cements, have a combined annual capacity of 4.5 million tons, and operated at 75% to 80% utilization in 2017. The Midlothian plant has a permit that provides an 800,000-ton-expansion opportunity. In addition to the two production facilities, the Company operates several cement distribution terminals. Calcium carbonate in the form of limestone is the principal raw material used in the production of cement. The Company owns more than 600 million tons of limestone reserves adjacent to its cement production plants.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-5530850</wp:posOffset>
            </wp:positionV>
            <wp:extent cx="2488565" cy="40132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0">
                      <a:extLst>
                        <a:ext uri="{28A0092B-C50C-407E-A947-70E740481C1C}"/>
                      </a:extLst>
                    </a:blip>
                    <a:srcRect/>
                    <a:stretch>
                      <a:fillRect/>
                    </a:stretch>
                  </pic:blipFill>
                  <pic:spPr bwMode="auto">
                    <a:xfrm>
                      <a:off x="0" y="0"/>
                      <a:ext cx="2488565" cy="40132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80" w:space="360"/>
            <w:col w:w="5580"/>
          </w:cols>
          <w:pgMar w:left="240" w:top="259" w:right="239" w:bottom="1440" w:gutter="0" w:footer="0" w:header="0"/>
          <w:type w:val="continuous"/>
        </w:sectPr>
      </w:pP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46</w:t>
      </w:r>
    </w:p>
    <w:p>
      <w:pPr>
        <w:sectPr>
          <w:pgSz w:w="11900" w:h="16838" w:orient="portrait"/>
          <w:cols w:equalWidth="0" w:num="1">
            <w:col w:w="11420"/>
          </w:cols>
          <w:pgMar w:left="240" w:top="259" w:right="239" w:bottom="1440" w:gutter="0" w:footer="0" w:header="0"/>
          <w:type w:val="continuous"/>
        </w:sectPr>
      </w:pPr>
    </w:p>
    <w:bookmarkStart w:id="99" w:name="page100"/>
    <w:bookmarkEnd w:id="99"/>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1">
                      <a:extLst>
                        <a:ext uri="{28A0092B-C50C-407E-A947-70E740481C1C}"/>
                      </a:extLst>
                    </a:blip>
                    <a:srcRect/>
                    <a:stretch>
                      <a:fillRect/>
                    </a:stretch>
                  </pic:blipFill>
                  <pic:spPr bwMode="auto">
                    <a:xfrm>
                      <a:off x="0" y="0"/>
                      <a:ext cx="7293610" cy="37465"/>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420"/>
          </w:cols>
          <w:pgMar w:left="240" w:top="2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spacing w:after="0"/>
        <w:rPr>
          <w:sz w:val="20"/>
          <w:szCs w:val="20"/>
          <w:color w:val="auto"/>
        </w:rPr>
      </w:pPr>
      <w:r>
        <w:rPr>
          <w:rFonts w:ascii="Arial" w:cs="Arial" w:eastAsia="Arial" w:hAnsi="Arial"/>
          <w:sz w:val="16"/>
          <w:szCs w:val="16"/>
          <w:color w:val="auto"/>
        </w:rPr>
        <w:t>Ready mixed concrete, a mixture primarily of cement, water and aggregates, is measured in cubic yards and specifically batched or produced for customers’ construction projects and then transported and poured at the project site. The aggregates used for ready mixed concrete is a washed type material with limited amounts of fines (i.e., dirt and clay). The Company owns 143 ready mix operations in Texas, Colorado, Louisiana and Arkansas. Asphalt is most commonly used in surfacing roads and parking lots and consists of liquid asphalt, the binding medium, and aggregates. Similar to ready mixed concrete, each asphalt batch is produced to customer specifications. The Company’s asphalt operations are located primarily in Colorado; additionally, paving services are offered in Colorado. Market dynamics for these product lines include a highly competitive environment and lower barriers to entry compared with aggregates and cement.</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color w:val="8D5D6C"/>
        </w:rPr>
        <w:t>End-Use Trends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36195</wp:posOffset>
            </wp:positionV>
            <wp:extent cx="3416300" cy="14630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2">
                      <a:extLst>
                        <a:ext uri="{28A0092B-C50C-407E-A947-70E740481C1C}"/>
                      </a:extLst>
                    </a:blip>
                    <a:srcRect/>
                    <a:stretch>
                      <a:fillRect/>
                    </a:stretch>
                  </pic:blipFill>
                  <pic:spPr bwMode="auto">
                    <a:xfrm>
                      <a:off x="0" y="0"/>
                      <a:ext cx="3416300" cy="1463040"/>
                    </a:xfrm>
                    <a:prstGeom prst="rect">
                      <a:avLst/>
                    </a:prstGeom>
                    <a:noFill/>
                  </pic:spPr>
                </pic:pic>
              </a:graphicData>
            </a:graphic>
          </wp:anchor>
        </w:drawing>
      </w:r>
    </w:p>
    <w:p>
      <w:pPr>
        <w:spacing w:after="0" w:line="71" w:lineRule="exact"/>
        <w:rPr>
          <w:sz w:val="20"/>
          <w:szCs w:val="20"/>
          <w:color w:val="auto"/>
        </w:rPr>
      </w:pPr>
    </w:p>
    <w:p>
      <w:pPr>
        <w:ind w:left="440" w:right="120" w:hanging="291"/>
        <w:spacing w:after="0" w:line="241" w:lineRule="auto"/>
        <w:tabs>
          <w:tab w:leader="none" w:pos="440"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According to the U.S. Geological Survey, for the nine-months ended September 30, 2017, the latest available governmental data, estimated construction aggregates consumption decreased 4% and estimated cement consumption increased 2%, both compared with the nine-months ended September 30, 2016</w:t>
      </w:r>
    </w:p>
    <w:p>
      <w:pPr>
        <w:ind w:left="440" w:right="140" w:hanging="291"/>
        <w:spacing w:after="0" w:line="237" w:lineRule="auto"/>
        <w:tabs>
          <w:tab w:leader="none" w:pos="440"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Spending statistics for 2017 versus 2016, according to U.S. Census Bureau:</w:t>
      </w:r>
    </w:p>
    <w:p>
      <w:pPr>
        <w:ind w:left="560" w:hanging="164"/>
        <w:spacing w:after="0" w:line="237" w:lineRule="auto"/>
        <w:tabs>
          <w:tab w:leader="none" w:pos="560" w:val="left"/>
        </w:tabs>
        <w:numPr>
          <w:ilvl w:val="1"/>
          <w:numId w:val="24"/>
        </w:numPr>
        <w:rPr>
          <w:rFonts w:ascii="Arial" w:cs="Arial" w:eastAsia="Arial" w:hAnsi="Arial"/>
          <w:sz w:val="16"/>
          <w:szCs w:val="16"/>
          <w:i w:val="1"/>
          <w:iCs w:val="1"/>
          <w:color w:val="auto"/>
        </w:rPr>
      </w:pPr>
      <w:r>
        <w:rPr>
          <w:rFonts w:ascii="Arial" w:cs="Arial" w:eastAsia="Arial" w:hAnsi="Arial"/>
          <w:sz w:val="16"/>
          <w:szCs w:val="16"/>
          <w:i w:val="1"/>
          <w:iCs w:val="1"/>
          <w:color w:val="auto"/>
        </w:rPr>
        <w:t>Total value of construction put in place increased 3%</w:t>
      </w:r>
    </w:p>
    <w:p>
      <w:pPr>
        <w:ind w:left="560" w:hanging="164"/>
        <w:spacing w:after="0" w:line="237" w:lineRule="auto"/>
        <w:tabs>
          <w:tab w:leader="none" w:pos="560" w:val="left"/>
        </w:tabs>
        <w:numPr>
          <w:ilvl w:val="1"/>
          <w:numId w:val="24"/>
        </w:numPr>
        <w:rPr>
          <w:rFonts w:ascii="Arial" w:cs="Arial" w:eastAsia="Arial" w:hAnsi="Arial"/>
          <w:sz w:val="16"/>
          <w:szCs w:val="16"/>
          <w:i w:val="1"/>
          <w:iCs w:val="1"/>
          <w:color w:val="auto"/>
        </w:rPr>
      </w:pPr>
      <w:r>
        <w:rPr>
          <w:rFonts w:ascii="Arial" w:cs="Arial" w:eastAsia="Arial" w:hAnsi="Arial"/>
          <w:sz w:val="16"/>
          <w:szCs w:val="16"/>
          <w:i w:val="1"/>
          <w:iCs w:val="1"/>
          <w:color w:val="auto"/>
        </w:rPr>
        <w:t>Public-works construction spending increased 4%</w:t>
      </w:r>
    </w:p>
    <w:p>
      <w:pPr>
        <w:ind w:left="560" w:right="340" w:hanging="164"/>
        <w:spacing w:after="0" w:line="237" w:lineRule="auto"/>
        <w:tabs>
          <w:tab w:leader="none" w:pos="560" w:val="left"/>
        </w:tabs>
        <w:numPr>
          <w:ilvl w:val="1"/>
          <w:numId w:val="24"/>
        </w:numPr>
        <w:rPr>
          <w:rFonts w:ascii="Arial" w:cs="Arial" w:eastAsia="Arial" w:hAnsi="Arial"/>
          <w:sz w:val="16"/>
          <w:szCs w:val="16"/>
          <w:i w:val="1"/>
          <w:iCs w:val="1"/>
          <w:color w:val="auto"/>
        </w:rPr>
      </w:pPr>
      <w:r>
        <w:rPr>
          <w:rFonts w:ascii="Arial" w:cs="Arial" w:eastAsia="Arial" w:hAnsi="Arial"/>
          <w:sz w:val="16"/>
          <w:szCs w:val="16"/>
          <w:i w:val="1"/>
          <w:iCs w:val="1"/>
          <w:color w:val="auto"/>
        </w:rPr>
        <w:t>Private nonresidential construction market spending decreased 3%</w:t>
      </w:r>
    </w:p>
    <w:p>
      <w:pPr>
        <w:ind w:left="560" w:hanging="164"/>
        <w:spacing w:after="0"/>
        <w:tabs>
          <w:tab w:leader="none" w:pos="560" w:val="left"/>
        </w:tabs>
        <w:numPr>
          <w:ilvl w:val="1"/>
          <w:numId w:val="24"/>
        </w:numPr>
        <w:rPr>
          <w:rFonts w:ascii="Arial" w:cs="Arial" w:eastAsia="Arial" w:hAnsi="Arial"/>
          <w:sz w:val="16"/>
          <w:szCs w:val="16"/>
          <w:i w:val="1"/>
          <w:iCs w:val="1"/>
          <w:color w:val="auto"/>
        </w:rPr>
      </w:pPr>
      <w:r>
        <w:rPr>
          <w:rFonts w:ascii="Arial" w:cs="Arial" w:eastAsia="Arial" w:hAnsi="Arial"/>
          <w:sz w:val="16"/>
          <w:szCs w:val="16"/>
          <w:i w:val="1"/>
          <w:iCs w:val="1"/>
          <w:color w:val="auto"/>
        </w:rPr>
        <w:t>Private residential construction market spending increased 6%</w:t>
      </w:r>
    </w:p>
    <w:p>
      <w:pPr>
        <w:spacing w:after="0" w:line="270"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The principal end-use markets of the Building Materials business are public infrastructure (i.e., highways; streets; roads; bridges; and schools); nonresidential construction (i.e., manufacturing and distribution facilities; industrial complexes; office buildings; large retailers and wholesalers; malls; and energy-related activity); and residential construction (i.e., subdivision development; and single- and multi-family housing). Aggregates are also used in agricultural, utility and environmental applications and as railroad ballast, collectively, the ChemRock/Rail market.</w:t>
      </w:r>
    </w:p>
    <w:p>
      <w:pPr>
        <w:spacing w:after="0" w:line="371" w:lineRule="exact"/>
        <w:rPr>
          <w:sz w:val="20"/>
          <w:szCs w:val="20"/>
          <w:color w:val="auto"/>
        </w:rPr>
      </w:pPr>
    </w:p>
    <w:p>
      <w:pPr>
        <w:jc w:val="both"/>
        <w:spacing w:after="0"/>
        <w:rPr>
          <w:sz w:val="20"/>
          <w:szCs w:val="20"/>
          <w:color w:val="auto"/>
        </w:rPr>
      </w:pPr>
      <w:r>
        <w:rPr>
          <w:rFonts w:ascii="Arial" w:cs="Arial" w:eastAsia="Arial" w:hAnsi="Arial"/>
          <w:sz w:val="16"/>
          <w:szCs w:val="16"/>
          <w:color w:val="auto"/>
        </w:rPr>
        <w:t>Public infrastructure jobs can require several years to complete, while residential and non-residential construction jobs are usually completed within one year. Generally, the purchase orders the Company receives from its customers do not contain firm quantity commitments, regardless of end use market. Therefore, management does not utilize a Company backlog in managing its business.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49B28F"/>
        </w:rPr>
        <w:t>Public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-4657090</wp:posOffset>
            </wp:positionV>
            <wp:extent cx="2974975" cy="44253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3">
                      <a:extLst>
                        <a:ext uri="{28A0092B-C50C-407E-A947-70E740481C1C}"/>
                      </a:extLst>
                    </a:blip>
                    <a:srcRect/>
                    <a:stretch>
                      <a:fillRect/>
                    </a:stretch>
                  </pic:blipFill>
                  <pic:spPr bwMode="auto">
                    <a:xfrm>
                      <a:off x="0" y="0"/>
                      <a:ext cx="2974975" cy="4425315"/>
                    </a:xfrm>
                    <a:prstGeom prst="rect">
                      <a:avLst/>
                    </a:prstGeom>
                    <a:noFill/>
                  </pic:spPr>
                </pic:pic>
              </a:graphicData>
            </a:graphic>
          </wp:anchor>
        </w:drawing>
      </w:r>
    </w:p>
    <w:p>
      <w:pPr>
        <w:spacing w:after="0" w:line="37"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The public infrastructure market accounted for approximately 40% of the Company’s aggregates product line shipments in 2017, consistent with 2016 and 2015. Government uncertainty, attendant project delays and tight labor markets have exerted disproportionate downward pressure on public construction activity and, for the past three years, as these headwinds have worsened, the Company’s shipments to this end-use market have remained below the most recent five-year average of 43% and ten-year average of 48%.</w:t>
      </w:r>
    </w:p>
    <w:p>
      <w:pPr>
        <w:spacing w:after="0" w:line="373"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While construction spending in the public and private market sectors is affected by economic cycles, the historic level of spending on public infrastructure projects has been comparatively more stable due to predictability of funding from federal, state and local governments, with approximately half</w:t>
      </w:r>
    </w:p>
    <w:p>
      <w:pPr>
        <w:spacing w:after="0" w:line="200" w:lineRule="exact"/>
        <w:rPr>
          <w:sz w:val="20"/>
          <w:szCs w:val="20"/>
          <w:color w:val="auto"/>
        </w:rPr>
      </w:pPr>
    </w:p>
    <w:p>
      <w:pPr>
        <w:sectPr>
          <w:pgSz w:w="11900" w:h="16838" w:orient="portrait"/>
          <w:cols w:equalWidth="0" w:num="2">
            <w:col w:w="5480" w:space="360"/>
            <w:col w:w="5580"/>
          </w:cols>
          <w:pgMar w:left="240" w:top="259" w:right="239" w:bottom="1440" w:gutter="0" w:footer="0" w:header="0"/>
          <w:type w:val="continuous"/>
        </w:sect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47</w:t>
      </w:r>
    </w:p>
    <w:p>
      <w:pPr>
        <w:sectPr>
          <w:pgSz w:w="11900" w:h="16838" w:orient="portrait"/>
          <w:cols w:equalWidth="0" w:num="1">
            <w:col w:w="11420"/>
          </w:cols>
          <w:pgMar w:left="240" w:top="259" w:right="239" w:bottom="1440" w:gutter="0" w:footer="0" w:header="0"/>
          <w:type w:val="continuous"/>
        </w:sectPr>
      </w:pPr>
    </w:p>
    <w:bookmarkStart w:id="100" w:name="page101"/>
    <w:bookmarkEnd w:id="100"/>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4">
                      <a:extLst>
                        <a:ext uri="{28A0092B-C50C-407E-A947-70E740481C1C}"/>
                      </a:extLst>
                    </a:blip>
                    <a:srcRect/>
                    <a:stretch>
                      <a:fillRect/>
                    </a:stretch>
                  </pic:blipFill>
                  <pic:spPr bwMode="auto">
                    <a:xfrm>
                      <a:off x="0" y="0"/>
                      <a:ext cx="7293610" cy="37465"/>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420"/>
          </w:cols>
          <w:pgMar w:left="240" w:top="2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spacing w:after="0"/>
        <w:rPr>
          <w:sz w:val="20"/>
          <w:szCs w:val="20"/>
          <w:color w:val="auto"/>
        </w:rPr>
      </w:pPr>
      <w:r>
        <w:rPr>
          <w:rFonts w:ascii="Arial" w:cs="Arial" w:eastAsia="Arial" w:hAnsi="Arial"/>
          <w:sz w:val="16"/>
          <w:szCs w:val="16"/>
          <w:color w:val="auto"/>
        </w:rPr>
        <w:t>of the funding from federal government and half from state and local governments. However, public infrastructure activity has not yet experienced the anticipated benefits from funding provided by the Fixing America’s Surface Transportation Act (FAST Act), signed into law on December 4, 2015. The FAST Act, the first long-term transportation funding bill in nearly a decade, authorizes $305 billion over fiscal years 2016 through 2020. State and local initiatives that support infrastructure funding, including gas tax increases and other ballot initiatives, are increasing in size and number as these governments recognize the need to play an expanded role in public infrastructure funding. Specifically, in the November 2017 election, $3.7 billion of transportation funding initiatives were approved in Texas, Colorado, Georgia, South Carolina and Kansas. The pace of construction should accelerate and shipments to the public infrastructure market should return to historical levels as monies from both the federal government and state and local governments become available. A return to historical levels is also predicated as state Departments of Transportations (DOTs) and contractors address their respective labor constraints.</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49B28F"/>
        </w:rPr>
        <w:t>Nonresidential</w:t>
      </w:r>
    </w:p>
    <w:p>
      <w:pPr>
        <w:spacing w:after="0" w:line="57"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The nonresidential construction market accounted for approximately 31% of the Company’s aggregates product line shipments in 2017. According to the U.S. Census Bureau, spending for the private nonresidential construction market increased in 2017 compared with 2016. The Dodge Momentum Index (DMI), a twelve-month leading indicator of construction spending for nonresidential building compiled by McGraw-Hill Construction and where the year 2000 serves as an index basis of 100, remained strong at a nine-year high of 153.9 in December 2017, a 21% increase over prior year. The DMI suggests nonresidential construction activity will remain healthy over the next several years. Historically, half of the Company’s nonresidential construction shipments have been used for office and retail projects, while the remainder has been used for heavy industrial and capacity-related projects, including energy-related projects. Since the latter part of 2015, low oil prices have suppressed shipments directly into shale exploration activities. In 2017, the Company shipped approximately 1.8 million tons for shale exploration compared with approximately</w:t>
      </w:r>
    </w:p>
    <w:p>
      <w:pPr>
        <w:jc w:val="both"/>
        <w:spacing w:after="0"/>
        <w:rPr>
          <w:sz w:val="20"/>
          <w:szCs w:val="20"/>
          <w:color w:val="auto"/>
        </w:rPr>
      </w:pPr>
      <w:r>
        <w:rPr>
          <w:rFonts w:ascii="Arial" w:cs="Arial" w:eastAsia="Arial" w:hAnsi="Arial"/>
          <w:sz w:val="16"/>
          <w:szCs w:val="16"/>
          <w:color w:val="auto"/>
        </w:rPr>
        <w:t>1.5 million tons in 2016 and 3.6 million tons in 2015. Large, energy-related projects, which were completed in 2016 and required the full suite of the Building Materials products in the West Group, contributed favorably to shipments and profitability through the life of the projects. Management expects the next large wave of energy-related projects along the Gulf Coast to bid in the latter part of 2018.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49B28F"/>
        </w:rPr>
        <w:t>Residential</w:t>
      </w:r>
    </w:p>
    <w:p>
      <w:pPr>
        <w:spacing w:after="0" w:line="57"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The residential construction market accounted for approximately 21% of the Company’s aggregates product line shipments in 2017. Private residential construction spending increased 12% in 2017 compared with 2016, according to the U.S. Census Bureau. The residential construction market, like the nonresidential construction market, is interest rate sensitive and typically moves in direct correlation with economic cycles. The Company’s exposure to residential construction is split between aggregates used in the construction of subdivisions (including roads, sidewalks, and storm and sewage drainage), aggregates used in new single-family home construction and aggregates used in construction of multi-family units. Construction of both subdivisions and single-family homes is more aggregates intensive than construction of multi-family units. Through an economic cycle, multi-family construction generally begins early in the cycle and then transitions to single-family construction. Therefore, the timing of new subdivision starts, as well as new single-family housing permits, are strong indicators of residential volumes. While residential housing starts were approximately 1.3 million units in 2017, they remain below the 50-year historical annual average of 1.5 million units. For the year ended December 2017, six of the Company’s key states rank in the top ten for single-family housing starts. The Company expects continued growth in the residential market.</w:t>
      </w: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49B28F"/>
        </w:rPr>
        <w:t>ChemRock/Rail</w:t>
      </w:r>
    </w:p>
    <w:p>
      <w:pPr>
        <w:spacing w:after="0" w:line="44"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Approximately 8% of the Company’s 2017 aggregates product line shipments was to the ChemRock/Rail market, which includes ballast and agricultural limestone. Ballast is an aggregates product used to stabilize railroad track beds and, increasingly, concrete rail ties are being used as a substitute for wooden ties. Ballast shipments declined in 2017 due to lower railroad activity, largely correlating with lower energy-related rail shipments. Agricultural lime, a high-calcium carbonate material, is used as a supplement in animal feed, a soil acidity neutralizer and agricultural growth enhancer. Additionally, ChemRock/Rail includes rip rap, which is used as a stabilizing material to control erosion caused by water runoff at ocean beaches, inlets, rivers and streams, and high-calcium limestone, which is used as filler in glass, plastic, paint, rubber, adhesives, grease and paper. Chemical-grade, high-calcium limestone is used as a desulfurization material in utility plants.</w:t>
      </w:r>
    </w:p>
    <w:p>
      <w:pPr>
        <w:spacing w:after="0" w:line="1268" w:lineRule="exact"/>
        <w:rPr>
          <w:sz w:val="20"/>
          <w:szCs w:val="20"/>
          <w:color w:val="auto"/>
        </w:rPr>
      </w:pPr>
    </w:p>
    <w:p>
      <w:pPr>
        <w:sectPr>
          <w:pgSz w:w="11900" w:h="16838" w:orient="portrait"/>
          <w:cols w:equalWidth="0" w:num="2">
            <w:col w:w="5480" w:space="360"/>
            <w:col w:w="5580"/>
          </w:cols>
          <w:pgMar w:left="240" w:top="259" w:right="239" w:bottom="1440" w:gutter="0" w:footer="0" w:header="0"/>
          <w:type w:val="continuous"/>
        </w:sectPr>
      </w:pPr>
    </w:p>
    <w:p>
      <w:pPr>
        <w:spacing w:after="0" w:line="4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48</w:t>
      </w:r>
    </w:p>
    <w:p>
      <w:pPr>
        <w:sectPr>
          <w:pgSz w:w="11900" w:h="16838" w:orient="portrait"/>
          <w:cols w:equalWidth="0" w:num="1">
            <w:col w:w="11420"/>
          </w:cols>
          <w:pgMar w:left="240" w:top="259" w:right="239" w:bottom="1440" w:gutter="0" w:footer="0" w:header="0"/>
          <w:type w:val="continuous"/>
        </w:sectPr>
      </w:pPr>
    </w:p>
    <w:bookmarkStart w:id="101" w:name="page102"/>
    <w:bookmarkEnd w:id="101"/>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5">
                      <a:extLst>
                        <a:ext uri="{28A0092B-C50C-407E-A947-70E740481C1C}"/>
                      </a:extLst>
                    </a:blip>
                    <a:srcRect/>
                    <a:stretch>
                      <a:fillRect/>
                    </a:stretch>
                  </pic:blipFill>
                  <pic:spPr bwMode="auto">
                    <a:xfrm>
                      <a:off x="0" y="0"/>
                      <a:ext cx="7293610" cy="37465"/>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color w:val="8D5D6C"/>
        </w:rPr>
        <w:t>Pricing Trends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-109220</wp:posOffset>
            </wp:positionV>
            <wp:extent cx="2958465" cy="24968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6">
                      <a:extLst>
                        <a:ext uri="{28A0092B-C50C-407E-A947-70E740481C1C}"/>
                      </a:extLst>
                    </a:blip>
                    <a:srcRect/>
                    <a:stretch>
                      <a:fillRect/>
                    </a:stretch>
                  </pic:blipFill>
                  <pic:spPr bwMode="auto">
                    <a:xfrm>
                      <a:off x="0" y="0"/>
                      <a:ext cx="2958465" cy="2496820"/>
                    </a:xfrm>
                    <a:prstGeom prst="rect">
                      <a:avLst/>
                    </a:prstGeom>
                    <a:noFill/>
                  </pic:spPr>
                </pic:pic>
              </a:graphicData>
            </a:graphic>
          </wp:anchor>
        </w:drawing>
      </w:r>
    </w:p>
    <w:p>
      <w:pPr>
        <w:spacing w:after="0" w:line="35" w:lineRule="exact"/>
        <w:rPr>
          <w:sz w:val="20"/>
          <w:szCs w:val="20"/>
          <w:color w:val="auto"/>
        </w:rPr>
      </w:pPr>
    </w:p>
    <w:p>
      <w:pPr>
        <w:jc w:val="both"/>
        <w:ind w:right="5940"/>
        <w:spacing w:after="0" w:line="238" w:lineRule="auto"/>
        <w:rPr>
          <w:sz w:val="20"/>
          <w:szCs w:val="20"/>
          <w:color w:val="auto"/>
        </w:rPr>
      </w:pPr>
      <w:r>
        <w:rPr>
          <w:rFonts w:ascii="Arial" w:cs="Arial" w:eastAsia="Arial" w:hAnsi="Arial"/>
          <w:sz w:val="16"/>
          <w:szCs w:val="16"/>
          <w:color w:val="auto"/>
        </w:rPr>
        <w:t>Pricing for construction projects is generally based on terms committing to the availability of specified products of a stated quantity at an agreed-upon price during a definitive period. Due to infrastructure projects spanning multiple years, announced changes in prices can have a lag time before taking effect while the Company sells products under existing price agreements. Pricing escalators included in multi-year infrastructure contracts somewhat mitigate this effect. However, during periods of sharp or rapid increases in production costs, multi-year infrastructure contract pricing may provide only nominal pricing growth. Additionally, the Company may implement mid-year price increases, on a market-by-market basis, where appropriate. Pricing is determined locally and is affected by supply and demand characteristics of the local market.</w:t>
      </w:r>
    </w:p>
    <w:p>
      <w:pPr>
        <w:spacing w:after="0" w:line="302" w:lineRule="exact"/>
        <w:rPr>
          <w:sz w:val="20"/>
          <w:szCs w:val="20"/>
          <w:color w:val="auto"/>
        </w:rPr>
      </w:pPr>
    </w:p>
    <w:p>
      <w:pPr>
        <w:jc w:val="both"/>
        <w:ind w:right="5940"/>
        <w:spacing w:after="0" w:line="242" w:lineRule="auto"/>
        <w:rPr>
          <w:sz w:val="20"/>
          <w:szCs w:val="20"/>
          <w:color w:val="auto"/>
        </w:rPr>
      </w:pPr>
      <w:r>
        <w:rPr>
          <w:rFonts w:ascii="Arial" w:cs="Arial" w:eastAsia="Arial" w:hAnsi="Arial"/>
          <w:sz w:val="16"/>
          <w:szCs w:val="16"/>
          <w:color w:val="auto"/>
        </w:rPr>
        <w:t>In 2017, the average selling price for the aggregates product line increased 4.5%, in line with management’s expectations. Management believes 2018 aggregates product line pricing growth will be consistent with 2017 and slightly better than the Company’s 20-year annual average of 4.3%.</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8D5D6C"/>
        </w:rPr>
        <w:t>Cost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36195</wp:posOffset>
            </wp:positionV>
            <wp:extent cx="3477895" cy="12738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7">
                      <a:extLst>
                        <a:ext uri="{28A0092B-C50C-407E-A947-70E740481C1C}"/>
                      </a:extLst>
                    </a:blip>
                    <a:srcRect/>
                    <a:stretch>
                      <a:fillRect/>
                    </a:stretch>
                  </pic:blipFill>
                  <pic:spPr bwMode="auto">
                    <a:xfrm>
                      <a:off x="0" y="0"/>
                      <a:ext cx="3477895" cy="1273810"/>
                    </a:xfrm>
                    <a:prstGeom prst="rect">
                      <a:avLst/>
                    </a:prstGeom>
                    <a:noFill/>
                  </pic:spPr>
                </pic:pic>
              </a:graphicData>
            </a:graphic>
          </wp:anchor>
        </w:drawing>
      </w:r>
    </w:p>
    <w:p>
      <w:pPr>
        <w:sectPr>
          <w:pgSz w:w="11900" w:h="16838" w:orient="portrait"/>
          <w:cols w:equalWidth="0" w:num="1">
            <w:col w:w="11420"/>
          </w:cols>
          <w:pgMar w:left="240" w:top="260" w:right="239" w:bottom="1440" w:gutter="0" w:footer="0" w:header="0"/>
        </w:sectPr>
      </w:pPr>
    </w:p>
    <w:p>
      <w:pPr>
        <w:spacing w:after="0" w:line="78" w:lineRule="exact"/>
        <w:rPr>
          <w:sz w:val="20"/>
          <w:szCs w:val="20"/>
          <w:color w:val="auto"/>
        </w:rPr>
      </w:pPr>
    </w:p>
    <w:p>
      <w:pPr>
        <w:ind w:left="380" w:right="120" w:hanging="285"/>
        <w:spacing w:after="0" w:line="262" w:lineRule="auto"/>
        <w:tabs>
          <w:tab w:leader="none" w:pos="380"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Top four cost categories, details which follow, represent 66% of the Building Materials business’ total direct production costs</w:t>
      </w:r>
    </w:p>
    <w:p>
      <w:pPr>
        <w:ind w:left="380" w:hanging="285"/>
        <w:spacing w:after="0" w:line="253" w:lineRule="auto"/>
        <w:tabs>
          <w:tab w:leader="none" w:pos="380"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Health and welfare costs increased approximately 5% per year over past five years compared with the national average of 6% over same period; Company’s costs expected to increase 4% in 2018</w:t>
      </w:r>
    </w:p>
    <w:p>
      <w:pPr>
        <w:spacing w:after="0" w:line="2" w:lineRule="exact"/>
        <w:rPr>
          <w:rFonts w:ascii="Arial" w:cs="Arial" w:eastAsia="Arial" w:hAnsi="Arial"/>
          <w:sz w:val="16"/>
          <w:szCs w:val="16"/>
          <w:color w:val="auto"/>
        </w:rPr>
      </w:pPr>
    </w:p>
    <w:p>
      <w:pPr>
        <w:ind w:left="380" w:hanging="285"/>
        <w:spacing w:after="0"/>
        <w:tabs>
          <w:tab w:leader="none" w:pos="380"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Pension expense increased from $32.9 million in 2016 to</w:t>
      </w:r>
    </w:p>
    <w:p>
      <w:pPr>
        <w:spacing w:after="0" w:line="13" w:lineRule="exact"/>
        <w:rPr>
          <w:rFonts w:ascii="Arial" w:cs="Arial" w:eastAsia="Arial" w:hAnsi="Arial"/>
          <w:sz w:val="16"/>
          <w:szCs w:val="16"/>
          <w:color w:val="auto"/>
        </w:rPr>
      </w:pPr>
    </w:p>
    <w:p>
      <w:pPr>
        <w:ind w:left="380" w:right="160"/>
        <w:spacing w:after="0" w:line="242" w:lineRule="auto"/>
        <w:rPr>
          <w:rFonts w:ascii="Arial" w:cs="Arial" w:eastAsia="Arial" w:hAnsi="Arial"/>
          <w:sz w:val="16"/>
          <w:szCs w:val="16"/>
          <w:color w:val="auto"/>
        </w:rPr>
      </w:pPr>
      <w:r>
        <w:rPr>
          <w:rFonts w:ascii="Arial" w:cs="Arial" w:eastAsia="Arial" w:hAnsi="Arial"/>
          <w:sz w:val="16"/>
          <w:szCs w:val="16"/>
          <w:i w:val="1"/>
          <w:iCs w:val="1"/>
          <w:color w:val="auto"/>
        </w:rPr>
        <w:t>$37.6 million in 2017 (2016 amounts exclude $0.8 million of nonrecurring termination benefits related to the acquisition of TXI); pension costs are expected to approximate $41.3 million in 2018 primarily due to a lower discount rate</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jc w:val="both"/>
        <w:ind w:left="9"/>
        <w:spacing w:after="0"/>
        <w:rPr>
          <w:sz w:val="20"/>
          <w:szCs w:val="20"/>
          <w:color w:val="auto"/>
        </w:rPr>
      </w:pPr>
      <w:r>
        <w:rPr>
          <w:rFonts w:ascii="Arial" w:cs="Arial" w:eastAsia="Arial" w:hAnsi="Arial"/>
          <w:sz w:val="16"/>
          <w:szCs w:val="16"/>
          <w:color w:val="auto"/>
        </w:rPr>
        <w:t>Direct production costs for the Building Materials business are components of cost of sales incurred at the quarries, mines, distribution yards and facilities, cement plants, ready mixed concrete plants and asphalt plants. Cost of sales also includes the cost of resale materials, freight expenses to transport materials from a producing quarry to a distribution yard and production overhead costs.</w:t>
      </w:r>
    </w:p>
    <w:p>
      <w:pPr>
        <w:spacing w:after="0" w:line="194" w:lineRule="exact"/>
        <w:rPr>
          <w:sz w:val="20"/>
          <w:szCs w:val="20"/>
          <w:color w:val="auto"/>
        </w:rPr>
      </w:pPr>
    </w:p>
    <w:p>
      <w:pPr>
        <w:jc w:val="both"/>
        <w:ind w:left="9"/>
        <w:spacing w:after="0" w:line="237" w:lineRule="auto"/>
        <w:rPr>
          <w:sz w:val="20"/>
          <w:szCs w:val="20"/>
          <w:color w:val="auto"/>
        </w:rPr>
      </w:pPr>
      <w:r>
        <w:rPr>
          <w:rFonts w:ascii="Arial" w:cs="Arial" w:eastAsia="Arial" w:hAnsi="Arial"/>
          <w:sz w:val="16"/>
          <w:szCs w:val="16"/>
          <w:color w:val="auto"/>
        </w:rPr>
        <w:t>Generally, the top seven categories of direct production costs for the Building Materials business are (1) labor and related benefits; (2) raw materials;</w:t>
      </w:r>
    </w:p>
    <w:p>
      <w:pPr>
        <w:jc w:val="both"/>
        <w:ind w:left="9" w:hanging="9"/>
        <w:spacing w:after="0" w:line="242" w:lineRule="auto"/>
        <w:tabs>
          <w:tab w:leader="none" w:pos="288"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repairs and maintenance; (4) depreciation, depletion and amortization (DDA); (5) energy; (6) contract services; and (7) supplies. In 2017, these categories represented 91% of the Building Materials business’ total direct production costs.</w:t>
      </w:r>
    </w:p>
    <w:p>
      <w:pPr>
        <w:spacing w:after="0" w:line="192" w:lineRule="exact"/>
        <w:rPr>
          <w:sz w:val="20"/>
          <w:szCs w:val="20"/>
          <w:color w:val="auto"/>
        </w:rPr>
      </w:pPr>
    </w:p>
    <w:p>
      <w:pPr>
        <w:jc w:val="both"/>
        <w:ind w:left="9"/>
        <w:spacing w:after="0" w:line="239" w:lineRule="auto"/>
        <w:rPr>
          <w:sz w:val="20"/>
          <w:szCs w:val="20"/>
          <w:color w:val="auto"/>
        </w:rPr>
      </w:pPr>
      <w:r>
        <w:rPr>
          <w:rFonts w:ascii="Arial" w:cs="Arial" w:eastAsia="Arial" w:hAnsi="Arial"/>
          <w:sz w:val="16"/>
          <w:szCs w:val="16"/>
          <w:color w:val="auto"/>
        </w:rPr>
        <w:t>Fixed costs are expenses that do not vary based on production or sales volume while variable costs are expenses that fluctuate with the level of production volume. Management estimates that, under normal operating capacity, approximately 40% of the Building Materials business’ direct production cost is fixed, another 27% is semi-fixed and 33% is variable. Accordingly, the Company’s operating leverage can be substantial. Production is the key driver in determining</w:t>
      </w:r>
    </w:p>
    <w:p>
      <w:pPr>
        <w:spacing w:after="0" w:line="200" w:lineRule="exact"/>
        <w:rPr>
          <w:sz w:val="20"/>
          <w:szCs w:val="20"/>
          <w:color w:val="auto"/>
        </w:rPr>
      </w:pPr>
    </w:p>
    <w:p>
      <w:pPr>
        <w:sectPr>
          <w:pgSz w:w="11900" w:h="16838" w:orient="portrait"/>
          <w:cols w:equalWidth="0" w:num="2">
            <w:col w:w="5360" w:space="471"/>
            <w:col w:w="5589"/>
          </w:cols>
          <w:pgMar w:left="240" w:top="260" w:right="239" w:bottom="1440" w:gutter="0" w:footer="0" w:header="0"/>
          <w:type w:val="continuous"/>
        </w:sectPr>
      </w:pPr>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49</w:t>
      </w:r>
    </w:p>
    <w:p>
      <w:pPr>
        <w:sectPr>
          <w:pgSz w:w="11900" w:h="16838" w:orient="portrait"/>
          <w:cols w:equalWidth="0" w:num="1">
            <w:col w:w="11420"/>
          </w:cols>
          <w:pgMar w:left="240" w:top="260" w:right="239" w:bottom="1440" w:gutter="0" w:footer="0" w:header="0"/>
          <w:type w:val="continuous"/>
        </w:sectPr>
      </w:pPr>
    </w:p>
    <w:bookmarkStart w:id="102" w:name="page103"/>
    <w:bookmarkEnd w:id="102"/>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8">
                      <a:extLst>
                        <a:ext uri="{28A0092B-C50C-407E-A947-70E740481C1C}"/>
                      </a:extLst>
                    </a:blip>
                    <a:srcRect/>
                    <a:stretch>
                      <a:fillRect/>
                    </a:stretch>
                  </pic:blipFill>
                  <pic:spPr bwMode="auto">
                    <a:xfrm>
                      <a:off x="0" y="0"/>
                      <a:ext cx="7293610" cy="37465"/>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420"/>
          </w:cols>
          <w:pgMar w:left="240" w:top="2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the levels of variable costs, as it affects the number of hourly employees and related labor hours. Further, components of energy, supplies and repairs and maintenance costs also increase in connection with higher production volumes.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-3260725</wp:posOffset>
            </wp:positionV>
            <wp:extent cx="2917190" cy="26619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9">
                      <a:extLst>
                        <a:ext uri="{28A0092B-C50C-407E-A947-70E740481C1C}"/>
                      </a:extLst>
                    </a:blip>
                    <a:srcRect/>
                    <a:stretch>
                      <a:fillRect/>
                    </a:stretch>
                  </pic:blipFill>
                  <pic:spPr bwMode="auto">
                    <a:xfrm>
                      <a:off x="0" y="0"/>
                      <a:ext cx="2917190" cy="2661920"/>
                    </a:xfrm>
                    <a:prstGeom prst="rect">
                      <a:avLst/>
                    </a:prstGeom>
                    <a:noFill/>
                  </pic:spPr>
                </pic:pic>
              </a:graphicData>
            </a:graphic>
          </wp:anchor>
        </w:drawing>
      </w:r>
    </w:p>
    <w:p>
      <w:pPr>
        <w:spacing w:after="0" w:line="172"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Generally, when the Company invests capital in facilities and equipment, increased capacity and productivity, along with reduced repair costs, can offset increased fixed depreciation costs. However, when aggregates demand weakens, the increased productivity and related efficiencies may not be fully realized, resulting in under absorption of fixed costs. Further, the aggregates facilities continue to operate at a level significantly below capacity, thereby, restricting the Company’s ability to capitalize $36.5 million and $35.7 million of costs at December 31, 2017 and 2016, respectively, in inventories.</w:t>
      </w:r>
    </w:p>
    <w:p>
      <w:pPr>
        <w:spacing w:after="0" w:line="194"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The Company’s ready mixed concrete and asphalt product lines require the use of raw materials in the production of their products. Cement and liquid asphalt, or bitumen, are key raw materials in the production of ready mixed concrete and asphalt, respectively. Therefore, fluctuations in prices for these raw materials directly affect the Company’s operating results. Liquid asphalt prices in 2017 were slightly higher than in 2016, but may not always follow other energy products (e.g., oil or diesel fuel) because of complexities in the refining process which converts a barrel of oil into other fuels and petrochemical products.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The cement product line is a capital-intensive operation with high-fixed costs to run plants that operate all day, every day, with the exception of maintenance shut downs. Kiln maintenance typically requires a plant to be shut down for a period of time as repairs are made. In 2017, 2016 and 2015, the cement product line incurred kiln maintenance costs of $12.6 million, $20.9 million and $26.0 million, respectively. The 2015 expense is inclusive of maintenance costs for the California plant that was divested in fourth quarter 2015. The Company adjusts production levels in anticipation of planned maintenance shut downs.</w:t>
      </w:r>
    </w:p>
    <w:p>
      <w:pPr>
        <w:spacing w:after="0" w:line="194"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Diesel fuel represents the single largest component of energy costs for the Building Materials business. The average cost per gallon of diesel fuel was $1.81, $1.96 and $2.05 in 2017, 2016 and 2015, respectively. Pricing in 2016 and 2015 reflects an unfavorable fixed-price agreement which expired on December 31, 2016. Changes in energy costs also affect the prices that the Company pays for related supplies, including explosives, conveyor belting and tires. Further, the Company’s contracts of affreightment for shipping products on its rail and waterborne distribution network typically include provisions for escalations or reductions in the amounts paid by the Company if the price of fuel moves outside a stated range.</w:t>
      </w:r>
    </w:p>
    <w:p>
      <w:pPr>
        <w:spacing w:after="0" w:line="200"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Wage inflation and increases in labor costs may be somewhat mitigated by enhanced productivity in an expanding economy. Further, workforce reductions resulting from process automation and mobile fleet right-sizing have mitigated rising labor costs. During economic downturns, the Company reviews its operations and, where practical, temporarily idles certain sites. The Company is able to serve these markets with other open facilities that are in close proximity. Further, in certain markets, management can create production “super crews” that work at various locations within a district. For example, within a market, a crew may work three days per week at one quarry and the other two workdays at another quarry within that market. This has allowed the Company to responsibly manage headcount in periods of lower demand.</w:t>
      </w:r>
    </w:p>
    <w:p>
      <w:pPr>
        <w:spacing w:after="0" w:line="204"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Rising health care costs continue to affect expenses related to labor and benefits. Over the past five years, national health care costs have increased 6% on average; costs are expected to continue rising at this rate. The Company has</w:t>
      </w:r>
    </w:p>
    <w:p>
      <w:pPr>
        <w:spacing w:after="0" w:line="1970" w:lineRule="exact"/>
        <w:rPr>
          <w:sz w:val="20"/>
          <w:szCs w:val="20"/>
          <w:color w:val="auto"/>
        </w:rPr>
      </w:pPr>
    </w:p>
    <w:p>
      <w:pPr>
        <w:sectPr>
          <w:pgSz w:w="11900" w:h="16838" w:orient="portrait"/>
          <w:cols w:equalWidth="0" w:num="2">
            <w:col w:w="5480" w:space="360"/>
            <w:col w:w="5580"/>
          </w:cols>
          <w:pgMar w:left="240" w:top="259" w:right="239" w:bottom="1440" w:gutter="0" w:footer="0" w:header="0"/>
          <w:type w:val="continuous"/>
        </w:sectPr>
      </w:pP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50</w:t>
      </w:r>
    </w:p>
    <w:p>
      <w:pPr>
        <w:sectPr>
          <w:pgSz w:w="11900" w:h="16838" w:orient="portrait"/>
          <w:cols w:equalWidth="0" w:num="1">
            <w:col w:w="11420"/>
          </w:cols>
          <w:pgMar w:left="240" w:top="259" w:right="239" w:bottom="1440" w:gutter="0" w:footer="0" w:header="0"/>
          <w:type w:val="continuous"/>
        </w:sectPr>
      </w:pPr>
    </w:p>
    <w:bookmarkStart w:id="103" w:name="page104"/>
    <w:bookmarkEnd w:id="103"/>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0">
                      <a:extLst>
                        <a:ext uri="{28A0092B-C50C-407E-A947-70E740481C1C}"/>
                      </a:extLst>
                    </a:blip>
                    <a:srcRect/>
                    <a:stretch>
                      <a:fillRect/>
                    </a:stretch>
                  </pic:blipFill>
                  <pic:spPr bwMode="auto">
                    <a:xfrm>
                      <a:off x="0" y="0"/>
                      <a:ext cx="7293610" cy="37465"/>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420"/>
          </w:cols>
          <w:pgMar w:left="240" w:top="2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experienced net per-employee health care cost increases averaging less than 5% per year from 2013 through 2017. These lower-than-average increases were driven in large part by favorable claims experience, plan design changes and payroll contribution increases to its health care plans. In 2017, the Company’s net health and welfare plan costs per employee decreased about 3% compared with 2016 due in large part to plan changes. For 2018, health and welfare costs are expected to increase approximately 4%, slightly below general marketplace trends. While potential changes to the Affordable Care Act may affect costs in the future, any impact cannot be predicted at this time.</w:t>
      </w:r>
    </w:p>
    <w:p>
      <w:pPr>
        <w:spacing w:after="0" w:line="200"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 xml:space="preserve">A lower discount rate is expected to increase the Company’s pension expense from $37.6 million in 2017 to an estimated $41.3 million in 2018 (see section </w:t>
      </w:r>
      <w:r>
        <w:rPr>
          <w:rFonts w:ascii="Arial" w:cs="Arial" w:eastAsia="Arial" w:hAnsi="Arial"/>
          <w:sz w:val="16"/>
          <w:szCs w:val="16"/>
          <w:i w:val="1"/>
          <w:iCs w:val="1"/>
          <w:color w:val="auto"/>
        </w:rPr>
        <w:t>Critical Accounting Policies and Estimates – Pension Expense</w:t>
      </w:r>
      <w:r>
        <w:rPr>
          <w:rFonts w:ascii="Arial" w:cs="Arial" w:eastAsia="Arial" w:hAnsi="Arial"/>
          <w:sz w:val="16"/>
          <w:szCs w:val="16"/>
          <w:color w:val="auto"/>
        </w:rPr>
        <w:t xml:space="preserve"> </w:t>
      </w:r>
      <w:r>
        <w:rPr>
          <w:rFonts w:ascii="Arial" w:cs="Arial" w:eastAsia="Arial" w:hAnsi="Arial"/>
          <w:sz w:val="16"/>
          <w:szCs w:val="16"/>
          <w:i w:val="1"/>
          <w:iCs w:val="1"/>
          <w:color w:val="auto"/>
        </w:rPr>
        <w:t>– Selection of Assumptions)</w:t>
      </w:r>
      <w:r>
        <w:rPr>
          <w:rFonts w:ascii="Arial" w:cs="Arial" w:eastAsia="Arial" w:hAnsi="Arial"/>
          <w:sz w:val="16"/>
          <w:szCs w:val="16"/>
          <w:color w:val="auto"/>
        </w:rPr>
        <w:t>.</w:t>
      </w:r>
    </w:p>
    <w:p>
      <w:pPr>
        <w:spacing w:after="0" w:line="192"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The impact of inflation on the Company’s businesses has not been significant. Historically, the Company has achieved real pricing growth in periods of inflation based on its ability to increase its selling prices in a normal economic environment. There is a risk of long-lived asset impairment at temporarily-idled locations. The timing of increased demand will determine when these locations are fully reopened. During the time that locations are temporarily idled, the locations’ plant and equipment continue to be depreciated. When appropriate, mobile equipment is transferred and used at an open location. As the Company continues to have long-term access to the supply of aggregates reserves and useful lives of equipment are extended, these locations are not impaired. When temporarily-idled locations are reopened, it is typical for equipment repair costs to temporarily increase.</w:t>
      </w: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b w:val="1"/>
          <w:bCs w:val="1"/>
          <w:color w:val="0085CD"/>
        </w:rPr>
        <w:t>Building Materials Business’ Key Considerations</w:t>
      </w:r>
    </w:p>
    <w:p>
      <w:pPr>
        <w:spacing w:after="0" w:line="204" w:lineRule="exact"/>
        <w:rPr>
          <w:sz w:val="20"/>
          <w:szCs w:val="20"/>
          <w:color w:val="auto"/>
        </w:rPr>
      </w:pPr>
    </w:p>
    <w:p>
      <w:pPr>
        <w:ind w:right="240"/>
        <w:spacing w:after="0" w:line="275" w:lineRule="auto"/>
        <w:rPr>
          <w:sz w:val="20"/>
          <w:szCs w:val="20"/>
          <w:color w:val="auto"/>
        </w:rPr>
      </w:pPr>
      <w:r>
        <w:rPr>
          <w:rFonts w:ascii="Arial" w:cs="Arial" w:eastAsia="Arial" w:hAnsi="Arial"/>
          <w:sz w:val="16"/>
          <w:szCs w:val="16"/>
          <w:b w:val="1"/>
          <w:bCs w:val="1"/>
          <w:color w:val="8D5D6C"/>
        </w:rPr>
        <w:t>Geography is critically important as products are sourced and sold locally.</w:t>
      </w:r>
    </w:p>
    <w:p>
      <w:pPr>
        <w:spacing w:after="0" w:line="1"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The Company’s geographic footprint is primarily in attractive markets with strong, underlying growth characteristics, including population growth and/or population density and business and economic diversity, all of which generate demand for construction and the Company’s Building Materials products. The majority of the nation’s population currently resides in 11 megaregions; the RPA believes 75% of the population will reside in these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rPr>
          <w:sz w:val="20"/>
          <w:szCs w:val="20"/>
          <w:color w:val="auto"/>
        </w:rPr>
      </w:pPr>
      <w:r>
        <w:rPr>
          <w:rFonts w:ascii="Arial" w:cs="Arial" w:eastAsia="Arial" w:hAnsi="Arial"/>
          <w:sz w:val="16"/>
          <w:szCs w:val="16"/>
          <w:color w:val="auto"/>
        </w:rPr>
        <w:t>megaregions by 2050. The Company has a significant presence in five of the megaregions: Texas Triangle, Gulf Coast, Piedmont Atlantic, Front Range and Florida. The Building Materials business’ top five sales-generating states are Texas, Colorado, North Carolina, Iowa and Georgia; cumulatively they accounted for 74% of its 2017 net sales by state of destination, four of which are discussed below as part of their respective megaregion. Iowa is discussed below as a top five sales-generating state and, while not part of a megaregion, is an attractive market that has diversified its economy over the past several years. Further, the top ten sales-generating states, which also include Florida, South Carolina, Indiana, Louisiana and Nebraska, accounted for 88% of the Building Materials business’ 2017 net sales by state of destination. As South Carolina is part of the Piedmont Atlantic megaregion and Florida is a separate megaregion, they are discussed below in their respective megaregion.</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49B28F"/>
        </w:rPr>
        <w:t>Texas Triangle and Gulf Coast</w:t>
      </w:r>
    </w:p>
    <w:p>
      <w:pPr>
        <w:spacing w:after="0" w:line="53"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 xml:space="preserve">The Texas Triangle is primarily defined by the anchoring metropolises of Dallas-Fort Worth, San Antonio and Houston. The Texas Triangle’s population surged 41% in the 15-year period ending 2015, adding 5.3 million residents. Based on RPA’s </w:t>
      </w:r>
      <w:r>
        <w:rPr>
          <w:rFonts w:ascii="Arial" w:cs="Arial" w:eastAsia="Arial" w:hAnsi="Arial"/>
          <w:sz w:val="16"/>
          <w:szCs w:val="16"/>
          <w:i w:val="1"/>
          <w:iCs w:val="1"/>
          <w:color w:val="auto"/>
        </w:rPr>
        <w:t>America 2050</w:t>
      </w:r>
      <w:r>
        <w:rPr>
          <w:rFonts w:ascii="Arial" w:cs="Arial" w:eastAsia="Arial" w:hAnsi="Arial"/>
          <w:sz w:val="16"/>
          <w:szCs w:val="16"/>
          <w:color w:val="auto"/>
        </w:rPr>
        <w:t xml:space="preserve"> study performed in 2010, it projects the population in this megaregion will nearly double in the forty-year period ending in 2050, with 70% of the state’s population residing here. The Texas Triangle represents a diverse economy, ranging from finance, technology, transportation and goods and services sectors.</w:t>
      </w:r>
    </w:p>
    <w:p>
      <w:pPr>
        <w:spacing w:after="0" w:line="195"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 xml:space="preserve">Uniquely, Houston, accounting for approximately 3% of the nation’s gross domestic product (GDP) and the fourth most populous metropolitan area, is considered part of both the Gulf Coast and the Texas Triangle megaregions. In addition to Houston, cities in the Gulf Coast megaregion include New Orleans and Baton Rouge. The Gulf Coast megaregion’s population is expected to exceed 16 million in 2025 and 23 million in 2050. The economy is driven by the energy, chemical and transportation sectors. According to the </w:t>
      </w:r>
      <w:r>
        <w:rPr>
          <w:rFonts w:ascii="Arial" w:cs="Arial" w:eastAsia="Arial" w:hAnsi="Arial"/>
          <w:sz w:val="16"/>
          <w:szCs w:val="16"/>
          <w:i w:val="1"/>
          <w:iCs w:val="1"/>
          <w:color w:val="auto"/>
        </w:rPr>
        <w:t>Gulf Economic Survival Team,</w:t>
      </w:r>
      <w:r>
        <w:rPr>
          <w:rFonts w:ascii="Arial" w:cs="Arial" w:eastAsia="Arial" w:hAnsi="Arial"/>
          <w:sz w:val="16"/>
          <w:szCs w:val="16"/>
          <w:color w:val="auto"/>
        </w:rPr>
        <w:t xml:space="preserve"> 16% of the nation’s domestic crude oil is supplied by this megaregion, supporting 430,000 jobs and contributing more than $44 billion to the national economy.</w:t>
      </w:r>
    </w:p>
    <w:p>
      <w:pPr>
        <w:spacing w:after="0" w:line="200"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The Texas market remains one of the strongest in the United States. According to the Bureau of Economic Analysis, at the end of 2016, the state’s GDP comprised nearly 9% of the nation’s $19.5 trillion GDP. According to the American</w:t>
      </w:r>
    </w:p>
    <w:p>
      <w:pPr>
        <w:spacing w:after="0" w:line="200" w:lineRule="exact"/>
        <w:rPr>
          <w:sz w:val="20"/>
          <w:szCs w:val="20"/>
          <w:color w:val="auto"/>
        </w:rPr>
      </w:pPr>
    </w:p>
    <w:p>
      <w:pPr>
        <w:sectPr>
          <w:pgSz w:w="11900" w:h="16838" w:orient="portrait"/>
          <w:cols w:equalWidth="0" w:num="2">
            <w:col w:w="5480" w:space="360"/>
            <w:col w:w="5580"/>
          </w:cols>
          <w:pgMar w:left="240" w:top="259" w:right="239" w:bottom="1440" w:gutter="0" w:footer="0" w:header="0"/>
          <w:type w:val="continuous"/>
        </w:sectPr>
      </w:pP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51</w:t>
      </w:r>
    </w:p>
    <w:p>
      <w:pPr>
        <w:sectPr>
          <w:pgSz w:w="11900" w:h="16838" w:orient="portrait"/>
          <w:cols w:equalWidth="0" w:num="1">
            <w:col w:w="11420"/>
          </w:cols>
          <w:pgMar w:left="240" w:top="259" w:right="239" w:bottom="1440" w:gutter="0" w:footer="0" w:header="0"/>
          <w:type w:val="continuous"/>
        </w:sectPr>
      </w:pPr>
    </w:p>
    <w:bookmarkStart w:id="104" w:name="page105"/>
    <w:bookmarkEnd w:id="104"/>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1">
                      <a:extLst>
                        <a:ext uri="{28A0092B-C50C-407E-A947-70E740481C1C}"/>
                      </a:extLst>
                    </a:blip>
                    <a:srcRect/>
                    <a:stretch>
                      <a:fillRect/>
                    </a:stretch>
                  </pic:blipFill>
                  <pic:spPr bwMode="auto">
                    <a:xfrm>
                      <a:off x="0" y="0"/>
                      <a:ext cx="7293610" cy="37465"/>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420"/>
          </w:cols>
          <w:pgMar w:left="240" w:top="2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Legislative Exchange Council (ALEC), Texas ranked first in economic performance in 2017, supported by growth in GDP, employment and population. Texas ranks second in the nation in employment growth for the twelve-months ended December 2017, while Dallas-Fort Worth was the top-ranked metro area in the country. Consistent with this trend, from 2010 through 2017, the state added approximately 3.1 million people. The state’s Department of Transportation (TxDOT) let $6.2 billion in construction projects in fiscal 2017; TxDOT has a letting budget of $8.0 billion for fiscal 2018. Over the next ten years, TxDOT has committed to letting over $65 billion of projects. Funding for highway construction comes from dedicated sources, including Propositions 1 and 7, as opposed to the use of general funds. Proposition 1, which passed in 2014, takes a portion of the oil and gas severance tax revenues and allocates them to the state highway fund. Proposition 7 is estimated to provide an additional $2.0 billion of annual funding for non-toll roads beginning in fiscal 2018 and further increase after 2019. Further, on November 8, 2016, voters approved $990 million of additional statewide transportation funding, including a $720 million transportation bond in Austin. The strength of the Texas economy extends beyond infrastructure. According to Dodge Data and Analytics (Dodge), for the twelve-months ended December 2017, Texas reported single-family housing starts and permits of 127,000 units and 117,000 units, respectively, ranking first in growth for both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-4824730</wp:posOffset>
            </wp:positionV>
            <wp:extent cx="2974975" cy="21590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2">
                      <a:extLst>
                        <a:ext uri="{28A0092B-C50C-407E-A947-70E740481C1C}"/>
                      </a:extLst>
                    </a:blip>
                    <a:srcRect/>
                    <a:stretch>
                      <a:fillRect/>
                    </a:stretch>
                  </pic:blipFill>
                  <pic:spPr bwMode="auto">
                    <a:xfrm>
                      <a:off x="0" y="0"/>
                      <a:ext cx="2974975" cy="21590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49B28F"/>
        </w:rPr>
        <w:t>Piedmont Atlantic</w:t>
      </w:r>
    </w:p>
    <w:p>
      <w:pPr>
        <w:spacing w:after="0" w:line="57"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The Piedmont Atlantic megaregion generally follows the Interstate 85/20 corridor, spanning across North Carolina, South Carolina, Georgia, Tennessee and Alabama and including four primary cities: Raleigh, Charlotte, Atlanta and Birmingham. The Piedmont Atlantic is a fast-growing mega-region; however, it is facing challenges, including increased traffic congestion and inadequate infrastructure that accompany a growing population.</w:t>
      </w:r>
    </w:p>
    <w:p>
      <w:pPr>
        <w:spacing w:after="0" w:line="376"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 xml:space="preserve">North Carolina continues to demonstrate solid economic growth, exceeding the nation’s average GDP increase for the past three years. Nationally, North Carolina ranks in the top ten states for job growth for the year ended December 2017 and has also ranked in the top six states for population growth from 2010 to 2017. Private construction is showing strength, with residential housing starts and permits increasing 18% and 16%, respectively, for the year ended December 2017. The infrastructure market has steadily grown, driven in part by the 26-mile expansion of I-77 high-occupancy toll (HOT) lanes, a $655 million, multi-year project supported by the </w:t>
      </w:r>
      <w:r>
        <w:rPr>
          <w:rFonts w:ascii="Arial" w:cs="Arial" w:eastAsia="Arial" w:hAnsi="Arial"/>
          <w:sz w:val="16"/>
          <w:szCs w:val="16"/>
          <w:i w:val="1"/>
          <w:iCs w:val="1"/>
          <w:color w:val="auto"/>
        </w:rPr>
        <w:t xml:space="preserve">Transportation Infrastructure Finance and Innovation Act </w:t>
      </w:r>
      <w:r>
        <w:rPr>
          <w:rFonts w:ascii="Arial" w:cs="Arial" w:eastAsia="Arial" w:hAnsi="Arial"/>
          <w:sz w:val="16"/>
          <w:szCs w:val="16"/>
          <w:color w:val="auto"/>
        </w:rPr>
        <w:t>(TIFIA). This project</w:t>
      </w:r>
      <w:r>
        <w:rPr>
          <w:rFonts w:ascii="Arial" w:cs="Arial" w:eastAsia="Arial" w:hAnsi="Arial"/>
          <w:sz w:val="16"/>
          <w:szCs w:val="16"/>
          <w:i w:val="1"/>
          <w:iCs w:val="1"/>
          <w:color w:val="auto"/>
        </w:rPr>
        <w:t xml:space="preserve"> </w:t>
      </w:r>
      <w:r>
        <w:rPr>
          <w:rFonts w:ascii="Arial" w:cs="Arial" w:eastAsia="Arial" w:hAnsi="Arial"/>
          <w:sz w:val="16"/>
          <w:szCs w:val="16"/>
          <w:color w:val="auto"/>
        </w:rPr>
        <w:t>was specifically designed to address traffic congestion around Charlotte and is expected to be substantially complete in the latter part of 2018. Further, in November 2016, North Carolina voters approved all transportation referendums, totaling $1.2 billion of additional funding.</w:t>
      </w:r>
    </w:p>
    <w:p>
      <w:pPr>
        <w:spacing w:after="0" w:line="197" w:lineRule="exact"/>
        <w:rPr>
          <w:sz w:val="20"/>
          <w:szCs w:val="20"/>
          <w:color w:val="auto"/>
        </w:rPr>
      </w:pPr>
    </w:p>
    <w:p>
      <w:pPr>
        <w:jc w:val="both"/>
        <w:spacing w:after="0"/>
        <w:rPr>
          <w:sz w:val="20"/>
          <w:szCs w:val="20"/>
          <w:color w:val="auto"/>
        </w:rPr>
      </w:pPr>
      <w:r>
        <w:rPr>
          <w:rFonts w:ascii="Arial" w:cs="Arial" w:eastAsia="Arial" w:hAnsi="Arial"/>
          <w:sz w:val="16"/>
          <w:szCs w:val="16"/>
          <w:color w:val="auto"/>
        </w:rPr>
        <w:t>For the past three years, according to the U.S. Census Bureau, South Carolina ranked in the top ten for population growth. Supported by residential growth, South Carolina ranked 13th in employment gains in 2017. In 2016, former Governor Haley signed S.1258, also known as Act No. 275, allowing up to $4.2 billion to be devoted for highway spending over the next 10 years. South Carolina’s 10-year DOT plan includes 1,000 miles of upgrades to rural roads and 140 miles of interstate highways. These are much-needed investments,</w:t>
      </w:r>
    </w:p>
    <w:p>
      <w:pPr>
        <w:spacing w:after="0" w:line="2065" w:lineRule="exact"/>
        <w:rPr>
          <w:sz w:val="20"/>
          <w:szCs w:val="20"/>
          <w:color w:val="auto"/>
        </w:rPr>
      </w:pPr>
    </w:p>
    <w:p>
      <w:pPr>
        <w:sectPr>
          <w:pgSz w:w="11900" w:h="16838" w:orient="portrait"/>
          <w:cols w:equalWidth="0" w:num="2">
            <w:col w:w="5480" w:space="360"/>
            <w:col w:w="5580"/>
          </w:cols>
          <w:pgMar w:left="240" w:top="259" w:right="239" w:bottom="1440" w:gutter="0" w:footer="0" w:header="0"/>
          <w:type w:val="continuous"/>
        </w:sectPr>
      </w:pP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52</w:t>
      </w:r>
    </w:p>
    <w:p>
      <w:pPr>
        <w:sectPr>
          <w:pgSz w:w="11900" w:h="16838" w:orient="portrait"/>
          <w:cols w:equalWidth="0" w:num="1">
            <w:col w:w="11420"/>
          </w:cols>
          <w:pgMar w:left="240" w:top="259" w:right="239" w:bottom="1440" w:gutter="0" w:footer="0" w:header="0"/>
          <w:type w:val="continuous"/>
        </w:sectPr>
      </w:pPr>
    </w:p>
    <w:bookmarkStart w:id="105" w:name="page106"/>
    <w:bookmarkEnd w:id="105"/>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3">
                      <a:extLst>
                        <a:ext uri="{28A0092B-C50C-407E-A947-70E740481C1C}"/>
                      </a:extLst>
                    </a:blip>
                    <a:srcRect/>
                    <a:stretch>
                      <a:fillRect/>
                    </a:stretch>
                  </pic:blipFill>
                  <pic:spPr bwMode="auto">
                    <a:xfrm>
                      <a:off x="0" y="0"/>
                      <a:ext cx="7293610" cy="37465"/>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420"/>
          </w:cols>
          <w:pgMar w:left="240" w:top="2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as according to the a recent report issued by the American Society of Civil Engineers, the state’s infrastructure system is in need of major repair. The report further states that 16% of South Carolina’s 76,000 miles of public roads are in poor condition. To fund infrastructure needs, the state passed House Bill 3516 in June 2017, which will increase the state’s gas tax $0.02 per gallon per year for six years; this is the state’s first gas tax increase in 30 years. The house bill institutes a fee for vehicles that do not consume motor fuel, increases sales tax on vehicle purchases and charges a one-time fee for vehicles transferred from another state and registered in South Carolina. The nonresidential market should continue to benefit from the Port of Charleston almost doubling between 2011 through 2016, making it the ninth-largest port in the United States. Construction on a new $250 million intermodal facility is expected to begin in 2018.</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6"/>
          <w:szCs w:val="16"/>
          <w:color w:val="auto"/>
        </w:rPr>
        <w:t>Georgia continues to recover from the Great Recession and, for the twelve-months ended December 2017, ranks fifth in the country for employment growth. Further, population growth has ranked in the top six for the last four years. As a result, residential housing starts increased 16% for the twelve-months ended December 2017. Nonresidential construction improved 24% for the year ended December 2017, as the state continues to attract business expansion and relocation. CyrusOne, which is developing a distribution facility in Douglasville; Nestlé Purina PetCare Co., which is investing in a manufacturing facility and distribution center in Hartwell; and Irving Consumer Products, which is investing in a state-of-the-art tissue manufacturing facility in Macon-Bibb County, will collectively invest nearly $1 billion on these projects and create over 450 new jobs. In January 2016, Governor Nathan Deal announced a comprehensive infrastructure maintenance plan, which includes a $2.2 billion, 18-month project list, and a longer term 10-year plan, representing more than $10 billion in investment. Some elements of the Governor’s plan include the addition of toll lanes along the I-285 loop in Atlanta, interchange upgrades for I-20 and I-285 and additional capacity of metro sections of I-75, I-85 and GA 400. Consistent with these plans, the infrastructure construction market continues to expand and will significantly benefit from the passage of a gas tax increase and other funding mechanisms that will add approximately $1 billion, or essentially double, the state’s annual construction budget. Further, in 2016, Georgia voters approved five local sales tax increases to provide $4 billion for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road and transit projects, spanning a five- to 40-year period. Additionally, the Transportation Special-Purpose Local-Option Sales Tax (T-SPLOST) program is starting to provide benefit in the southern part of Georgia.</w:t>
      </w: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49B28F"/>
        </w:rPr>
        <w:t>Front Range</w:t>
      </w:r>
    </w:p>
    <w:p>
      <w:pPr>
        <w:spacing w:after="0" w:line="57"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Extending from the southern portion of Wyoming near Cheyenne, following Interstate 25 through Colorado into New Mexico, incorporating Santa Fe and Albuquerque, the Front Range megaregion is the nation’s fastest-growing megaregion. Projections estimate the population to exceed 10 million in 2050, nearly double the 2010 population.</w:t>
      </w:r>
    </w:p>
    <w:p>
      <w:pPr>
        <w:spacing w:after="0" w:line="192" w:lineRule="exact"/>
        <w:rPr>
          <w:sz w:val="20"/>
          <w:szCs w:val="20"/>
          <w:color w:val="auto"/>
        </w:rPr>
      </w:pPr>
    </w:p>
    <w:p>
      <w:pPr>
        <w:jc w:val="both"/>
        <w:spacing w:after="0"/>
        <w:rPr>
          <w:sz w:val="20"/>
          <w:szCs w:val="20"/>
          <w:color w:val="auto"/>
        </w:rPr>
      </w:pPr>
      <w:r>
        <w:rPr>
          <w:rFonts w:ascii="Arial" w:cs="Arial" w:eastAsia="Arial" w:hAnsi="Arial"/>
          <w:sz w:val="16"/>
          <w:szCs w:val="16"/>
          <w:color w:val="auto"/>
        </w:rPr>
        <w:t xml:space="preserve">Through strategic acquisitions since 2011, the Company has built a leading position to serve the Front Range, which is home to over 85% of Colorado’s population. The Colorado economy includes a diverse economic base, leading to strong employment and population growth. For the twelve-months ended December 2017, Colorado ranked 11th in employment growth. Additionally, 96% of Colorado’s population growth from 2010 to 2015 settled along the Front Range. Employment and population are each expected to increase over 45% from 2012 through 2040, driving an upward trend in vehicle miles traveled and higher demand on the state’s highway system. Colorado’s DOT expects highway project construction to increase $300 million annually over the next five years. With support from the </w:t>
      </w:r>
      <w:r>
        <w:rPr>
          <w:rFonts w:ascii="Arial" w:cs="Arial" w:eastAsia="Arial" w:hAnsi="Arial"/>
          <w:sz w:val="16"/>
          <w:szCs w:val="16"/>
          <w:i w:val="1"/>
          <w:iCs w:val="1"/>
          <w:color w:val="auto"/>
        </w:rPr>
        <w:t xml:space="preserve">Responsible Acceleration of Maintenance and Partnerships, </w:t>
      </w:r>
      <w:r>
        <w:rPr>
          <w:rFonts w:ascii="Arial" w:cs="Arial" w:eastAsia="Arial" w:hAnsi="Arial"/>
          <w:sz w:val="16"/>
          <w:szCs w:val="16"/>
          <w:color w:val="auto"/>
        </w:rPr>
        <w:t>or RAMP,</w:t>
      </w:r>
      <w:r>
        <w:rPr>
          <w:rFonts w:ascii="Arial" w:cs="Arial" w:eastAsia="Arial" w:hAnsi="Arial"/>
          <w:sz w:val="16"/>
          <w:szCs w:val="16"/>
          <w:i w:val="1"/>
          <w:iCs w:val="1"/>
          <w:color w:val="auto"/>
        </w:rPr>
        <w:t xml:space="preserve"> </w:t>
      </w:r>
      <w:r>
        <w:rPr>
          <w:rFonts w:ascii="Arial" w:cs="Arial" w:eastAsia="Arial" w:hAnsi="Arial"/>
          <w:sz w:val="16"/>
          <w:szCs w:val="16"/>
          <w:color w:val="auto"/>
        </w:rPr>
        <w:t>program through fiscal 2018, the Colorado DOT established a budget of $1.6 billion for fiscal 2018. Additionally, Senate Bill 17-267, enacted during 2017, includes a component that focuses on new lease-purchase agreements that is expected to generate $2.0 billion for transportation and capital construction over four years. Further, reconstruction efforts continue from the historic 2013 flooding. Single-family housing starts increased 11% for the twelve-months ended December 2017, ranking ninth in the nation for growth.</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49B28F"/>
        </w:rPr>
        <w:t>Florida</w:t>
      </w:r>
    </w:p>
    <w:p>
      <w:pPr>
        <w:spacing w:after="0" w:line="49"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Spanning nearly the entire state, the Florida megaregion is also one of the fastest growing. Florida is the third most populous state according to the Bureau of Economic Analysis, with a high volume of its population growth from foreign residents. In fact, in the fourth quarter 2016, the latest data available, the state’s GDP rose 3.1%, outperforming the national growth and other large states. Florida’s tourism, agriculture and aerospace</w:t>
      </w:r>
    </w:p>
    <w:p>
      <w:pPr>
        <w:spacing w:after="0" w:line="200" w:lineRule="exact"/>
        <w:rPr>
          <w:sz w:val="20"/>
          <w:szCs w:val="20"/>
          <w:color w:val="auto"/>
        </w:rPr>
      </w:pPr>
    </w:p>
    <w:p>
      <w:pPr>
        <w:sectPr>
          <w:pgSz w:w="11900" w:h="16838" w:orient="portrait"/>
          <w:cols w:equalWidth="0" w:num="2">
            <w:col w:w="5480" w:space="360"/>
            <w:col w:w="5580"/>
          </w:cols>
          <w:pgMar w:left="240" w:top="259" w:right="239" w:bottom="1440" w:gutter="0" w:footer="0" w:header="0"/>
          <w:type w:val="continuous"/>
        </w:sect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53</w:t>
      </w:r>
    </w:p>
    <w:p>
      <w:pPr>
        <w:sectPr>
          <w:pgSz w:w="11900" w:h="16838" w:orient="portrait"/>
          <w:cols w:equalWidth="0" w:num="1">
            <w:col w:w="11420"/>
          </w:cols>
          <w:pgMar w:left="240" w:top="259" w:right="239" w:bottom="1440" w:gutter="0" w:footer="0" w:header="0"/>
          <w:type w:val="continuous"/>
        </w:sectPr>
      </w:pPr>
    </w:p>
    <w:bookmarkStart w:id="106" w:name="page107"/>
    <w:bookmarkEnd w:id="106"/>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4">
                      <a:extLst>
                        <a:ext uri="{28A0092B-C50C-407E-A947-70E740481C1C}"/>
                      </a:extLst>
                    </a:blip>
                    <a:srcRect/>
                    <a:stretch>
                      <a:fillRect/>
                    </a:stretch>
                  </pic:blipFill>
                  <pic:spPr bwMode="auto">
                    <a:xfrm>
                      <a:off x="0" y="0"/>
                      <a:ext cx="7293610" cy="37465"/>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420"/>
          </w:cols>
          <w:pgMar w:left="240" w:top="2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and aviation economies, coupled with its exports and trade sector, collectively, contributed nearly half of the state’s 2014 GDP.</w:t>
      </w:r>
    </w:p>
    <w:p>
      <w:pPr>
        <w:spacing w:after="0" w:line="183"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Florida is ranked third in the country for job growth for the twelve-months ended December 2017; Orlando and Tampa are both ranked in the top 20 for metro areas. As of the end of 2017, the state’s unemployment rate was below 4%. The state also added 2.1 million residents from 2010 to 2017. Florida has a strong DOT budget and continues to significantly invest in streets and highways. In fact, the state has a $46.6 billion five-year construction program that extends to 2021 and is expected to let $10 billion of projects in fiscal 2018. Florida is also experiencing growth in private-sector construction and posted a double-digit increase in single-family housing starts for the twelve-months ended December 2017, ranking second in the country. The nonresidential market also ranks in the top five for increased construction investment.</w:t>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49B28F"/>
        </w:rPr>
        <w:t>Iowa</w:t>
      </w:r>
    </w:p>
    <w:p>
      <w:pPr>
        <w:spacing w:after="0" w:line="57"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The economy of Iowa has historically been stable and steady, and Iowa has been a top-five Martin Marietta state for decades. Iowa is the largest corn and pork-producing state in the nation and provides more than seven percent of America’s food supply. The Company’s agricultural lime volumes are dependent on, among other things, weather, demand for agricultural commodities, including corn and soybeans, commodity prices, farm and land values. The Iowa economy has become more diverse over the past several years, in part due to its ranking as sixth in the nation for lowest cost of doing business. The state is attractive for starting and expanding businesses due to enticing tax incentives. Further, Iowa is expected to be fossil fuel independent by 2050, making primarily wind-based energy production cost effective, and providing another driver of economic expansion. With companies including Google, Microsoft and Facebook continuing to expand operations in Iowa, non-residential construction spending is expected to benefit. The unemployment rate, 2.9%, remains one of the lowest in the nation. In 2015, Iowa increased their gas tax by $0.10 per gallon, raising an additional $515 million since enactment for state and local roads and bridges. In 2017, all 99 counties in Iowa have benefitted from the higher gas tax, with new infrastructure projects being started or existing projects expected to be completed sooner than originally estimated.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b w:val="1"/>
          <w:bCs w:val="1"/>
          <w:color w:val="8D5D6C"/>
        </w:rPr>
        <w:t>Growth markets with limited supply of indigenous stone must be served via a long-haul distribution network.</w:t>
      </w:r>
    </w:p>
    <w:p>
      <w:pPr>
        <w:jc w:val="both"/>
        <w:spacing w:after="0" w:line="239" w:lineRule="auto"/>
        <w:rPr>
          <w:sz w:val="20"/>
          <w:szCs w:val="20"/>
          <w:color w:val="auto"/>
        </w:rPr>
      </w:pPr>
      <w:r>
        <w:rPr>
          <w:rFonts w:ascii="Arial" w:cs="Arial" w:eastAsia="Arial" w:hAnsi="Arial"/>
          <w:sz w:val="16"/>
          <w:szCs w:val="16"/>
          <w:color w:val="auto"/>
        </w:rPr>
        <w:t>The U.S. Department of the Interior’s geological map of the United States depicts the possible sources of indigenous surface rock and illustrates its limited supply in the coastal areas of the United States from Virginia to Texas. Local crushed stone supplies must be supplemented, or in many cases wholly supplied, from inland and offshore quarries proximate to the coastal regions of the southeastern and southwestern United States. Further, certain interior United States markets may experience limited resources of construction material resulting from increasingly restrictive zoning, permitting and/ or environmental laws and regulations.</w:t>
      </w:r>
    </w:p>
    <w:p>
      <w:pPr>
        <w:spacing w:after="0" w:line="194"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Product shipments are moved by rail and water through the Company’s long-haul distribution network. The Company’s rail network primarily serves its Texas, Florida and Gulf Coast markets while the Company’s Bahamas and Nova Scotia locations transport materials via oceangoing ships. The Company’s strategic focus includes expanding inland and offshore capacity and acquiring distribution yards and port locations to offload transported material. At December 31, 2017, the Company had 81 distribution yards.</w:t>
      </w:r>
    </w:p>
    <w:p>
      <w:pPr>
        <w:spacing w:after="0" w:line="197"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The long-haul distribution network can diversify market risk for locations that engage in long-haul transportation of their aggregates products. Particularly where a producing quarry serves a local market and transports products via rail and/or water to be sold in other markets, the risk of a downturn in one market may be somewhat mitigated by other markets served by the location.</w:t>
      </w:r>
    </w:p>
    <w:p>
      <w:pPr>
        <w:spacing w:after="0" w:line="192"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The Company’s increased dependence on rail shipments has made it more reliant on railroad performance issues, including track congestion, crew and power availability, the effects of adverse weather conditions and the ability to renegotiate favorable railroad shipping contracts. Further, changes in the operating strategy of rail transportation providers can create operation inefficiencies in and increased costs from the Company’s rail network.</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 portion of railcars and all ships of the Company’s long-haul distribution network are obtained with short- and long-</w:t>
      </w:r>
    </w:p>
    <w:p>
      <w:pPr>
        <w:spacing w:after="0" w:line="610" w:lineRule="exact"/>
        <w:rPr>
          <w:sz w:val="20"/>
          <w:szCs w:val="20"/>
          <w:color w:val="auto"/>
        </w:rPr>
      </w:pPr>
    </w:p>
    <w:p>
      <w:pPr>
        <w:sectPr>
          <w:pgSz w:w="11900" w:h="16838" w:orient="portrait"/>
          <w:cols w:equalWidth="0" w:num="2">
            <w:col w:w="5480" w:space="360"/>
            <w:col w:w="5580"/>
          </w:cols>
          <w:pgMar w:left="240" w:top="259" w:right="239" w:bottom="1440" w:gutter="0" w:footer="0" w:header="0"/>
          <w:type w:val="continuous"/>
        </w:sectPr>
      </w:pP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54</w:t>
      </w:r>
    </w:p>
    <w:p>
      <w:pPr>
        <w:sectPr>
          <w:pgSz w:w="11900" w:h="16838" w:orient="portrait"/>
          <w:cols w:equalWidth="0" w:num="1">
            <w:col w:w="11420"/>
          </w:cols>
          <w:pgMar w:left="240" w:top="259" w:right="239" w:bottom="1440" w:gutter="0" w:footer="0" w:header="0"/>
          <w:type w:val="continuous"/>
        </w:sectPr>
      </w:pPr>
    </w:p>
    <w:bookmarkStart w:id="107" w:name="page108"/>
    <w:bookmarkEnd w:id="107"/>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5">
                      <a:extLst>
                        <a:ext uri="{28A0092B-C50C-407E-A947-70E740481C1C}"/>
                      </a:extLst>
                    </a:blip>
                    <a:srcRect/>
                    <a:stretch>
                      <a:fillRect/>
                    </a:stretch>
                  </pic:blipFill>
                  <pic:spPr bwMode="auto">
                    <a:xfrm>
                      <a:off x="0" y="0"/>
                      <a:ext cx="7293610" cy="37465"/>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420"/>
          </w:cols>
          <w:pgMar w:left="240" w:top="2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term leases, some with purchase options, and contracts of affreightment. The limited availability of water and rail transportation providers, coupled with limited distribution sites, can adversely affect lease rates for such services and ultimately the freight rate. The Company has not purchased ships.</w:t>
      </w:r>
    </w:p>
    <w:p>
      <w:pPr>
        <w:spacing w:after="0" w:line="200" w:lineRule="exact"/>
        <w:rPr>
          <w:sz w:val="20"/>
          <w:szCs w:val="20"/>
          <w:color w:val="auto"/>
        </w:rPr>
      </w:pPr>
    </w:p>
    <w:p>
      <w:pPr>
        <w:spacing w:after="0" w:line="281"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The Company has long-term agreements providing dedicated shipping capacity from its Bahamas and Nova Scotia operations to its coastal ports. These contracts of affreightment are take-or-pay contracts with minimum and maximum shipping requirements. The Company’s waterborne contracts of affreightment have varying expiration dates ranging from 2023 to 2027 and generally contain renewal options. However, there can be no assurance that such contracts can be renewed upon expiration or that terms will continue without significant increases.</w:t>
      </w:r>
    </w:p>
    <w:p>
      <w:pPr>
        <w:spacing w:after="0" w:line="299"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The multiple transportation modes that have been developed with various rail carriers and deep-water ships provide the Company with the flexibility to effectively serve customers primarily in the Southwest and Southeast coastal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142240</wp:posOffset>
            </wp:positionV>
            <wp:extent cx="2859405" cy="15824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6">
                      <a:extLst>
                        <a:ext uri="{28A0092B-C50C-407E-A947-70E740481C1C}"/>
                      </a:extLst>
                    </a:blip>
                    <a:srcRect/>
                    <a:stretch>
                      <a:fillRect/>
                    </a:stretch>
                  </pic:blipFill>
                  <pic:spPr bwMode="auto">
                    <a:xfrm>
                      <a:off x="0" y="0"/>
                      <a:ext cx="2859405" cy="15824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which represent the maximum financial obligation that will result from the immediate or future outlays of federal funds for highway and transit programs. The federal government’s surface transportation programs are financed mostly through the receipts of highway user taxes placed in the Highway Trust Fund, which is divided into the Highway Account and the Mass Transit Account. Revenues credited to the Highway Trust Fund are primarily derived from a federal gas tax, a federal tax on certain other motor fuels and interest on the accounts’ accumulated balances. Of the currently imposed federal gas tax of $0.184 per gallon, which has been static since 1993, $0.15 is allocated to the Highway Account of the Highway Trust Fund.</w:t>
      </w:r>
    </w:p>
    <w:p>
      <w:pPr>
        <w:spacing w:after="0" w:line="304" w:lineRule="exact"/>
        <w:rPr>
          <w:sz w:val="20"/>
          <w:szCs w:val="20"/>
          <w:color w:val="auto"/>
        </w:rPr>
      </w:pPr>
    </w:p>
    <w:p>
      <w:pPr>
        <w:jc w:val="both"/>
        <w:spacing w:after="0"/>
        <w:rPr>
          <w:sz w:val="20"/>
          <w:szCs w:val="20"/>
          <w:color w:val="auto"/>
        </w:rPr>
      </w:pPr>
      <w:r>
        <w:rPr>
          <w:rFonts w:ascii="Arial" w:cs="Arial" w:eastAsia="Arial" w:hAnsi="Arial"/>
          <w:sz w:val="16"/>
          <w:szCs w:val="16"/>
          <w:color w:val="auto"/>
        </w:rPr>
        <w:t>Federal highway laws require Congress to annually appropriate funding levels for highways and other programs. Once the annual appropriation is passed, federal funds are distributed to each state based on formulas (apportionments) or other procedures (allocations). Apportioned and allocated funds generally must be spent on specific programs as outlined in the federal legislation. Most federal funds are available for four years. Once the federal government approves a state project, funds are committed and considered expended regardless of when the cash is actually spent by the state and reimbursed by the federal government. According to the Federal Highway Administration, funds are generally spent by the state over a period of years, with 27% in the year of funding authorization, 41% in the succeeding year, 16% in the third year and the remaining 16% in the fourth year and beyond.</w:t>
      </w:r>
    </w:p>
    <w:p>
      <w:pPr>
        <w:spacing w:after="0" w:line="200" w:lineRule="exact"/>
        <w:rPr>
          <w:sz w:val="20"/>
          <w:szCs w:val="20"/>
          <w:color w:val="auto"/>
        </w:rPr>
      </w:pPr>
    </w:p>
    <w:p>
      <w:pPr>
        <w:spacing w:after="0" w:line="266" w:lineRule="exact"/>
        <w:rPr>
          <w:sz w:val="20"/>
          <w:szCs w:val="20"/>
          <w:color w:val="auto"/>
        </w:rPr>
      </w:pPr>
    </w:p>
    <w:p>
      <w:pPr>
        <w:jc w:val="both"/>
        <w:spacing w:after="0"/>
        <w:rPr>
          <w:sz w:val="20"/>
          <w:szCs w:val="20"/>
          <w:color w:val="auto"/>
        </w:rPr>
      </w:pPr>
      <w:r>
        <w:rPr>
          <w:rFonts w:ascii="Arial" w:cs="Arial" w:eastAsia="Arial" w:hAnsi="Arial"/>
          <w:sz w:val="16"/>
          <w:szCs w:val="16"/>
          <w:color w:val="auto"/>
        </w:rPr>
        <w:t xml:space="preserve">The FAST Act, a five-year, $305 billion federal highway bill, reauthorizes federal highway and public transportation programs and stabilizes the Highway Trust Fund. The FAST Act retains the programs supported under its predecessor legislation, </w:t>
      </w:r>
      <w:r>
        <w:rPr>
          <w:rFonts w:ascii="Arial" w:cs="Arial" w:eastAsia="Arial" w:hAnsi="Arial"/>
          <w:sz w:val="16"/>
          <w:szCs w:val="16"/>
          <w:i w:val="1"/>
          <w:iCs w:val="1"/>
          <w:color w:val="auto"/>
        </w:rPr>
        <w:t>Moving Ahead for Progress in the 21st Century</w:t>
      </w:r>
      <w:r>
        <w:rPr>
          <w:rFonts w:ascii="Arial" w:cs="Arial" w:eastAsia="Arial" w:hAnsi="Arial"/>
          <w:sz w:val="16"/>
          <w:szCs w:val="16"/>
          <w:color w:val="auto"/>
        </w:rPr>
        <w:t xml:space="preserve"> (MAP-21), but with some changes. Specifically, TIFIA, a U.S. Department of Transportation alternative funding mechanism,</w:t>
      </w:r>
    </w:p>
    <w:p>
      <w:pPr>
        <w:spacing w:after="0" w:line="200" w:lineRule="exact"/>
        <w:rPr>
          <w:sz w:val="20"/>
          <w:szCs w:val="20"/>
          <w:color w:val="auto"/>
        </w:rPr>
      </w:pPr>
    </w:p>
    <w:p>
      <w:pPr>
        <w:sectPr>
          <w:pgSz w:w="11900" w:h="16838" w:orient="portrait"/>
          <w:cols w:equalWidth="0" w:num="2">
            <w:col w:w="5480" w:space="360"/>
            <w:col w:w="5580"/>
          </w:cols>
          <w:pgMar w:left="240" w:top="259" w:right="239" w:bottom="1440" w:gutter="0" w:footer="0" w:header="0"/>
          <w:type w:val="continuous"/>
        </w:sect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b w:val="1"/>
          <w:bCs w:val="1"/>
          <w:color w:val="8D5D6C"/>
        </w:rPr>
        <w:t>Public Infrastructure, the Company’s largest end-use market, is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8D5D6C"/>
        </w:rPr>
        <w:t>funded through a combination of federal, state and local sources.</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Public-sector construction projects are funded through a combination of</w:t>
      </w:r>
    </w:p>
    <w:p>
      <w:pPr>
        <w:spacing w:after="0" w:line="237" w:lineRule="auto"/>
        <w:rPr>
          <w:sz w:val="20"/>
          <w:szCs w:val="20"/>
          <w:color w:val="auto"/>
        </w:rPr>
      </w:pPr>
      <w:r>
        <w:rPr>
          <w:rFonts w:ascii="Arial" w:cs="Arial" w:eastAsia="Arial" w:hAnsi="Arial"/>
          <w:sz w:val="16"/>
          <w:szCs w:val="16"/>
          <w:color w:val="auto"/>
        </w:rPr>
        <w:t>federal, state and local sources. The federal highway bill provides annual</w:t>
      </w:r>
    </w:p>
    <w:p>
      <w:pPr>
        <w:spacing w:after="0" w:line="237" w:lineRule="auto"/>
        <w:rPr>
          <w:sz w:val="20"/>
          <w:szCs w:val="20"/>
          <w:color w:val="auto"/>
        </w:rPr>
      </w:pPr>
      <w:r>
        <w:rPr>
          <w:rFonts w:ascii="Arial" w:cs="Arial" w:eastAsia="Arial" w:hAnsi="Arial"/>
          <w:sz w:val="16"/>
          <w:szCs w:val="16"/>
          <w:color w:val="auto"/>
        </w:rPr>
        <w:t>funding  for  public-sector  highway  construction  projects  and  includes</w:t>
      </w:r>
    </w:p>
    <w:p>
      <w:pPr>
        <w:spacing w:after="0"/>
        <w:rPr>
          <w:sz w:val="20"/>
          <w:szCs w:val="20"/>
          <w:color w:val="auto"/>
        </w:rPr>
      </w:pPr>
      <w:r>
        <w:rPr>
          <w:rFonts w:ascii="Arial" w:cs="Arial" w:eastAsia="Arial" w:hAnsi="Arial"/>
          <w:sz w:val="16"/>
          <w:szCs w:val="16"/>
          <w:color w:val="auto"/>
        </w:rPr>
        <w:t>spending authorizations,</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55</w:t>
      </w:r>
    </w:p>
    <w:p>
      <w:pPr>
        <w:sectPr>
          <w:pgSz w:w="11900" w:h="16838" w:orient="portrait"/>
          <w:cols w:equalWidth="0" w:num="1">
            <w:col w:w="11420"/>
          </w:cols>
          <w:pgMar w:left="240" w:top="259" w:right="239" w:bottom="1440" w:gutter="0" w:footer="0" w:header="0"/>
          <w:type w:val="continuous"/>
        </w:sectPr>
      </w:pPr>
    </w:p>
    <w:bookmarkStart w:id="108" w:name="page109"/>
    <w:bookmarkEnd w:id="108"/>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7">
                      <a:extLst>
                        <a:ext uri="{28A0092B-C50C-407E-A947-70E740481C1C}"/>
                      </a:extLst>
                    </a:blip>
                    <a:srcRect/>
                    <a:stretch>
                      <a:fillRect/>
                    </a:stretch>
                  </pic:blipFill>
                  <pic:spPr bwMode="auto">
                    <a:xfrm>
                      <a:off x="0" y="0"/>
                      <a:ext cx="7293610" cy="37465"/>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420"/>
          </w:cols>
          <w:pgMar w:left="240" w:top="26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which under MAP-21 provided three types of federal credit assistance for nationally or regionally significant surface transportation projects, now allows more diversification of projects. TIFIA is designed to fill market gaps and leverage substantial private co-investment by providing projects with supplemental or subordinate debt which is not subject to national debt ceiling challenges or sequestration. Since inception, TIFIA has provided more than $25 billion of credit assistance to over 50 projects representing over $90 billion in infrastructure investment. Under the FAST Act, annual TIFIA funding decreases and ranges from $275 million to $300 million, but no longer requires the 20% matching funds from state DOTs. Consequently, states can advance construction projects immediately with potentially no upfront outlay of state department of transportation dollars. TIFIA requires projects to have a revenue source to pay back the credit assistance within a 30-to-40 year period. Moreover, TIFIA funds may represent up to 49% of total eligible project costs for a TIFIA-secured loan and 33% for a TIFIA standby line of credit. Therefore, the TIFIA program has the ability to significantly leverage construction dollars. Each dollar of federal funds can provide up to $10 in TIFIA credit assistance and support up to $30 in transportation infrastructure investment. Private investment in transportation projects funded through TIFIA is particularly attractive, in part due to the subordination of public investment to private. Management believes TIFIA could provide a substantial boost for state department of transportation construction programs well above what is currently budgeted. As of January 2018, TIFIA-funded projects for the Company’s top five sales-generating states approximated $25 billion.</w:t>
      </w:r>
    </w:p>
    <w:p>
      <w:pPr>
        <w:spacing w:after="0" w:line="312"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Excluding TIFIA-approved projects, states are required to match funds at a predetermined rate in order to receive federal funds for highways. Matching levels vary depending on the type of project. If a state is unable to match its allocated federal funds, funding is forfeited and reallocated to states providing the appropriate matching funds. Although a significant portion of state highway construction programs are financed from highway user fees, significant increases in federal infrastructure funding typically require state governments to increase highway user fees to match federal spending. While states rarely forfeit federal highway funds, the possibility of forfeiture increases when states face declining tax revenues and struggle to balance budgets.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Given that most states are required to balance their budgets, reductions in revenues generally require a reduction in states’ expenditures. However, the impact of state revenue reductions on highway spending will vary depending on whether the spending comes from dedicated revenue sources, such as highway user fees, or whether portions are funded with general funds. Based on national averages, user taxes represent the largest component of highway revenues, averaging 42% in fiscal year 2015, the latest available statistic. The use of general funds as a percentage of each state’s highway revenues varies, with a national average of 4% in fiscal year 2015, the latest available statistic. Therefore, state budget spending cuts typically only affect a small percentage of a state’s highway spending.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2776855" cy="34448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8">
                      <a:extLst>
                        <a:ext uri="{28A0092B-C50C-407E-A947-70E740481C1C}"/>
                      </a:extLst>
                    </a:blip>
                    <a:srcRect/>
                    <a:stretch>
                      <a:fillRect/>
                    </a:stretch>
                  </pic:blipFill>
                  <pic:spPr bwMode="auto">
                    <a:xfrm>
                      <a:off x="0" y="0"/>
                      <a:ext cx="2776855" cy="3444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rPr>
          <w:sz w:val="20"/>
          <w:szCs w:val="20"/>
          <w:color w:val="auto"/>
        </w:rPr>
      </w:pPr>
      <w:r>
        <w:rPr>
          <w:rFonts w:ascii="Arial" w:cs="Arial" w:eastAsia="Arial" w:hAnsi="Arial"/>
          <w:sz w:val="16"/>
          <w:szCs w:val="16"/>
          <w:color w:val="auto"/>
        </w:rPr>
        <w:t>States continue to play an expanding role in infrastructure investment. In addition to federal appropriations, each state funds its infrastructure spending from specifically allocated amounts collected from various user taxes, typically gasoline taxes and vehicle fees. Over the past several years, states have taken on a significantly larger role in funding infrastructure investment, including initiating special-purpose</w:t>
      </w:r>
    </w:p>
    <w:p>
      <w:pPr>
        <w:spacing w:after="0" w:line="200" w:lineRule="exact"/>
        <w:rPr>
          <w:sz w:val="20"/>
          <w:szCs w:val="20"/>
          <w:color w:val="auto"/>
        </w:rPr>
      </w:pPr>
    </w:p>
    <w:p>
      <w:pPr>
        <w:sectPr>
          <w:pgSz w:w="11900" w:h="16838" w:orient="portrait"/>
          <w:cols w:equalWidth="0" w:num="2">
            <w:col w:w="5480" w:space="360"/>
            <w:col w:w="5580"/>
          </w:cols>
          <w:pgMar w:left="240" w:top="260" w:right="239" w:bottom="1440" w:gutter="0" w:footer="0" w:header="0"/>
          <w:type w:val="continuous"/>
        </w:sectPr>
      </w:pP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56</w:t>
      </w:r>
    </w:p>
    <w:p>
      <w:pPr>
        <w:sectPr>
          <w:pgSz w:w="11900" w:h="16838" w:orient="portrait"/>
          <w:cols w:equalWidth="0" w:num="1">
            <w:col w:w="11420"/>
          </w:cols>
          <w:pgMar w:left="240" w:top="260" w:right="239" w:bottom="1440" w:gutter="0" w:footer="0" w:header="0"/>
          <w:type w:val="continuous"/>
        </w:sectPr>
      </w:pPr>
    </w:p>
    <w:bookmarkStart w:id="109" w:name="page110"/>
    <w:bookmarkEnd w:id="109"/>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9">
                      <a:extLst>
                        <a:ext uri="{28A0092B-C50C-407E-A947-70E740481C1C}"/>
                      </a:extLst>
                    </a:blip>
                    <a:srcRect/>
                    <a:stretch>
                      <a:fillRect/>
                    </a:stretch>
                  </pic:blipFill>
                  <pic:spPr bwMode="auto">
                    <a:xfrm>
                      <a:off x="0" y="0"/>
                      <a:ext cx="7293610" cy="37465"/>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420"/>
          </w:cols>
          <w:pgMar w:left="240" w:top="2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taxes and raising gas taxes. Management believes that innovative financing at the state level, such as bond issuances, toll roads and tax initiatives, will grow at a faster rate than federal funding. State spending on infrastructure generally leads to increased growth opportunities for the Company. The level of state public-works spending is varied across the nation and dependent upon individual state economies. The degree to which the Company could be affected by a reduction or slowdown in infrastructure spending varies by state. The state economies of the Building Materials business’ five largest sales-generating states may disproportionately affect the Company’s financial performance.</w:t>
      </w:r>
    </w:p>
    <w:p>
      <w:pPr>
        <w:spacing w:after="0" w:line="200"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Governmental appropriations and expenditures are typically less interest rate-sensitive than private-sector spending. Obligations of federal funds is a leading indicator of highway construction activity in the United States. Before a state or local department of transportation can solicit bids on an eligible construction project, it enters into an agreement with the Federal Highway Administration to obligate the federal government to pay its portion of the project cost. Federal obligations are subject to annual funding appropriations by Congress.</w:t>
      </w:r>
    </w:p>
    <w:p>
      <w:pPr>
        <w:spacing w:after="0" w:line="195"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The need for surface transportation improvements significantly outpaces the amount of available funding. A large number of roads, highways and bridges built following the establishment of the Interstate Highway System in 1956 are now in need of major repair or reconstruction. According to The Road Information Program (TRIP), a national transportation research group, vehicle travel on United States highways increased 38% from 1990 to 2012, while new lane road mileage increased only 4% over the same period. TRIP also reports that 14% of the nation’s major roads are in poor condition and 25% of the nation’s bridges are structurally deficient or functionally obsolete. Currently, the Federal Highway Administration estimates that $170 billion is needed in annual capital investment through 2028 to significantly improve the current conditions and performance of the nation’s highways. The Company is encouraged by the recent enactment of the 2017 Tax Act and its long-term benefits for both Martin Marietta and the industry. Importantly, passage of this legislation provides positive momentum in Washington D.C. to hopefully address the shortfall in sustainable funding commensurate with the nation’s need for infrastructure investment. Any such measures will require Congressional approval. Additionally, the recent release of President Trump’s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Legislative Outline for Rebuilding Infrastructure in America provides additional momentum, increasing the likelihood that both infrastructure funding will be increased and regulatory burdens will be lightened. While state DOTs and contractors are slowly addressing their labor constraints, the Company believes that were an enhanced infrastructure bill enacted, those efforts would be more rapidly addressed. However, even in the absence of an enhanced infrastructure bill, strong customer confidence and improving sentiment leads management to believe that infrastructure activity for 2018 and beyond should benefit from the FAST Act, the 2017 Tax Act, and additional state and local infrastructure initiatives.</w:t>
      </w:r>
    </w:p>
    <w:p>
      <w:pPr>
        <w:spacing w:after="0" w:line="200" w:lineRule="exact"/>
        <w:rPr>
          <w:sz w:val="20"/>
          <w:szCs w:val="20"/>
          <w:color w:val="auto"/>
        </w:rPr>
      </w:pPr>
    </w:p>
    <w:p>
      <w:pPr>
        <w:jc w:val="both"/>
        <w:spacing w:after="0"/>
        <w:rPr>
          <w:sz w:val="20"/>
          <w:szCs w:val="20"/>
          <w:color w:val="auto"/>
        </w:rPr>
      </w:pPr>
      <w:r>
        <w:rPr>
          <w:rFonts w:ascii="Arial" w:cs="Arial" w:eastAsia="Arial" w:hAnsi="Arial"/>
          <w:sz w:val="16"/>
          <w:szCs w:val="16"/>
          <w:color w:val="auto"/>
        </w:rPr>
        <w:t>Transportation investments generally boost the national economy by enhancing mobility and access and by creating jobs, which is a priority of many of the government’s economic plans. According to the Federal Highway Administration, every $1 billion in federal highway investment creates approximately 28,000 jobs. The number of jobs created is dependent on the nature and aggregates intensity of the projects. Approximately half of the Building Materials business’ total revenues to the infrastructure market come from federal funding authorizations, including matching funds from the states. For each dollar spent on road, highway and bridge improvements, the Federal Highway Administration estimates an average benefit of $5.20 is recognized in the form of reduced vehicle maintenance costs, reduced delays, reduced fuel consumption, improved safety, reduced road and bridge maintenance costs and reduced emissions as a result of improved traffic flow.</w:t>
      </w:r>
    </w:p>
    <w:p>
      <w:pPr>
        <w:spacing w:after="0" w:line="359"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In addition to highways and bridges, transportation infrastructure includes aviation, mass transit, and ports and waterways. Public-sector construction related to transportation infrastructure can be aggregates intensive.</w:t>
      </w:r>
    </w:p>
    <w:p>
      <w:pPr>
        <w:spacing w:after="0" w:line="17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 xml:space="preserve">According to the </w:t>
      </w:r>
      <w:r>
        <w:rPr>
          <w:rFonts w:ascii="Arial" w:cs="Arial" w:eastAsia="Arial" w:hAnsi="Arial"/>
          <w:sz w:val="16"/>
          <w:szCs w:val="16"/>
          <w:i w:val="1"/>
          <w:iCs w:val="1"/>
          <w:color w:val="auto"/>
        </w:rPr>
        <w:t>American Road and Transportation Builders Association</w:t>
      </w:r>
      <w:r>
        <w:rPr>
          <w:rFonts w:ascii="Arial" w:cs="Arial" w:eastAsia="Arial" w:hAnsi="Arial"/>
          <w:sz w:val="16"/>
          <w:szCs w:val="16"/>
          <w:color w:val="auto"/>
        </w:rPr>
        <w:t xml:space="preserve"> (ARTBA), spending on airport terminals and related work was $11.7 billion and runway work was $3.6 billion during 2017; spending is forecasted to increase 14% in 2018.</w:t>
      </w:r>
    </w:p>
    <w:p>
      <w:pPr>
        <w:spacing w:after="0" w:line="187"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Construction spending for mass transit projects, which include subways, light rail and railroads, was $20.3 billion in 2017, according to ARTBA, and is expected to increase 5% in 2018. Railroad construction continues to benefit from economic growth, which generates need for additional maintenance and improvements. According to ARTBA,</w:t>
      </w:r>
    </w:p>
    <w:p>
      <w:pPr>
        <w:spacing w:after="0" w:line="200" w:lineRule="exact"/>
        <w:rPr>
          <w:sz w:val="20"/>
          <w:szCs w:val="20"/>
          <w:color w:val="auto"/>
        </w:rPr>
      </w:pPr>
    </w:p>
    <w:p>
      <w:pPr>
        <w:sectPr>
          <w:pgSz w:w="11900" w:h="16838" w:orient="portrait"/>
          <w:cols w:equalWidth="0" w:num="2">
            <w:col w:w="5480" w:space="360"/>
            <w:col w:w="5580"/>
          </w:cols>
          <w:pgMar w:left="240" w:top="259" w:right="239" w:bottom="1440" w:gutter="0" w:footer="0" w:header="0"/>
          <w:type w:val="continuous"/>
        </w:sectPr>
      </w:pPr>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57</w:t>
      </w:r>
    </w:p>
    <w:p>
      <w:pPr>
        <w:sectPr>
          <w:pgSz w:w="11900" w:h="16838" w:orient="portrait"/>
          <w:cols w:equalWidth="0" w:num="1">
            <w:col w:w="11420"/>
          </w:cols>
          <w:pgMar w:left="240" w:top="259" w:right="239" w:bottom="1440" w:gutter="0" w:footer="0" w:header="0"/>
          <w:type w:val="continuous"/>
        </w:sectPr>
      </w:pPr>
    </w:p>
    <w:bookmarkStart w:id="110" w:name="page111"/>
    <w:bookmarkEnd w:id="110"/>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0">
                      <a:extLst>
                        <a:ext uri="{28A0092B-C50C-407E-A947-70E740481C1C}"/>
                      </a:extLst>
                    </a:blip>
                    <a:srcRect/>
                    <a:stretch>
                      <a:fillRect/>
                    </a:stretch>
                  </pic:blipFill>
                  <pic:spPr bwMode="auto">
                    <a:xfrm>
                      <a:off x="0" y="0"/>
                      <a:ext cx="7293610" cy="37465"/>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420"/>
          </w:cols>
          <w:pgMar w:left="240" w:top="2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6"/>
          <w:szCs w:val="16"/>
          <w:color w:val="auto"/>
        </w:rPr>
        <w:t>subway and light rail work is expected to benefit slightly from the FAST Act.</w:t>
      </w:r>
    </w:p>
    <w:p>
      <w:pPr>
        <w:spacing w:after="0" w:line="30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Port and waterway construction spending, according to ARTBA, was $1.8 billion in 2017 and is forecasted to be flat in 2018.</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8D5D6C"/>
        </w:rPr>
        <w:t>Erratic weather can significantly impact operations.</w:t>
      </w:r>
    </w:p>
    <w:p>
      <w:pPr>
        <w:spacing w:after="0" w:line="55" w:lineRule="exact"/>
        <w:rPr>
          <w:sz w:val="20"/>
          <w:szCs w:val="20"/>
          <w:color w:val="auto"/>
        </w:rPr>
      </w:pPr>
    </w:p>
    <w:p>
      <w:pPr>
        <w:jc w:val="both"/>
        <w:spacing w:after="0"/>
        <w:rPr>
          <w:sz w:val="20"/>
          <w:szCs w:val="20"/>
          <w:color w:val="auto"/>
        </w:rPr>
      </w:pPr>
      <w:r>
        <w:rPr>
          <w:rFonts w:ascii="Arial" w:cs="Arial" w:eastAsia="Arial" w:hAnsi="Arial"/>
          <w:sz w:val="16"/>
          <w:szCs w:val="16"/>
          <w:color w:val="auto"/>
        </w:rPr>
        <w:t>Climate change is defined as a change in global or regional climate patterns. Changes to the climate have been occurring for centuries due to minor shifts in the Earth’s orbit, ultimately changing the amount of solar energy received. More recently, however, this rate of change has accelerated and climate change is considered a leading cause of erratic weather. Production and shipment levels for the Building Materials business correlate with general construction activity, most of which occurs outdoors and, as a result, is affected by erratic weather, seasonal changes and other weather-related conditions which can significantly affect the business.</w:t>
      </w:r>
    </w:p>
    <w:p>
      <w:pPr>
        <w:spacing w:after="0" w:line="200" w:lineRule="exact"/>
        <w:rPr>
          <w:sz w:val="20"/>
          <w:szCs w:val="20"/>
          <w:color w:val="auto"/>
        </w:rPr>
      </w:pPr>
    </w:p>
    <w:p>
      <w:pPr>
        <w:spacing w:after="0" w:line="272"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Excessive rainfall jeopardizes production, shipments and profitability in all markets served by the Company. In particular, the Company’s operations in the southeastern and Gulf Coast regions of the United States and the Bahamas are at risk for hurricane activity, most notably in August, September and October. Nationally, 2017 marked the 20th-wettest year on record, and the fifth consecutive year with above-average precipitation. The last few years have brought an unprecedented amount of precipitation to the United States and, particularly, to Texas. In fact, 2015 set a new rainfall record for Texas; the 24-month period ending September 2016 set a new two-year record for the state, with an average annual rainfall of 75 inches. Hurricane Harvey, a Category 4 storm that made landfall in Houston in August 2017, brought nearly 20 trillion gallons of precipitation. In the Southeast, Hurricane Irma, also a Category 4 storm, made landfall in Florida in September 2017 and brought excessive rainfall to the southeastern United States, notably Florida and Georgia. Additionally, in 2017, Colorado experienced its fifteenth wettest nine-months for the period January through September. In October 2016, rainfall along the eastern seaboard of the United States from Hurricane Matthew, a Category 5 hurricane, approximated 13.6 trillion gallons. Hurricane Matthew was the first major hurricane on record to make landfall in the Bahamas.</w:t>
      </w:r>
    </w:p>
    <w:p>
      <w:pPr>
        <w:spacing w:after="0" w:line="31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NOAA reports that since 1895, the contiguous United States has experienced an average temperature increase of 1.5°F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per century, with 2017 averaging 2.6°F above the 20th century average and marking it the third-warmest year on record, behind 2012 and 2016. In fact, 2017 marked the 21st consecutive warmer-than-average year for the contiguous United States, and five states, including North Carolina and South Carolina, had a record year. Temperature plays a significant role in the months of March and November, meaningfully affecting the Company’s first-and fourth-quarter results, respectively. Warm and/or moderate temperatures in March and November allow the construction season to start earlier and end later, respectively. In 2017, the nation experienced the ninth-warmest March on record while Colorado and Texas reported its warmest and its second-warmest March, respectively. The weather was also favorable in November 2017, as Colorado set another record and Texas reported its fifth-warmest November.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2884170" cy="26206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1">
                      <a:extLst>
                        <a:ext uri="{28A0092B-C50C-407E-A947-70E740481C1C}"/>
                      </a:extLst>
                    </a:blip>
                    <a:srcRect/>
                    <a:stretch>
                      <a:fillRect/>
                    </a:stretch>
                  </pic:blipFill>
                  <pic:spPr bwMode="auto">
                    <a:xfrm>
                      <a:off x="0" y="0"/>
                      <a:ext cx="2884170" cy="2620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520"/>
        <w:spacing w:after="0" w:line="273" w:lineRule="auto"/>
        <w:rPr>
          <w:sz w:val="20"/>
          <w:szCs w:val="20"/>
          <w:color w:val="auto"/>
        </w:rPr>
      </w:pPr>
      <w:r>
        <w:rPr>
          <w:rFonts w:ascii="Arial" w:cs="Arial" w:eastAsia="Arial" w:hAnsi="Arial"/>
          <w:sz w:val="17"/>
          <w:szCs w:val="17"/>
          <w:b w:val="1"/>
          <w:bCs w:val="1"/>
          <w:color w:val="8D5D6C"/>
        </w:rPr>
        <w:t>Capital investment decisions driven by capital intensity of the Building Materials business and focus on land.</w:t>
      </w:r>
    </w:p>
    <w:p>
      <w:pPr>
        <w:jc w:val="both"/>
        <w:spacing w:after="0" w:line="239" w:lineRule="auto"/>
        <w:rPr>
          <w:sz w:val="20"/>
          <w:szCs w:val="20"/>
          <w:color w:val="auto"/>
        </w:rPr>
      </w:pPr>
      <w:r>
        <w:rPr>
          <w:rFonts w:ascii="Arial" w:cs="Arial" w:eastAsia="Arial" w:hAnsi="Arial"/>
          <w:sz w:val="16"/>
          <w:szCs w:val="16"/>
          <w:color w:val="auto"/>
        </w:rPr>
        <w:t>The Company’s organic capital program is designed to take advantage of construction market growth through investment in both permanent and portable facilities at the Company’s operations. Over an economic cycle, the Company typically invests organic capital at an annual level that approximates depreciation expense. At mid-cycle and through cyclical peaks, organic capital investment typically exceeds depreciation expense, as the Company supports current capacity needs and invests for future capacity growth. Conversely, at a cyclical trough, the Company can</w:t>
      </w:r>
    </w:p>
    <w:p>
      <w:pPr>
        <w:spacing w:after="0" w:line="200" w:lineRule="exact"/>
        <w:rPr>
          <w:sz w:val="20"/>
          <w:szCs w:val="20"/>
          <w:color w:val="auto"/>
        </w:rPr>
      </w:pPr>
    </w:p>
    <w:p>
      <w:pPr>
        <w:sectPr>
          <w:pgSz w:w="11900" w:h="16838" w:orient="portrait"/>
          <w:cols w:equalWidth="0" w:num="2">
            <w:col w:w="5480" w:space="360"/>
            <w:col w:w="5580"/>
          </w:cols>
          <w:pgMar w:left="240" w:top="259" w:right="239" w:bottom="1440" w:gutter="0" w:footer="0" w:header="0"/>
          <w:type w:val="continuous"/>
        </w:sectPr>
      </w:pPr>
    </w:p>
    <w:p>
      <w:pPr>
        <w:spacing w:after="0" w:line="4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58</w:t>
      </w:r>
    </w:p>
    <w:p>
      <w:pPr>
        <w:sectPr>
          <w:pgSz w:w="11900" w:h="16838" w:orient="portrait"/>
          <w:cols w:equalWidth="0" w:num="1">
            <w:col w:w="11420"/>
          </w:cols>
          <w:pgMar w:left="240" w:top="259" w:right="239" w:bottom="1440" w:gutter="0" w:footer="0" w:header="0"/>
          <w:type w:val="continuous"/>
        </w:sectPr>
      </w:pPr>
    </w:p>
    <w:bookmarkStart w:id="111" w:name="page112"/>
    <w:bookmarkEnd w:id="111"/>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2">
                      <a:extLst>
                        <a:ext uri="{28A0092B-C50C-407E-A947-70E740481C1C}"/>
                      </a:extLst>
                    </a:blip>
                    <a:srcRect/>
                    <a:stretch>
                      <a:fillRect/>
                    </a:stretch>
                  </pic:blipFill>
                  <pic:spPr bwMode="auto">
                    <a:xfrm>
                      <a:off x="0" y="0"/>
                      <a:ext cx="7293610" cy="37465"/>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420"/>
          </w:cols>
          <w:pgMar w:left="240" w:top="2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reduce levels of capital investment. Regardless of cycle, the Company sets a priority of investing capital to ensure safe, environmentally-sound and efficient operations and to provide the highest quality of customer service and establish a foundation for future growth.</w:t>
      </w:r>
    </w:p>
    <w:p>
      <w:pPr>
        <w:spacing w:after="0" w:line="296"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The Company is diligent in its focus on land opportunities, including greensites and expanding locations. Land purchases are usually opportunistic and require the Company to be flexible in its ability to secure the land. Land purchases can include contiguous property around existing quarry locations. This property can serve as buffer property or additional mineral reserve capacity, assuming regulatory hurdles can be cleared and the underlying geology supports economical aggregates mining. In either instance, the acquisition of additional property around an existing quarry allows the expansion of the quarry footprint and extension of quarry life.</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color w:val="0085CD"/>
        </w:rPr>
        <w:t>Magnesia Specialties Business</w:t>
      </w:r>
    </w:p>
    <w:p>
      <w:pPr>
        <w:spacing w:after="0" w:line="55"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The Magnesia Specialties business produces and sells dolomitic lime from its Woodville, Ohio facility. Additionally, at its Manistee, Michigan facility, Magnesia Specialties manufactures magnesia-based chemicals products for industrial, agricultural and environmental applications. In 2017, this business achieved record total revenues and earnings from operations of $270.0 million and $79.4 million, respectively. Of 2017 total revenues, 71% were attributable to chemicals products, 28% were attributable to lime and 1% was attributable to stone.</w:t>
      </w:r>
    </w:p>
    <w:p>
      <w:pPr>
        <w:spacing w:after="0" w:line="195"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In 2017, 82% of the lime produced was sold to third-party customers, while the remaining 18% was used internally as a raw material for the business’ manufacturing of chemicals products. Dolomitic lime products sold to external customers are primarily used by the steel industry, and overall, 37% of Magnesia Specialties’ 2017 total revenues related to products used in the steel industry. Accordingly, a portion of the segment’s revenues and profits is affected by production and inventory trends within the steel industry, which are guided by the rate of consumer consumption, the flow of offshore imports and other economic factors. Average steel production in 2017 increased 4.3% versus 2016. The dolomitic lime business runs most profitably at 70% or greater steel capacity utilization; domestic capacity utilization averaged 74% in 2017. The chemical products business focuses on higher-margin specialty chemicals that can be produced at volumes that support efficient operations.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Total revenues of the Magnesia Specialties business in 2017 were predominantly from North America, but a small amount was derived from overseas. No single foreign country accounted for 10% or more of the total revenues for the Company. Financial results can be affected by foreign currency exchange rates, increasing transportation costs or weak economic conditions in the foreign markets. To mitigate the short-term effect of currency exchange rates, foreign transactions are denominated in United States dollars. However, the current strength of the United States dollar in foreign markets is affecting the overall price of Magnesia Specialties’ products when compared to foreign-domiciled competitors.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-3601720</wp:posOffset>
            </wp:positionV>
            <wp:extent cx="2925445" cy="2315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3">
                      <a:extLst>
                        <a:ext uri="{28A0092B-C50C-407E-A947-70E740481C1C}"/>
                      </a:extLst>
                    </a:blip>
                    <a:srcRect/>
                    <a:stretch>
                      <a:fillRect/>
                    </a:stretch>
                  </pic:blipFill>
                  <pic:spPr bwMode="auto">
                    <a:xfrm>
                      <a:off x="0" y="0"/>
                      <a:ext cx="2925445" cy="2315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147320</wp:posOffset>
            </wp:positionV>
            <wp:extent cx="2892425" cy="26784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4">
                      <a:extLst>
                        <a:ext uri="{28A0092B-C50C-407E-A947-70E740481C1C}"/>
                      </a:extLst>
                    </a:blip>
                    <a:srcRect/>
                    <a:stretch>
                      <a:fillRect/>
                    </a:stretch>
                  </pic:blipFill>
                  <pic:spPr bwMode="auto">
                    <a:xfrm>
                      <a:off x="0" y="0"/>
                      <a:ext cx="2892425" cy="2678430"/>
                    </a:xfrm>
                    <a:prstGeom prst="rect">
                      <a:avLst/>
                    </a:prstGeom>
                    <a:noFill/>
                  </pic:spPr>
                </pic:pic>
              </a:graphicData>
            </a:graphic>
          </wp:anchor>
        </w:drawing>
      </w:r>
    </w:p>
    <w:p>
      <w:pPr>
        <w:spacing w:after="0" w:line="1955" w:lineRule="exact"/>
        <w:rPr>
          <w:sz w:val="20"/>
          <w:szCs w:val="20"/>
          <w:color w:val="auto"/>
        </w:rPr>
      </w:pPr>
    </w:p>
    <w:p>
      <w:pPr>
        <w:sectPr>
          <w:pgSz w:w="11900" w:h="16838" w:orient="portrait"/>
          <w:cols w:equalWidth="0" w:num="2">
            <w:col w:w="5480" w:space="360"/>
            <w:col w:w="5580"/>
          </w:cols>
          <w:pgMar w:left="240" w:top="25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59</w:t>
      </w:r>
    </w:p>
    <w:p>
      <w:pPr>
        <w:sectPr>
          <w:pgSz w:w="11900" w:h="16838" w:orient="portrait"/>
          <w:cols w:equalWidth="0" w:num="1">
            <w:col w:w="11420"/>
          </w:cols>
          <w:pgMar w:left="240" w:top="259" w:right="239" w:bottom="1440" w:gutter="0" w:footer="0" w:header="0"/>
          <w:type w:val="continuous"/>
        </w:sectPr>
      </w:pPr>
    </w:p>
    <w:bookmarkStart w:id="112" w:name="page113"/>
    <w:bookmarkEnd w:id="112"/>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5">
                      <a:extLst>
                        <a:ext uri="{28A0092B-C50C-407E-A947-70E740481C1C}"/>
                      </a:extLst>
                    </a:blip>
                    <a:srcRect/>
                    <a:stretch>
                      <a:fillRect/>
                    </a:stretch>
                  </pic:blipFill>
                  <pic:spPr bwMode="auto">
                    <a:xfrm>
                      <a:off x="0" y="0"/>
                      <a:ext cx="7293610" cy="37465"/>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420"/>
          </w:cols>
          <w:pgMar w:left="240" w:top="2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spacing w:after="0"/>
        <w:rPr>
          <w:sz w:val="20"/>
          <w:szCs w:val="20"/>
          <w:color w:val="auto"/>
        </w:rPr>
      </w:pPr>
      <w:r>
        <w:rPr>
          <w:rFonts w:ascii="Arial" w:cs="Arial" w:eastAsia="Arial" w:hAnsi="Arial"/>
          <w:sz w:val="16"/>
          <w:szCs w:val="16"/>
          <w:color w:val="auto"/>
        </w:rPr>
        <w:t>A significant portion of the Magnesia Specialties business‘ costs related to the production of dolomitic lime and magnesia chemicals products is of a fixed or semi-fixed nature. The production process requires the use of natural gas, coal and petroleum coke. Therefore, fluctuations in their pricing directly affect operating results. To help mitigate this risk, the Company has fixed price agreements for 100% of its 2018 coal needs, approximately 33% of its 2018 natural gas needs and 100% of its 2018 petroleum coke needs. For 2017, the Company’s average cost per MCF (thousand cubic feet) for natural gas increased 33% over 2016. Given high fixed costs, low capacity utilization can negatively affect the segment’s results of operations. Management expects future organic growth to result from increased pricing, rationalization of the current product portfolio and/or further cost reductions.</w:t>
      </w:r>
    </w:p>
    <w:p>
      <w:pPr>
        <w:spacing w:after="0" w:line="200" w:lineRule="exact"/>
        <w:rPr>
          <w:sz w:val="20"/>
          <w:szCs w:val="20"/>
          <w:color w:val="auto"/>
        </w:rPr>
      </w:pPr>
    </w:p>
    <w:p>
      <w:pPr>
        <w:spacing w:after="0" w:line="266" w:lineRule="exact"/>
        <w:rPr>
          <w:sz w:val="20"/>
          <w:szCs w:val="20"/>
          <w:color w:val="auto"/>
        </w:rPr>
      </w:pPr>
    </w:p>
    <w:p>
      <w:pPr>
        <w:jc w:val="both"/>
        <w:spacing w:after="0"/>
        <w:rPr>
          <w:sz w:val="20"/>
          <w:szCs w:val="20"/>
          <w:color w:val="auto"/>
        </w:rPr>
      </w:pPr>
      <w:r>
        <w:rPr>
          <w:rFonts w:ascii="Arial" w:cs="Arial" w:eastAsia="Arial" w:hAnsi="Arial"/>
          <w:sz w:val="16"/>
          <w:szCs w:val="16"/>
          <w:color w:val="auto"/>
        </w:rPr>
        <w:t xml:space="preserve">The Magnesia Specialties business is highly dependent on rail transportation, particularly for movement of dolomitic lime from Woodville to Manistee and direct customer shipments of dolomitic lime and magnesia chemicals products from both Woodville and Manistee. The segment can be affected by the risks mentioned in the long-haul distribution discussion in the </w:t>
      </w:r>
      <w:r>
        <w:rPr>
          <w:rFonts w:ascii="Arial" w:cs="Arial" w:eastAsia="Arial" w:hAnsi="Arial"/>
          <w:sz w:val="16"/>
          <w:szCs w:val="16"/>
          <w:i w:val="1"/>
          <w:iCs w:val="1"/>
          <w:color w:val="auto"/>
        </w:rPr>
        <w:t>Building Materials Business’ Key Considerations</w:t>
      </w:r>
      <w:r>
        <w:rPr>
          <w:rFonts w:ascii="Arial" w:cs="Arial" w:eastAsia="Arial" w:hAnsi="Arial"/>
          <w:sz w:val="16"/>
          <w:szCs w:val="16"/>
          <w:color w:val="auto"/>
        </w:rPr>
        <w:t xml:space="preserve"> section. All of Magnesia Specialties’ hourly workforce belongs to a labor union. Union contracts cover hourly employees at the Manistee, magnesia-based chemicals plant and the Woodville, lime plant. The labor contracts for the Woodville and Manistee locations expire in May 2018 and August 2019, respectively.</w:t>
      </w: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b w:val="1"/>
          <w:bCs w:val="1"/>
          <w:color w:val="0085CD"/>
        </w:rPr>
        <w:t>Environmental Regulation and Litigation</w:t>
      </w:r>
    </w:p>
    <w:p>
      <w:pPr>
        <w:spacing w:after="0" w:line="55"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The expansion and growth of the aggregates industry is subject to increasing challenges from environmental and political advocates aiming to control the pace and direction of future development. Certain environmental groups have published lists of targeted municipal areas, including areas within the Company’s marketplace, for environmental and suburban growth control. The effect of these initiatives on the Company’s growth is typically localized. Further challenges are expected as the momentum of these initiatives ebb and flow across the United States. Rail and other transportation alternatives are being heralded by these special-interest groups as solutions to mitigate road traffic congestion and overcrowding.</w:t>
      </w:r>
    </w:p>
    <w:p>
      <w:pPr>
        <w:spacing w:after="0" w:line="200" w:lineRule="exact"/>
        <w:rPr>
          <w:sz w:val="20"/>
          <w:szCs w:val="20"/>
          <w:color w:val="auto"/>
        </w:rPr>
      </w:pPr>
    </w:p>
    <w:p>
      <w:pPr>
        <w:spacing w:after="0" w:line="27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Company’s operations are subject to and affected by federal, state and local laws and regulations relating 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the environment, health and safety and other regulatory matters. Certain of the Company’s operations may occasionally use substances classified as toxic or hazardous. The Company regularly monitors and reviews its operations, procedures and policies for compliance with these laws and regulations. Despite these compliance efforts, risk of environmental liability is inherent in the operation of the Company’s businesses, as it is with other companies engaged in similar businesses.</w:t>
      </w:r>
    </w:p>
    <w:p>
      <w:pPr>
        <w:spacing w:after="0" w:line="301"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Environmental operating permits are, or may be, required for certain of the Company’s operations; such permits are subject to modification, renewal and revocation. New permits are generally required for opening new sites or for expansion at existing operations and can take several years to obtain. In the area of land use, rezoning and special or conditional use permits are increasingly difficult to obtain. Once a permit is issued, the location is required to generally operate in accordance with the approved site plan.</w:t>
      </w:r>
    </w:p>
    <w:p>
      <w:pPr>
        <w:spacing w:after="0" w:line="301"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As is the case with others in the cement industry, the Company’s cement operations produce varying quantities of cement kiln dust (CKD). This production by-product consists of fine-grained, solid, highly alkaline material removed from cement kiln exhaust gas by air pollution control devices. Because much of the CKD is actually unreacted raw materials, it is generally permissible to recycle the CKD back into the production process, and large amounts are often treated in such manner. CKD that is not returned to the production process is disposed in landfills. CKD is currently exempted from federal hazardous waste regulations under Subtitle C of the Resource Conservation and Recovery Act (RCRA).</w:t>
      </w:r>
    </w:p>
    <w:p>
      <w:pPr>
        <w:spacing w:after="0" w:line="304"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The Clean Air Act, originally passed in 1963 and periodically updated by amendments, is the United States’ national air pollution control program that granted the Environmental Protection Agency (EPA) authority to set limits on the level of various air pollutants. To be in compliance with National Ambient Air Quality Standards (NAAQS), a defined geographic area must be below established limits for six pollutants. Environmental groups have been successful in lawsuits against the federal and certain state departments of transportation, delaying highway construction in municipal areas not in compliance with the Clean Air Act. The EPA designates geographic areas as nonattainment areas when the level of air pollutants exceeds the national standard.</w:t>
      </w:r>
    </w:p>
    <w:p>
      <w:pPr>
        <w:spacing w:after="0" w:line="709" w:lineRule="exact"/>
        <w:rPr>
          <w:sz w:val="20"/>
          <w:szCs w:val="20"/>
          <w:color w:val="auto"/>
        </w:rPr>
      </w:pPr>
    </w:p>
    <w:p>
      <w:pPr>
        <w:sectPr>
          <w:pgSz w:w="11900" w:h="16838" w:orient="portrait"/>
          <w:cols w:equalWidth="0" w:num="2">
            <w:col w:w="5480" w:space="360"/>
            <w:col w:w="5580"/>
          </w:cols>
          <w:pgMar w:left="240" w:top="259" w:right="239" w:bottom="1440" w:gutter="0" w:footer="0" w:header="0"/>
          <w:type w:val="continuous"/>
        </w:sectPr>
      </w:pP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60</w:t>
      </w:r>
    </w:p>
    <w:p>
      <w:pPr>
        <w:sectPr>
          <w:pgSz w:w="11900" w:h="16838" w:orient="portrait"/>
          <w:cols w:equalWidth="0" w:num="1">
            <w:col w:w="11420"/>
          </w:cols>
          <w:pgMar w:left="240" w:top="259" w:right="239" w:bottom="1440" w:gutter="0" w:footer="0" w:header="0"/>
          <w:type w:val="continuous"/>
        </w:sectPr>
      </w:pPr>
    </w:p>
    <w:bookmarkStart w:id="113" w:name="page114"/>
    <w:bookmarkEnd w:id="113"/>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6">
                      <a:extLst>
                        <a:ext uri="{28A0092B-C50C-407E-A947-70E740481C1C}"/>
                      </a:extLst>
                    </a:blip>
                    <a:srcRect/>
                    <a:stretch>
                      <a:fillRect/>
                    </a:stretch>
                  </pic:blipFill>
                  <pic:spPr bwMode="auto">
                    <a:xfrm>
                      <a:off x="0" y="0"/>
                      <a:ext cx="7293610" cy="37465"/>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420"/>
          </w:cols>
          <w:pgMar w:left="240" w:top="2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Nonattainment areas receive deadlines to reduce air pollutants by instituting various control strategies or otherwise face fines or control by the EPA. Included as nonattainment areas are several major metropolitan areas in the Company’s markets, such as Houston/Brazoria/Galveston, Texas; Dallas/Fort Worth, Texas; Denver, Colorado; Boulder, Colorado; Fort Collins/Greeley/ Loveland, Colorado; Council Bluffs, Iowa; Atlanta, Georgia; and Indianapolis, Indiana. Federal transportation funding has been directly tied to compliance with the Clean Air Act.</w:t>
      </w:r>
    </w:p>
    <w:p>
      <w:pPr>
        <w:spacing w:after="0" w:line="299"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The EPA includes the lime industry as a national enforcement priority under the Clean Air Act. As part of an industry-wide effort, the EPA issued notices of violation/findings of violation (NOVs) to the Company in 2010 and 2011 regarding its compliance with the Clean Air Act’s New Source Review (NSR) program at its Magnesia Specialties dolomitic lime manufacturing plant in Woodville, Ohio. The Company has been providing information to the EPA in response to these NOVs and has had several meetings with the EPA. Although, the Company believes it is in substantial compliance with the NSR program, it anticipates that it will reach a settlement of this matter with the EPA. The Company believes that any costs related to any required upgrades to capital equipment will be spread over time and that those costs and any related penalties will not have a material adverse effect on the Company’s results of operations or its financial condition.</w:t>
      </w:r>
    </w:p>
    <w:p>
      <w:pPr>
        <w:spacing w:after="0" w:line="302"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Large emitters (facilities that emit 25,000 metric tons or more per year) of greenhouse gases (GHG) must report GHG generation to comply with the EPA’s Mandatory Greenhouse Gases Reporting Rule (GHG Rule). The Company files annual reports in accordance with the GHG Rule relating to operations at its Magnesia Specialties facilities in Woodville, Ohio, and Manistee, Michigan, as well as the two cement plants in Texas, each of which emit certain GHG, including carbon dioxide, methane and nitrous oxide. If Congress passes legislation on GHG, these operations will likely be subject to the new program. Under President Trump’s administration, it is unknown whether the EPA is likely to impose additional regulatory restrictions on emissions of GHG. However, the Company believes that any increased operating costs or taxes related to GHG emission limitations at its Woodville or cement operations would be passed on to its customers. The Manistee facility may have to absorb extra costs due to the regulation of GHG emissions in order to maintain competitive pricing in its markets. The Company cannot reasonably predict how much those increased costs may be.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The Company is engaged in certain legal and administrative proceedings incidental to its normal business activities. In the opinion of management and counsel, based upon currently available facts, the likelihood is remote that the ultimate outcome of any litigation or other proceedings, including those pertaining to environmental matters, relating to the Company and its subsidiaries, will have a material adverse effect on the overall results of the Company’s operations, cash flows or financial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3551555" cy="1816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7">
                      <a:extLst>
                        <a:ext uri="{28A0092B-C50C-407E-A947-70E740481C1C}"/>
                      </a:extLst>
                    </a:blip>
                    <a:srcRect/>
                    <a:stretch>
                      <a:fillRect/>
                    </a:stretch>
                  </pic:blipFill>
                  <pic:spPr bwMode="auto">
                    <a:xfrm>
                      <a:off x="0" y="0"/>
                      <a:ext cx="3551555" cy="181610"/>
                    </a:xfrm>
                    <a:prstGeom prst="rect">
                      <a:avLst/>
                    </a:prstGeom>
                    <a:noFill/>
                  </pic:spPr>
                </pic:pic>
              </a:graphicData>
            </a:graphic>
          </wp:anchor>
        </w:drawing>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7"/>
          <w:szCs w:val="17"/>
          <w:color w:val="FFFFFF"/>
        </w:rPr>
        <w:t>FINANCIAL OVERVIEW</w:t>
      </w:r>
    </w:p>
    <w:p>
      <w:pPr>
        <w:spacing w:after="0" w:line="150"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By nearly all meaningful measures, 2017 was an extraordinary year for Martin Marietta. The Company delivered record revenues, profitability and earnings per diluted share for the full year. Even more noteworthy, the Company achieved these results despite the externally-driven volume headwinds previously discussed. These headwinds, including erratic weather, government uncertainty and tight labor markets, were prevalent throughout much of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3551555" cy="28308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8">
                      <a:extLst>
                        <a:ext uri="{28A0092B-C50C-407E-A947-70E740481C1C}"/>
                      </a:extLst>
                    </a:blip>
                    <a:srcRect/>
                    <a:stretch>
                      <a:fillRect/>
                    </a:stretch>
                  </pic:blipFill>
                  <pic:spPr bwMode="auto">
                    <a:xfrm>
                      <a:off x="0" y="0"/>
                      <a:ext cx="3551555" cy="2830830"/>
                    </a:xfrm>
                    <a:prstGeom prst="rect">
                      <a:avLst/>
                    </a:prstGeom>
                    <a:noFill/>
                  </pic:spPr>
                </pic:pic>
              </a:graphicData>
            </a:graphic>
          </wp:anchor>
        </w:drawing>
      </w:r>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Highlights of 2017 Financial Performance</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(all comparisons are versus 2016)</w:t>
      </w:r>
    </w:p>
    <w:p>
      <w:pPr>
        <w:spacing w:after="0" w:line="121" w:lineRule="exact"/>
        <w:rPr>
          <w:sz w:val="20"/>
          <w:szCs w:val="20"/>
          <w:color w:val="auto"/>
        </w:rPr>
      </w:pPr>
    </w:p>
    <w:p>
      <w:pPr>
        <w:ind w:left="360" w:right="400" w:hanging="281"/>
        <w:spacing w:after="0" w:line="243" w:lineRule="auto"/>
        <w:tabs>
          <w:tab w:leader="none" w:pos="360"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Record earnings per diluted share of $11.25 compared with $6.63; 2017 includes $4.07 per diluted share benefit from the provisional assessment of the 2017 Tax Act</w:t>
      </w:r>
    </w:p>
    <w:p>
      <w:pPr>
        <w:spacing w:after="0" w:line="2" w:lineRule="exact"/>
        <w:rPr>
          <w:rFonts w:ascii="Arial" w:cs="Arial" w:eastAsia="Arial" w:hAnsi="Arial"/>
          <w:sz w:val="16"/>
          <w:szCs w:val="16"/>
          <w:color w:val="auto"/>
        </w:rPr>
      </w:pPr>
    </w:p>
    <w:p>
      <w:pPr>
        <w:ind w:left="500" w:right="240" w:hanging="175"/>
        <w:spacing w:after="0" w:line="237" w:lineRule="auto"/>
        <w:tabs>
          <w:tab w:leader="none" w:pos="500" w:val="left"/>
        </w:tabs>
        <w:numPr>
          <w:ilvl w:val="1"/>
          <w:numId w:val="27"/>
        </w:numPr>
        <w:rPr>
          <w:rFonts w:ascii="Arial" w:cs="Arial" w:eastAsia="Arial" w:hAnsi="Arial"/>
          <w:sz w:val="16"/>
          <w:szCs w:val="16"/>
          <w:i w:val="1"/>
          <w:iCs w:val="1"/>
          <w:color w:val="auto"/>
        </w:rPr>
      </w:pPr>
      <w:r>
        <w:rPr>
          <w:rFonts w:ascii="Arial" w:cs="Arial" w:eastAsia="Arial" w:hAnsi="Arial"/>
          <w:sz w:val="16"/>
          <w:szCs w:val="16"/>
          <w:i w:val="1"/>
          <w:iCs w:val="1"/>
          <w:color w:val="auto"/>
        </w:rPr>
        <w:t>Even excluding the provisional benefits of the 2017 Tax Act, record earnings per diluted share achieved</w:t>
      </w:r>
    </w:p>
    <w:p>
      <w:pPr>
        <w:ind w:left="360" w:right="40" w:hanging="281"/>
        <w:spacing w:after="0" w:line="237" w:lineRule="auto"/>
        <w:tabs>
          <w:tab w:leader="none" w:pos="360"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Record net earnings attributable to Martin Marietta of $713.3 million, an increase of 68%, inclusive of a $258.1 million one-time income tax benefit from the provisional remeasurement of deferred tax assets and liabilities following enactment of the 2017 Tax Act</w:t>
      </w:r>
    </w:p>
    <w:p>
      <w:pPr>
        <w:ind w:left="360" w:right="860" w:hanging="281"/>
        <w:spacing w:after="0" w:line="237" w:lineRule="auto"/>
        <w:tabs>
          <w:tab w:leader="none" w:pos="360"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Record consolidated EBITDA of $1.00 billion compared with $971.6 million</w:t>
      </w:r>
    </w:p>
    <w:p>
      <w:pPr>
        <w:ind w:left="360" w:right="420" w:hanging="281"/>
        <w:spacing w:after="0" w:line="237" w:lineRule="auto"/>
        <w:tabs>
          <w:tab w:leader="none" w:pos="360"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Record consolidated total revenues of $3.97 billion compared with $3.82 billion, an increase of 3.8%</w:t>
      </w:r>
    </w:p>
    <w:p>
      <w:pPr>
        <w:ind w:left="360" w:right="180" w:hanging="281"/>
        <w:spacing w:after="0" w:line="237" w:lineRule="auto"/>
        <w:tabs>
          <w:tab w:leader="none" w:pos="360"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Aggregates product line pricing increase of 4.5%; aggregates product line volume decline of 0.6%</w:t>
      </w:r>
    </w:p>
    <w:p>
      <w:pPr>
        <w:ind w:left="360" w:right="60" w:hanging="281"/>
        <w:spacing w:after="0" w:line="237" w:lineRule="auto"/>
        <w:tabs>
          <w:tab w:leader="none" w:pos="360"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Cement product line total revenues of $384.1 million and gross profit of $117.3 million</w:t>
      </w:r>
    </w:p>
    <w:p>
      <w:pPr>
        <w:ind w:left="360" w:right="280" w:hanging="281"/>
        <w:spacing w:after="0" w:line="237" w:lineRule="auto"/>
        <w:tabs>
          <w:tab w:leader="none" w:pos="360"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Magnesia Specialties total revenues of $270.0 million, a record, and gross profit of $89.4 million</w:t>
      </w:r>
    </w:p>
    <w:p>
      <w:pPr>
        <w:ind w:left="360" w:right="620" w:hanging="281"/>
        <w:spacing w:after="0" w:line="253" w:lineRule="auto"/>
        <w:tabs>
          <w:tab w:leader="none" w:pos="360"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Record consolidated earnings from operations of $700.4 million compared with $677.3 million, a 3.4% increase</w:t>
      </w:r>
    </w:p>
    <w:p>
      <w:pPr>
        <w:spacing w:after="0" w:line="200" w:lineRule="exact"/>
        <w:rPr>
          <w:sz w:val="20"/>
          <w:szCs w:val="20"/>
          <w:color w:val="auto"/>
        </w:rPr>
      </w:pPr>
    </w:p>
    <w:p>
      <w:pPr>
        <w:sectPr>
          <w:pgSz w:w="11900" w:h="16838" w:orient="portrait"/>
          <w:cols w:equalWidth="0" w:num="2">
            <w:col w:w="5480" w:space="360"/>
            <w:col w:w="5580"/>
          </w:cols>
          <w:pgMar w:left="240" w:top="259" w:right="239" w:bottom="1440" w:gutter="0" w:footer="0" w:header="0"/>
          <w:type w:val="continuous"/>
        </w:sectPr>
      </w:pP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61</w:t>
      </w:r>
    </w:p>
    <w:p>
      <w:pPr>
        <w:sectPr>
          <w:pgSz w:w="11900" w:h="16838" w:orient="portrait"/>
          <w:cols w:equalWidth="0" w:num="1">
            <w:col w:w="11420"/>
          </w:cols>
          <w:pgMar w:left="240" w:top="259" w:right="239" w:bottom="1440" w:gutter="0" w:footer="0" w:header="0"/>
          <w:type w:val="continuous"/>
        </w:sectPr>
      </w:pPr>
    </w:p>
    <w:bookmarkStart w:id="114" w:name="page115"/>
    <w:bookmarkEnd w:id="114"/>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9">
                      <a:extLst>
                        <a:ext uri="{28A0092B-C50C-407E-A947-70E740481C1C}"/>
                      </a:extLst>
                    </a:blip>
                    <a:srcRect/>
                    <a:stretch>
                      <a:fillRect/>
                    </a:stretch>
                  </pic:blipFill>
                  <pic:spPr bwMode="auto">
                    <a:xfrm>
                      <a:off x="0" y="0"/>
                      <a:ext cx="7293610" cy="37465"/>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420"/>
          </w:cols>
          <w:pgMar w:left="240" w:top="2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color w:val="0085CD"/>
        </w:rPr>
        <w:t>Results of Operations</w:t>
      </w:r>
    </w:p>
    <w:p>
      <w:pPr>
        <w:spacing w:after="0" w:line="55"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The discussion and analysis that follow reflect management’s assessment of the financial condition and results of operations of the Company and should be read in conjunction with the audited consolidated financial statements. As discussed in more detail herein, the Company’s operating results are highly dependent upon activity within the construction marketplace, economic cycles within the public and private business sectors and seasonal and other weather-related conditions. Accordingly, financial results for any year presented, or year-to-year comparisons of reported results, may not be indicative of future operating results.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The Company’s Building Materials business generated the majority of consolidated total revenues and consolidated earnings from operations. The following comparative analysis and discussion should be read within this context. Further, sensitivity analysis and certain other data are provided to enhance the reader’s understanding of Management’s Discussion and Analysis of Financial Condition and Results of Operations and are not intended to be indicative of management’s judgment of materiality.</w:t>
      </w:r>
    </w:p>
    <w:p>
      <w:pPr>
        <w:spacing w:after="0" w:line="800" w:lineRule="exact"/>
        <w:rPr>
          <w:sz w:val="20"/>
          <w:szCs w:val="20"/>
          <w:color w:val="auto"/>
        </w:rPr>
      </w:pPr>
    </w:p>
    <w:p>
      <w:pPr>
        <w:sectPr>
          <w:pgSz w:w="11900" w:h="16838" w:orient="portrait"/>
          <w:cols w:equalWidth="0" w:num="2">
            <w:col w:w="5480" w:space="360"/>
            <w:col w:w="5580"/>
          </w:cols>
          <w:pgMar w:left="240" w:top="259" w:right="239" w:bottom="1440" w:gutter="0" w:footer="0" w:header="0"/>
          <w:type w:val="continuous"/>
        </w:sectPr>
      </w:pP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The Company’s consolidated operating results and operating results as a percentage of net sales are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80" w:type="dxa"/>
            <w:vAlign w:val="bottom"/>
            <w:shd w:val="clear" w:color="auto" w:fill="0085CD"/>
          </w:tcPr>
          <w:p>
            <w:pPr>
              <w:spacing w:after="0"/>
              <w:rPr>
                <w:sz w:val="18"/>
                <w:szCs w:val="18"/>
                <w:color w:val="auto"/>
              </w:rPr>
            </w:pPr>
          </w:p>
        </w:tc>
        <w:tc>
          <w:tcPr>
            <w:tcW w:w="900" w:type="dxa"/>
            <w:vAlign w:val="bottom"/>
            <w:shd w:val="clear" w:color="auto" w:fill="0085CD"/>
          </w:tcPr>
          <w:p>
            <w:pPr>
              <w:spacing w:after="0"/>
              <w:rPr>
                <w:sz w:val="18"/>
                <w:szCs w:val="18"/>
                <w:color w:val="auto"/>
              </w:rPr>
            </w:pPr>
          </w:p>
        </w:tc>
        <w:tc>
          <w:tcPr>
            <w:tcW w:w="160" w:type="dxa"/>
            <w:vAlign w:val="bottom"/>
            <w:shd w:val="clear" w:color="auto" w:fill="0085CD"/>
          </w:tcPr>
          <w:p>
            <w:pPr>
              <w:spacing w:after="0"/>
              <w:rPr>
                <w:sz w:val="18"/>
                <w:szCs w:val="18"/>
                <w:color w:val="auto"/>
              </w:rPr>
            </w:pPr>
          </w:p>
        </w:tc>
        <w:tc>
          <w:tcPr>
            <w:tcW w:w="880" w:type="dxa"/>
            <w:vAlign w:val="bottom"/>
            <w:shd w:val="clear" w:color="auto" w:fill="0085CD"/>
          </w:tcPr>
          <w:p>
            <w:pPr>
              <w:ind w:left="100"/>
              <w:spacing w:after="0"/>
              <w:rPr>
                <w:sz w:val="20"/>
                <w:szCs w:val="20"/>
                <w:color w:val="auto"/>
              </w:rPr>
            </w:pPr>
            <w:r>
              <w:rPr>
                <w:rFonts w:ascii="Arial" w:cs="Arial" w:eastAsia="Arial" w:hAnsi="Arial"/>
                <w:sz w:val="17"/>
                <w:szCs w:val="17"/>
                <w:b w:val="1"/>
                <w:bCs w:val="1"/>
                <w:color w:val="FFFFFF"/>
              </w:rPr>
              <w:t>% of</w:t>
            </w:r>
          </w:p>
        </w:tc>
        <w:tc>
          <w:tcPr>
            <w:tcW w:w="240" w:type="dxa"/>
            <w:vAlign w:val="bottom"/>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314"/>
              <w:spacing w:after="0"/>
              <w:rPr>
                <w:sz w:val="20"/>
                <w:szCs w:val="20"/>
                <w:color w:val="auto"/>
              </w:rPr>
            </w:pPr>
            <w:r>
              <w:rPr>
                <w:rFonts w:ascii="Arial" w:cs="Arial" w:eastAsia="Arial" w:hAnsi="Arial"/>
                <w:sz w:val="17"/>
                <w:szCs w:val="17"/>
                <w:color w:val="auto"/>
              </w:rPr>
              <w:t>% of</w:t>
            </w:r>
          </w:p>
        </w:tc>
        <w:tc>
          <w:tcPr>
            <w:tcW w:w="240" w:type="dxa"/>
            <w:vAlign w:val="bottom"/>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92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334"/>
              <w:spacing w:after="0"/>
              <w:rPr>
                <w:sz w:val="20"/>
                <w:szCs w:val="20"/>
                <w:color w:val="auto"/>
              </w:rPr>
            </w:pPr>
            <w:r>
              <w:rPr>
                <w:rFonts w:ascii="Arial" w:cs="Arial" w:eastAsia="Arial" w:hAnsi="Arial"/>
                <w:sz w:val="17"/>
                <w:szCs w:val="17"/>
                <w:color w:val="auto"/>
              </w:rPr>
              <w:t>% of</w:t>
            </w:r>
          </w:p>
        </w:tc>
      </w:tr>
      <w:tr>
        <w:trPr>
          <w:trHeight w:val="195"/>
        </w:trPr>
        <w:tc>
          <w:tcPr>
            <w:tcW w:w="4560" w:type="dxa"/>
            <w:vAlign w:val="bottom"/>
            <w:gridSpan w:val="2"/>
          </w:tcPr>
          <w:p>
            <w:pPr>
              <w:spacing w:after="0"/>
              <w:rPr>
                <w:sz w:val="20"/>
                <w:szCs w:val="20"/>
                <w:color w:val="auto"/>
              </w:rPr>
            </w:pPr>
            <w:r>
              <w:rPr>
                <w:rFonts w:ascii="Arial" w:cs="Arial" w:eastAsia="Arial" w:hAnsi="Arial"/>
                <w:sz w:val="16"/>
                <w:szCs w:val="16"/>
                <w:i w:val="1"/>
                <w:iCs w:val="1"/>
                <w:color w:val="auto"/>
              </w:rPr>
              <w:t>years ended December 31</w:t>
            </w:r>
          </w:p>
        </w:tc>
        <w:tc>
          <w:tcPr>
            <w:tcW w:w="180" w:type="dxa"/>
            <w:vAlign w:val="bottom"/>
            <w:shd w:val="clear" w:color="auto" w:fill="0085CD"/>
          </w:tcPr>
          <w:p>
            <w:pPr>
              <w:spacing w:after="0"/>
              <w:rPr>
                <w:sz w:val="16"/>
                <w:szCs w:val="16"/>
                <w:color w:val="auto"/>
              </w:rPr>
            </w:pPr>
          </w:p>
        </w:tc>
        <w:tc>
          <w:tcPr>
            <w:tcW w:w="900" w:type="dxa"/>
            <w:vAlign w:val="bottom"/>
            <w:shd w:val="clear" w:color="auto" w:fill="0085CD"/>
          </w:tcPr>
          <w:p>
            <w:pPr>
              <w:spacing w:after="0"/>
              <w:rPr>
                <w:sz w:val="16"/>
                <w:szCs w:val="16"/>
                <w:color w:val="auto"/>
              </w:rPr>
            </w:pPr>
          </w:p>
        </w:tc>
        <w:tc>
          <w:tcPr>
            <w:tcW w:w="160" w:type="dxa"/>
            <w:vAlign w:val="bottom"/>
            <w:shd w:val="clear" w:color="auto" w:fill="0085CD"/>
          </w:tcPr>
          <w:p>
            <w:pPr>
              <w:spacing w:after="0"/>
              <w:rPr>
                <w:sz w:val="16"/>
                <w:szCs w:val="16"/>
                <w:color w:val="auto"/>
              </w:rPr>
            </w:pPr>
          </w:p>
        </w:tc>
        <w:tc>
          <w:tcPr>
            <w:tcW w:w="880" w:type="dxa"/>
            <w:vAlign w:val="bottom"/>
            <w:shd w:val="clear" w:color="auto" w:fill="0085CD"/>
          </w:tcPr>
          <w:p>
            <w:pPr>
              <w:ind w:left="100"/>
              <w:spacing w:after="0"/>
              <w:rPr>
                <w:sz w:val="20"/>
                <w:szCs w:val="20"/>
                <w:color w:val="auto"/>
              </w:rPr>
            </w:pPr>
            <w:r>
              <w:rPr>
                <w:rFonts w:ascii="Arial" w:cs="Arial" w:eastAsia="Arial" w:hAnsi="Arial"/>
                <w:sz w:val="17"/>
                <w:szCs w:val="17"/>
                <w:b w:val="1"/>
                <w:bCs w:val="1"/>
                <w:color w:val="FFFFFF"/>
              </w:rPr>
              <w:t>Total</w:t>
            </w:r>
          </w:p>
        </w:tc>
        <w:tc>
          <w:tcPr>
            <w:tcW w:w="240" w:type="dxa"/>
            <w:vAlign w:val="bottom"/>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98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840" w:type="dxa"/>
            <w:vAlign w:val="bottom"/>
            <w:shd w:val="clear" w:color="auto" w:fill="E5E5E5"/>
          </w:tcPr>
          <w:p>
            <w:pPr>
              <w:jc w:val="right"/>
              <w:ind w:right="294"/>
              <w:spacing w:after="0"/>
              <w:rPr>
                <w:sz w:val="20"/>
                <w:szCs w:val="20"/>
                <w:color w:val="auto"/>
              </w:rPr>
            </w:pPr>
            <w:r>
              <w:rPr>
                <w:rFonts w:ascii="Arial" w:cs="Arial" w:eastAsia="Arial" w:hAnsi="Arial"/>
                <w:sz w:val="17"/>
                <w:szCs w:val="17"/>
                <w:color w:val="auto"/>
              </w:rPr>
              <w:t>Total</w:t>
            </w:r>
          </w:p>
        </w:tc>
        <w:tc>
          <w:tcPr>
            <w:tcW w:w="240" w:type="dxa"/>
            <w:vAlign w:val="bottom"/>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92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860" w:type="dxa"/>
            <w:vAlign w:val="bottom"/>
            <w:shd w:val="clear" w:color="auto" w:fill="E5E5E5"/>
          </w:tcPr>
          <w:p>
            <w:pPr>
              <w:jc w:val="right"/>
              <w:ind w:right="294"/>
              <w:spacing w:after="0"/>
              <w:rPr>
                <w:sz w:val="20"/>
                <w:szCs w:val="20"/>
                <w:color w:val="auto"/>
              </w:rPr>
            </w:pPr>
            <w:r>
              <w:rPr>
                <w:rFonts w:ascii="Arial" w:cs="Arial" w:eastAsia="Arial" w:hAnsi="Arial"/>
                <w:sz w:val="17"/>
                <w:szCs w:val="17"/>
                <w:color w:val="auto"/>
              </w:rPr>
              <w:t>Total</w:t>
            </w:r>
          </w:p>
        </w:tc>
      </w:tr>
      <w:tr>
        <w:trPr>
          <w:trHeight w:val="230"/>
        </w:trPr>
        <w:tc>
          <w:tcPr>
            <w:tcW w:w="4560" w:type="dxa"/>
            <w:vAlign w:val="bottom"/>
            <w:gridSpan w:val="2"/>
          </w:tcPr>
          <w:p>
            <w:pPr>
              <w:spacing w:after="0"/>
              <w:rPr>
                <w:sz w:val="20"/>
                <w:szCs w:val="20"/>
                <w:color w:val="auto"/>
              </w:rPr>
            </w:pPr>
            <w:r>
              <w:rPr>
                <w:rFonts w:ascii="Arial" w:cs="Arial" w:eastAsia="Arial" w:hAnsi="Arial"/>
                <w:sz w:val="16"/>
                <w:szCs w:val="16"/>
                <w:color w:val="auto"/>
              </w:rPr>
              <w:t>(add 000, except for % of net sales)</w:t>
            </w:r>
          </w:p>
        </w:tc>
        <w:tc>
          <w:tcPr>
            <w:tcW w:w="180" w:type="dxa"/>
            <w:vAlign w:val="bottom"/>
            <w:shd w:val="clear" w:color="auto" w:fill="0085CD"/>
          </w:tcPr>
          <w:p>
            <w:pPr>
              <w:spacing w:after="0"/>
              <w:rPr>
                <w:sz w:val="20"/>
                <w:szCs w:val="20"/>
                <w:color w:val="auto"/>
              </w:rPr>
            </w:pPr>
          </w:p>
        </w:tc>
        <w:tc>
          <w:tcPr>
            <w:tcW w:w="900" w:type="dxa"/>
            <w:vAlign w:val="bottom"/>
            <w:shd w:val="clear" w:color="auto" w:fill="0085CD"/>
          </w:tcPr>
          <w:p>
            <w:pPr>
              <w:jc w:val="right"/>
              <w:ind w:right="274"/>
              <w:spacing w:after="0"/>
              <w:rPr>
                <w:sz w:val="20"/>
                <w:szCs w:val="20"/>
                <w:color w:val="auto"/>
              </w:rPr>
            </w:pPr>
            <w:r>
              <w:rPr>
                <w:rFonts w:ascii="Arial" w:cs="Arial" w:eastAsia="Arial" w:hAnsi="Arial"/>
                <w:sz w:val="17"/>
                <w:szCs w:val="17"/>
                <w:b w:val="1"/>
                <w:bCs w:val="1"/>
                <w:color w:val="FFFFFF"/>
              </w:rPr>
              <w:t>2017</w:t>
            </w:r>
          </w:p>
        </w:tc>
        <w:tc>
          <w:tcPr>
            <w:tcW w:w="1040" w:type="dxa"/>
            <w:vAlign w:val="bottom"/>
            <w:gridSpan w:val="2"/>
            <w:shd w:val="clear" w:color="auto" w:fill="0085CD"/>
          </w:tcPr>
          <w:p>
            <w:pPr>
              <w:jc w:val="right"/>
              <w:ind w:right="114"/>
              <w:spacing w:after="0"/>
              <w:rPr>
                <w:sz w:val="20"/>
                <w:szCs w:val="20"/>
                <w:color w:val="auto"/>
              </w:rPr>
            </w:pPr>
            <w:r>
              <w:rPr>
                <w:rFonts w:ascii="Arial" w:cs="Arial" w:eastAsia="Arial" w:hAnsi="Arial"/>
                <w:sz w:val="17"/>
                <w:szCs w:val="17"/>
                <w:b w:val="1"/>
                <w:bCs w:val="1"/>
                <w:color w:val="FFFFFF"/>
              </w:rPr>
              <w:t>revenues</w:t>
            </w:r>
          </w:p>
        </w:tc>
        <w:tc>
          <w:tcPr>
            <w:tcW w:w="240" w:type="dxa"/>
            <w:vAlign w:val="bottom"/>
          </w:tcPr>
          <w:p>
            <w:pPr>
              <w:spacing w:after="0"/>
              <w:rPr>
                <w:sz w:val="20"/>
                <w:szCs w:val="20"/>
                <w:color w:val="auto"/>
              </w:rPr>
            </w:pPr>
          </w:p>
        </w:tc>
        <w:tc>
          <w:tcPr>
            <w:tcW w:w="180" w:type="dxa"/>
            <w:vAlign w:val="bottom"/>
            <w:shd w:val="clear" w:color="auto" w:fill="E5E5E5"/>
          </w:tcPr>
          <w:p>
            <w:pPr>
              <w:spacing w:after="0"/>
              <w:rPr>
                <w:sz w:val="20"/>
                <w:szCs w:val="20"/>
                <w:color w:val="auto"/>
              </w:rPr>
            </w:pPr>
          </w:p>
        </w:tc>
        <w:tc>
          <w:tcPr>
            <w:tcW w:w="980" w:type="dxa"/>
            <w:vAlign w:val="bottom"/>
            <w:shd w:val="clear" w:color="auto" w:fill="E5E5E5"/>
          </w:tcPr>
          <w:p>
            <w:pPr>
              <w:jc w:val="right"/>
              <w:ind w:right="314"/>
              <w:spacing w:after="0"/>
              <w:rPr>
                <w:sz w:val="20"/>
                <w:szCs w:val="20"/>
                <w:color w:val="auto"/>
              </w:rPr>
            </w:pPr>
            <w:r>
              <w:rPr>
                <w:rFonts w:ascii="Arial" w:cs="Arial" w:eastAsia="Arial" w:hAnsi="Arial"/>
                <w:sz w:val="17"/>
                <w:szCs w:val="17"/>
                <w:color w:val="auto"/>
              </w:rPr>
              <w:t>2016</w:t>
            </w:r>
          </w:p>
        </w:tc>
        <w:tc>
          <w:tcPr>
            <w:tcW w:w="1000" w:type="dxa"/>
            <w:vAlign w:val="bottom"/>
            <w:gridSpan w:val="2"/>
            <w:shd w:val="clear" w:color="auto" w:fill="E5E5E5"/>
          </w:tcPr>
          <w:p>
            <w:pPr>
              <w:jc w:val="right"/>
              <w:ind w:right="114"/>
              <w:spacing w:after="0"/>
              <w:rPr>
                <w:sz w:val="20"/>
                <w:szCs w:val="20"/>
                <w:color w:val="auto"/>
              </w:rPr>
            </w:pPr>
            <w:r>
              <w:rPr>
                <w:rFonts w:ascii="Arial" w:cs="Arial" w:eastAsia="Arial" w:hAnsi="Arial"/>
                <w:sz w:val="17"/>
                <w:szCs w:val="17"/>
                <w:color w:val="auto"/>
              </w:rPr>
              <w:t>revenues</w:t>
            </w:r>
          </w:p>
        </w:tc>
        <w:tc>
          <w:tcPr>
            <w:tcW w:w="240" w:type="dxa"/>
            <w:vAlign w:val="bottom"/>
          </w:tcPr>
          <w:p>
            <w:pPr>
              <w:spacing w:after="0"/>
              <w:rPr>
                <w:sz w:val="20"/>
                <w:szCs w:val="20"/>
                <w:color w:val="auto"/>
              </w:rPr>
            </w:pPr>
          </w:p>
        </w:tc>
        <w:tc>
          <w:tcPr>
            <w:tcW w:w="180" w:type="dxa"/>
            <w:vAlign w:val="bottom"/>
            <w:shd w:val="clear" w:color="auto" w:fill="E5E5E5"/>
          </w:tcPr>
          <w:p>
            <w:pPr>
              <w:spacing w:after="0"/>
              <w:rPr>
                <w:sz w:val="20"/>
                <w:szCs w:val="20"/>
                <w:color w:val="auto"/>
              </w:rPr>
            </w:pPr>
          </w:p>
        </w:tc>
        <w:tc>
          <w:tcPr>
            <w:tcW w:w="920" w:type="dxa"/>
            <w:vAlign w:val="bottom"/>
            <w:shd w:val="clear" w:color="auto" w:fill="E5E5E5"/>
          </w:tcPr>
          <w:p>
            <w:pPr>
              <w:jc w:val="right"/>
              <w:ind w:right="254"/>
              <w:spacing w:after="0"/>
              <w:rPr>
                <w:sz w:val="20"/>
                <w:szCs w:val="20"/>
                <w:color w:val="auto"/>
              </w:rPr>
            </w:pPr>
            <w:r>
              <w:rPr>
                <w:rFonts w:ascii="Arial" w:cs="Arial" w:eastAsia="Arial" w:hAnsi="Arial"/>
                <w:sz w:val="17"/>
                <w:szCs w:val="17"/>
                <w:color w:val="auto"/>
              </w:rPr>
              <w:t>2015</w:t>
            </w:r>
          </w:p>
        </w:tc>
        <w:tc>
          <w:tcPr>
            <w:tcW w:w="1000" w:type="dxa"/>
            <w:vAlign w:val="bottom"/>
            <w:gridSpan w:val="2"/>
            <w:shd w:val="clear" w:color="auto" w:fill="E5E5E5"/>
          </w:tcPr>
          <w:p>
            <w:pPr>
              <w:jc w:val="right"/>
              <w:ind w:right="114"/>
              <w:spacing w:after="0"/>
              <w:rPr>
                <w:sz w:val="20"/>
                <w:szCs w:val="20"/>
                <w:color w:val="auto"/>
              </w:rPr>
            </w:pPr>
            <w:r>
              <w:rPr>
                <w:rFonts w:ascii="Arial" w:cs="Arial" w:eastAsia="Arial" w:hAnsi="Arial"/>
                <w:sz w:val="17"/>
                <w:szCs w:val="17"/>
                <w:color w:val="auto"/>
              </w:rPr>
              <w:t>revenues</w:t>
            </w:r>
          </w:p>
        </w:tc>
      </w:tr>
      <w:tr>
        <w:trPr>
          <w:trHeight w:val="187"/>
        </w:trPr>
        <w:tc>
          <w:tcPr>
            <w:tcW w:w="20" w:type="dxa"/>
            <w:vAlign w:val="bottom"/>
          </w:tcPr>
          <w:p>
            <w:pPr>
              <w:spacing w:after="0"/>
              <w:rPr>
                <w:sz w:val="16"/>
                <w:szCs w:val="16"/>
                <w:color w:val="auto"/>
              </w:rPr>
            </w:pPr>
          </w:p>
        </w:tc>
        <w:tc>
          <w:tcPr>
            <w:tcW w:w="4540" w:type="dxa"/>
            <w:vAlign w:val="bottom"/>
            <w:tcBorders>
              <w:top w:val="single" w:sz="8" w:color="auto"/>
            </w:tcBorders>
          </w:tcPr>
          <w:p>
            <w:pPr>
              <w:spacing w:after="0" w:line="187" w:lineRule="exact"/>
              <w:rPr>
                <w:sz w:val="20"/>
                <w:szCs w:val="20"/>
                <w:color w:val="auto"/>
              </w:rPr>
            </w:pPr>
            <w:r>
              <w:rPr>
                <w:rFonts w:ascii="Arial" w:cs="Arial" w:eastAsia="Arial" w:hAnsi="Arial"/>
                <w:sz w:val="17"/>
                <w:szCs w:val="17"/>
                <w:color w:val="auto"/>
              </w:rPr>
              <w:t>Net sales</w:t>
            </w:r>
          </w:p>
        </w:tc>
        <w:tc>
          <w:tcPr>
            <w:tcW w:w="180" w:type="dxa"/>
            <w:vAlign w:val="bottom"/>
            <w:tcBorders>
              <w:top w:val="single" w:sz="8" w:color="auto"/>
            </w:tcBorders>
            <w:shd w:val="clear" w:color="auto" w:fill="CDDEE7"/>
          </w:tcPr>
          <w:p>
            <w:pPr>
              <w:jc w:val="right"/>
              <w:spacing w:after="0" w:line="187" w:lineRule="exact"/>
              <w:rPr>
                <w:sz w:val="20"/>
                <w:szCs w:val="20"/>
                <w:color w:val="auto"/>
              </w:rPr>
            </w:pPr>
            <w:r>
              <w:rPr>
                <w:rFonts w:ascii="Arial" w:cs="Arial" w:eastAsia="Arial" w:hAnsi="Arial"/>
                <w:sz w:val="17"/>
                <w:szCs w:val="17"/>
                <w:color w:val="auto"/>
              </w:rPr>
              <w:t>$</w:t>
            </w:r>
          </w:p>
        </w:tc>
        <w:tc>
          <w:tcPr>
            <w:tcW w:w="900" w:type="dxa"/>
            <w:vAlign w:val="bottom"/>
            <w:tcBorders>
              <w:top w:val="single" w:sz="8" w:color="auto"/>
            </w:tcBorders>
            <w:shd w:val="clear" w:color="auto" w:fill="CDDEE7"/>
          </w:tcPr>
          <w:p>
            <w:pPr>
              <w:jc w:val="right"/>
              <w:ind w:right="34"/>
              <w:spacing w:after="0" w:line="187" w:lineRule="exact"/>
              <w:rPr>
                <w:sz w:val="20"/>
                <w:szCs w:val="20"/>
                <w:color w:val="auto"/>
              </w:rPr>
            </w:pPr>
            <w:r>
              <w:rPr>
                <w:rFonts w:ascii="Arial" w:cs="Arial" w:eastAsia="Arial" w:hAnsi="Arial"/>
                <w:sz w:val="17"/>
                <w:szCs w:val="17"/>
                <w:color w:val="auto"/>
              </w:rPr>
              <w:t>3,721,428</w:t>
            </w:r>
          </w:p>
        </w:tc>
        <w:tc>
          <w:tcPr>
            <w:tcW w:w="160" w:type="dxa"/>
            <w:vAlign w:val="bottom"/>
            <w:tcBorders>
              <w:top w:val="single" w:sz="8" w:color="auto"/>
            </w:tcBorders>
            <w:shd w:val="clear" w:color="auto" w:fill="CDDEE7"/>
          </w:tcPr>
          <w:p>
            <w:pPr>
              <w:spacing w:after="0"/>
              <w:rPr>
                <w:sz w:val="16"/>
                <w:szCs w:val="16"/>
                <w:color w:val="auto"/>
              </w:rPr>
            </w:pPr>
          </w:p>
        </w:tc>
        <w:tc>
          <w:tcPr>
            <w:tcW w:w="880" w:type="dxa"/>
            <w:vAlign w:val="bottom"/>
            <w:tcBorders>
              <w:top w:val="single" w:sz="8" w:color="auto"/>
            </w:tcBorders>
            <w:shd w:val="clear" w:color="auto" w:fill="CDDEE7"/>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shd w:val="clear" w:color="auto" w:fill="E5E5E5"/>
          </w:tcPr>
          <w:p>
            <w:pPr>
              <w:jc w:val="right"/>
              <w:spacing w:after="0" w:line="187" w:lineRule="exact"/>
              <w:rPr>
                <w:sz w:val="20"/>
                <w:szCs w:val="20"/>
                <w:color w:val="auto"/>
              </w:rPr>
            </w:pPr>
            <w:r>
              <w:rPr>
                <w:rFonts w:ascii="Arial" w:cs="Arial" w:eastAsia="Arial" w:hAnsi="Arial"/>
                <w:sz w:val="17"/>
                <w:szCs w:val="17"/>
                <w:color w:val="auto"/>
              </w:rPr>
              <w:t>$</w:t>
            </w:r>
          </w:p>
        </w:tc>
        <w:tc>
          <w:tcPr>
            <w:tcW w:w="980" w:type="dxa"/>
            <w:vAlign w:val="bottom"/>
            <w:tcBorders>
              <w:top w:val="single" w:sz="8" w:color="auto"/>
            </w:tcBorders>
            <w:shd w:val="clear" w:color="auto" w:fill="E5E5E5"/>
          </w:tcPr>
          <w:p>
            <w:pPr>
              <w:jc w:val="right"/>
              <w:ind w:right="14"/>
              <w:spacing w:after="0" w:line="187" w:lineRule="exact"/>
              <w:rPr>
                <w:sz w:val="20"/>
                <w:szCs w:val="20"/>
                <w:color w:val="auto"/>
              </w:rPr>
            </w:pPr>
            <w:r>
              <w:rPr>
                <w:rFonts w:ascii="Arial" w:cs="Arial" w:eastAsia="Arial" w:hAnsi="Arial"/>
                <w:sz w:val="17"/>
                <w:szCs w:val="17"/>
                <w:color w:val="auto"/>
              </w:rPr>
              <w:t>3,576,767</w:t>
            </w:r>
          </w:p>
        </w:tc>
        <w:tc>
          <w:tcPr>
            <w:tcW w:w="160" w:type="dxa"/>
            <w:vAlign w:val="bottom"/>
            <w:tcBorders>
              <w:top w:val="single" w:sz="8" w:color="auto"/>
            </w:tcBorders>
            <w:shd w:val="clear" w:color="auto" w:fill="E5E5E5"/>
          </w:tcPr>
          <w:p>
            <w:pPr>
              <w:spacing w:after="0"/>
              <w:rPr>
                <w:sz w:val="16"/>
                <w:szCs w:val="16"/>
                <w:color w:val="auto"/>
              </w:rPr>
            </w:pPr>
          </w:p>
        </w:tc>
        <w:tc>
          <w:tcPr>
            <w:tcW w:w="840" w:type="dxa"/>
            <w:vAlign w:val="bottom"/>
            <w:tcBorders>
              <w:top w:val="single" w:sz="8" w:color="auto"/>
            </w:tcBorders>
            <w:shd w:val="clear" w:color="auto" w:fill="E5E5E5"/>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shd w:val="clear" w:color="auto" w:fill="E5E5E5"/>
          </w:tcPr>
          <w:p>
            <w:pPr>
              <w:jc w:val="right"/>
              <w:spacing w:after="0" w:line="187" w:lineRule="exact"/>
              <w:rPr>
                <w:sz w:val="20"/>
                <w:szCs w:val="20"/>
                <w:color w:val="auto"/>
              </w:rPr>
            </w:pPr>
            <w:r>
              <w:rPr>
                <w:rFonts w:ascii="Arial" w:cs="Arial" w:eastAsia="Arial" w:hAnsi="Arial"/>
                <w:sz w:val="17"/>
                <w:szCs w:val="17"/>
                <w:color w:val="auto"/>
              </w:rPr>
              <w:t>$</w:t>
            </w:r>
          </w:p>
        </w:tc>
        <w:tc>
          <w:tcPr>
            <w:tcW w:w="920" w:type="dxa"/>
            <w:vAlign w:val="bottom"/>
            <w:tcBorders>
              <w:top w:val="single" w:sz="8" w:color="auto"/>
            </w:tcBorders>
            <w:shd w:val="clear" w:color="auto" w:fill="E5E5E5"/>
          </w:tcPr>
          <w:p>
            <w:pPr>
              <w:jc w:val="right"/>
              <w:spacing w:after="0" w:line="187" w:lineRule="exact"/>
              <w:rPr>
                <w:sz w:val="20"/>
                <w:szCs w:val="20"/>
                <w:color w:val="auto"/>
              </w:rPr>
            </w:pPr>
            <w:r>
              <w:rPr>
                <w:rFonts w:ascii="Arial" w:cs="Arial" w:eastAsia="Arial" w:hAnsi="Arial"/>
                <w:sz w:val="17"/>
                <w:szCs w:val="17"/>
                <w:color w:val="auto"/>
              </w:rPr>
              <w:t>3,268,116</w:t>
            </w:r>
          </w:p>
        </w:tc>
        <w:tc>
          <w:tcPr>
            <w:tcW w:w="140" w:type="dxa"/>
            <w:vAlign w:val="bottom"/>
            <w:tcBorders>
              <w:top w:val="single" w:sz="8" w:color="auto"/>
            </w:tcBorders>
            <w:shd w:val="clear" w:color="auto" w:fill="E5E5E5"/>
          </w:tcPr>
          <w:p>
            <w:pPr>
              <w:spacing w:after="0"/>
              <w:rPr>
                <w:sz w:val="16"/>
                <w:szCs w:val="16"/>
                <w:color w:val="auto"/>
              </w:rPr>
            </w:pPr>
          </w:p>
        </w:tc>
        <w:tc>
          <w:tcPr>
            <w:tcW w:w="860" w:type="dxa"/>
            <w:vAlign w:val="bottom"/>
            <w:tcBorders>
              <w:top w:val="single" w:sz="8" w:color="auto"/>
            </w:tcBorders>
            <w:shd w:val="clear" w:color="auto" w:fill="E5E5E5"/>
          </w:tcPr>
          <w:p>
            <w:pPr>
              <w:spacing w:after="0"/>
              <w:rPr>
                <w:sz w:val="16"/>
                <w:szCs w:val="16"/>
                <w:color w:val="auto"/>
              </w:rPr>
            </w:pPr>
          </w:p>
        </w:tc>
      </w:tr>
      <w:tr>
        <w:trPr>
          <w:trHeight w:val="195"/>
        </w:trPr>
        <w:tc>
          <w:tcPr>
            <w:tcW w:w="4560" w:type="dxa"/>
            <w:vAlign w:val="bottom"/>
            <w:gridSpan w:val="2"/>
          </w:tcPr>
          <w:p>
            <w:pPr>
              <w:spacing w:after="0" w:line="172" w:lineRule="exact"/>
              <w:rPr>
                <w:sz w:val="20"/>
                <w:szCs w:val="20"/>
                <w:color w:val="auto"/>
              </w:rPr>
            </w:pPr>
            <w:r>
              <w:rPr>
                <w:rFonts w:ascii="Arial" w:cs="Arial" w:eastAsia="Arial" w:hAnsi="Arial"/>
                <w:sz w:val="17"/>
                <w:szCs w:val="17"/>
                <w:color w:val="auto"/>
              </w:rPr>
              <w:t>Freight and delivery revenues</w:t>
            </w:r>
          </w:p>
        </w:tc>
        <w:tc>
          <w:tcPr>
            <w:tcW w:w="180" w:type="dxa"/>
            <w:vAlign w:val="bottom"/>
            <w:tcBorders>
              <w:bottom w:val="single" w:sz="8" w:color="CDDEE7"/>
            </w:tcBorders>
            <w:shd w:val="clear" w:color="auto" w:fill="CDDEE7"/>
          </w:tcPr>
          <w:p>
            <w:pPr>
              <w:spacing w:after="0"/>
              <w:rPr>
                <w:sz w:val="17"/>
                <w:szCs w:val="17"/>
                <w:color w:val="auto"/>
              </w:rPr>
            </w:pPr>
          </w:p>
        </w:tc>
        <w:tc>
          <w:tcPr>
            <w:tcW w:w="900" w:type="dxa"/>
            <w:vAlign w:val="bottom"/>
            <w:tcBorders>
              <w:bottom w:val="single" w:sz="8" w:color="CDDEE7"/>
            </w:tcBorders>
            <w:shd w:val="clear" w:color="auto" w:fill="CDDEE7"/>
          </w:tcPr>
          <w:p>
            <w:pPr>
              <w:jc w:val="right"/>
              <w:ind w:right="34"/>
              <w:spacing w:after="0" w:line="172" w:lineRule="exact"/>
              <w:rPr>
                <w:sz w:val="20"/>
                <w:szCs w:val="20"/>
                <w:color w:val="auto"/>
              </w:rPr>
            </w:pPr>
            <w:r>
              <w:rPr>
                <w:rFonts w:ascii="Arial" w:cs="Arial" w:eastAsia="Arial" w:hAnsi="Arial"/>
                <w:sz w:val="17"/>
                <w:szCs w:val="17"/>
                <w:color w:val="auto"/>
              </w:rPr>
              <w:t>244,166</w:t>
            </w:r>
          </w:p>
        </w:tc>
        <w:tc>
          <w:tcPr>
            <w:tcW w:w="160" w:type="dxa"/>
            <w:vAlign w:val="bottom"/>
            <w:tcBorders>
              <w:bottom w:val="single" w:sz="8" w:color="CDDEE7"/>
            </w:tcBorders>
            <w:shd w:val="clear" w:color="auto" w:fill="CDDEE7"/>
          </w:tcPr>
          <w:p>
            <w:pPr>
              <w:spacing w:after="0"/>
              <w:rPr>
                <w:sz w:val="17"/>
                <w:szCs w:val="17"/>
                <w:color w:val="auto"/>
              </w:rPr>
            </w:pPr>
          </w:p>
        </w:tc>
        <w:tc>
          <w:tcPr>
            <w:tcW w:w="880" w:type="dxa"/>
            <w:vAlign w:val="bottom"/>
            <w:tcBorders>
              <w:bottom w:val="single" w:sz="8" w:color="CDDEE7"/>
            </w:tcBorders>
            <w:shd w:val="clear" w:color="auto" w:fill="CDDEE7"/>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bottom w:val="single" w:sz="8" w:color="E5E5E5"/>
            </w:tcBorders>
            <w:shd w:val="clear" w:color="auto" w:fill="E5E5E5"/>
          </w:tcPr>
          <w:p>
            <w:pPr>
              <w:spacing w:after="0"/>
              <w:rPr>
                <w:sz w:val="17"/>
                <w:szCs w:val="17"/>
                <w:color w:val="auto"/>
              </w:rPr>
            </w:pPr>
          </w:p>
        </w:tc>
        <w:tc>
          <w:tcPr>
            <w:tcW w:w="980" w:type="dxa"/>
            <w:vAlign w:val="bottom"/>
            <w:tcBorders>
              <w:bottom w:val="single" w:sz="8" w:color="E5E5E5"/>
            </w:tcBorders>
            <w:shd w:val="clear" w:color="auto" w:fill="E5E5E5"/>
          </w:tcPr>
          <w:p>
            <w:pPr>
              <w:jc w:val="right"/>
              <w:ind w:right="14"/>
              <w:spacing w:after="0" w:line="172" w:lineRule="exact"/>
              <w:rPr>
                <w:sz w:val="20"/>
                <w:szCs w:val="20"/>
                <w:color w:val="auto"/>
              </w:rPr>
            </w:pPr>
            <w:r>
              <w:rPr>
                <w:rFonts w:ascii="Arial" w:cs="Arial" w:eastAsia="Arial" w:hAnsi="Arial"/>
                <w:sz w:val="17"/>
                <w:szCs w:val="17"/>
                <w:color w:val="auto"/>
              </w:rPr>
              <w:t>241,982</w:t>
            </w:r>
          </w:p>
        </w:tc>
        <w:tc>
          <w:tcPr>
            <w:tcW w:w="160" w:type="dxa"/>
            <w:vAlign w:val="bottom"/>
            <w:tcBorders>
              <w:bottom w:val="single" w:sz="8" w:color="E5E5E5"/>
            </w:tcBorders>
            <w:shd w:val="clear" w:color="auto" w:fill="E5E5E5"/>
          </w:tcPr>
          <w:p>
            <w:pPr>
              <w:spacing w:after="0"/>
              <w:rPr>
                <w:sz w:val="17"/>
                <w:szCs w:val="17"/>
                <w:color w:val="auto"/>
              </w:rPr>
            </w:pPr>
          </w:p>
        </w:tc>
        <w:tc>
          <w:tcPr>
            <w:tcW w:w="840" w:type="dxa"/>
            <w:vAlign w:val="bottom"/>
            <w:tcBorders>
              <w:bottom w:val="single" w:sz="8" w:color="E5E5E5"/>
            </w:tcBorders>
            <w:shd w:val="clear" w:color="auto" w:fill="E5E5E5"/>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bottom w:val="single" w:sz="8" w:color="E5E5E5"/>
            </w:tcBorders>
            <w:shd w:val="clear" w:color="auto" w:fill="E5E5E5"/>
          </w:tcPr>
          <w:p>
            <w:pPr>
              <w:spacing w:after="0"/>
              <w:rPr>
                <w:sz w:val="17"/>
                <w:szCs w:val="17"/>
                <w:color w:val="auto"/>
              </w:rPr>
            </w:pPr>
          </w:p>
        </w:tc>
        <w:tc>
          <w:tcPr>
            <w:tcW w:w="920" w:type="dxa"/>
            <w:vAlign w:val="bottom"/>
            <w:tcBorders>
              <w:bottom w:val="single" w:sz="8" w:color="E5E5E5"/>
            </w:tcBorders>
            <w:shd w:val="clear" w:color="auto" w:fill="E5E5E5"/>
          </w:tcPr>
          <w:p>
            <w:pPr>
              <w:jc w:val="right"/>
              <w:spacing w:after="0" w:line="172" w:lineRule="exact"/>
              <w:rPr>
                <w:sz w:val="20"/>
                <w:szCs w:val="20"/>
                <w:color w:val="auto"/>
              </w:rPr>
            </w:pPr>
            <w:r>
              <w:rPr>
                <w:rFonts w:ascii="Arial" w:cs="Arial" w:eastAsia="Arial" w:hAnsi="Arial"/>
                <w:sz w:val="17"/>
                <w:szCs w:val="17"/>
                <w:color w:val="auto"/>
              </w:rPr>
              <w:t>271,454</w:t>
            </w:r>
          </w:p>
        </w:tc>
        <w:tc>
          <w:tcPr>
            <w:tcW w:w="140" w:type="dxa"/>
            <w:vAlign w:val="bottom"/>
            <w:tcBorders>
              <w:bottom w:val="single" w:sz="8" w:color="E5E5E5"/>
            </w:tcBorders>
            <w:shd w:val="clear" w:color="auto" w:fill="E5E5E5"/>
          </w:tcPr>
          <w:p>
            <w:pPr>
              <w:spacing w:after="0"/>
              <w:rPr>
                <w:sz w:val="17"/>
                <w:szCs w:val="17"/>
                <w:color w:val="auto"/>
              </w:rPr>
            </w:pPr>
          </w:p>
        </w:tc>
        <w:tc>
          <w:tcPr>
            <w:tcW w:w="860" w:type="dxa"/>
            <w:vAlign w:val="bottom"/>
            <w:tcBorders>
              <w:bottom w:val="single" w:sz="8" w:color="E5E5E5"/>
            </w:tcBorders>
            <w:shd w:val="clear" w:color="auto" w:fill="E5E5E5"/>
          </w:tcPr>
          <w:p>
            <w:pPr>
              <w:spacing w:after="0"/>
              <w:rPr>
                <w:sz w:val="17"/>
                <w:szCs w:val="17"/>
                <w:color w:val="auto"/>
              </w:rPr>
            </w:pPr>
          </w:p>
        </w:tc>
      </w:tr>
      <w:tr>
        <w:trPr>
          <w:trHeight w:val="188"/>
        </w:trPr>
        <w:tc>
          <w:tcPr>
            <w:tcW w:w="4560" w:type="dxa"/>
            <w:vAlign w:val="bottom"/>
            <w:gridSpan w:val="2"/>
          </w:tcPr>
          <w:p>
            <w:pPr>
              <w:spacing w:after="0" w:line="188" w:lineRule="exact"/>
              <w:rPr>
                <w:sz w:val="20"/>
                <w:szCs w:val="20"/>
                <w:color w:val="auto"/>
              </w:rPr>
            </w:pPr>
            <w:r>
              <w:rPr>
                <w:rFonts w:ascii="Arial" w:cs="Arial" w:eastAsia="Arial" w:hAnsi="Arial"/>
                <w:sz w:val="17"/>
                <w:szCs w:val="17"/>
                <w:b w:val="1"/>
                <w:bCs w:val="1"/>
                <w:color w:val="auto"/>
              </w:rPr>
              <w:t>Total revenues</w:t>
            </w:r>
          </w:p>
        </w:tc>
        <w:tc>
          <w:tcPr>
            <w:tcW w:w="180" w:type="dxa"/>
            <w:vAlign w:val="bottom"/>
            <w:tcBorders>
              <w:top w:val="single" w:sz="8" w:color="auto"/>
            </w:tcBorders>
            <w:shd w:val="clear" w:color="auto" w:fill="CDDEE7"/>
          </w:tcPr>
          <w:p>
            <w:pPr>
              <w:spacing w:after="0"/>
              <w:rPr>
                <w:sz w:val="16"/>
                <w:szCs w:val="16"/>
                <w:color w:val="auto"/>
              </w:rPr>
            </w:pPr>
          </w:p>
        </w:tc>
        <w:tc>
          <w:tcPr>
            <w:tcW w:w="900" w:type="dxa"/>
            <w:vAlign w:val="bottom"/>
            <w:tcBorders>
              <w:top w:val="single" w:sz="8" w:color="auto"/>
            </w:tcBorders>
            <w:shd w:val="clear" w:color="auto" w:fill="CDDEE7"/>
          </w:tcPr>
          <w:p>
            <w:pPr>
              <w:jc w:val="right"/>
              <w:ind w:right="34"/>
              <w:spacing w:after="0" w:line="188" w:lineRule="exact"/>
              <w:rPr>
                <w:sz w:val="20"/>
                <w:szCs w:val="20"/>
                <w:color w:val="auto"/>
              </w:rPr>
            </w:pPr>
            <w:r>
              <w:rPr>
                <w:rFonts w:ascii="Arial" w:cs="Arial" w:eastAsia="Arial" w:hAnsi="Arial"/>
                <w:sz w:val="17"/>
                <w:szCs w:val="17"/>
                <w:b w:val="1"/>
                <w:bCs w:val="1"/>
                <w:color w:val="auto"/>
              </w:rPr>
              <w:t>3,965,594</w:t>
            </w:r>
          </w:p>
        </w:tc>
        <w:tc>
          <w:tcPr>
            <w:tcW w:w="1040" w:type="dxa"/>
            <w:vAlign w:val="bottom"/>
            <w:tcBorders>
              <w:top w:val="single" w:sz="8" w:color="auto"/>
            </w:tcBorders>
            <w:gridSpan w:val="2"/>
            <w:shd w:val="clear" w:color="auto" w:fill="CDDEE7"/>
          </w:tcPr>
          <w:p>
            <w:pPr>
              <w:jc w:val="right"/>
              <w:spacing w:after="0" w:line="188" w:lineRule="exact"/>
              <w:rPr>
                <w:sz w:val="20"/>
                <w:szCs w:val="20"/>
                <w:color w:val="auto"/>
              </w:rPr>
            </w:pPr>
            <w:r>
              <w:rPr>
                <w:rFonts w:ascii="Arial" w:cs="Arial" w:eastAsia="Arial" w:hAnsi="Arial"/>
                <w:sz w:val="17"/>
                <w:szCs w:val="17"/>
                <w:b w:val="1"/>
                <w:bCs w:val="1"/>
                <w:color w:val="auto"/>
              </w:rPr>
              <w:t>100.0%</w:t>
            </w:r>
          </w:p>
        </w:tc>
        <w:tc>
          <w:tcPr>
            <w:tcW w:w="2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shd w:val="clear" w:color="auto" w:fill="E5E5E5"/>
          </w:tcPr>
          <w:p>
            <w:pPr>
              <w:spacing w:after="0"/>
              <w:rPr>
                <w:sz w:val="16"/>
                <w:szCs w:val="16"/>
                <w:color w:val="auto"/>
              </w:rPr>
            </w:pPr>
          </w:p>
        </w:tc>
        <w:tc>
          <w:tcPr>
            <w:tcW w:w="980" w:type="dxa"/>
            <w:vAlign w:val="bottom"/>
            <w:tcBorders>
              <w:top w:val="single" w:sz="8" w:color="auto"/>
            </w:tcBorders>
            <w:shd w:val="clear" w:color="auto" w:fill="E5E5E5"/>
          </w:tcPr>
          <w:p>
            <w:pPr>
              <w:jc w:val="right"/>
              <w:ind w:right="14"/>
              <w:spacing w:after="0" w:line="188" w:lineRule="exact"/>
              <w:rPr>
                <w:sz w:val="20"/>
                <w:szCs w:val="20"/>
                <w:color w:val="auto"/>
              </w:rPr>
            </w:pPr>
            <w:r>
              <w:rPr>
                <w:rFonts w:ascii="Arial" w:cs="Arial" w:eastAsia="Arial" w:hAnsi="Arial"/>
                <w:sz w:val="17"/>
                <w:szCs w:val="17"/>
                <w:b w:val="1"/>
                <w:bCs w:val="1"/>
                <w:color w:val="auto"/>
              </w:rPr>
              <w:t>3,818,749</w:t>
            </w:r>
          </w:p>
        </w:tc>
        <w:tc>
          <w:tcPr>
            <w:tcW w:w="1000" w:type="dxa"/>
            <w:vAlign w:val="bottom"/>
            <w:tcBorders>
              <w:top w:val="single" w:sz="8" w:color="auto"/>
            </w:tcBorders>
            <w:gridSpan w:val="2"/>
            <w:shd w:val="clear" w:color="auto" w:fill="E5E5E5"/>
          </w:tcPr>
          <w:p>
            <w:pPr>
              <w:jc w:val="right"/>
              <w:spacing w:after="0" w:line="188" w:lineRule="exact"/>
              <w:rPr>
                <w:sz w:val="20"/>
                <w:szCs w:val="20"/>
                <w:color w:val="auto"/>
              </w:rPr>
            </w:pPr>
            <w:r>
              <w:rPr>
                <w:rFonts w:ascii="Arial" w:cs="Arial" w:eastAsia="Arial" w:hAnsi="Arial"/>
                <w:sz w:val="17"/>
                <w:szCs w:val="17"/>
                <w:b w:val="1"/>
                <w:bCs w:val="1"/>
                <w:color w:val="auto"/>
              </w:rPr>
              <w:t>100.0%</w:t>
            </w:r>
          </w:p>
        </w:tc>
        <w:tc>
          <w:tcPr>
            <w:tcW w:w="2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shd w:val="clear" w:color="auto" w:fill="E5E5E5"/>
          </w:tcPr>
          <w:p>
            <w:pPr>
              <w:spacing w:after="0"/>
              <w:rPr>
                <w:sz w:val="16"/>
                <w:szCs w:val="16"/>
                <w:color w:val="auto"/>
              </w:rPr>
            </w:pPr>
          </w:p>
        </w:tc>
        <w:tc>
          <w:tcPr>
            <w:tcW w:w="920" w:type="dxa"/>
            <w:vAlign w:val="bottom"/>
            <w:tcBorders>
              <w:top w:val="single" w:sz="8" w:color="auto"/>
            </w:tcBorders>
            <w:shd w:val="clear" w:color="auto" w:fill="E5E5E5"/>
          </w:tcPr>
          <w:p>
            <w:pPr>
              <w:jc w:val="right"/>
              <w:spacing w:after="0" w:line="188" w:lineRule="exact"/>
              <w:rPr>
                <w:sz w:val="20"/>
                <w:szCs w:val="20"/>
                <w:color w:val="auto"/>
              </w:rPr>
            </w:pPr>
            <w:r>
              <w:rPr>
                <w:rFonts w:ascii="Arial" w:cs="Arial" w:eastAsia="Arial" w:hAnsi="Arial"/>
                <w:sz w:val="17"/>
                <w:szCs w:val="17"/>
                <w:b w:val="1"/>
                <w:bCs w:val="1"/>
                <w:color w:val="auto"/>
              </w:rPr>
              <w:t>3,539,570</w:t>
            </w:r>
          </w:p>
        </w:tc>
        <w:tc>
          <w:tcPr>
            <w:tcW w:w="1000" w:type="dxa"/>
            <w:vAlign w:val="bottom"/>
            <w:tcBorders>
              <w:top w:val="single" w:sz="8" w:color="auto"/>
            </w:tcBorders>
            <w:gridSpan w:val="2"/>
            <w:shd w:val="clear" w:color="auto" w:fill="E5E5E5"/>
          </w:tcPr>
          <w:p>
            <w:pPr>
              <w:jc w:val="right"/>
              <w:spacing w:after="0" w:line="188" w:lineRule="exact"/>
              <w:rPr>
                <w:sz w:val="20"/>
                <w:szCs w:val="20"/>
                <w:color w:val="auto"/>
              </w:rPr>
            </w:pPr>
            <w:r>
              <w:rPr>
                <w:rFonts w:ascii="Arial" w:cs="Arial" w:eastAsia="Arial" w:hAnsi="Arial"/>
                <w:sz w:val="17"/>
                <w:szCs w:val="17"/>
                <w:b w:val="1"/>
                <w:bCs w:val="1"/>
                <w:color w:val="auto"/>
              </w:rPr>
              <w:t>100.0%</w:t>
            </w:r>
          </w:p>
        </w:tc>
      </w:tr>
      <w:tr>
        <w:trPr>
          <w:trHeight w:val="187"/>
        </w:trPr>
        <w:tc>
          <w:tcPr>
            <w:tcW w:w="20" w:type="dxa"/>
            <w:vAlign w:val="bottom"/>
          </w:tcPr>
          <w:p>
            <w:pPr>
              <w:spacing w:after="0"/>
              <w:rPr>
                <w:sz w:val="16"/>
                <w:szCs w:val="16"/>
                <w:color w:val="auto"/>
              </w:rPr>
            </w:pPr>
          </w:p>
        </w:tc>
        <w:tc>
          <w:tcPr>
            <w:tcW w:w="4540" w:type="dxa"/>
            <w:vAlign w:val="bottom"/>
            <w:tcBorders>
              <w:top w:val="single" w:sz="8" w:color="auto"/>
            </w:tcBorders>
          </w:tcPr>
          <w:p>
            <w:pPr>
              <w:spacing w:after="0" w:line="187" w:lineRule="exact"/>
              <w:rPr>
                <w:sz w:val="20"/>
                <w:szCs w:val="20"/>
                <w:color w:val="auto"/>
              </w:rPr>
            </w:pPr>
            <w:r>
              <w:rPr>
                <w:rFonts w:ascii="Arial" w:cs="Arial" w:eastAsia="Arial" w:hAnsi="Arial"/>
                <w:sz w:val="17"/>
                <w:szCs w:val="17"/>
                <w:color w:val="auto"/>
              </w:rPr>
              <w:t>Cost of sales</w:t>
            </w:r>
          </w:p>
        </w:tc>
        <w:tc>
          <w:tcPr>
            <w:tcW w:w="180" w:type="dxa"/>
            <w:vAlign w:val="bottom"/>
            <w:tcBorders>
              <w:top w:val="single" w:sz="8" w:color="auto"/>
            </w:tcBorders>
            <w:shd w:val="clear" w:color="auto" w:fill="CDDEE7"/>
          </w:tcPr>
          <w:p>
            <w:pPr>
              <w:spacing w:after="0"/>
              <w:rPr>
                <w:sz w:val="16"/>
                <w:szCs w:val="16"/>
                <w:color w:val="auto"/>
              </w:rPr>
            </w:pPr>
          </w:p>
        </w:tc>
        <w:tc>
          <w:tcPr>
            <w:tcW w:w="900" w:type="dxa"/>
            <w:vAlign w:val="bottom"/>
            <w:tcBorders>
              <w:top w:val="single" w:sz="8" w:color="auto"/>
            </w:tcBorders>
            <w:shd w:val="clear" w:color="auto" w:fill="CDDEE7"/>
          </w:tcPr>
          <w:p>
            <w:pPr>
              <w:jc w:val="right"/>
              <w:ind w:right="34"/>
              <w:spacing w:after="0" w:line="187" w:lineRule="exact"/>
              <w:rPr>
                <w:sz w:val="20"/>
                <w:szCs w:val="20"/>
                <w:color w:val="auto"/>
              </w:rPr>
            </w:pPr>
            <w:r>
              <w:rPr>
                <w:rFonts w:ascii="Arial" w:cs="Arial" w:eastAsia="Arial" w:hAnsi="Arial"/>
                <w:sz w:val="17"/>
                <w:szCs w:val="17"/>
                <w:color w:val="auto"/>
              </w:rPr>
              <w:t>2,749,488</w:t>
            </w:r>
          </w:p>
        </w:tc>
        <w:tc>
          <w:tcPr>
            <w:tcW w:w="160" w:type="dxa"/>
            <w:vAlign w:val="bottom"/>
            <w:tcBorders>
              <w:top w:val="single" w:sz="8" w:color="auto"/>
            </w:tcBorders>
            <w:shd w:val="clear" w:color="auto" w:fill="CDDEE7"/>
          </w:tcPr>
          <w:p>
            <w:pPr>
              <w:spacing w:after="0"/>
              <w:rPr>
                <w:sz w:val="16"/>
                <w:szCs w:val="16"/>
                <w:color w:val="auto"/>
              </w:rPr>
            </w:pPr>
          </w:p>
        </w:tc>
        <w:tc>
          <w:tcPr>
            <w:tcW w:w="880" w:type="dxa"/>
            <w:vAlign w:val="bottom"/>
            <w:tcBorders>
              <w:top w:val="single" w:sz="8" w:color="auto"/>
            </w:tcBorders>
            <w:shd w:val="clear" w:color="auto" w:fill="CDDEE7"/>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shd w:val="clear" w:color="auto" w:fill="E5E5E5"/>
          </w:tcPr>
          <w:p>
            <w:pPr>
              <w:spacing w:after="0"/>
              <w:rPr>
                <w:sz w:val="16"/>
                <w:szCs w:val="16"/>
                <w:color w:val="auto"/>
              </w:rPr>
            </w:pPr>
          </w:p>
        </w:tc>
        <w:tc>
          <w:tcPr>
            <w:tcW w:w="980" w:type="dxa"/>
            <w:vAlign w:val="bottom"/>
            <w:tcBorders>
              <w:top w:val="single" w:sz="8" w:color="auto"/>
            </w:tcBorders>
            <w:shd w:val="clear" w:color="auto" w:fill="E5E5E5"/>
          </w:tcPr>
          <w:p>
            <w:pPr>
              <w:jc w:val="right"/>
              <w:ind w:right="14"/>
              <w:spacing w:after="0" w:line="187" w:lineRule="exact"/>
              <w:rPr>
                <w:sz w:val="20"/>
                <w:szCs w:val="20"/>
                <w:color w:val="auto"/>
              </w:rPr>
            </w:pPr>
            <w:r>
              <w:rPr>
                <w:rFonts w:ascii="Arial" w:cs="Arial" w:eastAsia="Arial" w:hAnsi="Arial"/>
                <w:sz w:val="17"/>
                <w:szCs w:val="17"/>
                <w:color w:val="auto"/>
              </w:rPr>
              <w:t>2,665,029</w:t>
            </w:r>
          </w:p>
        </w:tc>
        <w:tc>
          <w:tcPr>
            <w:tcW w:w="160" w:type="dxa"/>
            <w:vAlign w:val="bottom"/>
            <w:tcBorders>
              <w:top w:val="single" w:sz="8" w:color="auto"/>
            </w:tcBorders>
            <w:shd w:val="clear" w:color="auto" w:fill="E5E5E5"/>
          </w:tcPr>
          <w:p>
            <w:pPr>
              <w:spacing w:after="0"/>
              <w:rPr>
                <w:sz w:val="16"/>
                <w:szCs w:val="16"/>
                <w:color w:val="auto"/>
              </w:rPr>
            </w:pPr>
          </w:p>
        </w:tc>
        <w:tc>
          <w:tcPr>
            <w:tcW w:w="840" w:type="dxa"/>
            <w:vAlign w:val="bottom"/>
            <w:tcBorders>
              <w:top w:val="single" w:sz="8" w:color="auto"/>
            </w:tcBorders>
            <w:shd w:val="clear" w:color="auto" w:fill="E5E5E5"/>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shd w:val="clear" w:color="auto" w:fill="E5E5E5"/>
          </w:tcPr>
          <w:p>
            <w:pPr>
              <w:spacing w:after="0"/>
              <w:rPr>
                <w:sz w:val="16"/>
                <w:szCs w:val="16"/>
                <w:color w:val="auto"/>
              </w:rPr>
            </w:pPr>
          </w:p>
        </w:tc>
        <w:tc>
          <w:tcPr>
            <w:tcW w:w="920" w:type="dxa"/>
            <w:vAlign w:val="bottom"/>
            <w:tcBorders>
              <w:top w:val="single" w:sz="8" w:color="auto"/>
            </w:tcBorders>
            <w:shd w:val="clear" w:color="auto" w:fill="E5E5E5"/>
          </w:tcPr>
          <w:p>
            <w:pPr>
              <w:jc w:val="right"/>
              <w:spacing w:after="0" w:line="187" w:lineRule="exact"/>
              <w:rPr>
                <w:sz w:val="20"/>
                <w:szCs w:val="20"/>
                <w:color w:val="auto"/>
              </w:rPr>
            </w:pPr>
            <w:r>
              <w:rPr>
                <w:rFonts w:ascii="Arial" w:cs="Arial" w:eastAsia="Arial" w:hAnsi="Arial"/>
                <w:sz w:val="17"/>
                <w:szCs w:val="17"/>
                <w:color w:val="auto"/>
              </w:rPr>
              <w:t>2,541,196</w:t>
            </w:r>
          </w:p>
        </w:tc>
        <w:tc>
          <w:tcPr>
            <w:tcW w:w="140" w:type="dxa"/>
            <w:vAlign w:val="bottom"/>
            <w:tcBorders>
              <w:top w:val="single" w:sz="8" w:color="auto"/>
            </w:tcBorders>
            <w:shd w:val="clear" w:color="auto" w:fill="E5E5E5"/>
          </w:tcPr>
          <w:p>
            <w:pPr>
              <w:spacing w:after="0"/>
              <w:rPr>
                <w:sz w:val="16"/>
                <w:szCs w:val="16"/>
                <w:color w:val="auto"/>
              </w:rPr>
            </w:pPr>
          </w:p>
        </w:tc>
        <w:tc>
          <w:tcPr>
            <w:tcW w:w="860" w:type="dxa"/>
            <w:vAlign w:val="bottom"/>
            <w:tcBorders>
              <w:top w:val="single" w:sz="8" w:color="auto"/>
            </w:tcBorders>
            <w:shd w:val="clear" w:color="auto" w:fill="E5E5E5"/>
          </w:tcPr>
          <w:p>
            <w:pPr>
              <w:spacing w:after="0"/>
              <w:rPr>
                <w:sz w:val="16"/>
                <w:szCs w:val="16"/>
                <w:color w:val="auto"/>
              </w:rPr>
            </w:pPr>
          </w:p>
        </w:tc>
      </w:tr>
      <w:tr>
        <w:trPr>
          <w:trHeight w:val="195"/>
        </w:trPr>
        <w:tc>
          <w:tcPr>
            <w:tcW w:w="4560" w:type="dxa"/>
            <w:vAlign w:val="bottom"/>
            <w:gridSpan w:val="2"/>
          </w:tcPr>
          <w:p>
            <w:pPr>
              <w:spacing w:after="0"/>
              <w:rPr>
                <w:sz w:val="20"/>
                <w:szCs w:val="20"/>
                <w:color w:val="auto"/>
              </w:rPr>
            </w:pPr>
            <w:r>
              <w:rPr>
                <w:rFonts w:ascii="Arial" w:cs="Arial" w:eastAsia="Arial" w:hAnsi="Arial"/>
                <w:sz w:val="17"/>
                <w:szCs w:val="17"/>
                <w:color w:val="auto"/>
              </w:rPr>
              <w:t>Freight and delivery costs</w:t>
            </w:r>
          </w:p>
        </w:tc>
        <w:tc>
          <w:tcPr>
            <w:tcW w:w="180" w:type="dxa"/>
            <w:vAlign w:val="bottom"/>
            <w:tcBorders>
              <w:bottom w:val="single" w:sz="8" w:color="auto"/>
            </w:tcBorders>
            <w:shd w:val="clear" w:color="auto" w:fill="CDDEE7"/>
          </w:tcPr>
          <w:p>
            <w:pPr>
              <w:spacing w:after="0"/>
              <w:rPr>
                <w:sz w:val="16"/>
                <w:szCs w:val="16"/>
                <w:color w:val="auto"/>
              </w:rPr>
            </w:pPr>
          </w:p>
        </w:tc>
        <w:tc>
          <w:tcPr>
            <w:tcW w:w="900" w:type="dxa"/>
            <w:vAlign w:val="bottom"/>
            <w:tcBorders>
              <w:bottom w:val="single" w:sz="8" w:color="auto"/>
            </w:tcBorders>
            <w:shd w:val="clear" w:color="auto" w:fill="CDDEE7"/>
          </w:tcPr>
          <w:p>
            <w:pPr>
              <w:jc w:val="right"/>
              <w:ind w:right="34"/>
              <w:spacing w:after="0"/>
              <w:rPr>
                <w:sz w:val="20"/>
                <w:szCs w:val="20"/>
                <w:color w:val="auto"/>
              </w:rPr>
            </w:pPr>
            <w:r>
              <w:rPr>
                <w:rFonts w:ascii="Arial" w:cs="Arial" w:eastAsia="Arial" w:hAnsi="Arial"/>
                <w:sz w:val="17"/>
                <w:szCs w:val="17"/>
                <w:color w:val="auto"/>
              </w:rPr>
              <w:t>244,166</w:t>
            </w:r>
          </w:p>
        </w:tc>
        <w:tc>
          <w:tcPr>
            <w:tcW w:w="160" w:type="dxa"/>
            <w:vAlign w:val="bottom"/>
            <w:tcBorders>
              <w:bottom w:val="single" w:sz="8" w:color="auto"/>
            </w:tcBorders>
            <w:shd w:val="clear" w:color="auto" w:fill="CDDEE7"/>
          </w:tcPr>
          <w:p>
            <w:pPr>
              <w:spacing w:after="0"/>
              <w:rPr>
                <w:sz w:val="16"/>
                <w:szCs w:val="16"/>
                <w:color w:val="auto"/>
              </w:rPr>
            </w:pPr>
          </w:p>
        </w:tc>
        <w:tc>
          <w:tcPr>
            <w:tcW w:w="880" w:type="dxa"/>
            <w:vAlign w:val="bottom"/>
            <w:tcBorders>
              <w:bottom w:val="single" w:sz="8" w:color="auto"/>
            </w:tcBorders>
            <w:shd w:val="clear" w:color="auto" w:fill="CDDEE7"/>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shd w:val="clear" w:color="auto" w:fill="E5E5E5"/>
          </w:tcPr>
          <w:p>
            <w:pPr>
              <w:spacing w:after="0"/>
              <w:rPr>
                <w:sz w:val="16"/>
                <w:szCs w:val="16"/>
                <w:color w:val="auto"/>
              </w:rPr>
            </w:pPr>
          </w:p>
        </w:tc>
        <w:tc>
          <w:tcPr>
            <w:tcW w:w="98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7"/>
                <w:szCs w:val="17"/>
                <w:color w:val="auto"/>
              </w:rPr>
              <w:t>241,982</w:t>
            </w:r>
          </w:p>
        </w:tc>
        <w:tc>
          <w:tcPr>
            <w:tcW w:w="160" w:type="dxa"/>
            <w:vAlign w:val="bottom"/>
            <w:tcBorders>
              <w:bottom w:val="single" w:sz="8" w:color="auto"/>
            </w:tcBorders>
            <w:shd w:val="clear" w:color="auto" w:fill="E5E5E5"/>
          </w:tcPr>
          <w:p>
            <w:pPr>
              <w:spacing w:after="0"/>
              <w:rPr>
                <w:sz w:val="16"/>
                <w:szCs w:val="16"/>
                <w:color w:val="auto"/>
              </w:rPr>
            </w:pPr>
          </w:p>
        </w:tc>
        <w:tc>
          <w:tcPr>
            <w:tcW w:w="840" w:type="dxa"/>
            <w:vAlign w:val="bottom"/>
            <w:tcBorders>
              <w:bottom w:val="single" w:sz="8" w:color="auto"/>
            </w:tcBorders>
            <w:shd w:val="clear" w:color="auto" w:fill="E5E5E5"/>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shd w:val="clear" w:color="auto" w:fill="E5E5E5"/>
          </w:tcPr>
          <w:p>
            <w:pPr>
              <w:spacing w:after="0"/>
              <w:rPr>
                <w:sz w:val="16"/>
                <w:szCs w:val="16"/>
                <w:color w:val="auto"/>
              </w:rPr>
            </w:pPr>
          </w:p>
        </w:tc>
        <w:tc>
          <w:tcPr>
            <w:tcW w:w="9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7"/>
                <w:szCs w:val="17"/>
                <w:color w:val="auto"/>
              </w:rPr>
              <w:t>271,454</w:t>
            </w:r>
          </w:p>
        </w:tc>
        <w:tc>
          <w:tcPr>
            <w:tcW w:w="140" w:type="dxa"/>
            <w:vAlign w:val="bottom"/>
            <w:tcBorders>
              <w:bottom w:val="single" w:sz="8" w:color="auto"/>
            </w:tcBorders>
            <w:shd w:val="clear" w:color="auto" w:fill="E5E5E5"/>
          </w:tcPr>
          <w:p>
            <w:pPr>
              <w:spacing w:after="0"/>
              <w:rPr>
                <w:sz w:val="16"/>
                <w:szCs w:val="16"/>
                <w:color w:val="auto"/>
              </w:rPr>
            </w:pPr>
          </w:p>
        </w:tc>
        <w:tc>
          <w:tcPr>
            <w:tcW w:w="860" w:type="dxa"/>
            <w:vAlign w:val="bottom"/>
            <w:tcBorders>
              <w:bottom w:val="single" w:sz="8" w:color="auto"/>
            </w:tcBorders>
            <w:shd w:val="clear" w:color="auto" w:fill="E5E5E5"/>
          </w:tcPr>
          <w:p>
            <w:pPr>
              <w:spacing w:after="0"/>
              <w:rPr>
                <w:sz w:val="16"/>
                <w:szCs w:val="16"/>
                <w:color w:val="auto"/>
              </w:rPr>
            </w:pPr>
          </w:p>
        </w:tc>
      </w:tr>
      <w:tr>
        <w:trPr>
          <w:trHeight w:val="188"/>
        </w:trPr>
        <w:tc>
          <w:tcPr>
            <w:tcW w:w="4560" w:type="dxa"/>
            <w:vAlign w:val="bottom"/>
            <w:gridSpan w:val="2"/>
          </w:tcPr>
          <w:p>
            <w:pPr>
              <w:spacing w:after="0" w:line="189" w:lineRule="exact"/>
              <w:rPr>
                <w:sz w:val="20"/>
                <w:szCs w:val="20"/>
                <w:color w:val="auto"/>
              </w:rPr>
            </w:pPr>
            <w:r>
              <w:rPr>
                <w:rFonts w:ascii="Arial" w:cs="Arial" w:eastAsia="Arial" w:hAnsi="Arial"/>
                <w:sz w:val="17"/>
                <w:szCs w:val="17"/>
                <w:color w:val="auto"/>
              </w:rPr>
              <w:t>Total cost of revenues</w:t>
            </w:r>
          </w:p>
        </w:tc>
        <w:tc>
          <w:tcPr>
            <w:tcW w:w="180" w:type="dxa"/>
            <w:vAlign w:val="bottom"/>
            <w:shd w:val="clear" w:color="auto" w:fill="CDDEE7"/>
          </w:tcPr>
          <w:p>
            <w:pPr>
              <w:spacing w:after="0"/>
              <w:rPr>
                <w:sz w:val="16"/>
                <w:szCs w:val="16"/>
                <w:color w:val="auto"/>
              </w:rPr>
            </w:pPr>
          </w:p>
        </w:tc>
        <w:tc>
          <w:tcPr>
            <w:tcW w:w="900" w:type="dxa"/>
            <w:vAlign w:val="bottom"/>
            <w:shd w:val="clear" w:color="auto" w:fill="CDDEE7"/>
          </w:tcPr>
          <w:p>
            <w:pPr>
              <w:jc w:val="right"/>
              <w:ind w:right="34"/>
              <w:spacing w:after="0" w:line="189" w:lineRule="exact"/>
              <w:rPr>
                <w:sz w:val="20"/>
                <w:szCs w:val="20"/>
                <w:color w:val="auto"/>
              </w:rPr>
            </w:pPr>
            <w:r>
              <w:rPr>
                <w:rFonts w:ascii="Arial" w:cs="Arial" w:eastAsia="Arial" w:hAnsi="Arial"/>
                <w:sz w:val="17"/>
                <w:szCs w:val="17"/>
                <w:color w:val="auto"/>
              </w:rPr>
              <w:t>2,993,654</w:t>
            </w:r>
          </w:p>
        </w:tc>
        <w:tc>
          <w:tcPr>
            <w:tcW w:w="160" w:type="dxa"/>
            <w:vAlign w:val="bottom"/>
            <w:shd w:val="clear" w:color="auto" w:fill="CDDEE7"/>
          </w:tcPr>
          <w:p>
            <w:pPr>
              <w:spacing w:after="0"/>
              <w:rPr>
                <w:sz w:val="16"/>
                <w:szCs w:val="16"/>
                <w:color w:val="auto"/>
              </w:rPr>
            </w:pPr>
          </w:p>
        </w:tc>
        <w:tc>
          <w:tcPr>
            <w:tcW w:w="880" w:type="dxa"/>
            <w:vAlign w:val="bottom"/>
            <w:shd w:val="clear" w:color="auto" w:fill="CDDEE7"/>
          </w:tcPr>
          <w:p>
            <w:pPr>
              <w:jc w:val="right"/>
              <w:ind w:right="114"/>
              <w:spacing w:after="0" w:line="189" w:lineRule="exact"/>
              <w:rPr>
                <w:sz w:val="20"/>
                <w:szCs w:val="20"/>
                <w:color w:val="auto"/>
              </w:rPr>
            </w:pPr>
            <w:r>
              <w:rPr>
                <w:rFonts w:ascii="Arial" w:cs="Arial" w:eastAsia="Arial" w:hAnsi="Arial"/>
                <w:sz w:val="17"/>
                <w:szCs w:val="17"/>
                <w:color w:val="auto"/>
              </w:rPr>
              <w:t>75.5</w:t>
            </w:r>
          </w:p>
        </w:tc>
        <w:tc>
          <w:tcPr>
            <w:tcW w:w="240" w:type="dxa"/>
            <w:vAlign w:val="bottom"/>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980" w:type="dxa"/>
            <w:vAlign w:val="bottom"/>
            <w:shd w:val="clear" w:color="auto" w:fill="E5E5E5"/>
          </w:tcPr>
          <w:p>
            <w:pPr>
              <w:jc w:val="right"/>
              <w:ind w:right="14"/>
              <w:spacing w:after="0" w:line="189" w:lineRule="exact"/>
              <w:rPr>
                <w:sz w:val="20"/>
                <w:szCs w:val="20"/>
                <w:color w:val="auto"/>
              </w:rPr>
            </w:pPr>
            <w:r>
              <w:rPr>
                <w:rFonts w:ascii="Arial" w:cs="Arial" w:eastAsia="Arial" w:hAnsi="Arial"/>
                <w:sz w:val="17"/>
                <w:szCs w:val="17"/>
                <w:color w:val="auto"/>
              </w:rPr>
              <w:t>2,907,011</w:t>
            </w:r>
          </w:p>
        </w:tc>
        <w:tc>
          <w:tcPr>
            <w:tcW w:w="160" w:type="dxa"/>
            <w:vAlign w:val="bottom"/>
            <w:shd w:val="clear" w:color="auto" w:fill="E5E5E5"/>
          </w:tcPr>
          <w:p>
            <w:pPr>
              <w:spacing w:after="0"/>
              <w:rPr>
                <w:sz w:val="16"/>
                <w:szCs w:val="16"/>
                <w:color w:val="auto"/>
              </w:rPr>
            </w:pPr>
          </w:p>
        </w:tc>
        <w:tc>
          <w:tcPr>
            <w:tcW w:w="840" w:type="dxa"/>
            <w:vAlign w:val="bottom"/>
            <w:shd w:val="clear" w:color="auto" w:fill="E5E5E5"/>
          </w:tcPr>
          <w:p>
            <w:pPr>
              <w:jc w:val="right"/>
              <w:ind w:right="114"/>
              <w:spacing w:after="0" w:line="189" w:lineRule="exact"/>
              <w:rPr>
                <w:sz w:val="20"/>
                <w:szCs w:val="20"/>
                <w:color w:val="auto"/>
              </w:rPr>
            </w:pPr>
            <w:r>
              <w:rPr>
                <w:rFonts w:ascii="Arial" w:cs="Arial" w:eastAsia="Arial" w:hAnsi="Arial"/>
                <w:sz w:val="17"/>
                <w:szCs w:val="17"/>
                <w:color w:val="auto"/>
              </w:rPr>
              <w:t>76.1</w:t>
            </w:r>
          </w:p>
        </w:tc>
        <w:tc>
          <w:tcPr>
            <w:tcW w:w="240" w:type="dxa"/>
            <w:vAlign w:val="bottom"/>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920" w:type="dxa"/>
            <w:vAlign w:val="bottom"/>
            <w:shd w:val="clear" w:color="auto" w:fill="E5E5E5"/>
          </w:tcPr>
          <w:p>
            <w:pPr>
              <w:jc w:val="right"/>
              <w:spacing w:after="0" w:line="189" w:lineRule="exact"/>
              <w:rPr>
                <w:sz w:val="20"/>
                <w:szCs w:val="20"/>
                <w:color w:val="auto"/>
              </w:rPr>
            </w:pPr>
            <w:r>
              <w:rPr>
                <w:rFonts w:ascii="Arial" w:cs="Arial" w:eastAsia="Arial" w:hAnsi="Arial"/>
                <w:sz w:val="17"/>
                <w:szCs w:val="17"/>
                <w:color w:val="auto"/>
              </w:rPr>
              <w:t>2,812,650</w:t>
            </w:r>
          </w:p>
        </w:tc>
        <w:tc>
          <w:tcPr>
            <w:tcW w:w="140" w:type="dxa"/>
            <w:vAlign w:val="bottom"/>
            <w:shd w:val="clear" w:color="auto" w:fill="E5E5E5"/>
          </w:tcPr>
          <w:p>
            <w:pPr>
              <w:spacing w:after="0"/>
              <w:rPr>
                <w:sz w:val="16"/>
                <w:szCs w:val="16"/>
                <w:color w:val="auto"/>
              </w:rPr>
            </w:pPr>
          </w:p>
        </w:tc>
        <w:tc>
          <w:tcPr>
            <w:tcW w:w="860" w:type="dxa"/>
            <w:vAlign w:val="bottom"/>
            <w:shd w:val="clear" w:color="auto" w:fill="E5E5E5"/>
          </w:tcPr>
          <w:p>
            <w:pPr>
              <w:jc w:val="right"/>
              <w:ind w:right="114"/>
              <w:spacing w:after="0" w:line="189" w:lineRule="exact"/>
              <w:rPr>
                <w:sz w:val="20"/>
                <w:szCs w:val="20"/>
                <w:color w:val="auto"/>
              </w:rPr>
            </w:pPr>
            <w:r>
              <w:rPr>
                <w:rFonts w:ascii="Arial" w:cs="Arial" w:eastAsia="Arial" w:hAnsi="Arial"/>
                <w:sz w:val="17"/>
                <w:szCs w:val="17"/>
                <w:color w:val="auto"/>
              </w:rPr>
              <w:t>79.5</w:t>
            </w:r>
          </w:p>
        </w:tc>
      </w:tr>
      <w:tr>
        <w:trPr>
          <w:trHeight w:val="188"/>
        </w:trPr>
        <w:tc>
          <w:tcPr>
            <w:tcW w:w="20" w:type="dxa"/>
            <w:vAlign w:val="bottom"/>
          </w:tcPr>
          <w:p>
            <w:pPr>
              <w:spacing w:after="0"/>
              <w:rPr>
                <w:sz w:val="16"/>
                <w:szCs w:val="16"/>
                <w:color w:val="auto"/>
              </w:rPr>
            </w:pPr>
          </w:p>
        </w:tc>
        <w:tc>
          <w:tcPr>
            <w:tcW w:w="4540" w:type="dxa"/>
            <w:vAlign w:val="bottom"/>
            <w:tcBorders>
              <w:top w:val="single" w:sz="8" w:color="auto"/>
            </w:tcBorders>
          </w:tcPr>
          <w:p>
            <w:pPr>
              <w:spacing w:after="0" w:line="188" w:lineRule="exact"/>
              <w:rPr>
                <w:sz w:val="20"/>
                <w:szCs w:val="20"/>
                <w:color w:val="auto"/>
              </w:rPr>
            </w:pPr>
            <w:r>
              <w:rPr>
                <w:rFonts w:ascii="Arial" w:cs="Arial" w:eastAsia="Arial" w:hAnsi="Arial"/>
                <w:sz w:val="17"/>
                <w:szCs w:val="17"/>
                <w:b w:val="1"/>
                <w:bCs w:val="1"/>
                <w:color w:val="auto"/>
              </w:rPr>
              <w:t>Gross profit</w:t>
            </w:r>
          </w:p>
        </w:tc>
        <w:tc>
          <w:tcPr>
            <w:tcW w:w="180" w:type="dxa"/>
            <w:vAlign w:val="bottom"/>
            <w:tcBorders>
              <w:top w:val="single" w:sz="8" w:color="auto"/>
            </w:tcBorders>
            <w:shd w:val="clear" w:color="auto" w:fill="CDDEE7"/>
          </w:tcPr>
          <w:p>
            <w:pPr>
              <w:spacing w:after="0"/>
              <w:rPr>
                <w:sz w:val="16"/>
                <w:szCs w:val="16"/>
                <w:color w:val="auto"/>
              </w:rPr>
            </w:pPr>
          </w:p>
        </w:tc>
        <w:tc>
          <w:tcPr>
            <w:tcW w:w="900" w:type="dxa"/>
            <w:vAlign w:val="bottom"/>
            <w:tcBorders>
              <w:top w:val="single" w:sz="8" w:color="auto"/>
            </w:tcBorders>
            <w:shd w:val="clear" w:color="auto" w:fill="CDDEE7"/>
          </w:tcPr>
          <w:p>
            <w:pPr>
              <w:jc w:val="right"/>
              <w:ind w:right="34"/>
              <w:spacing w:after="0" w:line="188" w:lineRule="exact"/>
              <w:rPr>
                <w:sz w:val="20"/>
                <w:szCs w:val="20"/>
                <w:color w:val="auto"/>
              </w:rPr>
            </w:pPr>
            <w:r>
              <w:rPr>
                <w:rFonts w:ascii="Arial" w:cs="Arial" w:eastAsia="Arial" w:hAnsi="Arial"/>
                <w:sz w:val="17"/>
                <w:szCs w:val="17"/>
                <w:b w:val="1"/>
                <w:bCs w:val="1"/>
                <w:color w:val="auto"/>
              </w:rPr>
              <w:t>971,940</w:t>
            </w:r>
          </w:p>
        </w:tc>
        <w:tc>
          <w:tcPr>
            <w:tcW w:w="160" w:type="dxa"/>
            <w:vAlign w:val="bottom"/>
            <w:tcBorders>
              <w:top w:val="single" w:sz="8" w:color="auto"/>
            </w:tcBorders>
            <w:shd w:val="clear" w:color="auto" w:fill="CDDEE7"/>
          </w:tcPr>
          <w:p>
            <w:pPr>
              <w:spacing w:after="0"/>
              <w:rPr>
                <w:sz w:val="16"/>
                <w:szCs w:val="16"/>
                <w:color w:val="auto"/>
              </w:rPr>
            </w:pPr>
          </w:p>
        </w:tc>
        <w:tc>
          <w:tcPr>
            <w:tcW w:w="880" w:type="dxa"/>
            <w:vAlign w:val="bottom"/>
            <w:tcBorders>
              <w:top w:val="single" w:sz="8" w:color="auto"/>
            </w:tcBorders>
            <w:shd w:val="clear" w:color="auto" w:fill="CDDEE7"/>
          </w:tcPr>
          <w:p>
            <w:pPr>
              <w:jc w:val="right"/>
              <w:ind w:right="114"/>
              <w:spacing w:after="0" w:line="188" w:lineRule="exact"/>
              <w:rPr>
                <w:sz w:val="20"/>
                <w:szCs w:val="20"/>
                <w:color w:val="auto"/>
              </w:rPr>
            </w:pPr>
            <w:r>
              <w:rPr>
                <w:rFonts w:ascii="Arial" w:cs="Arial" w:eastAsia="Arial" w:hAnsi="Arial"/>
                <w:sz w:val="17"/>
                <w:szCs w:val="17"/>
                <w:b w:val="1"/>
                <w:bCs w:val="1"/>
                <w:color w:val="auto"/>
              </w:rPr>
              <w:t>24.5</w:t>
            </w:r>
          </w:p>
        </w:tc>
        <w:tc>
          <w:tcPr>
            <w:tcW w:w="2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shd w:val="clear" w:color="auto" w:fill="E5E5E5"/>
          </w:tcPr>
          <w:p>
            <w:pPr>
              <w:spacing w:after="0"/>
              <w:rPr>
                <w:sz w:val="16"/>
                <w:szCs w:val="16"/>
                <w:color w:val="auto"/>
              </w:rPr>
            </w:pPr>
          </w:p>
        </w:tc>
        <w:tc>
          <w:tcPr>
            <w:tcW w:w="980" w:type="dxa"/>
            <w:vAlign w:val="bottom"/>
            <w:tcBorders>
              <w:top w:val="single" w:sz="8" w:color="auto"/>
            </w:tcBorders>
            <w:shd w:val="clear" w:color="auto" w:fill="E5E5E5"/>
          </w:tcPr>
          <w:p>
            <w:pPr>
              <w:jc w:val="right"/>
              <w:ind w:right="14"/>
              <w:spacing w:after="0" w:line="188" w:lineRule="exact"/>
              <w:rPr>
                <w:sz w:val="20"/>
                <w:szCs w:val="20"/>
                <w:color w:val="auto"/>
              </w:rPr>
            </w:pPr>
            <w:r>
              <w:rPr>
                <w:rFonts w:ascii="Arial" w:cs="Arial" w:eastAsia="Arial" w:hAnsi="Arial"/>
                <w:sz w:val="17"/>
                <w:szCs w:val="17"/>
                <w:b w:val="1"/>
                <w:bCs w:val="1"/>
                <w:color w:val="auto"/>
              </w:rPr>
              <w:t>911,738</w:t>
            </w:r>
          </w:p>
        </w:tc>
        <w:tc>
          <w:tcPr>
            <w:tcW w:w="160" w:type="dxa"/>
            <w:vAlign w:val="bottom"/>
            <w:tcBorders>
              <w:top w:val="single" w:sz="8" w:color="auto"/>
            </w:tcBorders>
            <w:shd w:val="clear" w:color="auto" w:fill="E5E5E5"/>
          </w:tcPr>
          <w:p>
            <w:pPr>
              <w:spacing w:after="0"/>
              <w:rPr>
                <w:sz w:val="16"/>
                <w:szCs w:val="16"/>
                <w:color w:val="auto"/>
              </w:rPr>
            </w:pPr>
          </w:p>
        </w:tc>
        <w:tc>
          <w:tcPr>
            <w:tcW w:w="840" w:type="dxa"/>
            <w:vAlign w:val="bottom"/>
            <w:tcBorders>
              <w:top w:val="single" w:sz="8" w:color="auto"/>
            </w:tcBorders>
          </w:tcPr>
          <w:p>
            <w:pPr>
              <w:jc w:val="right"/>
              <w:ind w:right="114"/>
              <w:spacing w:after="0" w:line="188" w:lineRule="exact"/>
              <w:rPr>
                <w:sz w:val="20"/>
                <w:szCs w:val="20"/>
                <w:color w:val="auto"/>
              </w:rPr>
            </w:pPr>
            <w:r>
              <w:rPr>
                <w:rFonts w:ascii="Arial" w:cs="Arial" w:eastAsia="Arial" w:hAnsi="Arial"/>
                <w:sz w:val="17"/>
                <w:szCs w:val="17"/>
                <w:b w:val="1"/>
                <w:bCs w:val="1"/>
                <w:color w:val="auto"/>
              </w:rPr>
              <w:t>23.9</w:t>
            </w:r>
          </w:p>
        </w:tc>
        <w:tc>
          <w:tcPr>
            <w:tcW w:w="2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shd w:val="clear" w:color="auto" w:fill="E5E5E5"/>
          </w:tcPr>
          <w:p>
            <w:pPr>
              <w:spacing w:after="0"/>
              <w:rPr>
                <w:sz w:val="16"/>
                <w:szCs w:val="16"/>
                <w:color w:val="auto"/>
              </w:rPr>
            </w:pPr>
          </w:p>
        </w:tc>
        <w:tc>
          <w:tcPr>
            <w:tcW w:w="920" w:type="dxa"/>
            <w:vAlign w:val="bottom"/>
            <w:tcBorders>
              <w:top w:val="single" w:sz="8" w:color="auto"/>
            </w:tcBorders>
            <w:shd w:val="clear" w:color="auto" w:fill="E5E5E5"/>
          </w:tcPr>
          <w:p>
            <w:pPr>
              <w:jc w:val="right"/>
              <w:spacing w:after="0" w:line="188" w:lineRule="exact"/>
              <w:rPr>
                <w:sz w:val="20"/>
                <w:szCs w:val="20"/>
                <w:color w:val="auto"/>
              </w:rPr>
            </w:pPr>
            <w:r>
              <w:rPr>
                <w:rFonts w:ascii="Arial" w:cs="Arial" w:eastAsia="Arial" w:hAnsi="Arial"/>
                <w:sz w:val="17"/>
                <w:szCs w:val="17"/>
                <w:b w:val="1"/>
                <w:bCs w:val="1"/>
                <w:color w:val="auto"/>
              </w:rPr>
              <w:t>726,920</w:t>
            </w:r>
          </w:p>
        </w:tc>
        <w:tc>
          <w:tcPr>
            <w:tcW w:w="140" w:type="dxa"/>
            <w:vAlign w:val="bottom"/>
            <w:tcBorders>
              <w:top w:val="single" w:sz="8" w:color="auto"/>
            </w:tcBorders>
            <w:shd w:val="clear" w:color="auto" w:fill="E5E5E5"/>
          </w:tcPr>
          <w:p>
            <w:pPr>
              <w:spacing w:after="0"/>
              <w:rPr>
                <w:sz w:val="16"/>
                <w:szCs w:val="16"/>
                <w:color w:val="auto"/>
              </w:rPr>
            </w:pPr>
          </w:p>
        </w:tc>
        <w:tc>
          <w:tcPr>
            <w:tcW w:w="860" w:type="dxa"/>
            <w:vAlign w:val="bottom"/>
            <w:tcBorders>
              <w:top w:val="single" w:sz="8" w:color="auto"/>
            </w:tcBorders>
          </w:tcPr>
          <w:p>
            <w:pPr>
              <w:jc w:val="right"/>
              <w:ind w:right="114"/>
              <w:spacing w:after="0" w:line="188" w:lineRule="exact"/>
              <w:rPr>
                <w:sz w:val="20"/>
                <w:szCs w:val="20"/>
                <w:color w:val="auto"/>
              </w:rPr>
            </w:pPr>
            <w:r>
              <w:rPr>
                <w:rFonts w:ascii="Arial" w:cs="Arial" w:eastAsia="Arial" w:hAnsi="Arial"/>
                <w:sz w:val="17"/>
                <w:szCs w:val="17"/>
                <w:b w:val="1"/>
                <w:bCs w:val="1"/>
                <w:color w:val="auto"/>
              </w:rPr>
              <w:t>20.5</w:t>
            </w:r>
          </w:p>
        </w:tc>
      </w:tr>
      <w:tr>
        <w:trPr>
          <w:trHeight w:val="194"/>
        </w:trPr>
        <w:tc>
          <w:tcPr>
            <w:tcW w:w="4560" w:type="dxa"/>
            <w:vAlign w:val="bottom"/>
            <w:gridSpan w:val="2"/>
          </w:tcPr>
          <w:p>
            <w:pPr>
              <w:spacing w:after="0" w:line="194" w:lineRule="exact"/>
              <w:rPr>
                <w:sz w:val="20"/>
                <w:szCs w:val="20"/>
                <w:color w:val="auto"/>
              </w:rPr>
            </w:pPr>
            <w:r>
              <w:rPr>
                <w:rFonts w:ascii="Arial" w:cs="Arial" w:eastAsia="Arial" w:hAnsi="Arial"/>
                <w:sz w:val="17"/>
                <w:szCs w:val="17"/>
                <w:color w:val="auto"/>
              </w:rPr>
              <w:t>Selling, general and administrative expenses</w:t>
            </w:r>
          </w:p>
        </w:tc>
        <w:tc>
          <w:tcPr>
            <w:tcW w:w="180" w:type="dxa"/>
            <w:vAlign w:val="bottom"/>
            <w:shd w:val="clear" w:color="auto" w:fill="CDDEE7"/>
          </w:tcPr>
          <w:p>
            <w:pPr>
              <w:spacing w:after="0"/>
              <w:rPr>
                <w:sz w:val="16"/>
                <w:szCs w:val="16"/>
                <w:color w:val="auto"/>
              </w:rPr>
            </w:pPr>
          </w:p>
        </w:tc>
        <w:tc>
          <w:tcPr>
            <w:tcW w:w="900" w:type="dxa"/>
            <w:vAlign w:val="bottom"/>
            <w:shd w:val="clear" w:color="auto" w:fill="CDDEE7"/>
          </w:tcPr>
          <w:p>
            <w:pPr>
              <w:jc w:val="right"/>
              <w:ind w:right="34"/>
              <w:spacing w:after="0" w:line="194" w:lineRule="exact"/>
              <w:rPr>
                <w:sz w:val="20"/>
                <w:szCs w:val="20"/>
                <w:color w:val="auto"/>
              </w:rPr>
            </w:pPr>
            <w:r>
              <w:rPr>
                <w:rFonts w:ascii="Arial" w:cs="Arial" w:eastAsia="Arial" w:hAnsi="Arial"/>
                <w:sz w:val="17"/>
                <w:szCs w:val="17"/>
                <w:color w:val="auto"/>
              </w:rPr>
              <w:t>262,128</w:t>
            </w:r>
          </w:p>
        </w:tc>
        <w:tc>
          <w:tcPr>
            <w:tcW w:w="160" w:type="dxa"/>
            <w:vAlign w:val="bottom"/>
            <w:shd w:val="clear" w:color="auto" w:fill="CDDEE7"/>
          </w:tcPr>
          <w:p>
            <w:pPr>
              <w:spacing w:after="0"/>
              <w:rPr>
                <w:sz w:val="16"/>
                <w:szCs w:val="16"/>
                <w:color w:val="auto"/>
              </w:rPr>
            </w:pPr>
          </w:p>
        </w:tc>
        <w:tc>
          <w:tcPr>
            <w:tcW w:w="880" w:type="dxa"/>
            <w:vAlign w:val="bottom"/>
          </w:tcPr>
          <w:p>
            <w:pPr>
              <w:jc w:val="right"/>
              <w:ind w:right="114"/>
              <w:spacing w:after="0" w:line="194" w:lineRule="exact"/>
              <w:rPr>
                <w:sz w:val="20"/>
                <w:szCs w:val="20"/>
                <w:color w:val="auto"/>
              </w:rPr>
            </w:pPr>
            <w:r>
              <w:rPr>
                <w:rFonts w:ascii="Arial" w:cs="Arial" w:eastAsia="Arial" w:hAnsi="Arial"/>
                <w:sz w:val="17"/>
                <w:szCs w:val="17"/>
                <w:color w:val="auto"/>
              </w:rPr>
              <w:t>6.6</w:t>
            </w:r>
          </w:p>
        </w:tc>
        <w:tc>
          <w:tcPr>
            <w:tcW w:w="240" w:type="dxa"/>
            <w:vAlign w:val="bottom"/>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980" w:type="dxa"/>
            <w:vAlign w:val="bottom"/>
            <w:shd w:val="clear" w:color="auto" w:fill="E5E5E5"/>
          </w:tcPr>
          <w:p>
            <w:pPr>
              <w:jc w:val="right"/>
              <w:ind w:right="14"/>
              <w:spacing w:after="0" w:line="194" w:lineRule="exact"/>
              <w:rPr>
                <w:sz w:val="20"/>
                <w:szCs w:val="20"/>
                <w:color w:val="auto"/>
              </w:rPr>
            </w:pPr>
            <w:r>
              <w:rPr>
                <w:rFonts w:ascii="Arial" w:cs="Arial" w:eastAsia="Arial" w:hAnsi="Arial"/>
                <w:sz w:val="17"/>
                <w:szCs w:val="17"/>
                <w:color w:val="auto"/>
              </w:rPr>
              <w:t>241,606</w:t>
            </w:r>
          </w:p>
        </w:tc>
        <w:tc>
          <w:tcPr>
            <w:tcW w:w="160" w:type="dxa"/>
            <w:vAlign w:val="bottom"/>
            <w:shd w:val="clear" w:color="auto" w:fill="E5E5E5"/>
          </w:tcPr>
          <w:p>
            <w:pPr>
              <w:spacing w:after="0"/>
              <w:rPr>
                <w:sz w:val="16"/>
                <w:szCs w:val="16"/>
                <w:color w:val="auto"/>
              </w:rPr>
            </w:pPr>
          </w:p>
        </w:tc>
        <w:tc>
          <w:tcPr>
            <w:tcW w:w="840" w:type="dxa"/>
            <w:vAlign w:val="bottom"/>
          </w:tcPr>
          <w:p>
            <w:pPr>
              <w:jc w:val="right"/>
              <w:ind w:right="114"/>
              <w:spacing w:after="0" w:line="194" w:lineRule="exact"/>
              <w:rPr>
                <w:sz w:val="20"/>
                <w:szCs w:val="20"/>
                <w:color w:val="auto"/>
              </w:rPr>
            </w:pPr>
            <w:r>
              <w:rPr>
                <w:rFonts w:ascii="Arial" w:cs="Arial" w:eastAsia="Arial" w:hAnsi="Arial"/>
                <w:sz w:val="17"/>
                <w:szCs w:val="17"/>
                <w:color w:val="auto"/>
              </w:rPr>
              <w:t>6.3</w:t>
            </w:r>
          </w:p>
        </w:tc>
        <w:tc>
          <w:tcPr>
            <w:tcW w:w="240" w:type="dxa"/>
            <w:vAlign w:val="bottom"/>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920" w:type="dxa"/>
            <w:vAlign w:val="bottom"/>
            <w:shd w:val="clear" w:color="auto" w:fill="E5E5E5"/>
          </w:tcPr>
          <w:p>
            <w:pPr>
              <w:jc w:val="right"/>
              <w:spacing w:after="0" w:line="194" w:lineRule="exact"/>
              <w:rPr>
                <w:sz w:val="20"/>
                <w:szCs w:val="20"/>
                <w:color w:val="auto"/>
              </w:rPr>
            </w:pPr>
            <w:r>
              <w:rPr>
                <w:rFonts w:ascii="Arial" w:cs="Arial" w:eastAsia="Arial" w:hAnsi="Arial"/>
                <w:sz w:val="17"/>
                <w:szCs w:val="17"/>
                <w:color w:val="auto"/>
              </w:rPr>
              <w:t>210,754</w:t>
            </w:r>
          </w:p>
        </w:tc>
        <w:tc>
          <w:tcPr>
            <w:tcW w:w="140" w:type="dxa"/>
            <w:vAlign w:val="bottom"/>
            <w:shd w:val="clear" w:color="auto" w:fill="E5E5E5"/>
          </w:tcPr>
          <w:p>
            <w:pPr>
              <w:spacing w:after="0"/>
              <w:rPr>
                <w:sz w:val="16"/>
                <w:szCs w:val="16"/>
                <w:color w:val="auto"/>
              </w:rPr>
            </w:pPr>
          </w:p>
        </w:tc>
        <w:tc>
          <w:tcPr>
            <w:tcW w:w="860" w:type="dxa"/>
            <w:vAlign w:val="bottom"/>
          </w:tcPr>
          <w:p>
            <w:pPr>
              <w:jc w:val="right"/>
              <w:ind w:right="114"/>
              <w:spacing w:after="0" w:line="194" w:lineRule="exact"/>
              <w:rPr>
                <w:sz w:val="20"/>
                <w:szCs w:val="20"/>
                <w:color w:val="auto"/>
              </w:rPr>
            </w:pPr>
            <w:r>
              <w:rPr>
                <w:rFonts w:ascii="Arial" w:cs="Arial" w:eastAsia="Arial" w:hAnsi="Arial"/>
                <w:sz w:val="17"/>
                <w:szCs w:val="17"/>
                <w:color w:val="auto"/>
              </w:rPr>
              <w:t>6.0</w:t>
            </w:r>
          </w:p>
        </w:tc>
      </w:tr>
      <w:tr>
        <w:trPr>
          <w:trHeight w:val="195"/>
        </w:trPr>
        <w:tc>
          <w:tcPr>
            <w:tcW w:w="4560" w:type="dxa"/>
            <w:vAlign w:val="bottom"/>
            <w:gridSpan w:val="2"/>
          </w:tcPr>
          <w:p>
            <w:pPr>
              <w:spacing w:after="0"/>
              <w:rPr>
                <w:sz w:val="20"/>
                <w:szCs w:val="20"/>
                <w:color w:val="auto"/>
              </w:rPr>
            </w:pPr>
            <w:r>
              <w:rPr>
                <w:rFonts w:ascii="Arial" w:cs="Arial" w:eastAsia="Arial" w:hAnsi="Arial"/>
                <w:sz w:val="17"/>
                <w:szCs w:val="17"/>
                <w:color w:val="auto"/>
              </w:rPr>
              <w:t>Acquisition related expenses</w:t>
            </w:r>
          </w:p>
        </w:tc>
        <w:tc>
          <w:tcPr>
            <w:tcW w:w="180" w:type="dxa"/>
            <w:vAlign w:val="bottom"/>
            <w:shd w:val="clear" w:color="auto" w:fill="CDDEE7"/>
          </w:tcPr>
          <w:p>
            <w:pPr>
              <w:spacing w:after="0"/>
              <w:rPr>
                <w:sz w:val="16"/>
                <w:szCs w:val="16"/>
                <w:color w:val="auto"/>
              </w:rPr>
            </w:pPr>
          </w:p>
        </w:tc>
        <w:tc>
          <w:tcPr>
            <w:tcW w:w="900" w:type="dxa"/>
            <w:vAlign w:val="bottom"/>
            <w:shd w:val="clear" w:color="auto" w:fill="CDDEE7"/>
          </w:tcPr>
          <w:p>
            <w:pPr>
              <w:jc w:val="right"/>
              <w:ind w:right="34"/>
              <w:spacing w:after="0"/>
              <w:rPr>
                <w:sz w:val="20"/>
                <w:szCs w:val="20"/>
                <w:color w:val="auto"/>
              </w:rPr>
            </w:pPr>
            <w:r>
              <w:rPr>
                <w:rFonts w:ascii="Arial" w:cs="Arial" w:eastAsia="Arial" w:hAnsi="Arial"/>
                <w:sz w:val="17"/>
                <w:szCs w:val="17"/>
                <w:color w:val="auto"/>
              </w:rPr>
              <w:t>8,638</w:t>
            </w:r>
          </w:p>
        </w:tc>
        <w:tc>
          <w:tcPr>
            <w:tcW w:w="160" w:type="dxa"/>
            <w:vAlign w:val="bottom"/>
            <w:shd w:val="clear" w:color="auto" w:fill="CDDEE7"/>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980" w:type="dxa"/>
            <w:vAlign w:val="bottom"/>
            <w:shd w:val="clear" w:color="auto" w:fill="E5E5E5"/>
          </w:tcPr>
          <w:p>
            <w:pPr>
              <w:jc w:val="right"/>
              <w:ind w:right="14"/>
              <w:spacing w:after="0"/>
              <w:rPr>
                <w:sz w:val="20"/>
                <w:szCs w:val="20"/>
                <w:color w:val="auto"/>
              </w:rPr>
            </w:pPr>
            <w:r>
              <w:rPr>
                <w:rFonts w:ascii="Arial" w:cs="Arial" w:eastAsia="Arial" w:hAnsi="Arial"/>
                <w:sz w:val="17"/>
                <w:szCs w:val="17"/>
                <w:color w:val="auto"/>
              </w:rPr>
              <w:t>909</w:t>
            </w:r>
          </w:p>
        </w:tc>
        <w:tc>
          <w:tcPr>
            <w:tcW w:w="160" w:type="dxa"/>
            <w:vAlign w:val="bottom"/>
            <w:shd w:val="clear" w:color="auto" w:fill="E5E5E5"/>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920" w:type="dxa"/>
            <w:vAlign w:val="bottom"/>
            <w:shd w:val="clear" w:color="auto" w:fill="E5E5E5"/>
          </w:tcPr>
          <w:p>
            <w:pPr>
              <w:jc w:val="right"/>
              <w:spacing w:after="0"/>
              <w:rPr>
                <w:sz w:val="20"/>
                <w:szCs w:val="20"/>
                <w:color w:val="auto"/>
              </w:rPr>
            </w:pPr>
            <w:r>
              <w:rPr>
                <w:rFonts w:ascii="Arial" w:cs="Arial" w:eastAsia="Arial" w:hAnsi="Arial"/>
                <w:sz w:val="17"/>
                <w:szCs w:val="17"/>
                <w:color w:val="auto"/>
              </w:rPr>
              <w:t>6,346</w:t>
            </w:r>
          </w:p>
        </w:tc>
        <w:tc>
          <w:tcPr>
            <w:tcW w:w="140" w:type="dxa"/>
            <w:vAlign w:val="bottom"/>
            <w:shd w:val="clear" w:color="auto" w:fill="E5E5E5"/>
          </w:tcPr>
          <w:p>
            <w:pPr>
              <w:spacing w:after="0"/>
              <w:rPr>
                <w:sz w:val="16"/>
                <w:szCs w:val="16"/>
                <w:color w:val="auto"/>
              </w:rPr>
            </w:pPr>
          </w:p>
        </w:tc>
        <w:tc>
          <w:tcPr>
            <w:tcW w:w="860" w:type="dxa"/>
            <w:vAlign w:val="bottom"/>
          </w:tcPr>
          <w:p>
            <w:pPr>
              <w:spacing w:after="0"/>
              <w:rPr>
                <w:sz w:val="16"/>
                <w:szCs w:val="16"/>
                <w:color w:val="auto"/>
              </w:rPr>
            </w:pPr>
          </w:p>
        </w:tc>
      </w:tr>
      <w:tr>
        <w:trPr>
          <w:trHeight w:val="195"/>
        </w:trPr>
        <w:tc>
          <w:tcPr>
            <w:tcW w:w="45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Other operating expenses and (income), net</w:t>
            </w:r>
          </w:p>
        </w:tc>
        <w:tc>
          <w:tcPr>
            <w:tcW w:w="180" w:type="dxa"/>
            <w:vAlign w:val="bottom"/>
            <w:tcBorders>
              <w:bottom w:val="single" w:sz="8" w:color="auto"/>
            </w:tcBorders>
            <w:shd w:val="clear" w:color="auto" w:fill="CDDEE7"/>
          </w:tcPr>
          <w:p>
            <w:pPr>
              <w:spacing w:after="0"/>
              <w:rPr>
                <w:sz w:val="17"/>
                <w:szCs w:val="17"/>
                <w:color w:val="auto"/>
              </w:rPr>
            </w:pPr>
          </w:p>
        </w:tc>
        <w:tc>
          <w:tcPr>
            <w:tcW w:w="900" w:type="dxa"/>
            <w:vAlign w:val="bottom"/>
            <w:tcBorders>
              <w:bottom w:val="single" w:sz="8" w:color="auto"/>
            </w:tcBorders>
            <w:shd w:val="clear" w:color="auto" w:fill="CDDEE7"/>
          </w:tcPr>
          <w:p>
            <w:pPr>
              <w:jc w:val="right"/>
              <w:ind w:right="34"/>
              <w:spacing w:after="0"/>
              <w:rPr>
                <w:sz w:val="20"/>
                <w:szCs w:val="20"/>
                <w:color w:val="auto"/>
              </w:rPr>
            </w:pPr>
            <w:r>
              <w:rPr>
                <w:rFonts w:ascii="Arial" w:cs="Arial" w:eastAsia="Arial" w:hAnsi="Arial"/>
                <w:sz w:val="17"/>
                <w:szCs w:val="17"/>
                <w:color w:val="auto"/>
              </w:rPr>
              <w:t>793</w:t>
            </w:r>
          </w:p>
        </w:tc>
        <w:tc>
          <w:tcPr>
            <w:tcW w:w="160" w:type="dxa"/>
            <w:vAlign w:val="bottom"/>
            <w:tcBorders>
              <w:bottom w:val="single" w:sz="8" w:color="auto"/>
            </w:tcBorders>
            <w:shd w:val="clear" w:color="auto" w:fill="CDDEE7"/>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shd w:val="clear" w:color="auto" w:fill="E5E5E5"/>
          </w:tcPr>
          <w:p>
            <w:pPr>
              <w:spacing w:after="0"/>
              <w:rPr>
                <w:sz w:val="17"/>
                <w:szCs w:val="17"/>
                <w:color w:val="auto"/>
              </w:rPr>
            </w:pPr>
          </w:p>
        </w:tc>
        <w:tc>
          <w:tcPr>
            <w:tcW w:w="98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7"/>
                <w:szCs w:val="17"/>
                <w:color w:val="auto"/>
              </w:rPr>
              <w:t>(8,043)</w:t>
            </w:r>
          </w:p>
        </w:tc>
        <w:tc>
          <w:tcPr>
            <w:tcW w:w="160" w:type="dxa"/>
            <w:vAlign w:val="bottom"/>
            <w:tcBorders>
              <w:bottom w:val="single" w:sz="8" w:color="auto"/>
            </w:tcBorders>
            <w:shd w:val="clear" w:color="auto" w:fill="E5E5E5"/>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shd w:val="clear" w:color="auto" w:fill="E5E5E5"/>
          </w:tcPr>
          <w:p>
            <w:pPr>
              <w:spacing w:after="0"/>
              <w:rPr>
                <w:sz w:val="17"/>
                <w:szCs w:val="17"/>
                <w:color w:val="auto"/>
              </w:rPr>
            </w:pPr>
          </w:p>
        </w:tc>
        <w:tc>
          <w:tcPr>
            <w:tcW w:w="9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7"/>
                <w:szCs w:val="17"/>
                <w:color w:val="auto"/>
              </w:rPr>
              <w:t>15,653</w:t>
            </w:r>
          </w:p>
        </w:tc>
        <w:tc>
          <w:tcPr>
            <w:tcW w:w="140" w:type="dxa"/>
            <w:vAlign w:val="bottom"/>
            <w:tcBorders>
              <w:bottom w:val="single" w:sz="8" w:color="auto"/>
            </w:tcBorders>
            <w:shd w:val="clear" w:color="auto" w:fill="E5E5E5"/>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r>
      <w:tr>
        <w:trPr>
          <w:trHeight w:val="187"/>
        </w:trPr>
        <w:tc>
          <w:tcPr>
            <w:tcW w:w="4560" w:type="dxa"/>
            <w:vAlign w:val="bottom"/>
            <w:gridSpan w:val="2"/>
          </w:tcPr>
          <w:p>
            <w:pPr>
              <w:spacing w:after="0" w:line="187" w:lineRule="exact"/>
              <w:rPr>
                <w:sz w:val="20"/>
                <w:szCs w:val="20"/>
                <w:color w:val="auto"/>
              </w:rPr>
            </w:pPr>
            <w:r>
              <w:rPr>
                <w:rFonts w:ascii="Arial" w:cs="Arial" w:eastAsia="Arial" w:hAnsi="Arial"/>
                <w:sz w:val="17"/>
                <w:szCs w:val="17"/>
                <w:b w:val="1"/>
                <w:bCs w:val="1"/>
                <w:color w:val="auto"/>
              </w:rPr>
              <w:t>Earnings from operations</w:t>
            </w:r>
          </w:p>
        </w:tc>
        <w:tc>
          <w:tcPr>
            <w:tcW w:w="180" w:type="dxa"/>
            <w:vAlign w:val="bottom"/>
            <w:shd w:val="clear" w:color="auto" w:fill="CDDEE7"/>
          </w:tcPr>
          <w:p>
            <w:pPr>
              <w:spacing w:after="0"/>
              <w:rPr>
                <w:sz w:val="16"/>
                <w:szCs w:val="16"/>
                <w:color w:val="auto"/>
              </w:rPr>
            </w:pPr>
          </w:p>
        </w:tc>
        <w:tc>
          <w:tcPr>
            <w:tcW w:w="900" w:type="dxa"/>
            <w:vAlign w:val="bottom"/>
            <w:shd w:val="clear" w:color="auto" w:fill="CDDEE7"/>
          </w:tcPr>
          <w:p>
            <w:pPr>
              <w:jc w:val="right"/>
              <w:ind w:right="34"/>
              <w:spacing w:after="0" w:line="187" w:lineRule="exact"/>
              <w:rPr>
                <w:sz w:val="20"/>
                <w:szCs w:val="20"/>
                <w:color w:val="auto"/>
              </w:rPr>
            </w:pPr>
            <w:r>
              <w:rPr>
                <w:rFonts w:ascii="Arial" w:cs="Arial" w:eastAsia="Arial" w:hAnsi="Arial"/>
                <w:sz w:val="17"/>
                <w:szCs w:val="17"/>
                <w:b w:val="1"/>
                <w:bCs w:val="1"/>
                <w:color w:val="auto"/>
              </w:rPr>
              <w:t>700,381</w:t>
            </w:r>
          </w:p>
        </w:tc>
        <w:tc>
          <w:tcPr>
            <w:tcW w:w="160" w:type="dxa"/>
            <w:vAlign w:val="bottom"/>
            <w:shd w:val="clear" w:color="auto" w:fill="CDDEE7"/>
          </w:tcPr>
          <w:p>
            <w:pPr>
              <w:spacing w:after="0"/>
              <w:rPr>
                <w:sz w:val="16"/>
                <w:szCs w:val="16"/>
                <w:color w:val="auto"/>
              </w:rPr>
            </w:pPr>
          </w:p>
        </w:tc>
        <w:tc>
          <w:tcPr>
            <w:tcW w:w="880" w:type="dxa"/>
            <w:vAlign w:val="bottom"/>
          </w:tcPr>
          <w:p>
            <w:pPr>
              <w:jc w:val="right"/>
              <w:ind w:right="114"/>
              <w:spacing w:after="0" w:line="187" w:lineRule="exact"/>
              <w:rPr>
                <w:sz w:val="20"/>
                <w:szCs w:val="20"/>
                <w:color w:val="auto"/>
              </w:rPr>
            </w:pPr>
            <w:r>
              <w:rPr>
                <w:rFonts w:ascii="Arial" w:cs="Arial" w:eastAsia="Arial" w:hAnsi="Arial"/>
                <w:sz w:val="17"/>
                <w:szCs w:val="17"/>
                <w:b w:val="1"/>
                <w:bCs w:val="1"/>
                <w:color w:val="auto"/>
              </w:rPr>
              <w:t>17.7</w:t>
            </w:r>
          </w:p>
        </w:tc>
        <w:tc>
          <w:tcPr>
            <w:tcW w:w="240" w:type="dxa"/>
            <w:vAlign w:val="bottom"/>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980" w:type="dxa"/>
            <w:vAlign w:val="bottom"/>
            <w:shd w:val="clear" w:color="auto" w:fill="E5E5E5"/>
          </w:tcPr>
          <w:p>
            <w:pPr>
              <w:jc w:val="right"/>
              <w:ind w:right="14"/>
              <w:spacing w:after="0" w:line="187" w:lineRule="exact"/>
              <w:rPr>
                <w:sz w:val="20"/>
                <w:szCs w:val="20"/>
                <w:color w:val="auto"/>
              </w:rPr>
            </w:pPr>
            <w:r>
              <w:rPr>
                <w:rFonts w:ascii="Arial" w:cs="Arial" w:eastAsia="Arial" w:hAnsi="Arial"/>
                <w:sz w:val="17"/>
                <w:szCs w:val="17"/>
                <w:b w:val="1"/>
                <w:bCs w:val="1"/>
                <w:color w:val="auto"/>
              </w:rPr>
              <w:t>677,266</w:t>
            </w:r>
          </w:p>
        </w:tc>
        <w:tc>
          <w:tcPr>
            <w:tcW w:w="160" w:type="dxa"/>
            <w:vAlign w:val="bottom"/>
            <w:shd w:val="clear" w:color="auto" w:fill="E5E5E5"/>
          </w:tcPr>
          <w:p>
            <w:pPr>
              <w:spacing w:after="0"/>
              <w:rPr>
                <w:sz w:val="16"/>
                <w:szCs w:val="16"/>
                <w:color w:val="auto"/>
              </w:rPr>
            </w:pPr>
          </w:p>
        </w:tc>
        <w:tc>
          <w:tcPr>
            <w:tcW w:w="840" w:type="dxa"/>
            <w:vAlign w:val="bottom"/>
          </w:tcPr>
          <w:p>
            <w:pPr>
              <w:jc w:val="right"/>
              <w:ind w:right="114"/>
              <w:spacing w:after="0" w:line="187" w:lineRule="exact"/>
              <w:rPr>
                <w:sz w:val="20"/>
                <w:szCs w:val="20"/>
                <w:color w:val="auto"/>
              </w:rPr>
            </w:pPr>
            <w:r>
              <w:rPr>
                <w:rFonts w:ascii="Arial" w:cs="Arial" w:eastAsia="Arial" w:hAnsi="Arial"/>
                <w:sz w:val="17"/>
                <w:szCs w:val="17"/>
                <w:b w:val="1"/>
                <w:bCs w:val="1"/>
                <w:color w:val="auto"/>
              </w:rPr>
              <w:t>17.7</w:t>
            </w:r>
          </w:p>
        </w:tc>
        <w:tc>
          <w:tcPr>
            <w:tcW w:w="240" w:type="dxa"/>
            <w:vAlign w:val="bottom"/>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920" w:type="dxa"/>
            <w:vAlign w:val="bottom"/>
            <w:shd w:val="clear" w:color="auto" w:fill="E5E5E5"/>
          </w:tcPr>
          <w:p>
            <w:pPr>
              <w:jc w:val="right"/>
              <w:spacing w:after="0" w:line="187" w:lineRule="exact"/>
              <w:rPr>
                <w:sz w:val="20"/>
                <w:szCs w:val="20"/>
                <w:color w:val="auto"/>
              </w:rPr>
            </w:pPr>
            <w:r>
              <w:rPr>
                <w:rFonts w:ascii="Arial" w:cs="Arial" w:eastAsia="Arial" w:hAnsi="Arial"/>
                <w:sz w:val="17"/>
                <w:szCs w:val="17"/>
                <w:b w:val="1"/>
                <w:bCs w:val="1"/>
                <w:color w:val="auto"/>
              </w:rPr>
              <w:t>494,167</w:t>
            </w:r>
          </w:p>
        </w:tc>
        <w:tc>
          <w:tcPr>
            <w:tcW w:w="140" w:type="dxa"/>
            <w:vAlign w:val="bottom"/>
            <w:shd w:val="clear" w:color="auto" w:fill="E5E5E5"/>
          </w:tcPr>
          <w:p>
            <w:pPr>
              <w:spacing w:after="0"/>
              <w:rPr>
                <w:sz w:val="16"/>
                <w:szCs w:val="16"/>
                <w:color w:val="auto"/>
              </w:rPr>
            </w:pPr>
          </w:p>
        </w:tc>
        <w:tc>
          <w:tcPr>
            <w:tcW w:w="860" w:type="dxa"/>
            <w:vAlign w:val="bottom"/>
          </w:tcPr>
          <w:p>
            <w:pPr>
              <w:jc w:val="right"/>
              <w:ind w:right="114"/>
              <w:spacing w:after="0" w:line="187" w:lineRule="exact"/>
              <w:rPr>
                <w:sz w:val="20"/>
                <w:szCs w:val="20"/>
                <w:color w:val="auto"/>
              </w:rPr>
            </w:pPr>
            <w:r>
              <w:rPr>
                <w:rFonts w:ascii="Arial" w:cs="Arial" w:eastAsia="Arial" w:hAnsi="Arial"/>
                <w:sz w:val="17"/>
                <w:szCs w:val="17"/>
                <w:b w:val="1"/>
                <w:bCs w:val="1"/>
                <w:color w:val="auto"/>
              </w:rPr>
              <w:t>14.0</w:t>
            </w:r>
          </w:p>
        </w:tc>
      </w:tr>
      <w:tr>
        <w:trPr>
          <w:trHeight w:val="195"/>
        </w:trPr>
        <w:tc>
          <w:tcPr>
            <w:tcW w:w="4560" w:type="dxa"/>
            <w:vAlign w:val="bottom"/>
            <w:gridSpan w:val="2"/>
          </w:tcPr>
          <w:p>
            <w:pPr>
              <w:spacing w:after="0"/>
              <w:rPr>
                <w:sz w:val="20"/>
                <w:szCs w:val="20"/>
                <w:color w:val="auto"/>
              </w:rPr>
            </w:pPr>
            <w:r>
              <w:rPr>
                <w:rFonts w:ascii="Arial" w:cs="Arial" w:eastAsia="Arial" w:hAnsi="Arial"/>
                <w:sz w:val="17"/>
                <w:szCs w:val="17"/>
                <w:color w:val="auto"/>
              </w:rPr>
              <w:t>Interest expense</w:t>
            </w:r>
          </w:p>
        </w:tc>
        <w:tc>
          <w:tcPr>
            <w:tcW w:w="180" w:type="dxa"/>
            <w:vAlign w:val="bottom"/>
            <w:shd w:val="clear" w:color="auto" w:fill="CDDEE7"/>
          </w:tcPr>
          <w:p>
            <w:pPr>
              <w:spacing w:after="0"/>
              <w:rPr>
                <w:sz w:val="16"/>
                <w:szCs w:val="16"/>
                <w:color w:val="auto"/>
              </w:rPr>
            </w:pPr>
          </w:p>
        </w:tc>
        <w:tc>
          <w:tcPr>
            <w:tcW w:w="900" w:type="dxa"/>
            <w:vAlign w:val="bottom"/>
            <w:shd w:val="clear" w:color="auto" w:fill="CDDEE7"/>
          </w:tcPr>
          <w:p>
            <w:pPr>
              <w:jc w:val="right"/>
              <w:ind w:right="34"/>
              <w:spacing w:after="0"/>
              <w:rPr>
                <w:sz w:val="20"/>
                <w:szCs w:val="20"/>
                <w:color w:val="auto"/>
              </w:rPr>
            </w:pPr>
            <w:r>
              <w:rPr>
                <w:rFonts w:ascii="Arial" w:cs="Arial" w:eastAsia="Arial" w:hAnsi="Arial"/>
                <w:sz w:val="17"/>
                <w:szCs w:val="17"/>
                <w:color w:val="auto"/>
              </w:rPr>
              <w:t>91,487</w:t>
            </w:r>
          </w:p>
        </w:tc>
        <w:tc>
          <w:tcPr>
            <w:tcW w:w="160" w:type="dxa"/>
            <w:vAlign w:val="bottom"/>
            <w:shd w:val="clear" w:color="auto" w:fill="CDDEE7"/>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980" w:type="dxa"/>
            <w:vAlign w:val="bottom"/>
            <w:shd w:val="clear" w:color="auto" w:fill="E5E5E5"/>
          </w:tcPr>
          <w:p>
            <w:pPr>
              <w:jc w:val="right"/>
              <w:ind w:right="14"/>
              <w:spacing w:after="0"/>
              <w:rPr>
                <w:sz w:val="20"/>
                <w:szCs w:val="20"/>
                <w:color w:val="auto"/>
              </w:rPr>
            </w:pPr>
            <w:r>
              <w:rPr>
                <w:rFonts w:ascii="Arial" w:cs="Arial" w:eastAsia="Arial" w:hAnsi="Arial"/>
                <w:sz w:val="17"/>
                <w:szCs w:val="17"/>
                <w:color w:val="auto"/>
              </w:rPr>
              <w:t>81,677</w:t>
            </w:r>
          </w:p>
        </w:tc>
        <w:tc>
          <w:tcPr>
            <w:tcW w:w="160" w:type="dxa"/>
            <w:vAlign w:val="bottom"/>
            <w:shd w:val="clear" w:color="auto" w:fill="E5E5E5"/>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920" w:type="dxa"/>
            <w:vAlign w:val="bottom"/>
            <w:shd w:val="clear" w:color="auto" w:fill="E5E5E5"/>
          </w:tcPr>
          <w:p>
            <w:pPr>
              <w:jc w:val="right"/>
              <w:spacing w:after="0"/>
              <w:rPr>
                <w:sz w:val="20"/>
                <w:szCs w:val="20"/>
                <w:color w:val="auto"/>
              </w:rPr>
            </w:pPr>
            <w:r>
              <w:rPr>
                <w:rFonts w:ascii="Arial" w:cs="Arial" w:eastAsia="Arial" w:hAnsi="Arial"/>
                <w:sz w:val="17"/>
                <w:szCs w:val="17"/>
                <w:color w:val="auto"/>
              </w:rPr>
              <w:t>76,287</w:t>
            </w:r>
          </w:p>
        </w:tc>
        <w:tc>
          <w:tcPr>
            <w:tcW w:w="140" w:type="dxa"/>
            <w:vAlign w:val="bottom"/>
            <w:shd w:val="clear" w:color="auto" w:fill="E5E5E5"/>
          </w:tcPr>
          <w:p>
            <w:pPr>
              <w:spacing w:after="0"/>
              <w:rPr>
                <w:sz w:val="16"/>
                <w:szCs w:val="16"/>
                <w:color w:val="auto"/>
              </w:rPr>
            </w:pPr>
          </w:p>
        </w:tc>
        <w:tc>
          <w:tcPr>
            <w:tcW w:w="860" w:type="dxa"/>
            <w:vAlign w:val="bottom"/>
          </w:tcPr>
          <w:p>
            <w:pPr>
              <w:spacing w:after="0"/>
              <w:rPr>
                <w:sz w:val="16"/>
                <w:szCs w:val="16"/>
                <w:color w:val="auto"/>
              </w:rPr>
            </w:pPr>
          </w:p>
        </w:tc>
      </w:tr>
      <w:tr>
        <w:trPr>
          <w:trHeight w:val="195"/>
        </w:trPr>
        <w:tc>
          <w:tcPr>
            <w:tcW w:w="45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Other nonoperating (income) and expenses, net</w:t>
            </w:r>
          </w:p>
        </w:tc>
        <w:tc>
          <w:tcPr>
            <w:tcW w:w="180" w:type="dxa"/>
            <w:vAlign w:val="bottom"/>
            <w:tcBorders>
              <w:bottom w:val="single" w:sz="8" w:color="auto"/>
            </w:tcBorders>
            <w:shd w:val="clear" w:color="auto" w:fill="CDDEE7"/>
          </w:tcPr>
          <w:p>
            <w:pPr>
              <w:spacing w:after="0"/>
              <w:rPr>
                <w:sz w:val="17"/>
                <w:szCs w:val="17"/>
                <w:color w:val="auto"/>
              </w:rPr>
            </w:pPr>
          </w:p>
        </w:tc>
        <w:tc>
          <w:tcPr>
            <w:tcW w:w="900" w:type="dxa"/>
            <w:vAlign w:val="bottom"/>
            <w:tcBorders>
              <w:bottom w:val="single" w:sz="8" w:color="auto"/>
            </w:tcBorders>
            <w:shd w:val="clear" w:color="auto" w:fill="CDDEE7"/>
          </w:tcPr>
          <w:p>
            <w:pPr>
              <w:jc w:val="right"/>
              <w:ind w:right="34"/>
              <w:spacing w:after="0"/>
              <w:rPr>
                <w:sz w:val="20"/>
                <w:szCs w:val="20"/>
                <w:color w:val="auto"/>
              </w:rPr>
            </w:pPr>
            <w:r>
              <w:rPr>
                <w:rFonts w:ascii="Arial" w:cs="Arial" w:eastAsia="Arial" w:hAnsi="Arial"/>
                <w:sz w:val="17"/>
                <w:szCs w:val="17"/>
                <w:color w:val="auto"/>
              </w:rPr>
              <w:t>(10,034)</w:t>
            </w:r>
          </w:p>
        </w:tc>
        <w:tc>
          <w:tcPr>
            <w:tcW w:w="160" w:type="dxa"/>
            <w:vAlign w:val="bottom"/>
            <w:tcBorders>
              <w:bottom w:val="single" w:sz="8" w:color="auto"/>
            </w:tcBorders>
            <w:shd w:val="clear" w:color="auto" w:fill="CDDEE7"/>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shd w:val="clear" w:color="auto" w:fill="E5E5E5"/>
          </w:tcPr>
          <w:p>
            <w:pPr>
              <w:spacing w:after="0"/>
              <w:rPr>
                <w:sz w:val="17"/>
                <w:szCs w:val="17"/>
                <w:color w:val="auto"/>
              </w:rPr>
            </w:pPr>
          </w:p>
        </w:tc>
        <w:tc>
          <w:tcPr>
            <w:tcW w:w="98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7"/>
                <w:szCs w:val="17"/>
                <w:color w:val="auto"/>
              </w:rPr>
              <w:t>(11,439)</w:t>
            </w:r>
          </w:p>
        </w:tc>
        <w:tc>
          <w:tcPr>
            <w:tcW w:w="160" w:type="dxa"/>
            <w:vAlign w:val="bottom"/>
            <w:tcBorders>
              <w:bottom w:val="single" w:sz="8" w:color="auto"/>
            </w:tcBorders>
            <w:shd w:val="clear" w:color="auto" w:fill="E5E5E5"/>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shd w:val="clear" w:color="auto" w:fill="E5E5E5"/>
          </w:tcPr>
          <w:p>
            <w:pPr>
              <w:spacing w:after="0"/>
              <w:rPr>
                <w:sz w:val="17"/>
                <w:szCs w:val="17"/>
                <w:color w:val="auto"/>
              </w:rPr>
            </w:pPr>
          </w:p>
        </w:tc>
        <w:tc>
          <w:tcPr>
            <w:tcW w:w="9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7"/>
                <w:szCs w:val="17"/>
                <w:color w:val="auto"/>
              </w:rPr>
              <w:t>4,079</w:t>
            </w:r>
          </w:p>
        </w:tc>
        <w:tc>
          <w:tcPr>
            <w:tcW w:w="140" w:type="dxa"/>
            <w:vAlign w:val="bottom"/>
            <w:tcBorders>
              <w:bottom w:val="single" w:sz="8" w:color="auto"/>
            </w:tcBorders>
            <w:shd w:val="clear" w:color="auto" w:fill="E5E5E5"/>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r>
      <w:tr>
        <w:trPr>
          <w:trHeight w:val="187"/>
        </w:trPr>
        <w:tc>
          <w:tcPr>
            <w:tcW w:w="4560" w:type="dxa"/>
            <w:vAlign w:val="bottom"/>
            <w:gridSpan w:val="2"/>
          </w:tcPr>
          <w:p>
            <w:pPr>
              <w:spacing w:after="0" w:line="187" w:lineRule="exact"/>
              <w:rPr>
                <w:sz w:val="20"/>
                <w:szCs w:val="20"/>
                <w:color w:val="auto"/>
              </w:rPr>
            </w:pPr>
            <w:r>
              <w:rPr>
                <w:rFonts w:ascii="Arial" w:cs="Arial" w:eastAsia="Arial" w:hAnsi="Arial"/>
                <w:sz w:val="17"/>
                <w:szCs w:val="17"/>
                <w:color w:val="auto"/>
              </w:rPr>
              <w:t>Earnings before income tax (benefit) expense</w:t>
            </w:r>
          </w:p>
        </w:tc>
        <w:tc>
          <w:tcPr>
            <w:tcW w:w="180" w:type="dxa"/>
            <w:vAlign w:val="bottom"/>
            <w:shd w:val="clear" w:color="auto" w:fill="CDDEE7"/>
          </w:tcPr>
          <w:p>
            <w:pPr>
              <w:spacing w:after="0"/>
              <w:rPr>
                <w:sz w:val="16"/>
                <w:szCs w:val="16"/>
                <w:color w:val="auto"/>
              </w:rPr>
            </w:pPr>
          </w:p>
        </w:tc>
        <w:tc>
          <w:tcPr>
            <w:tcW w:w="900" w:type="dxa"/>
            <w:vAlign w:val="bottom"/>
            <w:shd w:val="clear" w:color="auto" w:fill="CDDEE7"/>
          </w:tcPr>
          <w:p>
            <w:pPr>
              <w:jc w:val="right"/>
              <w:ind w:right="34"/>
              <w:spacing w:after="0" w:line="187" w:lineRule="exact"/>
              <w:rPr>
                <w:sz w:val="20"/>
                <w:szCs w:val="20"/>
                <w:color w:val="auto"/>
              </w:rPr>
            </w:pPr>
            <w:r>
              <w:rPr>
                <w:rFonts w:ascii="Arial" w:cs="Arial" w:eastAsia="Arial" w:hAnsi="Arial"/>
                <w:sz w:val="17"/>
                <w:szCs w:val="17"/>
                <w:color w:val="auto"/>
              </w:rPr>
              <w:t>618,928</w:t>
            </w:r>
          </w:p>
        </w:tc>
        <w:tc>
          <w:tcPr>
            <w:tcW w:w="160" w:type="dxa"/>
            <w:vAlign w:val="bottom"/>
            <w:shd w:val="clear" w:color="auto" w:fill="CDDEE7"/>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980" w:type="dxa"/>
            <w:vAlign w:val="bottom"/>
            <w:shd w:val="clear" w:color="auto" w:fill="E5E5E5"/>
          </w:tcPr>
          <w:p>
            <w:pPr>
              <w:jc w:val="right"/>
              <w:ind w:right="14"/>
              <w:spacing w:after="0" w:line="187" w:lineRule="exact"/>
              <w:rPr>
                <w:sz w:val="20"/>
                <w:szCs w:val="20"/>
                <w:color w:val="auto"/>
              </w:rPr>
            </w:pPr>
            <w:r>
              <w:rPr>
                <w:rFonts w:ascii="Arial" w:cs="Arial" w:eastAsia="Arial" w:hAnsi="Arial"/>
                <w:sz w:val="17"/>
                <w:szCs w:val="17"/>
                <w:color w:val="auto"/>
              </w:rPr>
              <w:t>607,028</w:t>
            </w:r>
          </w:p>
        </w:tc>
        <w:tc>
          <w:tcPr>
            <w:tcW w:w="160" w:type="dxa"/>
            <w:vAlign w:val="bottom"/>
            <w:shd w:val="clear" w:color="auto" w:fill="E5E5E5"/>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920" w:type="dxa"/>
            <w:vAlign w:val="bottom"/>
            <w:shd w:val="clear" w:color="auto" w:fill="E5E5E5"/>
          </w:tcPr>
          <w:p>
            <w:pPr>
              <w:jc w:val="right"/>
              <w:spacing w:after="0" w:line="187" w:lineRule="exact"/>
              <w:rPr>
                <w:sz w:val="20"/>
                <w:szCs w:val="20"/>
                <w:color w:val="auto"/>
              </w:rPr>
            </w:pPr>
            <w:r>
              <w:rPr>
                <w:rFonts w:ascii="Arial" w:cs="Arial" w:eastAsia="Arial" w:hAnsi="Arial"/>
                <w:sz w:val="17"/>
                <w:szCs w:val="17"/>
                <w:color w:val="auto"/>
              </w:rPr>
              <w:t>413,801</w:t>
            </w:r>
          </w:p>
        </w:tc>
        <w:tc>
          <w:tcPr>
            <w:tcW w:w="140" w:type="dxa"/>
            <w:vAlign w:val="bottom"/>
            <w:shd w:val="clear" w:color="auto" w:fill="E5E5E5"/>
          </w:tcPr>
          <w:p>
            <w:pPr>
              <w:spacing w:after="0"/>
              <w:rPr>
                <w:sz w:val="16"/>
                <w:szCs w:val="16"/>
                <w:color w:val="auto"/>
              </w:rPr>
            </w:pPr>
          </w:p>
        </w:tc>
        <w:tc>
          <w:tcPr>
            <w:tcW w:w="860" w:type="dxa"/>
            <w:vAlign w:val="bottom"/>
          </w:tcPr>
          <w:p>
            <w:pPr>
              <w:spacing w:after="0"/>
              <w:rPr>
                <w:sz w:val="16"/>
                <w:szCs w:val="16"/>
                <w:color w:val="auto"/>
              </w:rPr>
            </w:pPr>
          </w:p>
        </w:tc>
      </w:tr>
      <w:tr>
        <w:trPr>
          <w:trHeight w:val="195"/>
        </w:trPr>
        <w:tc>
          <w:tcPr>
            <w:tcW w:w="45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Income tax (benefit) expense</w:t>
            </w:r>
          </w:p>
        </w:tc>
        <w:tc>
          <w:tcPr>
            <w:tcW w:w="180" w:type="dxa"/>
            <w:vAlign w:val="bottom"/>
            <w:tcBorders>
              <w:bottom w:val="single" w:sz="8" w:color="auto"/>
            </w:tcBorders>
            <w:shd w:val="clear" w:color="auto" w:fill="CDDEE7"/>
          </w:tcPr>
          <w:p>
            <w:pPr>
              <w:spacing w:after="0"/>
              <w:rPr>
                <w:sz w:val="17"/>
                <w:szCs w:val="17"/>
                <w:color w:val="auto"/>
              </w:rPr>
            </w:pPr>
          </w:p>
        </w:tc>
        <w:tc>
          <w:tcPr>
            <w:tcW w:w="900" w:type="dxa"/>
            <w:vAlign w:val="bottom"/>
            <w:tcBorders>
              <w:bottom w:val="single" w:sz="8" w:color="auto"/>
            </w:tcBorders>
            <w:shd w:val="clear" w:color="auto" w:fill="CDDEE7"/>
          </w:tcPr>
          <w:p>
            <w:pPr>
              <w:jc w:val="right"/>
              <w:ind w:right="34"/>
              <w:spacing w:after="0"/>
              <w:rPr>
                <w:sz w:val="20"/>
                <w:szCs w:val="20"/>
                <w:color w:val="auto"/>
              </w:rPr>
            </w:pPr>
            <w:r>
              <w:rPr>
                <w:rFonts w:ascii="Arial" w:cs="Arial" w:eastAsia="Arial" w:hAnsi="Arial"/>
                <w:sz w:val="17"/>
                <w:szCs w:val="17"/>
                <w:color w:val="auto"/>
              </w:rPr>
              <w:t>(94,457)</w:t>
            </w:r>
          </w:p>
        </w:tc>
        <w:tc>
          <w:tcPr>
            <w:tcW w:w="160" w:type="dxa"/>
            <w:vAlign w:val="bottom"/>
            <w:tcBorders>
              <w:bottom w:val="single" w:sz="8" w:color="auto"/>
            </w:tcBorders>
            <w:shd w:val="clear" w:color="auto" w:fill="CDDEE7"/>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shd w:val="clear" w:color="auto" w:fill="E5E5E5"/>
          </w:tcPr>
          <w:p>
            <w:pPr>
              <w:spacing w:after="0"/>
              <w:rPr>
                <w:sz w:val="17"/>
                <w:szCs w:val="17"/>
                <w:color w:val="auto"/>
              </w:rPr>
            </w:pPr>
          </w:p>
        </w:tc>
        <w:tc>
          <w:tcPr>
            <w:tcW w:w="98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7"/>
                <w:szCs w:val="17"/>
                <w:color w:val="auto"/>
              </w:rPr>
              <w:t>181,584</w:t>
            </w:r>
          </w:p>
        </w:tc>
        <w:tc>
          <w:tcPr>
            <w:tcW w:w="160" w:type="dxa"/>
            <w:vAlign w:val="bottom"/>
            <w:tcBorders>
              <w:bottom w:val="single" w:sz="8" w:color="auto"/>
            </w:tcBorders>
            <w:shd w:val="clear" w:color="auto" w:fill="E5E5E5"/>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shd w:val="clear" w:color="auto" w:fill="E5E5E5"/>
          </w:tcPr>
          <w:p>
            <w:pPr>
              <w:spacing w:after="0"/>
              <w:rPr>
                <w:sz w:val="17"/>
                <w:szCs w:val="17"/>
                <w:color w:val="auto"/>
              </w:rPr>
            </w:pPr>
          </w:p>
        </w:tc>
        <w:tc>
          <w:tcPr>
            <w:tcW w:w="9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7"/>
                <w:szCs w:val="17"/>
                <w:color w:val="auto"/>
              </w:rPr>
              <w:t>124,863</w:t>
            </w:r>
          </w:p>
        </w:tc>
        <w:tc>
          <w:tcPr>
            <w:tcW w:w="140" w:type="dxa"/>
            <w:vAlign w:val="bottom"/>
            <w:tcBorders>
              <w:bottom w:val="single" w:sz="8" w:color="auto"/>
            </w:tcBorders>
            <w:shd w:val="clear" w:color="auto" w:fill="E5E5E5"/>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r>
      <w:tr>
        <w:trPr>
          <w:trHeight w:val="187"/>
        </w:trPr>
        <w:tc>
          <w:tcPr>
            <w:tcW w:w="4560" w:type="dxa"/>
            <w:vAlign w:val="bottom"/>
            <w:gridSpan w:val="2"/>
          </w:tcPr>
          <w:p>
            <w:pPr>
              <w:spacing w:after="0" w:line="187" w:lineRule="exact"/>
              <w:rPr>
                <w:sz w:val="20"/>
                <w:szCs w:val="20"/>
                <w:color w:val="auto"/>
              </w:rPr>
            </w:pPr>
            <w:r>
              <w:rPr>
                <w:rFonts w:ascii="Arial" w:cs="Arial" w:eastAsia="Arial" w:hAnsi="Arial"/>
                <w:sz w:val="17"/>
                <w:szCs w:val="17"/>
                <w:b w:val="1"/>
                <w:bCs w:val="1"/>
                <w:color w:val="auto"/>
              </w:rPr>
              <w:t>Consolidated net earnings</w:t>
            </w:r>
          </w:p>
        </w:tc>
        <w:tc>
          <w:tcPr>
            <w:tcW w:w="180" w:type="dxa"/>
            <w:vAlign w:val="bottom"/>
            <w:shd w:val="clear" w:color="auto" w:fill="CDDEE7"/>
          </w:tcPr>
          <w:p>
            <w:pPr>
              <w:spacing w:after="0"/>
              <w:rPr>
                <w:sz w:val="16"/>
                <w:szCs w:val="16"/>
                <w:color w:val="auto"/>
              </w:rPr>
            </w:pPr>
          </w:p>
        </w:tc>
        <w:tc>
          <w:tcPr>
            <w:tcW w:w="900" w:type="dxa"/>
            <w:vAlign w:val="bottom"/>
            <w:shd w:val="clear" w:color="auto" w:fill="CDDEE7"/>
          </w:tcPr>
          <w:p>
            <w:pPr>
              <w:jc w:val="right"/>
              <w:ind w:right="34"/>
              <w:spacing w:after="0" w:line="187" w:lineRule="exact"/>
              <w:rPr>
                <w:sz w:val="20"/>
                <w:szCs w:val="20"/>
                <w:color w:val="auto"/>
              </w:rPr>
            </w:pPr>
            <w:r>
              <w:rPr>
                <w:rFonts w:ascii="Arial" w:cs="Arial" w:eastAsia="Arial" w:hAnsi="Arial"/>
                <w:sz w:val="17"/>
                <w:szCs w:val="17"/>
                <w:b w:val="1"/>
                <w:bCs w:val="1"/>
                <w:color w:val="auto"/>
              </w:rPr>
              <w:t>713,385</w:t>
            </w:r>
          </w:p>
        </w:tc>
        <w:tc>
          <w:tcPr>
            <w:tcW w:w="160" w:type="dxa"/>
            <w:vAlign w:val="bottom"/>
            <w:shd w:val="clear" w:color="auto" w:fill="CDDEE7"/>
          </w:tcPr>
          <w:p>
            <w:pPr>
              <w:spacing w:after="0"/>
              <w:rPr>
                <w:sz w:val="16"/>
                <w:szCs w:val="16"/>
                <w:color w:val="auto"/>
              </w:rPr>
            </w:pPr>
          </w:p>
        </w:tc>
        <w:tc>
          <w:tcPr>
            <w:tcW w:w="880" w:type="dxa"/>
            <w:vAlign w:val="bottom"/>
          </w:tcPr>
          <w:p>
            <w:pPr>
              <w:jc w:val="right"/>
              <w:ind w:right="114"/>
              <w:spacing w:after="0" w:line="187" w:lineRule="exact"/>
              <w:rPr>
                <w:sz w:val="20"/>
                <w:szCs w:val="20"/>
                <w:color w:val="auto"/>
              </w:rPr>
            </w:pPr>
            <w:r>
              <w:rPr>
                <w:rFonts w:ascii="Arial" w:cs="Arial" w:eastAsia="Arial" w:hAnsi="Arial"/>
                <w:sz w:val="17"/>
                <w:szCs w:val="17"/>
                <w:b w:val="1"/>
                <w:bCs w:val="1"/>
                <w:color w:val="auto"/>
              </w:rPr>
              <w:t>18.0</w:t>
            </w:r>
          </w:p>
        </w:tc>
        <w:tc>
          <w:tcPr>
            <w:tcW w:w="240" w:type="dxa"/>
            <w:vAlign w:val="bottom"/>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980" w:type="dxa"/>
            <w:vAlign w:val="bottom"/>
            <w:shd w:val="clear" w:color="auto" w:fill="E5E5E5"/>
          </w:tcPr>
          <w:p>
            <w:pPr>
              <w:jc w:val="right"/>
              <w:ind w:right="14"/>
              <w:spacing w:after="0" w:line="187" w:lineRule="exact"/>
              <w:rPr>
                <w:sz w:val="20"/>
                <w:szCs w:val="20"/>
                <w:color w:val="auto"/>
              </w:rPr>
            </w:pPr>
            <w:r>
              <w:rPr>
                <w:rFonts w:ascii="Arial" w:cs="Arial" w:eastAsia="Arial" w:hAnsi="Arial"/>
                <w:sz w:val="17"/>
                <w:szCs w:val="17"/>
                <w:b w:val="1"/>
                <w:bCs w:val="1"/>
                <w:color w:val="auto"/>
              </w:rPr>
              <w:t>425,444</w:t>
            </w:r>
          </w:p>
        </w:tc>
        <w:tc>
          <w:tcPr>
            <w:tcW w:w="160" w:type="dxa"/>
            <w:vAlign w:val="bottom"/>
            <w:shd w:val="clear" w:color="auto" w:fill="E5E5E5"/>
          </w:tcPr>
          <w:p>
            <w:pPr>
              <w:spacing w:after="0"/>
              <w:rPr>
                <w:sz w:val="16"/>
                <w:szCs w:val="16"/>
                <w:color w:val="auto"/>
              </w:rPr>
            </w:pPr>
          </w:p>
        </w:tc>
        <w:tc>
          <w:tcPr>
            <w:tcW w:w="840" w:type="dxa"/>
            <w:vAlign w:val="bottom"/>
          </w:tcPr>
          <w:p>
            <w:pPr>
              <w:jc w:val="right"/>
              <w:ind w:right="114"/>
              <w:spacing w:after="0" w:line="187" w:lineRule="exact"/>
              <w:rPr>
                <w:sz w:val="20"/>
                <w:szCs w:val="20"/>
                <w:color w:val="auto"/>
              </w:rPr>
            </w:pPr>
            <w:r>
              <w:rPr>
                <w:rFonts w:ascii="Arial" w:cs="Arial" w:eastAsia="Arial" w:hAnsi="Arial"/>
                <w:sz w:val="17"/>
                <w:szCs w:val="17"/>
                <w:b w:val="1"/>
                <w:bCs w:val="1"/>
                <w:color w:val="auto"/>
              </w:rPr>
              <w:t>11.1</w:t>
            </w:r>
          </w:p>
        </w:tc>
        <w:tc>
          <w:tcPr>
            <w:tcW w:w="240" w:type="dxa"/>
            <w:vAlign w:val="bottom"/>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920" w:type="dxa"/>
            <w:vAlign w:val="bottom"/>
            <w:shd w:val="clear" w:color="auto" w:fill="E5E5E5"/>
          </w:tcPr>
          <w:p>
            <w:pPr>
              <w:jc w:val="right"/>
              <w:spacing w:after="0" w:line="187" w:lineRule="exact"/>
              <w:rPr>
                <w:sz w:val="20"/>
                <w:szCs w:val="20"/>
                <w:color w:val="auto"/>
              </w:rPr>
            </w:pPr>
            <w:r>
              <w:rPr>
                <w:rFonts w:ascii="Arial" w:cs="Arial" w:eastAsia="Arial" w:hAnsi="Arial"/>
                <w:sz w:val="17"/>
                <w:szCs w:val="17"/>
                <w:b w:val="1"/>
                <w:bCs w:val="1"/>
                <w:color w:val="auto"/>
              </w:rPr>
              <w:t>288,938</w:t>
            </w:r>
          </w:p>
        </w:tc>
        <w:tc>
          <w:tcPr>
            <w:tcW w:w="140" w:type="dxa"/>
            <w:vAlign w:val="bottom"/>
            <w:shd w:val="clear" w:color="auto" w:fill="E5E5E5"/>
          </w:tcPr>
          <w:p>
            <w:pPr>
              <w:spacing w:after="0"/>
              <w:rPr>
                <w:sz w:val="16"/>
                <w:szCs w:val="16"/>
                <w:color w:val="auto"/>
              </w:rPr>
            </w:pPr>
          </w:p>
        </w:tc>
        <w:tc>
          <w:tcPr>
            <w:tcW w:w="860" w:type="dxa"/>
            <w:vAlign w:val="bottom"/>
          </w:tcPr>
          <w:p>
            <w:pPr>
              <w:jc w:val="right"/>
              <w:ind w:right="114"/>
              <w:spacing w:after="0" w:line="187" w:lineRule="exact"/>
              <w:rPr>
                <w:sz w:val="20"/>
                <w:szCs w:val="20"/>
                <w:color w:val="auto"/>
              </w:rPr>
            </w:pPr>
            <w:r>
              <w:rPr>
                <w:rFonts w:ascii="Arial" w:cs="Arial" w:eastAsia="Arial" w:hAnsi="Arial"/>
                <w:sz w:val="17"/>
                <w:szCs w:val="17"/>
                <w:b w:val="1"/>
                <w:bCs w:val="1"/>
                <w:color w:val="auto"/>
              </w:rPr>
              <w:t>8.2</w:t>
            </w:r>
          </w:p>
        </w:tc>
      </w:tr>
      <w:tr>
        <w:trPr>
          <w:trHeight w:val="195"/>
        </w:trPr>
        <w:tc>
          <w:tcPr>
            <w:tcW w:w="45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Less: Net earnings attributable to noncontrolling interests</w:t>
            </w:r>
          </w:p>
        </w:tc>
        <w:tc>
          <w:tcPr>
            <w:tcW w:w="180" w:type="dxa"/>
            <w:vAlign w:val="bottom"/>
            <w:tcBorders>
              <w:bottom w:val="single" w:sz="8" w:color="auto"/>
            </w:tcBorders>
            <w:shd w:val="clear" w:color="auto" w:fill="CDDEE7"/>
          </w:tcPr>
          <w:p>
            <w:pPr>
              <w:spacing w:after="0"/>
              <w:rPr>
                <w:sz w:val="17"/>
                <w:szCs w:val="17"/>
                <w:color w:val="auto"/>
              </w:rPr>
            </w:pPr>
          </w:p>
        </w:tc>
        <w:tc>
          <w:tcPr>
            <w:tcW w:w="900" w:type="dxa"/>
            <w:vAlign w:val="bottom"/>
            <w:tcBorders>
              <w:bottom w:val="single" w:sz="8" w:color="auto"/>
            </w:tcBorders>
            <w:shd w:val="clear" w:color="auto" w:fill="CDDEE7"/>
          </w:tcPr>
          <w:p>
            <w:pPr>
              <w:jc w:val="right"/>
              <w:ind w:right="34"/>
              <w:spacing w:after="0"/>
              <w:rPr>
                <w:sz w:val="20"/>
                <w:szCs w:val="20"/>
                <w:color w:val="auto"/>
              </w:rPr>
            </w:pPr>
            <w:r>
              <w:rPr>
                <w:rFonts w:ascii="Arial" w:cs="Arial" w:eastAsia="Arial" w:hAnsi="Arial"/>
                <w:sz w:val="17"/>
                <w:szCs w:val="17"/>
                <w:color w:val="auto"/>
              </w:rPr>
              <w:t>43</w:t>
            </w:r>
          </w:p>
        </w:tc>
        <w:tc>
          <w:tcPr>
            <w:tcW w:w="160" w:type="dxa"/>
            <w:vAlign w:val="bottom"/>
            <w:tcBorders>
              <w:bottom w:val="single" w:sz="8" w:color="auto"/>
            </w:tcBorders>
            <w:shd w:val="clear" w:color="auto" w:fill="CDDEE7"/>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shd w:val="clear" w:color="auto" w:fill="E5E5E5"/>
          </w:tcPr>
          <w:p>
            <w:pPr>
              <w:spacing w:after="0"/>
              <w:rPr>
                <w:sz w:val="17"/>
                <w:szCs w:val="17"/>
                <w:color w:val="auto"/>
              </w:rPr>
            </w:pPr>
          </w:p>
        </w:tc>
        <w:tc>
          <w:tcPr>
            <w:tcW w:w="98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7"/>
                <w:szCs w:val="17"/>
                <w:color w:val="auto"/>
              </w:rPr>
              <w:t>58</w:t>
            </w:r>
          </w:p>
        </w:tc>
        <w:tc>
          <w:tcPr>
            <w:tcW w:w="160" w:type="dxa"/>
            <w:vAlign w:val="bottom"/>
            <w:tcBorders>
              <w:bottom w:val="single" w:sz="8" w:color="auto"/>
            </w:tcBorders>
            <w:shd w:val="clear" w:color="auto" w:fill="E5E5E5"/>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shd w:val="clear" w:color="auto" w:fill="E5E5E5"/>
          </w:tcPr>
          <w:p>
            <w:pPr>
              <w:spacing w:after="0"/>
              <w:rPr>
                <w:sz w:val="17"/>
                <w:szCs w:val="17"/>
                <w:color w:val="auto"/>
              </w:rPr>
            </w:pPr>
          </w:p>
        </w:tc>
        <w:tc>
          <w:tcPr>
            <w:tcW w:w="9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7"/>
                <w:szCs w:val="17"/>
                <w:color w:val="auto"/>
              </w:rPr>
              <w:t>146</w:t>
            </w:r>
          </w:p>
        </w:tc>
        <w:tc>
          <w:tcPr>
            <w:tcW w:w="140" w:type="dxa"/>
            <w:vAlign w:val="bottom"/>
            <w:tcBorders>
              <w:bottom w:val="single" w:sz="8" w:color="auto"/>
            </w:tcBorders>
            <w:shd w:val="clear" w:color="auto" w:fill="E5E5E5"/>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r>
      <w:tr>
        <w:trPr>
          <w:trHeight w:val="188"/>
        </w:trPr>
        <w:tc>
          <w:tcPr>
            <w:tcW w:w="4560" w:type="dxa"/>
            <w:vAlign w:val="bottom"/>
            <w:gridSpan w:val="2"/>
          </w:tcPr>
          <w:p>
            <w:pPr>
              <w:spacing w:after="0" w:line="188" w:lineRule="exact"/>
              <w:rPr>
                <w:sz w:val="20"/>
                <w:szCs w:val="20"/>
                <w:color w:val="auto"/>
              </w:rPr>
            </w:pPr>
            <w:r>
              <w:rPr>
                <w:rFonts w:ascii="Arial" w:cs="Arial" w:eastAsia="Arial" w:hAnsi="Arial"/>
                <w:sz w:val="17"/>
                <w:szCs w:val="17"/>
                <w:b w:val="1"/>
                <w:bCs w:val="1"/>
                <w:color w:val="auto"/>
              </w:rPr>
              <w:t>Net Earnings Attributable to Martin Marietta</w:t>
            </w:r>
          </w:p>
        </w:tc>
        <w:tc>
          <w:tcPr>
            <w:tcW w:w="180" w:type="dxa"/>
            <w:vAlign w:val="bottom"/>
            <w:shd w:val="clear" w:color="auto" w:fill="CDDEE7"/>
          </w:tcPr>
          <w:p>
            <w:pPr>
              <w:jc w:val="right"/>
              <w:spacing w:after="0" w:line="188" w:lineRule="exact"/>
              <w:rPr>
                <w:sz w:val="20"/>
                <w:szCs w:val="20"/>
                <w:color w:val="auto"/>
              </w:rPr>
            </w:pPr>
            <w:r>
              <w:rPr>
                <w:rFonts w:ascii="Arial" w:cs="Arial" w:eastAsia="Arial" w:hAnsi="Arial"/>
                <w:sz w:val="17"/>
                <w:szCs w:val="17"/>
                <w:b w:val="1"/>
                <w:bCs w:val="1"/>
                <w:color w:val="auto"/>
              </w:rPr>
              <w:t>$</w:t>
            </w:r>
          </w:p>
        </w:tc>
        <w:tc>
          <w:tcPr>
            <w:tcW w:w="900" w:type="dxa"/>
            <w:vAlign w:val="bottom"/>
            <w:shd w:val="clear" w:color="auto" w:fill="CDDEE7"/>
          </w:tcPr>
          <w:p>
            <w:pPr>
              <w:jc w:val="right"/>
              <w:ind w:right="34"/>
              <w:spacing w:after="0" w:line="188" w:lineRule="exact"/>
              <w:rPr>
                <w:sz w:val="20"/>
                <w:szCs w:val="20"/>
                <w:color w:val="auto"/>
              </w:rPr>
            </w:pPr>
            <w:r>
              <w:rPr>
                <w:rFonts w:ascii="Arial" w:cs="Arial" w:eastAsia="Arial" w:hAnsi="Arial"/>
                <w:sz w:val="17"/>
                <w:szCs w:val="17"/>
                <w:b w:val="1"/>
                <w:bCs w:val="1"/>
                <w:color w:val="auto"/>
              </w:rPr>
              <w:t>713,342</w:t>
            </w:r>
          </w:p>
        </w:tc>
        <w:tc>
          <w:tcPr>
            <w:tcW w:w="160" w:type="dxa"/>
            <w:vAlign w:val="bottom"/>
            <w:shd w:val="clear" w:color="auto" w:fill="CDDEE7"/>
          </w:tcPr>
          <w:p>
            <w:pPr>
              <w:spacing w:after="0"/>
              <w:rPr>
                <w:sz w:val="16"/>
                <w:szCs w:val="16"/>
                <w:color w:val="auto"/>
              </w:rPr>
            </w:pPr>
          </w:p>
        </w:tc>
        <w:tc>
          <w:tcPr>
            <w:tcW w:w="880" w:type="dxa"/>
            <w:vAlign w:val="bottom"/>
          </w:tcPr>
          <w:p>
            <w:pPr>
              <w:jc w:val="right"/>
              <w:spacing w:after="0" w:line="188" w:lineRule="exact"/>
              <w:rPr>
                <w:sz w:val="20"/>
                <w:szCs w:val="20"/>
                <w:color w:val="auto"/>
              </w:rPr>
            </w:pPr>
            <w:r>
              <w:rPr>
                <w:rFonts w:ascii="Arial" w:cs="Arial" w:eastAsia="Arial" w:hAnsi="Arial"/>
                <w:sz w:val="17"/>
                <w:szCs w:val="17"/>
                <w:b w:val="1"/>
                <w:bCs w:val="1"/>
                <w:color w:val="auto"/>
              </w:rPr>
              <w:t>18.0%</w:t>
            </w:r>
          </w:p>
        </w:tc>
        <w:tc>
          <w:tcPr>
            <w:tcW w:w="240" w:type="dxa"/>
            <w:vAlign w:val="bottom"/>
          </w:tcPr>
          <w:p>
            <w:pPr>
              <w:spacing w:after="0"/>
              <w:rPr>
                <w:sz w:val="16"/>
                <w:szCs w:val="16"/>
                <w:color w:val="auto"/>
              </w:rPr>
            </w:pPr>
          </w:p>
        </w:tc>
        <w:tc>
          <w:tcPr>
            <w:tcW w:w="180" w:type="dxa"/>
            <w:vAlign w:val="bottom"/>
            <w:shd w:val="clear" w:color="auto" w:fill="E5E5E5"/>
          </w:tcPr>
          <w:p>
            <w:pPr>
              <w:jc w:val="right"/>
              <w:spacing w:after="0" w:line="188" w:lineRule="exact"/>
              <w:rPr>
                <w:sz w:val="20"/>
                <w:szCs w:val="20"/>
                <w:color w:val="auto"/>
              </w:rPr>
            </w:pPr>
            <w:r>
              <w:rPr>
                <w:rFonts w:ascii="Arial" w:cs="Arial" w:eastAsia="Arial" w:hAnsi="Arial"/>
                <w:sz w:val="17"/>
                <w:szCs w:val="17"/>
                <w:b w:val="1"/>
                <w:bCs w:val="1"/>
                <w:color w:val="auto"/>
              </w:rPr>
              <w:t>$</w:t>
            </w:r>
          </w:p>
        </w:tc>
        <w:tc>
          <w:tcPr>
            <w:tcW w:w="980" w:type="dxa"/>
            <w:vAlign w:val="bottom"/>
            <w:shd w:val="clear" w:color="auto" w:fill="E5E5E5"/>
          </w:tcPr>
          <w:p>
            <w:pPr>
              <w:jc w:val="right"/>
              <w:ind w:right="14"/>
              <w:spacing w:after="0" w:line="188" w:lineRule="exact"/>
              <w:rPr>
                <w:sz w:val="20"/>
                <w:szCs w:val="20"/>
                <w:color w:val="auto"/>
              </w:rPr>
            </w:pPr>
            <w:r>
              <w:rPr>
                <w:rFonts w:ascii="Arial" w:cs="Arial" w:eastAsia="Arial" w:hAnsi="Arial"/>
                <w:sz w:val="17"/>
                <w:szCs w:val="17"/>
                <w:b w:val="1"/>
                <w:bCs w:val="1"/>
                <w:color w:val="auto"/>
              </w:rPr>
              <w:t>425,386</w:t>
            </w:r>
          </w:p>
        </w:tc>
        <w:tc>
          <w:tcPr>
            <w:tcW w:w="160" w:type="dxa"/>
            <w:vAlign w:val="bottom"/>
            <w:shd w:val="clear" w:color="auto" w:fill="E5E5E5"/>
          </w:tcPr>
          <w:p>
            <w:pPr>
              <w:spacing w:after="0"/>
              <w:rPr>
                <w:sz w:val="16"/>
                <w:szCs w:val="16"/>
                <w:color w:val="auto"/>
              </w:rPr>
            </w:pPr>
          </w:p>
        </w:tc>
        <w:tc>
          <w:tcPr>
            <w:tcW w:w="840" w:type="dxa"/>
            <w:vAlign w:val="bottom"/>
          </w:tcPr>
          <w:p>
            <w:pPr>
              <w:jc w:val="right"/>
              <w:spacing w:after="0" w:line="188" w:lineRule="exact"/>
              <w:rPr>
                <w:sz w:val="20"/>
                <w:szCs w:val="20"/>
                <w:color w:val="auto"/>
              </w:rPr>
            </w:pPr>
            <w:r>
              <w:rPr>
                <w:rFonts w:ascii="Arial" w:cs="Arial" w:eastAsia="Arial" w:hAnsi="Arial"/>
                <w:sz w:val="17"/>
                <w:szCs w:val="17"/>
                <w:b w:val="1"/>
                <w:bCs w:val="1"/>
                <w:color w:val="auto"/>
              </w:rPr>
              <w:t>11.1%</w:t>
            </w:r>
          </w:p>
        </w:tc>
        <w:tc>
          <w:tcPr>
            <w:tcW w:w="240" w:type="dxa"/>
            <w:vAlign w:val="bottom"/>
          </w:tcPr>
          <w:p>
            <w:pPr>
              <w:spacing w:after="0"/>
              <w:rPr>
                <w:sz w:val="16"/>
                <w:szCs w:val="16"/>
                <w:color w:val="auto"/>
              </w:rPr>
            </w:pPr>
          </w:p>
        </w:tc>
        <w:tc>
          <w:tcPr>
            <w:tcW w:w="180" w:type="dxa"/>
            <w:vAlign w:val="bottom"/>
            <w:shd w:val="clear" w:color="auto" w:fill="E5E5E5"/>
          </w:tcPr>
          <w:p>
            <w:pPr>
              <w:jc w:val="right"/>
              <w:spacing w:after="0" w:line="188" w:lineRule="exact"/>
              <w:rPr>
                <w:sz w:val="20"/>
                <w:szCs w:val="20"/>
                <w:color w:val="auto"/>
              </w:rPr>
            </w:pPr>
            <w:r>
              <w:rPr>
                <w:rFonts w:ascii="Arial" w:cs="Arial" w:eastAsia="Arial" w:hAnsi="Arial"/>
                <w:sz w:val="17"/>
                <w:szCs w:val="17"/>
                <w:b w:val="1"/>
                <w:bCs w:val="1"/>
                <w:color w:val="auto"/>
              </w:rPr>
              <w:t>$</w:t>
            </w:r>
          </w:p>
        </w:tc>
        <w:tc>
          <w:tcPr>
            <w:tcW w:w="920" w:type="dxa"/>
            <w:vAlign w:val="bottom"/>
            <w:shd w:val="clear" w:color="auto" w:fill="E5E5E5"/>
          </w:tcPr>
          <w:p>
            <w:pPr>
              <w:jc w:val="right"/>
              <w:spacing w:after="0" w:line="188" w:lineRule="exact"/>
              <w:rPr>
                <w:sz w:val="20"/>
                <w:szCs w:val="20"/>
                <w:color w:val="auto"/>
              </w:rPr>
            </w:pPr>
            <w:r>
              <w:rPr>
                <w:rFonts w:ascii="Arial" w:cs="Arial" w:eastAsia="Arial" w:hAnsi="Arial"/>
                <w:sz w:val="17"/>
                <w:szCs w:val="17"/>
                <w:b w:val="1"/>
                <w:bCs w:val="1"/>
                <w:color w:val="auto"/>
              </w:rPr>
              <w:t>288,792</w:t>
            </w:r>
          </w:p>
        </w:tc>
        <w:tc>
          <w:tcPr>
            <w:tcW w:w="140" w:type="dxa"/>
            <w:vAlign w:val="bottom"/>
            <w:shd w:val="clear" w:color="auto" w:fill="E5E5E5"/>
          </w:tcPr>
          <w:p>
            <w:pPr>
              <w:spacing w:after="0"/>
              <w:rPr>
                <w:sz w:val="16"/>
                <w:szCs w:val="16"/>
                <w:color w:val="auto"/>
              </w:rPr>
            </w:pPr>
          </w:p>
        </w:tc>
        <w:tc>
          <w:tcPr>
            <w:tcW w:w="860" w:type="dxa"/>
            <w:vAlign w:val="bottom"/>
          </w:tcPr>
          <w:p>
            <w:pPr>
              <w:jc w:val="right"/>
              <w:spacing w:after="0" w:line="188" w:lineRule="exact"/>
              <w:rPr>
                <w:sz w:val="20"/>
                <w:szCs w:val="20"/>
                <w:color w:val="auto"/>
              </w:rPr>
            </w:pPr>
            <w:r>
              <w:rPr>
                <w:rFonts w:ascii="Arial" w:cs="Arial" w:eastAsia="Arial" w:hAnsi="Arial"/>
                <w:sz w:val="17"/>
                <w:szCs w:val="17"/>
                <w:b w:val="1"/>
                <w:bCs w:val="1"/>
                <w:color w:val="auto"/>
              </w:rPr>
              <w:t>8.2%</w:t>
            </w:r>
          </w:p>
        </w:tc>
      </w:tr>
      <w:tr>
        <w:trPr>
          <w:trHeight w:val="26"/>
        </w:trPr>
        <w:tc>
          <w:tcPr>
            <w:tcW w:w="20" w:type="dxa"/>
            <w:vAlign w:val="bottom"/>
          </w:tcPr>
          <w:p>
            <w:pPr>
              <w:spacing w:after="0"/>
              <w:rPr>
                <w:sz w:val="2"/>
                <w:szCs w:val="2"/>
                <w:color w:val="auto"/>
              </w:rPr>
            </w:pPr>
          </w:p>
        </w:tc>
        <w:tc>
          <w:tcPr>
            <w:tcW w:w="45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3677920</wp:posOffset>
            </wp:positionH>
            <wp:positionV relativeFrom="paragraph">
              <wp:posOffset>-1540510</wp:posOffset>
            </wp:positionV>
            <wp:extent cx="568325" cy="1532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0">
                      <a:extLst>
                        <a:ext uri="{28A0092B-C50C-407E-A947-70E740481C1C}"/>
                      </a:extLst>
                    </a:blip>
                    <a:srcRect/>
                    <a:stretch>
                      <a:fillRect/>
                    </a:stretch>
                  </pic:blipFill>
                  <pic:spPr bwMode="auto">
                    <a:xfrm>
                      <a:off x="0" y="0"/>
                      <a:ext cx="568325" cy="1532890"/>
                    </a:xfrm>
                    <a:prstGeom prst="rect">
                      <a:avLst/>
                    </a:prstGeom>
                    <a:noFill/>
                  </pic:spPr>
                </pic:pic>
              </a:graphicData>
            </a:graphic>
          </wp:anchor>
        </w:drawing>
        <w:drawing>
          <wp:anchor simplePos="0" relativeHeight="251657728" behindDoc="1" locked="0" layoutInCell="0" allowOverlap="1">
            <wp:simplePos x="0" y="0"/>
            <wp:positionH relativeFrom="column">
              <wp:posOffset>5227320</wp:posOffset>
            </wp:positionH>
            <wp:positionV relativeFrom="paragraph">
              <wp:posOffset>-1671955</wp:posOffset>
            </wp:positionV>
            <wp:extent cx="544195" cy="16643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1">
                      <a:extLst>
                        <a:ext uri="{28A0092B-C50C-407E-A947-70E740481C1C}"/>
                      </a:extLst>
                    </a:blip>
                    <a:srcRect/>
                    <a:stretch>
                      <a:fillRect/>
                    </a:stretch>
                  </pic:blipFill>
                  <pic:spPr bwMode="auto">
                    <a:xfrm>
                      <a:off x="0" y="0"/>
                      <a:ext cx="544195" cy="1664335"/>
                    </a:xfrm>
                    <a:prstGeom prst="rect">
                      <a:avLst/>
                    </a:prstGeom>
                    <a:noFill/>
                  </pic:spPr>
                </pic:pic>
              </a:graphicData>
            </a:graphic>
          </wp:anchor>
        </w:drawing>
        <w:drawing>
          <wp:anchor simplePos="0" relativeHeight="251657728" behindDoc="1" locked="0" layoutInCell="0" allowOverlap="1">
            <wp:simplePos x="0" y="0"/>
            <wp:positionH relativeFrom="column">
              <wp:posOffset>6710680</wp:posOffset>
            </wp:positionH>
            <wp:positionV relativeFrom="paragraph">
              <wp:posOffset>-1671955</wp:posOffset>
            </wp:positionV>
            <wp:extent cx="544195" cy="16643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2">
                      <a:extLst>
                        <a:ext uri="{28A0092B-C50C-407E-A947-70E740481C1C}"/>
                      </a:extLst>
                    </a:blip>
                    <a:srcRect/>
                    <a:stretch>
                      <a:fillRect/>
                    </a:stretch>
                  </pic:blipFill>
                  <pic:spPr bwMode="auto">
                    <a:xfrm>
                      <a:off x="0" y="0"/>
                      <a:ext cx="544195" cy="1664335"/>
                    </a:xfrm>
                    <a:prstGeom prst="rect">
                      <a:avLst/>
                    </a:prstGeom>
                    <a:noFill/>
                  </pic:spPr>
                </pic:pic>
              </a:graphicData>
            </a:graphic>
          </wp:anchor>
        </w:drawing>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62</w:t>
      </w:r>
    </w:p>
    <w:p>
      <w:pPr>
        <w:sectPr>
          <w:pgSz w:w="11900" w:h="16838" w:orient="portrait"/>
          <w:cols w:equalWidth="0" w:num="1">
            <w:col w:w="11420"/>
          </w:cols>
          <w:pgMar w:left="240" w:top="259" w:right="239" w:bottom="1440" w:gutter="0" w:footer="0" w:header="0"/>
          <w:type w:val="continuous"/>
        </w:sectPr>
      </w:pPr>
    </w:p>
    <w:bookmarkStart w:id="115" w:name="page116"/>
    <w:bookmarkEnd w:id="115"/>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3">
                      <a:extLst>
                        <a:ext uri="{28A0092B-C50C-407E-A947-70E740481C1C}"/>
                      </a:extLst>
                    </a:blip>
                    <a:srcRect/>
                    <a:stretch>
                      <a:fillRect/>
                    </a:stretch>
                  </pic:blipFill>
                  <pic:spPr bwMode="auto">
                    <a:xfrm>
                      <a:off x="0" y="0"/>
                      <a:ext cx="7293610" cy="37465"/>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420"/>
          </w:cols>
          <w:pgMar w:left="240" w:top="2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EBITDA is a widely accepted financial indicator of a company’s ability to service and/or incur indebtedness. EBITDA is not defined by generally accepted accounting principles (GAAP) and, as such, should not be construed as an alternative to net earnings or operating cash flow. Management utilizes EBITDA as a meaningful measure of the Company’s operating performance. Additionally, management presents EBITDA to provide investors additional information with regard to the Company’s ability to meet working capital requirements, service debt and return capital to its shareholders.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a reconciliation of net earnings attributable to</w:t>
      </w:r>
    </w:p>
    <w:p>
      <w:pPr>
        <w:spacing w:after="0"/>
        <w:rPr>
          <w:sz w:val="20"/>
          <w:szCs w:val="20"/>
          <w:color w:val="auto"/>
        </w:rPr>
      </w:pPr>
      <w:r>
        <w:rPr>
          <w:rFonts w:ascii="Arial" w:cs="Arial" w:eastAsia="Arial" w:hAnsi="Arial"/>
          <w:sz w:val="16"/>
          <w:szCs w:val="16"/>
          <w:color w:val="auto"/>
        </w:rPr>
        <w:t>Martin Marietta to consolidated EBITDA:</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Consolidated EBITDA</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years ended December 31</w:t>
      </w:r>
    </w:p>
    <w:tbl>
      <w:tblPr>
        <w:tblLayout w:type="fixed"/>
        <w:tblInd w:w="0" w:type="dxa"/>
        <w:tblCellMar>
          <w:top w:w="0" w:type="dxa"/>
          <w:left w:w="0" w:type="dxa"/>
          <w:bottom w:w="0" w:type="dxa"/>
          <w:right w:w="0" w:type="dxa"/>
        </w:tblCellMar>
      </w:tblPr>
      <w:tr>
        <w:trPr>
          <w:trHeight w:val="159"/>
        </w:trPr>
        <w:tc>
          <w:tcPr>
            <w:tcW w:w="24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(add 000)</w:t>
            </w:r>
          </w:p>
        </w:tc>
        <w:tc>
          <w:tcPr>
            <w:tcW w:w="3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88"/>
              <w:spacing w:after="0" w:line="159" w:lineRule="exact"/>
              <w:rPr>
                <w:sz w:val="20"/>
                <w:szCs w:val="20"/>
                <w:color w:val="auto"/>
              </w:rPr>
            </w:pPr>
            <w:r>
              <w:rPr>
                <w:rFonts w:ascii="Arial" w:cs="Arial" w:eastAsia="Arial" w:hAnsi="Arial"/>
                <w:sz w:val="15"/>
                <w:szCs w:val="15"/>
                <w:b w:val="1"/>
                <w:bCs w:val="1"/>
                <w:color w:val="0085CD"/>
              </w:rPr>
              <w:t>2017</w:t>
            </w:r>
          </w:p>
        </w:tc>
        <w:tc>
          <w:tcPr>
            <w:tcW w:w="940" w:type="dxa"/>
            <w:vAlign w:val="bottom"/>
            <w:tcBorders>
              <w:bottom w:val="single" w:sz="8" w:color="auto"/>
            </w:tcBorders>
          </w:tcPr>
          <w:p>
            <w:pPr>
              <w:jc w:val="right"/>
              <w:ind w:right="68"/>
              <w:spacing w:after="0" w:line="159" w:lineRule="exact"/>
              <w:rPr>
                <w:sz w:val="20"/>
                <w:szCs w:val="20"/>
                <w:color w:val="auto"/>
              </w:rPr>
            </w:pPr>
            <w:r>
              <w:rPr>
                <w:rFonts w:ascii="Arial" w:cs="Arial" w:eastAsia="Arial" w:hAnsi="Arial"/>
                <w:sz w:val="15"/>
                <w:szCs w:val="15"/>
                <w:color w:val="auto"/>
              </w:rPr>
              <w:t>2016</w:t>
            </w:r>
          </w:p>
        </w:tc>
        <w:tc>
          <w:tcPr>
            <w:tcW w:w="88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2015</w:t>
            </w:r>
          </w:p>
        </w:tc>
        <w:tc>
          <w:tcPr>
            <w:tcW w:w="0" w:type="dxa"/>
            <w:vAlign w:val="bottom"/>
          </w:tcPr>
          <w:p>
            <w:pPr>
              <w:spacing w:after="0"/>
              <w:rPr>
                <w:sz w:val="1"/>
                <w:szCs w:val="1"/>
                <w:color w:val="auto"/>
              </w:rPr>
            </w:pPr>
          </w:p>
        </w:tc>
      </w:tr>
      <w:tr>
        <w:trPr>
          <w:trHeight w:val="145"/>
        </w:trPr>
        <w:tc>
          <w:tcPr>
            <w:tcW w:w="2460" w:type="dxa"/>
            <w:vAlign w:val="bottom"/>
            <w:shd w:val="clear" w:color="auto" w:fill="CCEEFF"/>
          </w:tcPr>
          <w:p>
            <w:pPr>
              <w:spacing w:after="0" w:line="146" w:lineRule="exact"/>
              <w:rPr>
                <w:sz w:val="20"/>
                <w:szCs w:val="20"/>
                <w:color w:val="auto"/>
              </w:rPr>
            </w:pPr>
            <w:r>
              <w:rPr>
                <w:rFonts w:ascii="Arial" w:cs="Arial" w:eastAsia="Arial" w:hAnsi="Arial"/>
                <w:sz w:val="15"/>
                <w:szCs w:val="15"/>
                <w:color w:val="auto"/>
              </w:rPr>
              <w:t>Net earnings attributable to Martin</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840" w:type="dxa"/>
            <w:vAlign w:val="bottom"/>
            <w:vMerge w:val="restart"/>
            <w:shd w:val="clear" w:color="auto" w:fill="CCEEFF"/>
          </w:tcPr>
          <w:p>
            <w:pPr>
              <w:jc w:val="right"/>
              <w:ind w:right="88"/>
              <w:spacing w:after="0"/>
              <w:rPr>
                <w:sz w:val="20"/>
                <w:szCs w:val="20"/>
                <w:color w:val="auto"/>
              </w:rPr>
            </w:pPr>
            <w:r>
              <w:rPr>
                <w:rFonts w:ascii="Arial" w:cs="Arial" w:eastAsia="Arial" w:hAnsi="Arial"/>
                <w:sz w:val="15"/>
                <w:szCs w:val="15"/>
                <w:b w:val="1"/>
                <w:bCs w:val="1"/>
                <w:color w:val="auto"/>
              </w:rPr>
              <w:t>713,342</w:t>
            </w:r>
          </w:p>
        </w:tc>
        <w:tc>
          <w:tcPr>
            <w:tcW w:w="9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460" w:type="dxa"/>
            <w:vAlign w:val="bottom"/>
            <w:shd w:val="clear" w:color="auto" w:fill="CCEEFF"/>
          </w:tcPr>
          <w:p>
            <w:pPr>
              <w:ind w:left="160"/>
              <w:spacing w:after="0" w:line="159" w:lineRule="exact"/>
              <w:rPr>
                <w:sz w:val="20"/>
                <w:szCs w:val="20"/>
                <w:color w:val="auto"/>
              </w:rPr>
            </w:pPr>
            <w:r>
              <w:rPr>
                <w:rFonts w:ascii="Arial" w:cs="Arial" w:eastAsia="Arial" w:hAnsi="Arial"/>
                <w:sz w:val="15"/>
                <w:szCs w:val="15"/>
                <w:color w:val="auto"/>
              </w:rPr>
              <w:t>Marietta</w:t>
            </w:r>
          </w:p>
        </w:tc>
        <w:tc>
          <w:tcPr>
            <w:tcW w:w="360" w:type="dxa"/>
            <w:vAlign w:val="bottom"/>
            <w:vMerge w:val="continue"/>
            <w:shd w:val="clear" w:color="auto" w:fill="CCEEFF"/>
          </w:tcPr>
          <w:p>
            <w:pPr>
              <w:spacing w:after="0"/>
              <w:rPr>
                <w:sz w:val="13"/>
                <w:szCs w:val="13"/>
                <w:color w:val="auto"/>
              </w:rPr>
            </w:pPr>
          </w:p>
        </w:tc>
        <w:tc>
          <w:tcPr>
            <w:tcW w:w="840" w:type="dxa"/>
            <w:vAlign w:val="bottom"/>
            <w:vMerge w:val="continue"/>
            <w:shd w:val="clear" w:color="auto" w:fill="CCEEFF"/>
          </w:tcPr>
          <w:p>
            <w:pPr>
              <w:spacing w:after="0"/>
              <w:rPr>
                <w:sz w:val="13"/>
                <w:szCs w:val="13"/>
                <w:color w:val="auto"/>
              </w:rPr>
            </w:pPr>
          </w:p>
        </w:tc>
        <w:tc>
          <w:tcPr>
            <w:tcW w:w="940" w:type="dxa"/>
            <w:vAlign w:val="bottom"/>
            <w:shd w:val="clear" w:color="auto" w:fill="CCEEFF"/>
          </w:tcPr>
          <w:p>
            <w:pPr>
              <w:jc w:val="right"/>
              <w:ind w:right="68"/>
              <w:spacing w:after="0" w:line="159" w:lineRule="exact"/>
              <w:rPr>
                <w:sz w:val="20"/>
                <w:szCs w:val="20"/>
                <w:color w:val="auto"/>
              </w:rPr>
            </w:pPr>
            <w:r>
              <w:rPr>
                <w:rFonts w:ascii="Arial" w:cs="Arial" w:eastAsia="Arial" w:hAnsi="Arial"/>
                <w:sz w:val="15"/>
                <w:szCs w:val="15"/>
                <w:color w:val="auto"/>
              </w:rPr>
              <w:t>$ 425,386</w:t>
            </w:r>
          </w:p>
        </w:tc>
        <w:tc>
          <w:tcPr>
            <w:tcW w:w="88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color w:val="auto"/>
              </w:rPr>
              <w:t>$ 288,792</w:t>
            </w:r>
          </w:p>
        </w:tc>
        <w:tc>
          <w:tcPr>
            <w:tcW w:w="0" w:type="dxa"/>
            <w:vAlign w:val="bottom"/>
          </w:tcPr>
          <w:p>
            <w:pPr>
              <w:spacing w:after="0"/>
              <w:rPr>
                <w:sz w:val="1"/>
                <w:szCs w:val="1"/>
                <w:color w:val="auto"/>
              </w:rPr>
            </w:pPr>
          </w:p>
        </w:tc>
      </w:tr>
      <w:tr>
        <w:trPr>
          <w:trHeight w:val="156"/>
        </w:trPr>
        <w:tc>
          <w:tcPr>
            <w:tcW w:w="2460" w:type="dxa"/>
            <w:vAlign w:val="bottom"/>
          </w:tcPr>
          <w:p>
            <w:pPr>
              <w:spacing w:after="0" w:line="156" w:lineRule="exact"/>
              <w:rPr>
                <w:sz w:val="20"/>
                <w:szCs w:val="20"/>
                <w:color w:val="auto"/>
              </w:rPr>
            </w:pPr>
            <w:r>
              <w:rPr>
                <w:rFonts w:ascii="Arial" w:cs="Arial" w:eastAsia="Arial" w:hAnsi="Arial"/>
                <w:sz w:val="15"/>
                <w:szCs w:val="15"/>
                <w:color w:val="auto"/>
              </w:rPr>
              <w:t>Add back (deduct):</w:t>
            </w: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460" w:type="dxa"/>
            <w:vAlign w:val="bottom"/>
            <w:shd w:val="clear" w:color="auto" w:fill="CCEEFF"/>
          </w:tcPr>
          <w:p>
            <w:pPr>
              <w:ind w:left="140"/>
              <w:spacing w:after="0" w:line="156" w:lineRule="exact"/>
              <w:rPr>
                <w:sz w:val="20"/>
                <w:szCs w:val="20"/>
                <w:color w:val="auto"/>
              </w:rPr>
            </w:pPr>
            <w:r>
              <w:rPr>
                <w:rFonts w:ascii="Arial" w:cs="Arial" w:eastAsia="Arial" w:hAnsi="Arial"/>
                <w:sz w:val="14"/>
                <w:szCs w:val="14"/>
                <w:color w:val="auto"/>
              </w:rPr>
              <w:t>Interest expense</w:t>
            </w:r>
          </w:p>
        </w:tc>
        <w:tc>
          <w:tcPr>
            <w:tcW w:w="36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88"/>
              <w:spacing w:after="0" w:line="156" w:lineRule="exact"/>
              <w:rPr>
                <w:sz w:val="20"/>
                <w:szCs w:val="20"/>
                <w:color w:val="auto"/>
              </w:rPr>
            </w:pPr>
            <w:r>
              <w:rPr>
                <w:rFonts w:ascii="Arial" w:cs="Arial" w:eastAsia="Arial" w:hAnsi="Arial"/>
                <w:sz w:val="14"/>
                <w:szCs w:val="14"/>
                <w:color w:val="auto"/>
              </w:rPr>
              <w:t>91,487</w:t>
            </w:r>
          </w:p>
        </w:tc>
        <w:tc>
          <w:tcPr>
            <w:tcW w:w="940" w:type="dxa"/>
            <w:vAlign w:val="bottom"/>
            <w:shd w:val="clear" w:color="auto" w:fill="CCEEFF"/>
          </w:tcPr>
          <w:p>
            <w:pPr>
              <w:jc w:val="right"/>
              <w:ind w:right="68"/>
              <w:spacing w:after="0" w:line="156" w:lineRule="exact"/>
              <w:rPr>
                <w:sz w:val="20"/>
                <w:szCs w:val="20"/>
                <w:color w:val="auto"/>
              </w:rPr>
            </w:pPr>
            <w:r>
              <w:rPr>
                <w:rFonts w:ascii="Arial" w:cs="Arial" w:eastAsia="Arial" w:hAnsi="Arial"/>
                <w:sz w:val="14"/>
                <w:szCs w:val="14"/>
                <w:color w:val="auto"/>
              </w:rPr>
              <w:t>81,677</w:t>
            </w:r>
          </w:p>
        </w:tc>
        <w:tc>
          <w:tcPr>
            <w:tcW w:w="88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76,287</w:t>
            </w:r>
          </w:p>
        </w:tc>
        <w:tc>
          <w:tcPr>
            <w:tcW w:w="0" w:type="dxa"/>
            <w:vAlign w:val="bottom"/>
          </w:tcPr>
          <w:p>
            <w:pPr>
              <w:spacing w:after="0"/>
              <w:rPr>
                <w:sz w:val="1"/>
                <w:szCs w:val="1"/>
                <w:color w:val="auto"/>
              </w:rPr>
            </w:pPr>
          </w:p>
        </w:tc>
      </w:tr>
      <w:tr>
        <w:trPr>
          <w:trHeight w:val="160"/>
        </w:trPr>
        <w:tc>
          <w:tcPr>
            <w:tcW w:w="2460" w:type="dxa"/>
            <w:vAlign w:val="bottom"/>
          </w:tcPr>
          <w:p>
            <w:pPr>
              <w:ind w:left="140"/>
              <w:spacing w:after="0"/>
              <w:rPr>
                <w:sz w:val="20"/>
                <w:szCs w:val="20"/>
                <w:color w:val="auto"/>
              </w:rPr>
            </w:pPr>
            <w:r>
              <w:rPr>
                <w:rFonts w:ascii="Arial" w:cs="Arial" w:eastAsia="Arial" w:hAnsi="Arial"/>
                <w:sz w:val="14"/>
                <w:szCs w:val="14"/>
                <w:color w:val="auto"/>
              </w:rPr>
              <w:t>Income tax (benefit) expense for</w:t>
            </w: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460" w:type="dxa"/>
            <w:vAlign w:val="bottom"/>
          </w:tcPr>
          <w:p>
            <w:pPr>
              <w:ind w:left="280"/>
              <w:spacing w:after="0" w:line="151" w:lineRule="exact"/>
              <w:rPr>
                <w:sz w:val="20"/>
                <w:szCs w:val="20"/>
                <w:color w:val="auto"/>
              </w:rPr>
            </w:pPr>
            <w:r>
              <w:rPr>
                <w:rFonts w:ascii="Arial" w:cs="Arial" w:eastAsia="Arial" w:hAnsi="Arial"/>
                <w:sz w:val="14"/>
                <w:szCs w:val="14"/>
                <w:color w:val="auto"/>
              </w:rPr>
              <w:t>controlling interests</w:t>
            </w:r>
          </w:p>
        </w:tc>
        <w:tc>
          <w:tcPr>
            <w:tcW w:w="360" w:type="dxa"/>
            <w:vAlign w:val="bottom"/>
          </w:tcPr>
          <w:p>
            <w:pPr>
              <w:spacing w:after="0"/>
              <w:rPr>
                <w:sz w:val="13"/>
                <w:szCs w:val="13"/>
                <w:color w:val="auto"/>
              </w:rPr>
            </w:pPr>
          </w:p>
        </w:tc>
        <w:tc>
          <w:tcPr>
            <w:tcW w:w="840" w:type="dxa"/>
            <w:vAlign w:val="bottom"/>
          </w:tcPr>
          <w:p>
            <w:pPr>
              <w:jc w:val="right"/>
              <w:ind w:right="48"/>
              <w:spacing w:after="0" w:line="151" w:lineRule="exact"/>
              <w:rPr>
                <w:sz w:val="20"/>
                <w:szCs w:val="20"/>
                <w:color w:val="auto"/>
              </w:rPr>
            </w:pPr>
            <w:r>
              <w:rPr>
                <w:rFonts w:ascii="Arial" w:cs="Arial" w:eastAsia="Arial" w:hAnsi="Arial"/>
                <w:sz w:val="14"/>
                <w:szCs w:val="14"/>
                <w:color w:val="auto"/>
              </w:rPr>
              <w:t>(94,401)</w:t>
            </w:r>
          </w:p>
        </w:tc>
        <w:tc>
          <w:tcPr>
            <w:tcW w:w="940" w:type="dxa"/>
            <w:vAlign w:val="bottom"/>
          </w:tcPr>
          <w:p>
            <w:pPr>
              <w:jc w:val="right"/>
              <w:ind w:right="68"/>
              <w:spacing w:after="0" w:line="151" w:lineRule="exact"/>
              <w:rPr>
                <w:sz w:val="20"/>
                <w:szCs w:val="20"/>
                <w:color w:val="auto"/>
              </w:rPr>
            </w:pPr>
            <w:r>
              <w:rPr>
                <w:rFonts w:ascii="Arial" w:cs="Arial" w:eastAsia="Arial" w:hAnsi="Arial"/>
                <w:sz w:val="14"/>
                <w:szCs w:val="14"/>
                <w:color w:val="auto"/>
              </w:rPr>
              <w:t>181,524</w:t>
            </w:r>
          </w:p>
        </w:tc>
        <w:tc>
          <w:tcPr>
            <w:tcW w:w="880" w:type="dxa"/>
            <w:vAlign w:val="bottom"/>
          </w:tcPr>
          <w:p>
            <w:pPr>
              <w:jc w:val="right"/>
              <w:spacing w:after="0" w:line="151" w:lineRule="exact"/>
              <w:rPr>
                <w:sz w:val="20"/>
                <w:szCs w:val="20"/>
                <w:color w:val="auto"/>
              </w:rPr>
            </w:pPr>
            <w:r>
              <w:rPr>
                <w:rFonts w:ascii="Arial" w:cs="Arial" w:eastAsia="Arial" w:hAnsi="Arial"/>
                <w:sz w:val="14"/>
                <w:szCs w:val="14"/>
                <w:color w:val="auto"/>
              </w:rPr>
              <w:t>124,793</w:t>
            </w:r>
          </w:p>
        </w:tc>
        <w:tc>
          <w:tcPr>
            <w:tcW w:w="0" w:type="dxa"/>
            <w:vAlign w:val="bottom"/>
          </w:tcPr>
          <w:p>
            <w:pPr>
              <w:spacing w:after="0"/>
              <w:rPr>
                <w:sz w:val="1"/>
                <w:szCs w:val="1"/>
                <w:color w:val="auto"/>
              </w:rPr>
            </w:pPr>
          </w:p>
        </w:tc>
      </w:tr>
      <w:tr>
        <w:trPr>
          <w:trHeight w:val="152"/>
        </w:trPr>
        <w:tc>
          <w:tcPr>
            <w:tcW w:w="2460" w:type="dxa"/>
            <w:vAlign w:val="bottom"/>
            <w:shd w:val="clear" w:color="auto" w:fill="CCEEFF"/>
          </w:tcPr>
          <w:p>
            <w:pPr>
              <w:ind w:left="160"/>
              <w:spacing w:after="0" w:line="153" w:lineRule="exact"/>
              <w:rPr>
                <w:sz w:val="20"/>
                <w:szCs w:val="20"/>
                <w:color w:val="auto"/>
              </w:rPr>
            </w:pPr>
            <w:r>
              <w:rPr>
                <w:rFonts w:ascii="Arial" w:cs="Arial" w:eastAsia="Arial" w:hAnsi="Arial"/>
                <w:sz w:val="15"/>
                <w:szCs w:val="15"/>
                <w:color w:val="auto"/>
              </w:rPr>
              <w:t>Depreciation, depletion and</w:t>
            </w:r>
          </w:p>
        </w:tc>
        <w:tc>
          <w:tcPr>
            <w:tcW w:w="36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88"/>
              <w:spacing w:after="0"/>
              <w:rPr>
                <w:sz w:val="20"/>
                <w:szCs w:val="20"/>
                <w:color w:val="auto"/>
              </w:rPr>
            </w:pPr>
            <w:r>
              <w:rPr>
                <w:rFonts w:ascii="Arial" w:cs="Arial" w:eastAsia="Arial" w:hAnsi="Arial"/>
                <w:sz w:val="15"/>
                <w:szCs w:val="15"/>
                <w:b w:val="1"/>
                <w:bCs w:val="1"/>
                <w:color w:val="auto"/>
              </w:rPr>
              <w:t>293,951</w:t>
            </w:r>
          </w:p>
        </w:tc>
        <w:tc>
          <w:tcPr>
            <w:tcW w:w="9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460" w:type="dxa"/>
            <w:vAlign w:val="bottom"/>
            <w:tcBorders>
              <w:bottom w:val="single" w:sz="8" w:color="auto"/>
            </w:tcBorders>
            <w:shd w:val="clear" w:color="auto" w:fill="CCEEFF"/>
          </w:tcPr>
          <w:p>
            <w:pPr>
              <w:ind w:left="300"/>
              <w:spacing w:after="0" w:line="159" w:lineRule="exact"/>
              <w:rPr>
                <w:sz w:val="20"/>
                <w:szCs w:val="20"/>
                <w:color w:val="auto"/>
              </w:rPr>
            </w:pPr>
            <w:r>
              <w:rPr>
                <w:rFonts w:ascii="Arial" w:cs="Arial" w:eastAsia="Arial" w:hAnsi="Arial"/>
                <w:sz w:val="15"/>
                <w:szCs w:val="15"/>
                <w:color w:val="auto"/>
              </w:rPr>
              <w:t>amortization expense</w:t>
            </w:r>
          </w:p>
        </w:tc>
        <w:tc>
          <w:tcPr>
            <w:tcW w:w="36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vMerge w:val="continue"/>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ind w:right="68"/>
              <w:spacing w:after="0" w:line="159" w:lineRule="exact"/>
              <w:rPr>
                <w:sz w:val="20"/>
                <w:szCs w:val="20"/>
                <w:color w:val="auto"/>
              </w:rPr>
            </w:pPr>
            <w:r>
              <w:rPr>
                <w:rFonts w:ascii="Arial" w:cs="Arial" w:eastAsia="Arial" w:hAnsi="Arial"/>
                <w:sz w:val="15"/>
                <w:szCs w:val="15"/>
                <w:color w:val="auto"/>
              </w:rPr>
              <w:t>283,003</w:t>
            </w:r>
          </w:p>
        </w:tc>
        <w:tc>
          <w:tcPr>
            <w:tcW w:w="88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5"/>
                <w:szCs w:val="15"/>
                <w:color w:val="auto"/>
              </w:rPr>
              <w:t>260,836</w:t>
            </w:r>
          </w:p>
        </w:tc>
        <w:tc>
          <w:tcPr>
            <w:tcW w:w="0" w:type="dxa"/>
            <w:vAlign w:val="bottom"/>
          </w:tcPr>
          <w:p>
            <w:pPr>
              <w:spacing w:after="0"/>
              <w:rPr>
                <w:sz w:val="1"/>
                <w:szCs w:val="1"/>
                <w:color w:val="auto"/>
              </w:rPr>
            </w:pPr>
          </w:p>
        </w:tc>
      </w:tr>
      <w:tr>
        <w:trPr>
          <w:trHeight w:val="155"/>
        </w:trPr>
        <w:tc>
          <w:tcPr>
            <w:tcW w:w="2460" w:type="dxa"/>
            <w:vAlign w:val="bottom"/>
            <w:tcBorders>
              <w:bottom w:val="single" w:sz="8" w:color="auto"/>
            </w:tcBorders>
          </w:tcPr>
          <w:p>
            <w:pPr>
              <w:spacing w:after="0" w:line="149" w:lineRule="exact"/>
              <w:rPr>
                <w:sz w:val="20"/>
                <w:szCs w:val="20"/>
                <w:color w:val="auto"/>
              </w:rPr>
            </w:pPr>
            <w:r>
              <w:rPr>
                <w:rFonts w:ascii="Arial" w:cs="Arial" w:eastAsia="Arial" w:hAnsi="Arial"/>
                <w:sz w:val="15"/>
                <w:szCs w:val="15"/>
                <w:color w:val="auto"/>
              </w:rPr>
              <w:t>Consolidated EBITDA</w:t>
            </w:r>
          </w:p>
        </w:tc>
        <w:tc>
          <w:tcPr>
            <w:tcW w:w="3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840" w:type="dxa"/>
            <w:vAlign w:val="bottom"/>
            <w:tcBorders>
              <w:bottom w:val="single" w:sz="8" w:color="auto"/>
            </w:tcBorders>
          </w:tcPr>
          <w:p>
            <w:pPr>
              <w:jc w:val="right"/>
              <w:ind w:right="88"/>
              <w:spacing w:after="0" w:line="149" w:lineRule="exact"/>
              <w:rPr>
                <w:sz w:val="20"/>
                <w:szCs w:val="20"/>
                <w:color w:val="auto"/>
              </w:rPr>
            </w:pPr>
            <w:r>
              <w:rPr>
                <w:rFonts w:ascii="Arial" w:cs="Arial" w:eastAsia="Arial" w:hAnsi="Arial"/>
                <w:sz w:val="15"/>
                <w:szCs w:val="15"/>
                <w:b w:val="1"/>
                <w:bCs w:val="1"/>
                <w:color w:val="auto"/>
                <w:w w:val="98"/>
              </w:rPr>
              <w:t>1,004,379</w:t>
            </w:r>
          </w:p>
        </w:tc>
        <w:tc>
          <w:tcPr>
            <w:tcW w:w="940" w:type="dxa"/>
            <w:vAlign w:val="bottom"/>
            <w:tcBorders>
              <w:bottom w:val="single" w:sz="8" w:color="auto"/>
            </w:tcBorders>
          </w:tcPr>
          <w:p>
            <w:pPr>
              <w:jc w:val="right"/>
              <w:ind w:right="68"/>
              <w:spacing w:after="0" w:line="149" w:lineRule="exact"/>
              <w:rPr>
                <w:sz w:val="20"/>
                <w:szCs w:val="20"/>
                <w:color w:val="auto"/>
              </w:rPr>
            </w:pPr>
            <w:r>
              <w:rPr>
                <w:rFonts w:ascii="Arial" w:cs="Arial" w:eastAsia="Arial" w:hAnsi="Arial"/>
                <w:sz w:val="15"/>
                <w:szCs w:val="15"/>
                <w:color w:val="auto"/>
              </w:rPr>
              <w:t>$ 971,590</w:t>
            </w: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color w:val="auto"/>
              </w:rPr>
              <w:t>$ 750,708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color w:val="auto"/>
        </w:rPr>
        <w:t>Total revenues by product line are as follows:</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years ended December 31</w:t>
      </w:r>
    </w:p>
    <w:tbl>
      <w:tblPr>
        <w:tblLayout w:type="fixed"/>
        <w:tblInd w:w="0" w:type="dxa"/>
        <w:tblCellMar>
          <w:top w:w="0" w:type="dxa"/>
          <w:left w:w="0" w:type="dxa"/>
          <w:bottom w:w="0" w:type="dxa"/>
          <w:right w:w="0" w:type="dxa"/>
        </w:tblCellMar>
      </w:tblPr>
      <w:tr>
        <w:trPr>
          <w:trHeight w:val="159"/>
        </w:trPr>
        <w:tc>
          <w:tcPr>
            <w:tcW w:w="23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(add 000)</w:t>
            </w:r>
          </w:p>
        </w:tc>
        <w:tc>
          <w:tcPr>
            <w:tcW w:w="1160" w:type="dxa"/>
            <w:vAlign w:val="bottom"/>
            <w:tcBorders>
              <w:bottom w:val="single" w:sz="8" w:color="auto"/>
            </w:tcBorders>
          </w:tcPr>
          <w:p>
            <w:pPr>
              <w:jc w:val="right"/>
              <w:ind w:right="86"/>
              <w:spacing w:after="0" w:line="159" w:lineRule="exact"/>
              <w:rPr>
                <w:sz w:val="20"/>
                <w:szCs w:val="20"/>
                <w:color w:val="auto"/>
              </w:rPr>
            </w:pPr>
            <w:r>
              <w:rPr>
                <w:rFonts w:ascii="Arial" w:cs="Arial" w:eastAsia="Arial" w:hAnsi="Arial"/>
                <w:sz w:val="15"/>
                <w:szCs w:val="15"/>
                <w:b w:val="1"/>
                <w:bCs w:val="1"/>
                <w:color w:val="0085CD"/>
              </w:rPr>
              <w:t>2017</w:t>
            </w:r>
          </w:p>
        </w:tc>
        <w:tc>
          <w:tcPr>
            <w:tcW w:w="1080" w:type="dxa"/>
            <w:vAlign w:val="bottom"/>
            <w:tcBorders>
              <w:bottom w:val="single" w:sz="8" w:color="auto"/>
            </w:tcBorders>
          </w:tcPr>
          <w:p>
            <w:pPr>
              <w:jc w:val="right"/>
              <w:ind w:right="86"/>
              <w:spacing w:after="0" w:line="159" w:lineRule="exact"/>
              <w:rPr>
                <w:sz w:val="20"/>
                <w:szCs w:val="20"/>
                <w:color w:val="auto"/>
              </w:rPr>
            </w:pPr>
            <w:r>
              <w:rPr>
                <w:rFonts w:ascii="Arial" w:cs="Arial" w:eastAsia="Arial" w:hAnsi="Arial"/>
                <w:sz w:val="15"/>
                <w:szCs w:val="15"/>
                <w:color w:val="auto"/>
              </w:rPr>
              <w:t>2016</w:t>
            </w:r>
          </w:p>
        </w:tc>
        <w:tc>
          <w:tcPr>
            <w:tcW w:w="1000" w:type="dxa"/>
            <w:vAlign w:val="bottom"/>
            <w:tcBorders>
              <w:bottom w:val="single" w:sz="8" w:color="auto"/>
            </w:tcBorders>
          </w:tcPr>
          <w:p>
            <w:pPr>
              <w:jc w:val="right"/>
              <w:ind w:right="6"/>
              <w:spacing w:after="0" w:line="159" w:lineRule="exact"/>
              <w:rPr>
                <w:sz w:val="20"/>
                <w:szCs w:val="20"/>
                <w:color w:val="auto"/>
              </w:rPr>
            </w:pPr>
            <w:r>
              <w:rPr>
                <w:rFonts w:ascii="Arial" w:cs="Arial" w:eastAsia="Arial" w:hAnsi="Arial"/>
                <w:sz w:val="15"/>
                <w:szCs w:val="15"/>
                <w:color w:val="auto"/>
              </w:rPr>
              <w:t>2015</w:t>
            </w:r>
          </w:p>
        </w:tc>
      </w:tr>
      <w:tr>
        <w:trPr>
          <w:trHeight w:val="149"/>
        </w:trPr>
        <w:tc>
          <w:tcPr>
            <w:tcW w:w="234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Building Materials Business:</w:t>
            </w:r>
          </w:p>
        </w:tc>
        <w:tc>
          <w:tcPr>
            <w:tcW w:w="1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156"/>
        </w:trPr>
        <w:tc>
          <w:tcPr>
            <w:tcW w:w="2340" w:type="dxa"/>
            <w:vAlign w:val="bottom"/>
          </w:tcPr>
          <w:p>
            <w:pPr>
              <w:ind w:left="140"/>
              <w:spacing w:after="0" w:line="156" w:lineRule="exact"/>
              <w:rPr>
                <w:sz w:val="20"/>
                <w:szCs w:val="20"/>
                <w:color w:val="auto"/>
              </w:rPr>
            </w:pPr>
            <w:r>
              <w:rPr>
                <w:rFonts w:ascii="Arial" w:cs="Arial" w:eastAsia="Arial" w:hAnsi="Arial"/>
                <w:sz w:val="15"/>
                <w:szCs w:val="15"/>
                <w:color w:val="auto"/>
              </w:rPr>
              <w:t>Aggregates</w:t>
            </w:r>
          </w:p>
        </w:tc>
        <w:tc>
          <w:tcPr>
            <w:tcW w:w="1160" w:type="dxa"/>
            <w:vAlign w:val="bottom"/>
          </w:tcPr>
          <w:p>
            <w:pPr>
              <w:jc w:val="right"/>
              <w:ind w:right="86"/>
              <w:spacing w:after="0" w:line="156" w:lineRule="exact"/>
              <w:rPr>
                <w:sz w:val="20"/>
                <w:szCs w:val="20"/>
                <w:color w:val="auto"/>
              </w:rPr>
            </w:pPr>
            <w:r>
              <w:rPr>
                <w:rFonts w:ascii="Arial" w:cs="Arial" w:eastAsia="Arial" w:hAnsi="Arial"/>
                <w:sz w:val="15"/>
                <w:szCs w:val="15"/>
                <w:b w:val="1"/>
                <w:bCs w:val="1"/>
                <w:color w:val="auto"/>
              </w:rPr>
              <w:t>$ 2,341,540</w:t>
            </w:r>
          </w:p>
        </w:tc>
        <w:tc>
          <w:tcPr>
            <w:tcW w:w="1080" w:type="dxa"/>
            <w:vAlign w:val="bottom"/>
          </w:tcPr>
          <w:p>
            <w:pPr>
              <w:jc w:val="right"/>
              <w:ind w:right="86"/>
              <w:spacing w:after="0" w:line="156" w:lineRule="exact"/>
              <w:rPr>
                <w:sz w:val="20"/>
                <w:szCs w:val="20"/>
                <w:color w:val="auto"/>
              </w:rPr>
            </w:pPr>
            <w:r>
              <w:rPr>
                <w:rFonts w:ascii="Arial" w:cs="Arial" w:eastAsia="Arial" w:hAnsi="Arial"/>
                <w:sz w:val="15"/>
                <w:szCs w:val="15"/>
                <w:color w:val="auto"/>
              </w:rPr>
              <w:t>$ 2,267,574</w:t>
            </w:r>
          </w:p>
        </w:tc>
        <w:tc>
          <w:tcPr>
            <w:tcW w:w="1000" w:type="dxa"/>
            <w:vAlign w:val="bottom"/>
          </w:tcPr>
          <w:p>
            <w:pPr>
              <w:jc w:val="right"/>
              <w:ind w:right="6"/>
              <w:spacing w:after="0" w:line="156" w:lineRule="exact"/>
              <w:rPr>
                <w:sz w:val="20"/>
                <w:szCs w:val="20"/>
                <w:color w:val="auto"/>
              </w:rPr>
            </w:pPr>
            <w:r>
              <w:rPr>
                <w:rFonts w:ascii="Arial" w:cs="Arial" w:eastAsia="Arial" w:hAnsi="Arial"/>
                <w:sz w:val="15"/>
                <w:szCs w:val="15"/>
                <w:color w:val="auto"/>
              </w:rPr>
              <w:t>$ 2,120,245</w:t>
            </w:r>
          </w:p>
        </w:tc>
      </w:tr>
      <w:tr>
        <w:trPr>
          <w:trHeight w:val="156"/>
        </w:trPr>
        <w:tc>
          <w:tcPr>
            <w:tcW w:w="2340" w:type="dxa"/>
            <w:vAlign w:val="bottom"/>
            <w:shd w:val="clear" w:color="auto" w:fill="CCEEFF"/>
          </w:tcPr>
          <w:p>
            <w:pPr>
              <w:ind w:left="140"/>
              <w:spacing w:after="0" w:line="156" w:lineRule="exact"/>
              <w:rPr>
                <w:sz w:val="20"/>
                <w:szCs w:val="20"/>
                <w:color w:val="auto"/>
              </w:rPr>
            </w:pPr>
            <w:r>
              <w:rPr>
                <w:rFonts w:ascii="Arial" w:cs="Arial" w:eastAsia="Arial" w:hAnsi="Arial"/>
                <w:sz w:val="15"/>
                <w:szCs w:val="15"/>
                <w:color w:val="auto"/>
              </w:rPr>
              <w:t>Cement</w:t>
            </w:r>
          </w:p>
        </w:tc>
        <w:tc>
          <w:tcPr>
            <w:tcW w:w="1160" w:type="dxa"/>
            <w:vAlign w:val="bottom"/>
            <w:shd w:val="clear" w:color="auto" w:fill="CCEEFF"/>
          </w:tcPr>
          <w:p>
            <w:pPr>
              <w:jc w:val="right"/>
              <w:ind w:right="86"/>
              <w:spacing w:after="0" w:line="156" w:lineRule="exact"/>
              <w:rPr>
                <w:sz w:val="20"/>
                <w:szCs w:val="20"/>
                <w:color w:val="auto"/>
              </w:rPr>
            </w:pPr>
            <w:r>
              <w:rPr>
                <w:rFonts w:ascii="Arial" w:cs="Arial" w:eastAsia="Arial" w:hAnsi="Arial"/>
                <w:sz w:val="15"/>
                <w:szCs w:val="15"/>
                <w:b w:val="1"/>
                <w:bCs w:val="1"/>
                <w:color w:val="auto"/>
              </w:rPr>
              <w:t>384,112</w:t>
            </w:r>
          </w:p>
        </w:tc>
        <w:tc>
          <w:tcPr>
            <w:tcW w:w="1080" w:type="dxa"/>
            <w:vAlign w:val="bottom"/>
            <w:shd w:val="clear" w:color="auto" w:fill="CCEEFF"/>
          </w:tcPr>
          <w:p>
            <w:pPr>
              <w:jc w:val="right"/>
              <w:ind w:right="86"/>
              <w:spacing w:after="0" w:line="156" w:lineRule="exact"/>
              <w:rPr>
                <w:sz w:val="20"/>
                <w:szCs w:val="20"/>
                <w:color w:val="auto"/>
              </w:rPr>
            </w:pPr>
            <w:r>
              <w:rPr>
                <w:rFonts w:ascii="Arial" w:cs="Arial" w:eastAsia="Arial" w:hAnsi="Arial"/>
                <w:sz w:val="15"/>
                <w:szCs w:val="15"/>
                <w:color w:val="auto"/>
              </w:rPr>
              <w:t>375,814</w:t>
            </w:r>
          </w:p>
        </w:tc>
        <w:tc>
          <w:tcPr>
            <w:tcW w:w="1000" w:type="dxa"/>
            <w:vAlign w:val="bottom"/>
            <w:shd w:val="clear" w:color="auto" w:fill="CCEEFF"/>
          </w:tcPr>
          <w:p>
            <w:pPr>
              <w:jc w:val="right"/>
              <w:ind w:right="6"/>
              <w:spacing w:after="0" w:line="156" w:lineRule="exact"/>
              <w:rPr>
                <w:sz w:val="20"/>
                <w:szCs w:val="20"/>
                <w:color w:val="auto"/>
              </w:rPr>
            </w:pPr>
            <w:r>
              <w:rPr>
                <w:rFonts w:ascii="Arial" w:cs="Arial" w:eastAsia="Arial" w:hAnsi="Arial"/>
                <w:sz w:val="15"/>
                <w:szCs w:val="15"/>
                <w:color w:val="auto"/>
              </w:rPr>
              <w:t>475,725</w:t>
            </w:r>
          </w:p>
        </w:tc>
      </w:tr>
      <w:tr>
        <w:trPr>
          <w:trHeight w:val="156"/>
        </w:trPr>
        <w:tc>
          <w:tcPr>
            <w:tcW w:w="2340" w:type="dxa"/>
            <w:vAlign w:val="bottom"/>
          </w:tcPr>
          <w:p>
            <w:pPr>
              <w:ind w:left="140"/>
              <w:spacing w:after="0" w:line="156" w:lineRule="exact"/>
              <w:rPr>
                <w:sz w:val="20"/>
                <w:szCs w:val="20"/>
                <w:color w:val="auto"/>
              </w:rPr>
            </w:pPr>
            <w:r>
              <w:rPr>
                <w:rFonts w:ascii="Arial" w:cs="Arial" w:eastAsia="Arial" w:hAnsi="Arial"/>
                <w:sz w:val="15"/>
                <w:szCs w:val="15"/>
                <w:color w:val="auto"/>
              </w:rPr>
              <w:t>Ready Mixed Concrete</w:t>
            </w:r>
          </w:p>
        </w:tc>
        <w:tc>
          <w:tcPr>
            <w:tcW w:w="1160" w:type="dxa"/>
            <w:vAlign w:val="bottom"/>
          </w:tcPr>
          <w:p>
            <w:pPr>
              <w:jc w:val="right"/>
              <w:ind w:right="86"/>
              <w:spacing w:after="0" w:line="156" w:lineRule="exact"/>
              <w:rPr>
                <w:sz w:val="20"/>
                <w:szCs w:val="20"/>
                <w:color w:val="auto"/>
              </w:rPr>
            </w:pPr>
            <w:r>
              <w:rPr>
                <w:rFonts w:ascii="Arial" w:cs="Arial" w:eastAsia="Arial" w:hAnsi="Arial"/>
                <w:sz w:val="15"/>
                <w:szCs w:val="15"/>
                <w:b w:val="1"/>
                <w:bCs w:val="1"/>
                <w:color w:val="auto"/>
              </w:rPr>
              <w:t>936,979</w:t>
            </w:r>
          </w:p>
        </w:tc>
        <w:tc>
          <w:tcPr>
            <w:tcW w:w="1080" w:type="dxa"/>
            <w:vAlign w:val="bottom"/>
          </w:tcPr>
          <w:p>
            <w:pPr>
              <w:jc w:val="right"/>
              <w:ind w:right="86"/>
              <w:spacing w:after="0" w:line="156" w:lineRule="exact"/>
              <w:rPr>
                <w:sz w:val="20"/>
                <w:szCs w:val="20"/>
                <w:color w:val="auto"/>
              </w:rPr>
            </w:pPr>
            <w:r>
              <w:rPr>
                <w:rFonts w:ascii="Arial" w:cs="Arial" w:eastAsia="Arial" w:hAnsi="Arial"/>
                <w:sz w:val="15"/>
                <w:szCs w:val="15"/>
                <w:color w:val="auto"/>
              </w:rPr>
              <w:t>903,803</w:t>
            </w:r>
          </w:p>
        </w:tc>
        <w:tc>
          <w:tcPr>
            <w:tcW w:w="1000" w:type="dxa"/>
            <w:vAlign w:val="bottom"/>
          </w:tcPr>
          <w:p>
            <w:pPr>
              <w:jc w:val="right"/>
              <w:ind w:right="6"/>
              <w:spacing w:after="0" w:line="156" w:lineRule="exact"/>
              <w:rPr>
                <w:sz w:val="20"/>
                <w:szCs w:val="20"/>
                <w:color w:val="auto"/>
              </w:rPr>
            </w:pPr>
            <w:r>
              <w:rPr>
                <w:rFonts w:ascii="Arial" w:cs="Arial" w:eastAsia="Arial" w:hAnsi="Arial"/>
                <w:sz w:val="15"/>
                <w:szCs w:val="15"/>
                <w:color w:val="auto"/>
              </w:rPr>
              <w:t>657,831</w:t>
            </w:r>
          </w:p>
        </w:tc>
      </w:tr>
      <w:tr>
        <w:trPr>
          <w:trHeight w:val="156"/>
        </w:trPr>
        <w:tc>
          <w:tcPr>
            <w:tcW w:w="2340" w:type="dxa"/>
            <w:vAlign w:val="bottom"/>
            <w:shd w:val="clear" w:color="auto" w:fill="CCEEFF"/>
          </w:tcPr>
          <w:p>
            <w:pPr>
              <w:ind w:left="140"/>
              <w:spacing w:after="0" w:line="156" w:lineRule="exact"/>
              <w:rPr>
                <w:sz w:val="20"/>
                <w:szCs w:val="20"/>
                <w:color w:val="auto"/>
              </w:rPr>
            </w:pPr>
            <w:r>
              <w:rPr>
                <w:rFonts w:ascii="Arial" w:cs="Arial" w:eastAsia="Arial" w:hAnsi="Arial"/>
                <w:sz w:val="15"/>
                <w:szCs w:val="15"/>
                <w:color w:val="auto"/>
              </w:rPr>
              <w:t>Asphalt and Paving Services</w:t>
            </w:r>
          </w:p>
        </w:tc>
        <w:tc>
          <w:tcPr>
            <w:tcW w:w="1160" w:type="dxa"/>
            <w:vAlign w:val="bottom"/>
            <w:shd w:val="clear" w:color="auto" w:fill="CCEEFF"/>
          </w:tcPr>
          <w:p>
            <w:pPr>
              <w:jc w:val="right"/>
              <w:ind w:right="86"/>
              <w:spacing w:after="0" w:line="156" w:lineRule="exact"/>
              <w:rPr>
                <w:sz w:val="20"/>
                <w:szCs w:val="20"/>
                <w:color w:val="auto"/>
              </w:rPr>
            </w:pPr>
            <w:r>
              <w:rPr>
                <w:rFonts w:ascii="Arial" w:cs="Arial" w:eastAsia="Arial" w:hAnsi="Arial"/>
                <w:sz w:val="15"/>
                <w:szCs w:val="15"/>
                <w:b w:val="1"/>
                <w:bCs w:val="1"/>
                <w:color w:val="auto"/>
              </w:rPr>
              <w:t>296,956</w:t>
            </w:r>
          </w:p>
        </w:tc>
        <w:tc>
          <w:tcPr>
            <w:tcW w:w="1080" w:type="dxa"/>
            <w:vAlign w:val="bottom"/>
            <w:shd w:val="clear" w:color="auto" w:fill="CCEEFF"/>
          </w:tcPr>
          <w:p>
            <w:pPr>
              <w:jc w:val="right"/>
              <w:ind w:right="86"/>
              <w:spacing w:after="0" w:line="156" w:lineRule="exact"/>
              <w:rPr>
                <w:sz w:val="20"/>
                <w:szCs w:val="20"/>
                <w:color w:val="auto"/>
              </w:rPr>
            </w:pPr>
            <w:r>
              <w:rPr>
                <w:rFonts w:ascii="Arial" w:cs="Arial" w:eastAsia="Arial" w:hAnsi="Arial"/>
                <w:sz w:val="15"/>
                <w:szCs w:val="15"/>
                <w:color w:val="auto"/>
              </w:rPr>
              <w:t>261,612</w:t>
            </w:r>
          </w:p>
        </w:tc>
        <w:tc>
          <w:tcPr>
            <w:tcW w:w="1000" w:type="dxa"/>
            <w:vAlign w:val="bottom"/>
            <w:shd w:val="clear" w:color="auto" w:fill="CCEEFF"/>
          </w:tcPr>
          <w:p>
            <w:pPr>
              <w:jc w:val="right"/>
              <w:ind w:right="6"/>
              <w:spacing w:after="0" w:line="156" w:lineRule="exact"/>
              <w:rPr>
                <w:sz w:val="20"/>
                <w:szCs w:val="20"/>
                <w:color w:val="auto"/>
              </w:rPr>
            </w:pPr>
            <w:r>
              <w:rPr>
                <w:rFonts w:ascii="Arial" w:cs="Arial" w:eastAsia="Arial" w:hAnsi="Arial"/>
                <w:sz w:val="15"/>
                <w:szCs w:val="15"/>
                <w:color w:val="auto"/>
              </w:rPr>
              <w:t>229,561</w:t>
            </w:r>
          </w:p>
        </w:tc>
      </w:tr>
      <w:tr>
        <w:trPr>
          <w:trHeight w:val="156"/>
        </w:trPr>
        <w:tc>
          <w:tcPr>
            <w:tcW w:w="2340" w:type="dxa"/>
            <w:vAlign w:val="bottom"/>
            <w:tcBorders>
              <w:bottom w:val="single" w:sz="8" w:color="auto"/>
            </w:tcBorders>
          </w:tcPr>
          <w:p>
            <w:pPr>
              <w:ind w:left="140"/>
              <w:spacing w:after="0" w:line="156" w:lineRule="exact"/>
              <w:rPr>
                <w:sz w:val="20"/>
                <w:szCs w:val="20"/>
                <w:color w:val="auto"/>
              </w:rPr>
            </w:pPr>
            <w:r>
              <w:rPr>
                <w:rFonts w:ascii="Arial" w:cs="Arial" w:eastAsia="Arial" w:hAnsi="Arial"/>
                <w:sz w:val="15"/>
                <w:szCs w:val="15"/>
                <w:color w:val="auto"/>
              </w:rPr>
              <w:t>Less: Interproduct revenues</w:t>
            </w:r>
          </w:p>
        </w:tc>
        <w:tc>
          <w:tcPr>
            <w:tcW w:w="1160" w:type="dxa"/>
            <w:vAlign w:val="bottom"/>
            <w:tcBorders>
              <w:bottom w:val="single" w:sz="8" w:color="auto"/>
            </w:tcBorders>
          </w:tcPr>
          <w:p>
            <w:pPr>
              <w:jc w:val="right"/>
              <w:ind w:right="46"/>
              <w:spacing w:after="0" w:line="156" w:lineRule="exact"/>
              <w:rPr>
                <w:sz w:val="20"/>
                <w:szCs w:val="20"/>
                <w:color w:val="auto"/>
              </w:rPr>
            </w:pPr>
            <w:r>
              <w:rPr>
                <w:rFonts w:ascii="Arial" w:cs="Arial" w:eastAsia="Arial" w:hAnsi="Arial"/>
                <w:sz w:val="15"/>
                <w:szCs w:val="15"/>
                <w:b w:val="1"/>
                <w:bCs w:val="1"/>
                <w:color w:val="auto"/>
              </w:rPr>
              <w:t>(263,984)</w:t>
            </w:r>
          </w:p>
        </w:tc>
        <w:tc>
          <w:tcPr>
            <w:tcW w:w="1080" w:type="dxa"/>
            <w:vAlign w:val="bottom"/>
            <w:tcBorders>
              <w:bottom w:val="single" w:sz="8" w:color="auto"/>
            </w:tcBorders>
          </w:tcPr>
          <w:p>
            <w:pPr>
              <w:jc w:val="right"/>
              <w:ind w:right="46"/>
              <w:spacing w:after="0" w:line="156" w:lineRule="exact"/>
              <w:rPr>
                <w:sz w:val="20"/>
                <w:szCs w:val="20"/>
                <w:color w:val="auto"/>
              </w:rPr>
            </w:pPr>
            <w:r>
              <w:rPr>
                <w:rFonts w:ascii="Arial" w:cs="Arial" w:eastAsia="Arial" w:hAnsi="Arial"/>
                <w:sz w:val="15"/>
                <w:szCs w:val="15"/>
                <w:color w:val="auto"/>
              </w:rPr>
              <w:t>(247,112)</w:t>
            </w:r>
          </w:p>
        </w:tc>
        <w:tc>
          <w:tcPr>
            <w:tcW w:w="10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(189,671)</w:t>
            </w:r>
          </w:p>
        </w:tc>
      </w:tr>
      <w:tr>
        <w:trPr>
          <w:trHeight w:val="149"/>
        </w:trPr>
        <w:tc>
          <w:tcPr>
            <w:tcW w:w="234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Total Building Materials Business</w:t>
            </w:r>
          </w:p>
        </w:tc>
        <w:tc>
          <w:tcPr>
            <w:tcW w:w="1160" w:type="dxa"/>
            <w:vAlign w:val="bottom"/>
            <w:shd w:val="clear" w:color="auto" w:fill="CCEEFF"/>
          </w:tcPr>
          <w:p>
            <w:pPr>
              <w:jc w:val="right"/>
              <w:ind w:right="86"/>
              <w:spacing w:after="0" w:line="149" w:lineRule="exact"/>
              <w:rPr>
                <w:sz w:val="20"/>
                <w:szCs w:val="20"/>
                <w:color w:val="auto"/>
              </w:rPr>
            </w:pPr>
            <w:r>
              <w:rPr>
                <w:rFonts w:ascii="Arial" w:cs="Arial" w:eastAsia="Arial" w:hAnsi="Arial"/>
                <w:sz w:val="15"/>
                <w:szCs w:val="15"/>
                <w:b w:val="1"/>
                <w:bCs w:val="1"/>
                <w:color w:val="auto"/>
              </w:rPr>
              <w:t>3,695,603</w:t>
            </w:r>
          </w:p>
        </w:tc>
        <w:tc>
          <w:tcPr>
            <w:tcW w:w="1080" w:type="dxa"/>
            <w:vAlign w:val="bottom"/>
            <w:shd w:val="clear" w:color="auto" w:fill="CCEEFF"/>
          </w:tcPr>
          <w:p>
            <w:pPr>
              <w:jc w:val="right"/>
              <w:ind w:right="86"/>
              <w:spacing w:after="0" w:line="149" w:lineRule="exact"/>
              <w:rPr>
                <w:sz w:val="20"/>
                <w:szCs w:val="20"/>
                <w:color w:val="auto"/>
              </w:rPr>
            </w:pPr>
            <w:r>
              <w:rPr>
                <w:rFonts w:ascii="Arial" w:cs="Arial" w:eastAsia="Arial" w:hAnsi="Arial"/>
                <w:sz w:val="15"/>
                <w:szCs w:val="15"/>
                <w:color w:val="auto"/>
              </w:rPr>
              <w:t>3,561,691</w:t>
            </w:r>
          </w:p>
        </w:tc>
        <w:tc>
          <w:tcPr>
            <w:tcW w:w="1000" w:type="dxa"/>
            <w:vAlign w:val="bottom"/>
            <w:shd w:val="clear" w:color="auto" w:fill="CCEEFF"/>
          </w:tcPr>
          <w:p>
            <w:pPr>
              <w:jc w:val="right"/>
              <w:ind w:right="6"/>
              <w:spacing w:after="0" w:line="149" w:lineRule="exact"/>
              <w:rPr>
                <w:sz w:val="20"/>
                <w:szCs w:val="20"/>
                <w:color w:val="auto"/>
              </w:rPr>
            </w:pPr>
            <w:r>
              <w:rPr>
                <w:rFonts w:ascii="Arial" w:cs="Arial" w:eastAsia="Arial" w:hAnsi="Arial"/>
                <w:sz w:val="15"/>
                <w:szCs w:val="15"/>
                <w:color w:val="auto"/>
              </w:rPr>
              <w:t>3,293,691</w:t>
            </w:r>
          </w:p>
        </w:tc>
      </w:tr>
      <w:tr>
        <w:trPr>
          <w:trHeight w:val="156"/>
        </w:trPr>
        <w:tc>
          <w:tcPr>
            <w:tcW w:w="2340" w:type="dxa"/>
            <w:vAlign w:val="bottom"/>
            <w:tcBorders>
              <w:bottom w:val="single" w:sz="8" w:color="auto"/>
            </w:tcBorders>
          </w:tcPr>
          <w:p>
            <w:pPr>
              <w:spacing w:after="0" w:line="156" w:lineRule="exact"/>
              <w:rPr>
                <w:sz w:val="20"/>
                <w:szCs w:val="20"/>
                <w:color w:val="auto"/>
              </w:rPr>
            </w:pPr>
            <w:r>
              <w:rPr>
                <w:rFonts w:ascii="Arial" w:cs="Arial" w:eastAsia="Arial" w:hAnsi="Arial"/>
                <w:sz w:val="15"/>
                <w:szCs w:val="15"/>
                <w:color w:val="auto"/>
              </w:rPr>
              <w:t>Magnesia Specialties</w:t>
            </w:r>
          </w:p>
        </w:tc>
        <w:tc>
          <w:tcPr>
            <w:tcW w:w="1160" w:type="dxa"/>
            <w:vAlign w:val="bottom"/>
            <w:tcBorders>
              <w:bottom w:val="single" w:sz="8" w:color="auto"/>
            </w:tcBorders>
          </w:tcPr>
          <w:p>
            <w:pPr>
              <w:jc w:val="right"/>
              <w:ind w:right="86"/>
              <w:spacing w:after="0" w:line="156" w:lineRule="exact"/>
              <w:rPr>
                <w:sz w:val="20"/>
                <w:szCs w:val="20"/>
                <w:color w:val="auto"/>
              </w:rPr>
            </w:pPr>
            <w:r>
              <w:rPr>
                <w:rFonts w:ascii="Arial" w:cs="Arial" w:eastAsia="Arial" w:hAnsi="Arial"/>
                <w:sz w:val="15"/>
                <w:szCs w:val="15"/>
                <w:b w:val="1"/>
                <w:bCs w:val="1"/>
                <w:color w:val="auto"/>
              </w:rPr>
              <w:t>269,991</w:t>
            </w:r>
          </w:p>
        </w:tc>
        <w:tc>
          <w:tcPr>
            <w:tcW w:w="1080" w:type="dxa"/>
            <w:vAlign w:val="bottom"/>
            <w:tcBorders>
              <w:bottom w:val="single" w:sz="8" w:color="auto"/>
            </w:tcBorders>
          </w:tcPr>
          <w:p>
            <w:pPr>
              <w:jc w:val="right"/>
              <w:ind w:right="86"/>
              <w:spacing w:after="0" w:line="156" w:lineRule="exact"/>
              <w:rPr>
                <w:sz w:val="20"/>
                <w:szCs w:val="20"/>
                <w:color w:val="auto"/>
              </w:rPr>
            </w:pPr>
            <w:r>
              <w:rPr>
                <w:rFonts w:ascii="Arial" w:cs="Arial" w:eastAsia="Arial" w:hAnsi="Arial"/>
                <w:sz w:val="15"/>
                <w:szCs w:val="15"/>
                <w:color w:val="auto"/>
              </w:rPr>
              <w:t>257,058</w:t>
            </w:r>
          </w:p>
        </w:tc>
        <w:tc>
          <w:tcPr>
            <w:tcW w:w="1000" w:type="dxa"/>
            <w:vAlign w:val="bottom"/>
            <w:tcBorders>
              <w:bottom w:val="single" w:sz="8" w:color="auto"/>
            </w:tcBorders>
          </w:tcPr>
          <w:p>
            <w:pPr>
              <w:jc w:val="right"/>
              <w:ind w:right="6"/>
              <w:spacing w:after="0" w:line="156" w:lineRule="exact"/>
              <w:rPr>
                <w:sz w:val="20"/>
                <w:szCs w:val="20"/>
                <w:color w:val="auto"/>
              </w:rPr>
            </w:pPr>
            <w:r>
              <w:rPr>
                <w:rFonts w:ascii="Arial" w:cs="Arial" w:eastAsia="Arial" w:hAnsi="Arial"/>
                <w:sz w:val="15"/>
                <w:szCs w:val="15"/>
                <w:color w:val="auto"/>
              </w:rPr>
              <w:t>245,879</w:t>
            </w:r>
          </w:p>
        </w:tc>
      </w:tr>
      <w:tr>
        <w:trPr>
          <w:trHeight w:val="155"/>
        </w:trPr>
        <w:tc>
          <w:tcPr>
            <w:tcW w:w="234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5"/>
                <w:szCs w:val="15"/>
                <w:color w:val="auto"/>
              </w:rPr>
              <w:t>Total Consolidated Revenues</w:t>
            </w:r>
          </w:p>
        </w:tc>
        <w:tc>
          <w:tcPr>
            <w:tcW w:w="1160" w:type="dxa"/>
            <w:vAlign w:val="bottom"/>
            <w:tcBorders>
              <w:bottom w:val="single" w:sz="8" w:color="auto"/>
            </w:tcBorders>
            <w:shd w:val="clear" w:color="auto" w:fill="CCEEFF"/>
          </w:tcPr>
          <w:p>
            <w:pPr>
              <w:jc w:val="right"/>
              <w:ind w:right="86"/>
              <w:spacing w:after="0" w:line="149" w:lineRule="exact"/>
              <w:rPr>
                <w:sz w:val="20"/>
                <w:szCs w:val="20"/>
                <w:color w:val="auto"/>
              </w:rPr>
            </w:pPr>
            <w:r>
              <w:rPr>
                <w:rFonts w:ascii="Arial" w:cs="Arial" w:eastAsia="Arial" w:hAnsi="Arial"/>
                <w:sz w:val="15"/>
                <w:szCs w:val="15"/>
                <w:b w:val="1"/>
                <w:bCs w:val="1"/>
                <w:color w:val="auto"/>
              </w:rPr>
              <w:t>$ 3,965,594</w:t>
            </w:r>
          </w:p>
        </w:tc>
        <w:tc>
          <w:tcPr>
            <w:tcW w:w="1080" w:type="dxa"/>
            <w:vAlign w:val="bottom"/>
            <w:tcBorders>
              <w:bottom w:val="single" w:sz="8" w:color="auto"/>
            </w:tcBorders>
            <w:shd w:val="clear" w:color="auto" w:fill="CCEEFF"/>
          </w:tcPr>
          <w:p>
            <w:pPr>
              <w:jc w:val="right"/>
              <w:ind w:right="86"/>
              <w:spacing w:after="0" w:line="149" w:lineRule="exact"/>
              <w:rPr>
                <w:sz w:val="20"/>
                <w:szCs w:val="20"/>
                <w:color w:val="auto"/>
              </w:rPr>
            </w:pPr>
            <w:r>
              <w:rPr>
                <w:rFonts w:ascii="Arial" w:cs="Arial" w:eastAsia="Arial" w:hAnsi="Arial"/>
                <w:sz w:val="15"/>
                <w:szCs w:val="15"/>
                <w:color w:val="auto"/>
              </w:rPr>
              <w:t>$ 3,818,749</w:t>
            </w:r>
          </w:p>
        </w:tc>
        <w:tc>
          <w:tcPr>
            <w:tcW w:w="1000" w:type="dxa"/>
            <w:vAlign w:val="bottom"/>
            <w:tcBorders>
              <w:bottom w:val="single" w:sz="8" w:color="auto"/>
            </w:tcBorders>
            <w:shd w:val="clear" w:color="auto" w:fill="CCEEFF"/>
          </w:tcPr>
          <w:p>
            <w:pPr>
              <w:jc w:val="right"/>
              <w:ind w:right="6"/>
              <w:spacing w:after="0" w:line="149" w:lineRule="exact"/>
              <w:rPr>
                <w:sz w:val="20"/>
                <w:szCs w:val="20"/>
                <w:color w:val="auto"/>
              </w:rPr>
            </w:pPr>
            <w:r>
              <w:rPr>
                <w:rFonts w:ascii="Arial" w:cs="Arial" w:eastAsia="Arial" w:hAnsi="Arial"/>
                <w:sz w:val="15"/>
                <w:szCs w:val="15"/>
                <w:color w:val="auto"/>
              </w:rPr>
              <w:t>$ 3,539,570</w:t>
            </w:r>
          </w:p>
        </w:tc>
      </w:tr>
    </w:tbl>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8D5D6C"/>
        </w:rPr>
        <w:t>Net Sales</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color w:val="auto"/>
        </w:rPr>
        <w:t>Net sales by reportable segment are as follows:</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years ended December 31</w:t>
      </w:r>
    </w:p>
    <w:tbl>
      <w:tblPr>
        <w:tblLayout w:type="fixed"/>
        <w:tblInd w:w="0" w:type="dxa"/>
        <w:tblCellMar>
          <w:top w:w="0" w:type="dxa"/>
          <w:left w:w="0" w:type="dxa"/>
          <w:bottom w:w="0" w:type="dxa"/>
          <w:right w:w="0" w:type="dxa"/>
        </w:tblCellMar>
      </w:tblPr>
      <w:tr>
        <w:trPr>
          <w:trHeight w:val="159"/>
        </w:trPr>
        <w:tc>
          <w:tcPr>
            <w:tcW w:w="23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(add 000)</w:t>
            </w:r>
          </w:p>
        </w:tc>
        <w:tc>
          <w:tcPr>
            <w:tcW w:w="3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86"/>
              <w:spacing w:after="0" w:line="159" w:lineRule="exact"/>
              <w:rPr>
                <w:sz w:val="20"/>
                <w:szCs w:val="20"/>
                <w:color w:val="auto"/>
              </w:rPr>
            </w:pPr>
            <w:r>
              <w:rPr>
                <w:rFonts w:ascii="Arial" w:cs="Arial" w:eastAsia="Arial" w:hAnsi="Arial"/>
                <w:sz w:val="15"/>
                <w:szCs w:val="15"/>
                <w:b w:val="1"/>
                <w:bCs w:val="1"/>
                <w:color w:val="0085CD"/>
              </w:rPr>
              <w:t>2017</w:t>
            </w: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86"/>
              <w:spacing w:after="0" w:line="159" w:lineRule="exact"/>
              <w:rPr>
                <w:sz w:val="20"/>
                <w:szCs w:val="20"/>
                <w:color w:val="auto"/>
              </w:rPr>
            </w:pPr>
            <w:r>
              <w:rPr>
                <w:rFonts w:ascii="Arial" w:cs="Arial" w:eastAsia="Arial" w:hAnsi="Arial"/>
                <w:sz w:val="15"/>
                <w:szCs w:val="15"/>
                <w:color w:val="auto"/>
              </w:rPr>
              <w:t>2016</w:t>
            </w:r>
          </w:p>
        </w:tc>
        <w:tc>
          <w:tcPr>
            <w:tcW w:w="2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2015</w:t>
            </w:r>
          </w:p>
        </w:tc>
      </w:tr>
      <w:tr>
        <w:trPr>
          <w:trHeight w:val="149"/>
        </w:trPr>
        <w:tc>
          <w:tcPr>
            <w:tcW w:w="234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Building Materials Business:</w:t>
            </w: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r>
      <w:tr>
        <w:trPr>
          <w:trHeight w:val="156"/>
        </w:trPr>
        <w:tc>
          <w:tcPr>
            <w:tcW w:w="2340" w:type="dxa"/>
            <w:vAlign w:val="bottom"/>
          </w:tcPr>
          <w:p>
            <w:pPr>
              <w:ind w:left="140"/>
              <w:spacing w:after="0" w:line="156" w:lineRule="exact"/>
              <w:rPr>
                <w:sz w:val="20"/>
                <w:szCs w:val="20"/>
                <w:color w:val="auto"/>
              </w:rPr>
            </w:pPr>
            <w:r>
              <w:rPr>
                <w:rFonts w:ascii="Arial" w:cs="Arial" w:eastAsia="Arial" w:hAnsi="Arial"/>
                <w:sz w:val="15"/>
                <w:szCs w:val="15"/>
                <w:color w:val="auto"/>
              </w:rPr>
              <w:t>Mid-America Group</w:t>
            </w:r>
          </w:p>
        </w:tc>
        <w:tc>
          <w:tcPr>
            <w:tcW w:w="300" w:type="dxa"/>
            <w:vAlign w:val="bottom"/>
          </w:tcPr>
          <w:p>
            <w:pPr>
              <w:jc w:val="right"/>
              <w:spacing w:after="0" w:line="156" w:lineRule="exact"/>
              <w:rPr>
                <w:sz w:val="20"/>
                <w:szCs w:val="20"/>
                <w:color w:val="auto"/>
              </w:rPr>
            </w:pPr>
            <w:r>
              <w:rPr>
                <w:rFonts w:ascii="Arial" w:cs="Arial" w:eastAsia="Arial" w:hAnsi="Arial"/>
                <w:sz w:val="15"/>
                <w:szCs w:val="15"/>
                <w:b w:val="1"/>
                <w:bCs w:val="1"/>
                <w:color w:val="auto"/>
              </w:rPr>
              <w:t>$</w:t>
            </w:r>
          </w:p>
        </w:tc>
        <w:tc>
          <w:tcPr>
            <w:tcW w:w="840" w:type="dxa"/>
            <w:vAlign w:val="bottom"/>
          </w:tcPr>
          <w:p>
            <w:pPr>
              <w:jc w:val="right"/>
              <w:ind w:right="86"/>
              <w:spacing w:after="0" w:line="156" w:lineRule="exact"/>
              <w:rPr>
                <w:sz w:val="20"/>
                <w:szCs w:val="20"/>
                <w:color w:val="auto"/>
              </w:rPr>
            </w:pPr>
            <w:r>
              <w:rPr>
                <w:rFonts w:ascii="Arial" w:cs="Arial" w:eastAsia="Arial" w:hAnsi="Arial"/>
                <w:sz w:val="15"/>
                <w:szCs w:val="15"/>
                <w:b w:val="1"/>
                <w:bCs w:val="1"/>
                <w:color w:val="auto"/>
              </w:rPr>
              <w:t>982,109</w:t>
            </w:r>
          </w:p>
        </w:tc>
        <w:tc>
          <w:tcPr>
            <w:tcW w:w="260" w:type="dxa"/>
            <w:vAlign w:val="bottom"/>
          </w:tcPr>
          <w:p>
            <w:pPr>
              <w:jc w:val="right"/>
              <w:spacing w:after="0" w:line="156" w:lineRule="exact"/>
              <w:rPr>
                <w:sz w:val="20"/>
                <w:szCs w:val="20"/>
                <w:color w:val="auto"/>
              </w:rPr>
            </w:pPr>
            <w:r>
              <w:rPr>
                <w:rFonts w:ascii="Arial" w:cs="Arial" w:eastAsia="Arial" w:hAnsi="Arial"/>
                <w:sz w:val="15"/>
                <w:szCs w:val="15"/>
                <w:color w:val="auto"/>
              </w:rPr>
              <w:t>$</w:t>
            </w:r>
          </w:p>
        </w:tc>
        <w:tc>
          <w:tcPr>
            <w:tcW w:w="840" w:type="dxa"/>
            <w:vAlign w:val="bottom"/>
          </w:tcPr>
          <w:p>
            <w:pPr>
              <w:jc w:val="right"/>
              <w:ind w:right="86"/>
              <w:spacing w:after="0" w:line="156" w:lineRule="exact"/>
              <w:rPr>
                <w:sz w:val="20"/>
                <w:szCs w:val="20"/>
                <w:color w:val="auto"/>
              </w:rPr>
            </w:pPr>
            <w:r>
              <w:rPr>
                <w:rFonts w:ascii="Arial" w:cs="Arial" w:eastAsia="Arial" w:hAnsi="Arial"/>
                <w:sz w:val="15"/>
                <w:szCs w:val="15"/>
                <w:color w:val="auto"/>
              </w:rPr>
              <w:t>945,123</w:t>
            </w:r>
          </w:p>
        </w:tc>
        <w:tc>
          <w:tcPr>
            <w:tcW w:w="260" w:type="dxa"/>
            <w:vAlign w:val="bottom"/>
          </w:tcPr>
          <w:p>
            <w:pPr>
              <w:jc w:val="right"/>
              <w:spacing w:after="0" w:line="156" w:lineRule="exact"/>
              <w:rPr>
                <w:sz w:val="20"/>
                <w:szCs w:val="20"/>
                <w:color w:val="auto"/>
              </w:rPr>
            </w:pPr>
            <w:r>
              <w:rPr>
                <w:rFonts w:ascii="Arial" w:cs="Arial" w:eastAsia="Arial" w:hAnsi="Arial"/>
                <w:sz w:val="15"/>
                <w:szCs w:val="15"/>
                <w:color w:val="auto"/>
              </w:rPr>
              <w:t>$</w:t>
            </w:r>
          </w:p>
        </w:tc>
        <w:tc>
          <w:tcPr>
            <w:tcW w:w="740" w:type="dxa"/>
            <w:vAlign w:val="bottom"/>
          </w:tcPr>
          <w:p>
            <w:pPr>
              <w:jc w:val="right"/>
              <w:spacing w:after="0" w:line="156" w:lineRule="exact"/>
              <w:rPr>
                <w:sz w:val="20"/>
                <w:szCs w:val="20"/>
                <w:color w:val="auto"/>
              </w:rPr>
            </w:pPr>
            <w:r>
              <w:rPr>
                <w:rFonts w:ascii="Arial" w:cs="Arial" w:eastAsia="Arial" w:hAnsi="Arial"/>
                <w:sz w:val="15"/>
                <w:szCs w:val="15"/>
                <w:color w:val="auto"/>
              </w:rPr>
              <w:t>851,854</w:t>
            </w:r>
          </w:p>
        </w:tc>
      </w:tr>
      <w:tr>
        <w:trPr>
          <w:trHeight w:val="156"/>
        </w:trPr>
        <w:tc>
          <w:tcPr>
            <w:tcW w:w="2340" w:type="dxa"/>
            <w:vAlign w:val="bottom"/>
            <w:shd w:val="clear" w:color="auto" w:fill="CCEEFF"/>
          </w:tcPr>
          <w:p>
            <w:pPr>
              <w:ind w:left="140"/>
              <w:spacing w:after="0" w:line="156" w:lineRule="exact"/>
              <w:rPr>
                <w:sz w:val="20"/>
                <w:szCs w:val="20"/>
                <w:color w:val="auto"/>
              </w:rPr>
            </w:pPr>
            <w:r>
              <w:rPr>
                <w:rFonts w:ascii="Arial" w:cs="Arial" w:eastAsia="Arial" w:hAnsi="Arial"/>
                <w:sz w:val="15"/>
                <w:szCs w:val="15"/>
                <w:color w:val="auto"/>
              </w:rPr>
              <w:t>Southeast Group</w:t>
            </w:r>
          </w:p>
        </w:tc>
        <w:tc>
          <w:tcPr>
            <w:tcW w:w="30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86"/>
              <w:spacing w:after="0" w:line="156" w:lineRule="exact"/>
              <w:rPr>
                <w:sz w:val="20"/>
                <w:szCs w:val="20"/>
                <w:color w:val="auto"/>
              </w:rPr>
            </w:pPr>
            <w:r>
              <w:rPr>
                <w:rFonts w:ascii="Arial" w:cs="Arial" w:eastAsia="Arial" w:hAnsi="Arial"/>
                <w:sz w:val="15"/>
                <w:szCs w:val="15"/>
                <w:b w:val="1"/>
                <w:bCs w:val="1"/>
                <w:color w:val="auto"/>
              </w:rPr>
              <w:t>348,409</w:t>
            </w: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86"/>
              <w:spacing w:after="0" w:line="156" w:lineRule="exact"/>
              <w:rPr>
                <w:sz w:val="20"/>
                <w:szCs w:val="20"/>
                <w:color w:val="auto"/>
              </w:rPr>
            </w:pPr>
            <w:r>
              <w:rPr>
                <w:rFonts w:ascii="Arial" w:cs="Arial" w:eastAsia="Arial" w:hAnsi="Arial"/>
                <w:sz w:val="15"/>
                <w:szCs w:val="15"/>
                <w:color w:val="auto"/>
              </w:rPr>
              <w:t>304,451</w:t>
            </w:r>
          </w:p>
        </w:tc>
        <w:tc>
          <w:tcPr>
            <w:tcW w:w="2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285,302</w:t>
            </w:r>
          </w:p>
        </w:tc>
      </w:tr>
      <w:tr>
        <w:trPr>
          <w:trHeight w:val="156"/>
        </w:trPr>
        <w:tc>
          <w:tcPr>
            <w:tcW w:w="2340" w:type="dxa"/>
            <w:vAlign w:val="bottom"/>
            <w:tcBorders>
              <w:bottom w:val="single" w:sz="8" w:color="auto"/>
            </w:tcBorders>
          </w:tcPr>
          <w:p>
            <w:pPr>
              <w:ind w:left="140"/>
              <w:spacing w:after="0" w:line="156" w:lineRule="exact"/>
              <w:rPr>
                <w:sz w:val="20"/>
                <w:szCs w:val="20"/>
                <w:color w:val="auto"/>
              </w:rPr>
            </w:pPr>
            <w:r>
              <w:rPr>
                <w:rFonts w:ascii="Arial" w:cs="Arial" w:eastAsia="Arial" w:hAnsi="Arial"/>
                <w:sz w:val="15"/>
                <w:szCs w:val="15"/>
                <w:color w:val="auto"/>
              </w:rPr>
              <w:t>West Group</w:t>
            </w:r>
          </w:p>
        </w:tc>
        <w:tc>
          <w:tcPr>
            <w:tcW w:w="3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86"/>
              <w:spacing w:after="0" w:line="156" w:lineRule="exact"/>
              <w:rPr>
                <w:sz w:val="20"/>
                <w:szCs w:val="20"/>
                <w:color w:val="auto"/>
              </w:rPr>
            </w:pPr>
            <w:r>
              <w:rPr>
                <w:rFonts w:ascii="Arial" w:cs="Arial" w:eastAsia="Arial" w:hAnsi="Arial"/>
                <w:sz w:val="15"/>
                <w:szCs w:val="15"/>
                <w:b w:val="1"/>
                <w:bCs w:val="1"/>
                <w:color w:val="auto"/>
                <w:w w:val="98"/>
              </w:rPr>
              <w:t>2,142,839</w:t>
            </w: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86"/>
              <w:spacing w:after="0" w:line="156" w:lineRule="exact"/>
              <w:rPr>
                <w:sz w:val="20"/>
                <w:szCs w:val="20"/>
                <w:color w:val="auto"/>
              </w:rPr>
            </w:pPr>
            <w:r>
              <w:rPr>
                <w:rFonts w:ascii="Arial" w:cs="Arial" w:eastAsia="Arial" w:hAnsi="Arial"/>
                <w:sz w:val="15"/>
                <w:szCs w:val="15"/>
                <w:color w:val="auto"/>
                <w:w w:val="98"/>
              </w:rPr>
              <w:t>2,089,192</w:t>
            </w:r>
          </w:p>
        </w:tc>
        <w:tc>
          <w:tcPr>
            <w:tcW w:w="2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1,903,452</w:t>
            </w:r>
          </w:p>
        </w:tc>
      </w:tr>
      <w:tr>
        <w:trPr>
          <w:trHeight w:val="149"/>
        </w:trPr>
        <w:tc>
          <w:tcPr>
            <w:tcW w:w="234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Total Building Materials Business</w:t>
            </w: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86"/>
              <w:spacing w:after="0" w:line="149" w:lineRule="exact"/>
              <w:rPr>
                <w:sz w:val="20"/>
                <w:szCs w:val="20"/>
                <w:color w:val="auto"/>
              </w:rPr>
            </w:pPr>
            <w:r>
              <w:rPr>
                <w:rFonts w:ascii="Arial" w:cs="Arial" w:eastAsia="Arial" w:hAnsi="Arial"/>
                <w:sz w:val="15"/>
                <w:szCs w:val="15"/>
                <w:b w:val="1"/>
                <w:bCs w:val="1"/>
                <w:color w:val="auto"/>
                <w:w w:val="98"/>
              </w:rPr>
              <w:t>3,473,357</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86"/>
              <w:spacing w:after="0" w:line="149" w:lineRule="exact"/>
              <w:rPr>
                <w:sz w:val="20"/>
                <w:szCs w:val="20"/>
                <w:color w:val="auto"/>
              </w:rPr>
            </w:pPr>
            <w:r>
              <w:rPr>
                <w:rFonts w:ascii="Arial" w:cs="Arial" w:eastAsia="Arial" w:hAnsi="Arial"/>
                <w:sz w:val="15"/>
                <w:szCs w:val="15"/>
                <w:color w:val="auto"/>
                <w:w w:val="98"/>
              </w:rPr>
              <w:t>3,338,766</w:t>
            </w: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3,040,608</w:t>
            </w:r>
          </w:p>
        </w:tc>
      </w:tr>
      <w:tr>
        <w:trPr>
          <w:trHeight w:val="156"/>
        </w:trPr>
        <w:tc>
          <w:tcPr>
            <w:tcW w:w="2340" w:type="dxa"/>
            <w:vAlign w:val="bottom"/>
            <w:tcBorders>
              <w:bottom w:val="single" w:sz="8" w:color="auto"/>
            </w:tcBorders>
          </w:tcPr>
          <w:p>
            <w:pPr>
              <w:spacing w:after="0" w:line="156" w:lineRule="exact"/>
              <w:rPr>
                <w:sz w:val="20"/>
                <w:szCs w:val="20"/>
                <w:color w:val="auto"/>
              </w:rPr>
            </w:pPr>
            <w:r>
              <w:rPr>
                <w:rFonts w:ascii="Arial" w:cs="Arial" w:eastAsia="Arial" w:hAnsi="Arial"/>
                <w:sz w:val="15"/>
                <w:szCs w:val="15"/>
                <w:color w:val="auto"/>
              </w:rPr>
              <w:t>Magnesia Specialties</w:t>
            </w:r>
          </w:p>
        </w:tc>
        <w:tc>
          <w:tcPr>
            <w:tcW w:w="3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86"/>
              <w:spacing w:after="0" w:line="156" w:lineRule="exact"/>
              <w:rPr>
                <w:sz w:val="20"/>
                <w:szCs w:val="20"/>
                <w:color w:val="auto"/>
              </w:rPr>
            </w:pPr>
            <w:r>
              <w:rPr>
                <w:rFonts w:ascii="Arial" w:cs="Arial" w:eastAsia="Arial" w:hAnsi="Arial"/>
                <w:sz w:val="15"/>
                <w:szCs w:val="15"/>
                <w:b w:val="1"/>
                <w:bCs w:val="1"/>
                <w:color w:val="auto"/>
              </w:rPr>
              <w:t>248,071</w:t>
            </w: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86"/>
              <w:spacing w:after="0" w:line="156" w:lineRule="exact"/>
              <w:rPr>
                <w:sz w:val="20"/>
                <w:szCs w:val="20"/>
                <w:color w:val="auto"/>
              </w:rPr>
            </w:pPr>
            <w:r>
              <w:rPr>
                <w:rFonts w:ascii="Arial" w:cs="Arial" w:eastAsia="Arial" w:hAnsi="Arial"/>
                <w:sz w:val="15"/>
                <w:szCs w:val="15"/>
                <w:color w:val="auto"/>
              </w:rPr>
              <w:t>238,001</w:t>
            </w:r>
          </w:p>
        </w:tc>
        <w:tc>
          <w:tcPr>
            <w:tcW w:w="2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227,508</w:t>
            </w:r>
          </w:p>
        </w:tc>
      </w:tr>
      <w:tr>
        <w:trPr>
          <w:trHeight w:val="155"/>
        </w:trPr>
        <w:tc>
          <w:tcPr>
            <w:tcW w:w="234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5"/>
                <w:szCs w:val="15"/>
                <w:color w:val="auto"/>
              </w:rPr>
              <w:t>Total Consolidated Net Sales</w:t>
            </w:r>
          </w:p>
        </w:tc>
        <w:tc>
          <w:tcPr>
            <w:tcW w:w="3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840" w:type="dxa"/>
            <w:vAlign w:val="bottom"/>
            <w:tcBorders>
              <w:bottom w:val="single" w:sz="8" w:color="auto"/>
            </w:tcBorders>
            <w:shd w:val="clear" w:color="auto" w:fill="CCEEFF"/>
          </w:tcPr>
          <w:p>
            <w:pPr>
              <w:jc w:val="right"/>
              <w:ind w:right="86"/>
              <w:spacing w:after="0" w:line="149" w:lineRule="exact"/>
              <w:rPr>
                <w:sz w:val="20"/>
                <w:szCs w:val="20"/>
                <w:color w:val="auto"/>
              </w:rPr>
            </w:pPr>
            <w:r>
              <w:rPr>
                <w:rFonts w:ascii="Arial" w:cs="Arial" w:eastAsia="Arial" w:hAnsi="Arial"/>
                <w:sz w:val="15"/>
                <w:szCs w:val="15"/>
                <w:b w:val="1"/>
                <w:bCs w:val="1"/>
                <w:color w:val="auto"/>
                <w:w w:val="98"/>
              </w:rPr>
              <w:t>3,721,428</w:t>
            </w:r>
          </w:p>
        </w:tc>
        <w:tc>
          <w:tcPr>
            <w:tcW w:w="2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shd w:val="clear" w:color="auto" w:fill="CCEEFF"/>
          </w:tcPr>
          <w:p>
            <w:pPr>
              <w:jc w:val="right"/>
              <w:ind w:right="86"/>
              <w:spacing w:after="0" w:line="149" w:lineRule="exact"/>
              <w:rPr>
                <w:sz w:val="20"/>
                <w:szCs w:val="20"/>
                <w:color w:val="auto"/>
              </w:rPr>
            </w:pPr>
            <w:r>
              <w:rPr>
                <w:rFonts w:ascii="Arial" w:cs="Arial" w:eastAsia="Arial" w:hAnsi="Arial"/>
                <w:sz w:val="15"/>
                <w:szCs w:val="15"/>
                <w:color w:val="auto"/>
                <w:w w:val="98"/>
              </w:rPr>
              <w:t>3,576,767</w:t>
            </w:r>
          </w:p>
        </w:tc>
        <w:tc>
          <w:tcPr>
            <w:tcW w:w="2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3,268,116</w:t>
            </w:r>
          </w:p>
        </w:tc>
      </w:tr>
    </w:tbl>
    <w:p>
      <w:pPr>
        <w:spacing w:after="0" w:line="201" w:lineRule="exact"/>
        <w:rPr>
          <w:sz w:val="20"/>
          <w:szCs w:val="20"/>
          <w:color w:val="auto"/>
        </w:rPr>
      </w:pPr>
    </w:p>
    <w:p>
      <w:pPr>
        <w:sectPr>
          <w:pgSz w:w="11900" w:h="16838" w:orient="portrait"/>
          <w:cols w:equalWidth="0" w:num="2">
            <w:col w:w="5480" w:space="360"/>
            <w:col w:w="5580"/>
          </w:cols>
          <w:pgMar w:left="240" w:top="259" w:right="239" w:bottom="1440" w:gutter="0" w:footer="0" w:header="0"/>
          <w:type w:val="continuous"/>
        </w:sectPr>
      </w:pP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color w:val="8D5D6C"/>
        </w:rPr>
        <w:t>Total Revenues</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color w:val="auto"/>
        </w:rPr>
        <w:t>Total revenues by reportable segment are as follows:</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years ended December 31</w:t>
      </w:r>
    </w:p>
    <w:tbl>
      <w:tblPr>
        <w:tblLayout w:type="fixed"/>
        <w:tblInd w:w="0" w:type="dxa"/>
        <w:tblCellMar>
          <w:top w:w="0" w:type="dxa"/>
          <w:left w:w="0" w:type="dxa"/>
          <w:bottom w:w="0" w:type="dxa"/>
          <w:right w:w="0" w:type="dxa"/>
        </w:tblCellMar>
      </w:tblPr>
      <w:tr>
        <w:trPr>
          <w:trHeight w:val="159"/>
        </w:trPr>
        <w:tc>
          <w:tcPr>
            <w:tcW w:w="23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(add 000)</w:t>
            </w:r>
          </w:p>
        </w:tc>
        <w:tc>
          <w:tcPr>
            <w:tcW w:w="1100" w:type="dxa"/>
            <w:vAlign w:val="bottom"/>
            <w:tcBorders>
              <w:bottom w:val="single" w:sz="8" w:color="auto"/>
            </w:tcBorders>
          </w:tcPr>
          <w:p>
            <w:pPr>
              <w:jc w:val="right"/>
              <w:ind w:right="66"/>
              <w:spacing w:after="0" w:line="159" w:lineRule="exact"/>
              <w:rPr>
                <w:sz w:val="20"/>
                <w:szCs w:val="20"/>
                <w:color w:val="auto"/>
              </w:rPr>
            </w:pPr>
            <w:r>
              <w:rPr>
                <w:rFonts w:ascii="Arial" w:cs="Arial" w:eastAsia="Arial" w:hAnsi="Arial"/>
                <w:sz w:val="15"/>
                <w:szCs w:val="15"/>
                <w:b w:val="1"/>
                <w:bCs w:val="1"/>
                <w:color w:val="0085CD"/>
              </w:rPr>
              <w:t>2017</w:t>
            </w:r>
          </w:p>
        </w:tc>
        <w:tc>
          <w:tcPr>
            <w:tcW w:w="1100" w:type="dxa"/>
            <w:vAlign w:val="bottom"/>
            <w:tcBorders>
              <w:bottom w:val="single" w:sz="8" w:color="auto"/>
            </w:tcBorders>
          </w:tcPr>
          <w:p>
            <w:pPr>
              <w:jc w:val="right"/>
              <w:ind w:right="86"/>
              <w:spacing w:after="0" w:line="159" w:lineRule="exact"/>
              <w:rPr>
                <w:sz w:val="20"/>
                <w:szCs w:val="20"/>
                <w:color w:val="auto"/>
              </w:rPr>
            </w:pPr>
            <w:r>
              <w:rPr>
                <w:rFonts w:ascii="Arial" w:cs="Arial" w:eastAsia="Arial" w:hAnsi="Arial"/>
                <w:sz w:val="15"/>
                <w:szCs w:val="15"/>
                <w:color w:val="auto"/>
              </w:rPr>
              <w:t>2016</w:t>
            </w:r>
          </w:p>
        </w:tc>
        <w:tc>
          <w:tcPr>
            <w:tcW w:w="2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2015</w:t>
            </w:r>
          </w:p>
        </w:tc>
      </w:tr>
      <w:tr>
        <w:trPr>
          <w:trHeight w:val="149"/>
        </w:trPr>
        <w:tc>
          <w:tcPr>
            <w:tcW w:w="230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Building Materials Business:</w:t>
            </w:r>
          </w:p>
        </w:tc>
        <w:tc>
          <w:tcPr>
            <w:tcW w:w="1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r>
      <w:tr>
        <w:trPr>
          <w:trHeight w:val="156"/>
        </w:trPr>
        <w:tc>
          <w:tcPr>
            <w:tcW w:w="2300" w:type="dxa"/>
            <w:vAlign w:val="bottom"/>
          </w:tcPr>
          <w:p>
            <w:pPr>
              <w:ind w:left="160"/>
              <w:spacing w:after="0" w:line="156" w:lineRule="exact"/>
              <w:rPr>
                <w:sz w:val="20"/>
                <w:szCs w:val="20"/>
                <w:color w:val="auto"/>
              </w:rPr>
            </w:pPr>
            <w:r>
              <w:rPr>
                <w:rFonts w:ascii="Arial" w:cs="Arial" w:eastAsia="Arial" w:hAnsi="Arial"/>
                <w:sz w:val="15"/>
                <w:szCs w:val="15"/>
                <w:color w:val="auto"/>
              </w:rPr>
              <w:t>Mid-America Group</w:t>
            </w:r>
          </w:p>
        </w:tc>
        <w:tc>
          <w:tcPr>
            <w:tcW w:w="1100" w:type="dxa"/>
            <w:vAlign w:val="bottom"/>
          </w:tcPr>
          <w:p>
            <w:pPr>
              <w:jc w:val="right"/>
              <w:ind w:right="66"/>
              <w:spacing w:after="0" w:line="156" w:lineRule="exact"/>
              <w:rPr>
                <w:sz w:val="20"/>
                <w:szCs w:val="20"/>
                <w:color w:val="auto"/>
              </w:rPr>
            </w:pPr>
            <w:r>
              <w:rPr>
                <w:rFonts w:ascii="Arial" w:cs="Arial" w:eastAsia="Arial" w:hAnsi="Arial"/>
                <w:sz w:val="15"/>
                <w:szCs w:val="15"/>
                <w:b w:val="1"/>
                <w:bCs w:val="1"/>
                <w:color w:val="auto"/>
              </w:rPr>
              <w:t>$ 1,053,325</w:t>
            </w:r>
          </w:p>
        </w:tc>
        <w:tc>
          <w:tcPr>
            <w:tcW w:w="1100" w:type="dxa"/>
            <w:vAlign w:val="bottom"/>
          </w:tcPr>
          <w:p>
            <w:pPr>
              <w:jc w:val="right"/>
              <w:ind w:right="86"/>
              <w:spacing w:after="0" w:line="156" w:lineRule="exact"/>
              <w:rPr>
                <w:sz w:val="20"/>
                <w:szCs w:val="20"/>
                <w:color w:val="auto"/>
              </w:rPr>
            </w:pPr>
            <w:r>
              <w:rPr>
                <w:rFonts w:ascii="Arial" w:cs="Arial" w:eastAsia="Arial" w:hAnsi="Arial"/>
                <w:sz w:val="15"/>
                <w:szCs w:val="15"/>
                <w:color w:val="auto"/>
              </w:rPr>
              <w:t>$ 1,017,098</w:t>
            </w:r>
          </w:p>
        </w:tc>
        <w:tc>
          <w:tcPr>
            <w:tcW w:w="240" w:type="dxa"/>
            <w:vAlign w:val="bottom"/>
          </w:tcPr>
          <w:p>
            <w:pPr>
              <w:jc w:val="right"/>
              <w:spacing w:after="0" w:line="156" w:lineRule="exact"/>
              <w:rPr>
                <w:sz w:val="20"/>
                <w:szCs w:val="20"/>
                <w:color w:val="auto"/>
              </w:rPr>
            </w:pPr>
            <w:r>
              <w:rPr>
                <w:rFonts w:ascii="Arial" w:cs="Arial" w:eastAsia="Arial" w:hAnsi="Arial"/>
                <w:sz w:val="15"/>
                <w:szCs w:val="15"/>
                <w:color w:val="auto"/>
              </w:rPr>
              <w:t>$</w:t>
            </w:r>
          </w:p>
        </w:tc>
        <w:tc>
          <w:tcPr>
            <w:tcW w:w="740" w:type="dxa"/>
            <w:vAlign w:val="bottom"/>
          </w:tcPr>
          <w:p>
            <w:pPr>
              <w:jc w:val="right"/>
              <w:spacing w:after="0" w:line="156" w:lineRule="exact"/>
              <w:rPr>
                <w:sz w:val="20"/>
                <w:szCs w:val="20"/>
                <w:color w:val="auto"/>
              </w:rPr>
            </w:pPr>
            <w:r>
              <w:rPr>
                <w:rFonts w:ascii="Arial" w:cs="Arial" w:eastAsia="Arial" w:hAnsi="Arial"/>
                <w:sz w:val="15"/>
                <w:szCs w:val="15"/>
                <w:color w:val="auto"/>
              </w:rPr>
              <w:t>926,251</w:t>
            </w:r>
          </w:p>
        </w:tc>
      </w:tr>
      <w:tr>
        <w:trPr>
          <w:trHeight w:val="156"/>
        </w:trPr>
        <w:tc>
          <w:tcPr>
            <w:tcW w:w="2300" w:type="dxa"/>
            <w:vAlign w:val="bottom"/>
            <w:shd w:val="clear" w:color="auto" w:fill="CCEEFF"/>
          </w:tcPr>
          <w:p>
            <w:pPr>
              <w:ind w:left="160"/>
              <w:spacing w:after="0" w:line="156" w:lineRule="exact"/>
              <w:rPr>
                <w:sz w:val="20"/>
                <w:szCs w:val="20"/>
                <w:color w:val="auto"/>
              </w:rPr>
            </w:pPr>
            <w:r>
              <w:rPr>
                <w:rFonts w:ascii="Arial" w:cs="Arial" w:eastAsia="Arial" w:hAnsi="Arial"/>
                <w:sz w:val="15"/>
                <w:szCs w:val="15"/>
                <w:color w:val="auto"/>
              </w:rPr>
              <w:t>Southeast Group</w:t>
            </w:r>
          </w:p>
        </w:tc>
        <w:tc>
          <w:tcPr>
            <w:tcW w:w="1100" w:type="dxa"/>
            <w:vAlign w:val="bottom"/>
            <w:shd w:val="clear" w:color="auto" w:fill="CCEEFF"/>
          </w:tcPr>
          <w:p>
            <w:pPr>
              <w:jc w:val="right"/>
              <w:ind w:right="66"/>
              <w:spacing w:after="0" w:line="156" w:lineRule="exact"/>
              <w:rPr>
                <w:sz w:val="20"/>
                <w:szCs w:val="20"/>
                <w:color w:val="auto"/>
              </w:rPr>
            </w:pPr>
            <w:r>
              <w:rPr>
                <w:rFonts w:ascii="Arial" w:cs="Arial" w:eastAsia="Arial" w:hAnsi="Arial"/>
                <w:sz w:val="15"/>
                <w:szCs w:val="15"/>
                <w:b w:val="1"/>
                <w:bCs w:val="1"/>
                <w:color w:val="auto"/>
              </w:rPr>
              <w:t>362,555</w:t>
            </w:r>
          </w:p>
        </w:tc>
        <w:tc>
          <w:tcPr>
            <w:tcW w:w="1100" w:type="dxa"/>
            <w:vAlign w:val="bottom"/>
            <w:shd w:val="clear" w:color="auto" w:fill="CCEEFF"/>
          </w:tcPr>
          <w:p>
            <w:pPr>
              <w:jc w:val="right"/>
              <w:ind w:right="86"/>
              <w:spacing w:after="0" w:line="156" w:lineRule="exact"/>
              <w:rPr>
                <w:sz w:val="20"/>
                <w:szCs w:val="20"/>
                <w:color w:val="auto"/>
              </w:rPr>
            </w:pPr>
            <w:r>
              <w:rPr>
                <w:rFonts w:ascii="Arial" w:cs="Arial" w:eastAsia="Arial" w:hAnsi="Arial"/>
                <w:sz w:val="15"/>
                <w:szCs w:val="15"/>
                <w:color w:val="auto"/>
              </w:rPr>
              <w:t>321,078</w:t>
            </w:r>
          </w:p>
        </w:tc>
        <w:tc>
          <w:tcPr>
            <w:tcW w:w="2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304,472</w:t>
            </w:r>
          </w:p>
        </w:tc>
      </w:tr>
      <w:tr>
        <w:trPr>
          <w:trHeight w:val="156"/>
        </w:trPr>
        <w:tc>
          <w:tcPr>
            <w:tcW w:w="2300" w:type="dxa"/>
            <w:vAlign w:val="bottom"/>
            <w:tcBorders>
              <w:bottom w:val="single" w:sz="8" w:color="auto"/>
            </w:tcBorders>
          </w:tcPr>
          <w:p>
            <w:pPr>
              <w:ind w:left="160"/>
              <w:spacing w:after="0" w:line="156" w:lineRule="exact"/>
              <w:rPr>
                <w:sz w:val="20"/>
                <w:szCs w:val="20"/>
                <w:color w:val="auto"/>
              </w:rPr>
            </w:pPr>
            <w:r>
              <w:rPr>
                <w:rFonts w:ascii="Arial" w:cs="Arial" w:eastAsia="Arial" w:hAnsi="Arial"/>
                <w:sz w:val="15"/>
                <w:szCs w:val="15"/>
                <w:color w:val="auto"/>
              </w:rPr>
              <w:t>West Group</w:t>
            </w:r>
          </w:p>
        </w:tc>
        <w:tc>
          <w:tcPr>
            <w:tcW w:w="1100" w:type="dxa"/>
            <w:vAlign w:val="bottom"/>
            <w:tcBorders>
              <w:bottom w:val="single" w:sz="8" w:color="auto"/>
            </w:tcBorders>
          </w:tcPr>
          <w:p>
            <w:pPr>
              <w:jc w:val="right"/>
              <w:ind w:right="66"/>
              <w:spacing w:after="0" w:line="156" w:lineRule="exact"/>
              <w:rPr>
                <w:sz w:val="20"/>
                <w:szCs w:val="20"/>
                <w:color w:val="auto"/>
              </w:rPr>
            </w:pPr>
            <w:r>
              <w:rPr>
                <w:rFonts w:ascii="Arial" w:cs="Arial" w:eastAsia="Arial" w:hAnsi="Arial"/>
                <w:sz w:val="15"/>
                <w:szCs w:val="15"/>
                <w:b w:val="1"/>
                <w:bCs w:val="1"/>
                <w:color w:val="auto"/>
              </w:rPr>
              <w:t>2,279,723</w:t>
            </w:r>
          </w:p>
        </w:tc>
        <w:tc>
          <w:tcPr>
            <w:tcW w:w="1100" w:type="dxa"/>
            <w:vAlign w:val="bottom"/>
            <w:tcBorders>
              <w:bottom w:val="single" w:sz="8" w:color="auto"/>
            </w:tcBorders>
          </w:tcPr>
          <w:p>
            <w:pPr>
              <w:jc w:val="right"/>
              <w:ind w:right="86"/>
              <w:spacing w:after="0" w:line="156" w:lineRule="exact"/>
              <w:rPr>
                <w:sz w:val="20"/>
                <w:szCs w:val="20"/>
                <w:color w:val="auto"/>
              </w:rPr>
            </w:pPr>
            <w:r>
              <w:rPr>
                <w:rFonts w:ascii="Arial" w:cs="Arial" w:eastAsia="Arial" w:hAnsi="Arial"/>
                <w:sz w:val="15"/>
                <w:szCs w:val="15"/>
                <w:color w:val="auto"/>
              </w:rPr>
              <w:t>2,223,515</w:t>
            </w:r>
          </w:p>
        </w:tc>
        <w:tc>
          <w:tcPr>
            <w:tcW w:w="2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2,062,968</w:t>
            </w:r>
          </w:p>
        </w:tc>
      </w:tr>
      <w:tr>
        <w:trPr>
          <w:trHeight w:val="149"/>
        </w:trPr>
        <w:tc>
          <w:tcPr>
            <w:tcW w:w="230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Total Building Materials Business</w:t>
            </w:r>
          </w:p>
        </w:tc>
        <w:tc>
          <w:tcPr>
            <w:tcW w:w="1100" w:type="dxa"/>
            <w:vAlign w:val="bottom"/>
            <w:shd w:val="clear" w:color="auto" w:fill="CCEEFF"/>
          </w:tcPr>
          <w:p>
            <w:pPr>
              <w:jc w:val="right"/>
              <w:ind w:right="66"/>
              <w:spacing w:after="0" w:line="149" w:lineRule="exact"/>
              <w:rPr>
                <w:sz w:val="20"/>
                <w:szCs w:val="20"/>
                <w:color w:val="auto"/>
              </w:rPr>
            </w:pPr>
            <w:r>
              <w:rPr>
                <w:rFonts w:ascii="Arial" w:cs="Arial" w:eastAsia="Arial" w:hAnsi="Arial"/>
                <w:sz w:val="15"/>
                <w:szCs w:val="15"/>
                <w:b w:val="1"/>
                <w:bCs w:val="1"/>
                <w:color w:val="auto"/>
              </w:rPr>
              <w:t>3,695,603</w:t>
            </w:r>
          </w:p>
        </w:tc>
        <w:tc>
          <w:tcPr>
            <w:tcW w:w="1100" w:type="dxa"/>
            <w:vAlign w:val="bottom"/>
            <w:shd w:val="clear" w:color="auto" w:fill="CCEEFF"/>
          </w:tcPr>
          <w:p>
            <w:pPr>
              <w:jc w:val="right"/>
              <w:ind w:right="86"/>
              <w:spacing w:after="0" w:line="149" w:lineRule="exact"/>
              <w:rPr>
                <w:sz w:val="20"/>
                <w:szCs w:val="20"/>
                <w:color w:val="auto"/>
              </w:rPr>
            </w:pPr>
            <w:r>
              <w:rPr>
                <w:rFonts w:ascii="Arial" w:cs="Arial" w:eastAsia="Arial" w:hAnsi="Arial"/>
                <w:sz w:val="15"/>
                <w:szCs w:val="15"/>
                <w:color w:val="auto"/>
              </w:rPr>
              <w:t>3,561,691</w:t>
            </w: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3,293,691</w:t>
            </w:r>
          </w:p>
        </w:tc>
      </w:tr>
      <w:tr>
        <w:trPr>
          <w:trHeight w:val="156"/>
        </w:trPr>
        <w:tc>
          <w:tcPr>
            <w:tcW w:w="2300" w:type="dxa"/>
            <w:vAlign w:val="bottom"/>
            <w:tcBorders>
              <w:bottom w:val="single" w:sz="8" w:color="auto"/>
            </w:tcBorders>
          </w:tcPr>
          <w:p>
            <w:pPr>
              <w:spacing w:after="0" w:line="156" w:lineRule="exact"/>
              <w:rPr>
                <w:sz w:val="20"/>
                <w:szCs w:val="20"/>
                <w:color w:val="auto"/>
              </w:rPr>
            </w:pPr>
            <w:r>
              <w:rPr>
                <w:rFonts w:ascii="Arial" w:cs="Arial" w:eastAsia="Arial" w:hAnsi="Arial"/>
                <w:sz w:val="15"/>
                <w:szCs w:val="15"/>
                <w:color w:val="auto"/>
              </w:rPr>
              <w:t>Magnesia Specialties</w:t>
            </w:r>
          </w:p>
        </w:tc>
        <w:tc>
          <w:tcPr>
            <w:tcW w:w="1100" w:type="dxa"/>
            <w:vAlign w:val="bottom"/>
            <w:tcBorders>
              <w:bottom w:val="single" w:sz="8" w:color="auto"/>
            </w:tcBorders>
          </w:tcPr>
          <w:p>
            <w:pPr>
              <w:jc w:val="right"/>
              <w:ind w:right="66"/>
              <w:spacing w:after="0" w:line="156" w:lineRule="exact"/>
              <w:rPr>
                <w:sz w:val="20"/>
                <w:szCs w:val="20"/>
                <w:color w:val="auto"/>
              </w:rPr>
            </w:pPr>
            <w:r>
              <w:rPr>
                <w:rFonts w:ascii="Arial" w:cs="Arial" w:eastAsia="Arial" w:hAnsi="Arial"/>
                <w:sz w:val="15"/>
                <w:szCs w:val="15"/>
                <w:b w:val="1"/>
                <w:bCs w:val="1"/>
                <w:color w:val="auto"/>
              </w:rPr>
              <w:t>269,991</w:t>
            </w:r>
          </w:p>
        </w:tc>
        <w:tc>
          <w:tcPr>
            <w:tcW w:w="1100" w:type="dxa"/>
            <w:vAlign w:val="bottom"/>
            <w:tcBorders>
              <w:bottom w:val="single" w:sz="8" w:color="auto"/>
            </w:tcBorders>
          </w:tcPr>
          <w:p>
            <w:pPr>
              <w:jc w:val="right"/>
              <w:ind w:right="86"/>
              <w:spacing w:after="0" w:line="156" w:lineRule="exact"/>
              <w:rPr>
                <w:sz w:val="20"/>
                <w:szCs w:val="20"/>
                <w:color w:val="auto"/>
              </w:rPr>
            </w:pPr>
            <w:r>
              <w:rPr>
                <w:rFonts w:ascii="Arial" w:cs="Arial" w:eastAsia="Arial" w:hAnsi="Arial"/>
                <w:sz w:val="15"/>
                <w:szCs w:val="15"/>
                <w:color w:val="auto"/>
              </w:rPr>
              <w:t>257,058</w:t>
            </w:r>
          </w:p>
        </w:tc>
        <w:tc>
          <w:tcPr>
            <w:tcW w:w="2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245,879</w:t>
            </w:r>
          </w:p>
        </w:tc>
      </w:tr>
      <w:tr>
        <w:trPr>
          <w:trHeight w:val="155"/>
        </w:trPr>
        <w:tc>
          <w:tcPr>
            <w:tcW w:w="230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5"/>
                <w:szCs w:val="15"/>
                <w:color w:val="auto"/>
              </w:rPr>
              <w:t>Total Consolidated Revenues</w:t>
            </w:r>
          </w:p>
        </w:tc>
        <w:tc>
          <w:tcPr>
            <w:tcW w:w="1100" w:type="dxa"/>
            <w:vAlign w:val="bottom"/>
            <w:tcBorders>
              <w:bottom w:val="single" w:sz="8" w:color="auto"/>
            </w:tcBorders>
            <w:shd w:val="clear" w:color="auto" w:fill="CCEEFF"/>
          </w:tcPr>
          <w:p>
            <w:pPr>
              <w:jc w:val="right"/>
              <w:ind w:right="66"/>
              <w:spacing w:after="0" w:line="149" w:lineRule="exact"/>
              <w:rPr>
                <w:sz w:val="20"/>
                <w:szCs w:val="20"/>
                <w:color w:val="auto"/>
              </w:rPr>
            </w:pPr>
            <w:r>
              <w:rPr>
                <w:rFonts w:ascii="Arial" w:cs="Arial" w:eastAsia="Arial" w:hAnsi="Arial"/>
                <w:sz w:val="15"/>
                <w:szCs w:val="15"/>
                <w:b w:val="1"/>
                <w:bCs w:val="1"/>
                <w:color w:val="auto"/>
              </w:rPr>
              <w:t>$ 3,965,594</w:t>
            </w:r>
          </w:p>
        </w:tc>
        <w:tc>
          <w:tcPr>
            <w:tcW w:w="1100" w:type="dxa"/>
            <w:vAlign w:val="bottom"/>
            <w:tcBorders>
              <w:bottom w:val="single" w:sz="8" w:color="auto"/>
            </w:tcBorders>
            <w:shd w:val="clear" w:color="auto" w:fill="CCEEFF"/>
          </w:tcPr>
          <w:p>
            <w:pPr>
              <w:jc w:val="right"/>
              <w:ind w:right="86"/>
              <w:spacing w:after="0" w:line="149" w:lineRule="exact"/>
              <w:rPr>
                <w:sz w:val="20"/>
                <w:szCs w:val="20"/>
                <w:color w:val="auto"/>
              </w:rPr>
            </w:pPr>
            <w:r>
              <w:rPr>
                <w:rFonts w:ascii="Arial" w:cs="Arial" w:eastAsia="Arial" w:hAnsi="Arial"/>
                <w:sz w:val="15"/>
                <w:szCs w:val="15"/>
                <w:color w:val="auto"/>
              </w:rPr>
              <w:t>$ 3,818,749</w:t>
            </w:r>
          </w:p>
        </w:tc>
        <w:tc>
          <w:tcPr>
            <w:tcW w:w="2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3,539,570</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Net sales by product line for the Company are as follows:</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years ended December 31</w:t>
      </w:r>
    </w:p>
    <w:tbl>
      <w:tblPr>
        <w:tblLayout w:type="fixed"/>
        <w:tblInd w:w="0" w:type="dxa"/>
        <w:tblCellMar>
          <w:top w:w="0" w:type="dxa"/>
          <w:left w:w="0" w:type="dxa"/>
          <w:bottom w:w="0" w:type="dxa"/>
          <w:right w:w="0" w:type="dxa"/>
        </w:tblCellMar>
      </w:tblPr>
      <w:tr>
        <w:trPr>
          <w:trHeight w:val="159"/>
        </w:trPr>
        <w:tc>
          <w:tcPr>
            <w:tcW w:w="23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(add 000)</w:t>
            </w:r>
          </w:p>
        </w:tc>
        <w:tc>
          <w:tcPr>
            <w:tcW w:w="1160" w:type="dxa"/>
            <w:vAlign w:val="bottom"/>
            <w:tcBorders>
              <w:bottom w:val="single" w:sz="8" w:color="auto"/>
            </w:tcBorders>
          </w:tcPr>
          <w:p>
            <w:pPr>
              <w:jc w:val="right"/>
              <w:ind w:right="86"/>
              <w:spacing w:after="0" w:line="159" w:lineRule="exact"/>
              <w:rPr>
                <w:sz w:val="20"/>
                <w:szCs w:val="20"/>
                <w:color w:val="auto"/>
              </w:rPr>
            </w:pPr>
            <w:r>
              <w:rPr>
                <w:rFonts w:ascii="Arial" w:cs="Arial" w:eastAsia="Arial" w:hAnsi="Arial"/>
                <w:sz w:val="15"/>
                <w:szCs w:val="15"/>
                <w:b w:val="1"/>
                <w:bCs w:val="1"/>
                <w:color w:val="0085CD"/>
              </w:rPr>
              <w:t>2017</w:t>
            </w:r>
          </w:p>
        </w:tc>
        <w:tc>
          <w:tcPr>
            <w:tcW w:w="1080" w:type="dxa"/>
            <w:vAlign w:val="bottom"/>
            <w:tcBorders>
              <w:bottom w:val="single" w:sz="8" w:color="auto"/>
            </w:tcBorders>
          </w:tcPr>
          <w:p>
            <w:pPr>
              <w:jc w:val="right"/>
              <w:ind w:right="86"/>
              <w:spacing w:after="0" w:line="159" w:lineRule="exact"/>
              <w:rPr>
                <w:sz w:val="20"/>
                <w:szCs w:val="20"/>
                <w:color w:val="auto"/>
              </w:rPr>
            </w:pPr>
            <w:r>
              <w:rPr>
                <w:rFonts w:ascii="Arial" w:cs="Arial" w:eastAsia="Arial" w:hAnsi="Arial"/>
                <w:sz w:val="15"/>
                <w:szCs w:val="15"/>
                <w:color w:val="auto"/>
              </w:rPr>
              <w:t>2016</w:t>
            </w:r>
          </w:p>
        </w:tc>
        <w:tc>
          <w:tcPr>
            <w:tcW w:w="1000" w:type="dxa"/>
            <w:vAlign w:val="bottom"/>
            <w:tcBorders>
              <w:bottom w:val="single" w:sz="8" w:color="auto"/>
            </w:tcBorders>
          </w:tcPr>
          <w:p>
            <w:pPr>
              <w:jc w:val="right"/>
              <w:ind w:right="6"/>
              <w:spacing w:after="0" w:line="159" w:lineRule="exact"/>
              <w:rPr>
                <w:sz w:val="20"/>
                <w:szCs w:val="20"/>
                <w:color w:val="auto"/>
              </w:rPr>
            </w:pPr>
            <w:r>
              <w:rPr>
                <w:rFonts w:ascii="Arial" w:cs="Arial" w:eastAsia="Arial" w:hAnsi="Arial"/>
                <w:sz w:val="15"/>
                <w:szCs w:val="15"/>
                <w:color w:val="auto"/>
              </w:rPr>
              <w:t>2015</w:t>
            </w:r>
          </w:p>
        </w:tc>
      </w:tr>
      <w:tr>
        <w:trPr>
          <w:trHeight w:val="149"/>
        </w:trPr>
        <w:tc>
          <w:tcPr>
            <w:tcW w:w="234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Building Materials Business:</w:t>
            </w:r>
          </w:p>
        </w:tc>
        <w:tc>
          <w:tcPr>
            <w:tcW w:w="1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156"/>
        </w:trPr>
        <w:tc>
          <w:tcPr>
            <w:tcW w:w="2340" w:type="dxa"/>
            <w:vAlign w:val="bottom"/>
          </w:tcPr>
          <w:p>
            <w:pPr>
              <w:ind w:left="140"/>
              <w:spacing w:after="0" w:line="156" w:lineRule="exact"/>
              <w:rPr>
                <w:sz w:val="20"/>
                <w:szCs w:val="20"/>
                <w:color w:val="auto"/>
              </w:rPr>
            </w:pPr>
            <w:r>
              <w:rPr>
                <w:rFonts w:ascii="Arial" w:cs="Arial" w:eastAsia="Arial" w:hAnsi="Arial"/>
                <w:sz w:val="15"/>
                <w:szCs w:val="15"/>
                <w:color w:val="auto"/>
              </w:rPr>
              <w:t>Aggregates</w:t>
            </w:r>
          </w:p>
        </w:tc>
        <w:tc>
          <w:tcPr>
            <w:tcW w:w="1160" w:type="dxa"/>
            <w:vAlign w:val="bottom"/>
          </w:tcPr>
          <w:p>
            <w:pPr>
              <w:jc w:val="right"/>
              <w:ind w:right="86"/>
              <w:spacing w:after="0" w:line="156" w:lineRule="exact"/>
              <w:rPr>
                <w:sz w:val="20"/>
                <w:szCs w:val="20"/>
                <w:color w:val="auto"/>
              </w:rPr>
            </w:pPr>
            <w:r>
              <w:rPr>
                <w:rFonts w:ascii="Arial" w:cs="Arial" w:eastAsia="Arial" w:hAnsi="Arial"/>
                <w:sz w:val="15"/>
                <w:szCs w:val="15"/>
                <w:b w:val="1"/>
                <w:bCs w:val="1"/>
                <w:color w:val="auto"/>
              </w:rPr>
              <w:t>$ 2,137,225</w:t>
            </w:r>
          </w:p>
        </w:tc>
        <w:tc>
          <w:tcPr>
            <w:tcW w:w="1080" w:type="dxa"/>
            <w:vAlign w:val="bottom"/>
          </w:tcPr>
          <w:p>
            <w:pPr>
              <w:jc w:val="right"/>
              <w:ind w:right="86"/>
              <w:spacing w:after="0" w:line="156" w:lineRule="exact"/>
              <w:rPr>
                <w:sz w:val="20"/>
                <w:szCs w:val="20"/>
                <w:color w:val="auto"/>
              </w:rPr>
            </w:pPr>
            <w:r>
              <w:rPr>
                <w:rFonts w:ascii="Arial" w:cs="Arial" w:eastAsia="Arial" w:hAnsi="Arial"/>
                <w:sz w:val="15"/>
                <w:szCs w:val="15"/>
                <w:color w:val="auto"/>
              </w:rPr>
              <w:t>$ 2,060,876</w:t>
            </w:r>
          </w:p>
        </w:tc>
        <w:tc>
          <w:tcPr>
            <w:tcW w:w="1000" w:type="dxa"/>
            <w:vAlign w:val="bottom"/>
          </w:tcPr>
          <w:p>
            <w:pPr>
              <w:jc w:val="right"/>
              <w:ind w:right="6"/>
              <w:spacing w:after="0" w:line="156" w:lineRule="exact"/>
              <w:rPr>
                <w:sz w:val="20"/>
                <w:szCs w:val="20"/>
                <w:color w:val="auto"/>
              </w:rPr>
            </w:pPr>
            <w:r>
              <w:rPr>
                <w:rFonts w:ascii="Arial" w:cs="Arial" w:eastAsia="Arial" w:hAnsi="Arial"/>
                <w:sz w:val="15"/>
                <w:szCs w:val="15"/>
                <w:color w:val="auto"/>
              </w:rPr>
              <w:t>$ 1,896,143</w:t>
            </w:r>
          </w:p>
        </w:tc>
      </w:tr>
      <w:tr>
        <w:trPr>
          <w:trHeight w:val="156"/>
        </w:trPr>
        <w:tc>
          <w:tcPr>
            <w:tcW w:w="2340" w:type="dxa"/>
            <w:vAlign w:val="bottom"/>
            <w:shd w:val="clear" w:color="auto" w:fill="CCEEFF"/>
          </w:tcPr>
          <w:p>
            <w:pPr>
              <w:ind w:left="140"/>
              <w:spacing w:after="0" w:line="156" w:lineRule="exact"/>
              <w:rPr>
                <w:sz w:val="20"/>
                <w:szCs w:val="20"/>
                <w:color w:val="auto"/>
              </w:rPr>
            </w:pPr>
            <w:r>
              <w:rPr>
                <w:rFonts w:ascii="Arial" w:cs="Arial" w:eastAsia="Arial" w:hAnsi="Arial"/>
                <w:sz w:val="15"/>
                <w:szCs w:val="15"/>
                <w:color w:val="auto"/>
              </w:rPr>
              <w:t>Cement</w:t>
            </w:r>
          </w:p>
        </w:tc>
        <w:tc>
          <w:tcPr>
            <w:tcW w:w="1160" w:type="dxa"/>
            <w:vAlign w:val="bottom"/>
            <w:shd w:val="clear" w:color="auto" w:fill="CCEEFF"/>
          </w:tcPr>
          <w:p>
            <w:pPr>
              <w:jc w:val="right"/>
              <w:ind w:right="86"/>
              <w:spacing w:after="0" w:line="156" w:lineRule="exact"/>
              <w:rPr>
                <w:sz w:val="20"/>
                <w:szCs w:val="20"/>
                <w:color w:val="auto"/>
              </w:rPr>
            </w:pPr>
            <w:r>
              <w:rPr>
                <w:rFonts w:ascii="Arial" w:cs="Arial" w:eastAsia="Arial" w:hAnsi="Arial"/>
                <w:sz w:val="15"/>
                <w:szCs w:val="15"/>
                <w:b w:val="1"/>
                <w:bCs w:val="1"/>
                <w:color w:val="auto"/>
              </w:rPr>
              <w:t>371,525</w:t>
            </w:r>
          </w:p>
        </w:tc>
        <w:tc>
          <w:tcPr>
            <w:tcW w:w="1080" w:type="dxa"/>
            <w:vAlign w:val="bottom"/>
            <w:shd w:val="clear" w:color="auto" w:fill="CCEEFF"/>
          </w:tcPr>
          <w:p>
            <w:pPr>
              <w:jc w:val="right"/>
              <w:ind w:right="86"/>
              <w:spacing w:after="0" w:line="156" w:lineRule="exact"/>
              <w:rPr>
                <w:sz w:val="20"/>
                <w:szCs w:val="20"/>
                <w:color w:val="auto"/>
              </w:rPr>
            </w:pPr>
            <w:r>
              <w:rPr>
                <w:rFonts w:ascii="Arial" w:cs="Arial" w:eastAsia="Arial" w:hAnsi="Arial"/>
                <w:sz w:val="15"/>
                <w:szCs w:val="15"/>
                <w:color w:val="auto"/>
              </w:rPr>
              <w:t>364,445</w:t>
            </w:r>
          </w:p>
        </w:tc>
        <w:tc>
          <w:tcPr>
            <w:tcW w:w="1000" w:type="dxa"/>
            <w:vAlign w:val="bottom"/>
            <w:shd w:val="clear" w:color="auto" w:fill="CCEEFF"/>
          </w:tcPr>
          <w:p>
            <w:pPr>
              <w:jc w:val="right"/>
              <w:ind w:right="6"/>
              <w:spacing w:after="0" w:line="156" w:lineRule="exact"/>
              <w:rPr>
                <w:sz w:val="20"/>
                <w:szCs w:val="20"/>
                <w:color w:val="auto"/>
              </w:rPr>
            </w:pPr>
            <w:r>
              <w:rPr>
                <w:rFonts w:ascii="Arial" w:cs="Arial" w:eastAsia="Arial" w:hAnsi="Arial"/>
                <w:sz w:val="15"/>
                <w:szCs w:val="15"/>
                <w:color w:val="auto"/>
              </w:rPr>
              <w:t>455,382</w:t>
            </w:r>
          </w:p>
        </w:tc>
      </w:tr>
      <w:tr>
        <w:trPr>
          <w:trHeight w:val="156"/>
        </w:trPr>
        <w:tc>
          <w:tcPr>
            <w:tcW w:w="2340" w:type="dxa"/>
            <w:vAlign w:val="bottom"/>
          </w:tcPr>
          <w:p>
            <w:pPr>
              <w:ind w:left="140"/>
              <w:spacing w:after="0" w:line="156" w:lineRule="exact"/>
              <w:rPr>
                <w:sz w:val="20"/>
                <w:szCs w:val="20"/>
                <w:color w:val="auto"/>
              </w:rPr>
            </w:pPr>
            <w:r>
              <w:rPr>
                <w:rFonts w:ascii="Arial" w:cs="Arial" w:eastAsia="Arial" w:hAnsi="Arial"/>
                <w:sz w:val="15"/>
                <w:szCs w:val="15"/>
                <w:color w:val="auto"/>
              </w:rPr>
              <w:t>Ready Mixed Concrete</w:t>
            </w:r>
          </w:p>
        </w:tc>
        <w:tc>
          <w:tcPr>
            <w:tcW w:w="1160" w:type="dxa"/>
            <w:vAlign w:val="bottom"/>
          </w:tcPr>
          <w:p>
            <w:pPr>
              <w:jc w:val="right"/>
              <w:ind w:right="86"/>
              <w:spacing w:after="0" w:line="156" w:lineRule="exact"/>
              <w:rPr>
                <w:sz w:val="20"/>
                <w:szCs w:val="20"/>
                <w:color w:val="auto"/>
              </w:rPr>
            </w:pPr>
            <w:r>
              <w:rPr>
                <w:rFonts w:ascii="Arial" w:cs="Arial" w:eastAsia="Arial" w:hAnsi="Arial"/>
                <w:sz w:val="15"/>
                <w:szCs w:val="15"/>
                <w:b w:val="1"/>
                <w:bCs w:val="1"/>
                <w:color w:val="auto"/>
              </w:rPr>
              <w:t>936,062</w:t>
            </w:r>
          </w:p>
        </w:tc>
        <w:tc>
          <w:tcPr>
            <w:tcW w:w="1080" w:type="dxa"/>
            <w:vAlign w:val="bottom"/>
          </w:tcPr>
          <w:p>
            <w:pPr>
              <w:jc w:val="right"/>
              <w:ind w:right="86"/>
              <w:spacing w:after="0" w:line="156" w:lineRule="exact"/>
              <w:rPr>
                <w:sz w:val="20"/>
                <w:szCs w:val="20"/>
                <w:color w:val="auto"/>
              </w:rPr>
            </w:pPr>
            <w:r>
              <w:rPr>
                <w:rFonts w:ascii="Arial" w:cs="Arial" w:eastAsia="Arial" w:hAnsi="Arial"/>
                <w:sz w:val="15"/>
                <w:szCs w:val="15"/>
                <w:color w:val="auto"/>
              </w:rPr>
              <w:t>902,635</w:t>
            </w:r>
          </w:p>
        </w:tc>
        <w:tc>
          <w:tcPr>
            <w:tcW w:w="1000" w:type="dxa"/>
            <w:vAlign w:val="bottom"/>
          </w:tcPr>
          <w:p>
            <w:pPr>
              <w:jc w:val="right"/>
              <w:ind w:right="6"/>
              <w:spacing w:after="0" w:line="156" w:lineRule="exact"/>
              <w:rPr>
                <w:sz w:val="20"/>
                <w:szCs w:val="20"/>
                <w:color w:val="auto"/>
              </w:rPr>
            </w:pPr>
            <w:r>
              <w:rPr>
                <w:rFonts w:ascii="Arial" w:cs="Arial" w:eastAsia="Arial" w:hAnsi="Arial"/>
                <w:sz w:val="15"/>
                <w:szCs w:val="15"/>
                <w:color w:val="auto"/>
              </w:rPr>
              <w:t>656,531</w:t>
            </w:r>
          </w:p>
        </w:tc>
      </w:tr>
      <w:tr>
        <w:trPr>
          <w:trHeight w:val="156"/>
        </w:trPr>
        <w:tc>
          <w:tcPr>
            <w:tcW w:w="2340" w:type="dxa"/>
            <w:vAlign w:val="bottom"/>
            <w:shd w:val="clear" w:color="auto" w:fill="CCEEFF"/>
          </w:tcPr>
          <w:p>
            <w:pPr>
              <w:ind w:left="140"/>
              <w:spacing w:after="0" w:line="156" w:lineRule="exact"/>
              <w:rPr>
                <w:sz w:val="20"/>
                <w:szCs w:val="20"/>
                <w:color w:val="auto"/>
              </w:rPr>
            </w:pPr>
            <w:r>
              <w:rPr>
                <w:rFonts w:ascii="Arial" w:cs="Arial" w:eastAsia="Arial" w:hAnsi="Arial"/>
                <w:sz w:val="15"/>
                <w:szCs w:val="15"/>
                <w:color w:val="auto"/>
              </w:rPr>
              <w:t>Asphalt and Paving Services</w:t>
            </w:r>
          </w:p>
        </w:tc>
        <w:tc>
          <w:tcPr>
            <w:tcW w:w="1160" w:type="dxa"/>
            <w:vAlign w:val="bottom"/>
            <w:shd w:val="clear" w:color="auto" w:fill="CCEEFF"/>
          </w:tcPr>
          <w:p>
            <w:pPr>
              <w:jc w:val="right"/>
              <w:ind w:right="86"/>
              <w:spacing w:after="0" w:line="156" w:lineRule="exact"/>
              <w:rPr>
                <w:sz w:val="20"/>
                <w:szCs w:val="20"/>
                <w:color w:val="auto"/>
              </w:rPr>
            </w:pPr>
            <w:r>
              <w:rPr>
                <w:rFonts w:ascii="Arial" w:cs="Arial" w:eastAsia="Arial" w:hAnsi="Arial"/>
                <w:sz w:val="15"/>
                <w:szCs w:val="15"/>
                <w:b w:val="1"/>
                <w:bCs w:val="1"/>
                <w:color w:val="auto"/>
              </w:rPr>
              <w:t>292,529</w:t>
            </w:r>
          </w:p>
        </w:tc>
        <w:tc>
          <w:tcPr>
            <w:tcW w:w="1080" w:type="dxa"/>
            <w:vAlign w:val="bottom"/>
            <w:shd w:val="clear" w:color="auto" w:fill="CCEEFF"/>
          </w:tcPr>
          <w:p>
            <w:pPr>
              <w:jc w:val="right"/>
              <w:ind w:right="86"/>
              <w:spacing w:after="0" w:line="156" w:lineRule="exact"/>
              <w:rPr>
                <w:sz w:val="20"/>
                <w:szCs w:val="20"/>
                <w:color w:val="auto"/>
              </w:rPr>
            </w:pPr>
            <w:r>
              <w:rPr>
                <w:rFonts w:ascii="Arial" w:cs="Arial" w:eastAsia="Arial" w:hAnsi="Arial"/>
                <w:sz w:val="15"/>
                <w:szCs w:val="15"/>
                <w:color w:val="auto"/>
              </w:rPr>
              <w:t>257,922</w:t>
            </w:r>
          </w:p>
        </w:tc>
        <w:tc>
          <w:tcPr>
            <w:tcW w:w="1000" w:type="dxa"/>
            <w:vAlign w:val="bottom"/>
            <w:shd w:val="clear" w:color="auto" w:fill="CCEEFF"/>
          </w:tcPr>
          <w:p>
            <w:pPr>
              <w:jc w:val="right"/>
              <w:ind w:right="6"/>
              <w:spacing w:after="0" w:line="156" w:lineRule="exact"/>
              <w:rPr>
                <w:sz w:val="20"/>
                <w:szCs w:val="20"/>
                <w:color w:val="auto"/>
              </w:rPr>
            </w:pPr>
            <w:r>
              <w:rPr>
                <w:rFonts w:ascii="Arial" w:cs="Arial" w:eastAsia="Arial" w:hAnsi="Arial"/>
                <w:sz w:val="15"/>
                <w:szCs w:val="15"/>
                <w:color w:val="auto"/>
              </w:rPr>
              <w:t>222,223</w:t>
            </w:r>
          </w:p>
        </w:tc>
      </w:tr>
      <w:tr>
        <w:trPr>
          <w:trHeight w:val="156"/>
        </w:trPr>
        <w:tc>
          <w:tcPr>
            <w:tcW w:w="2340" w:type="dxa"/>
            <w:vAlign w:val="bottom"/>
            <w:tcBorders>
              <w:bottom w:val="single" w:sz="8" w:color="auto"/>
            </w:tcBorders>
          </w:tcPr>
          <w:p>
            <w:pPr>
              <w:ind w:left="140"/>
              <w:spacing w:after="0" w:line="156" w:lineRule="exact"/>
              <w:rPr>
                <w:sz w:val="20"/>
                <w:szCs w:val="20"/>
                <w:color w:val="auto"/>
              </w:rPr>
            </w:pPr>
            <w:r>
              <w:rPr>
                <w:rFonts w:ascii="Arial" w:cs="Arial" w:eastAsia="Arial" w:hAnsi="Arial"/>
                <w:sz w:val="15"/>
                <w:szCs w:val="15"/>
                <w:color w:val="auto"/>
              </w:rPr>
              <w:t>Less: Interproduct sales</w:t>
            </w:r>
          </w:p>
        </w:tc>
        <w:tc>
          <w:tcPr>
            <w:tcW w:w="1160" w:type="dxa"/>
            <w:vAlign w:val="bottom"/>
            <w:tcBorders>
              <w:bottom w:val="single" w:sz="8" w:color="auto"/>
            </w:tcBorders>
          </w:tcPr>
          <w:p>
            <w:pPr>
              <w:jc w:val="right"/>
              <w:ind w:right="46"/>
              <w:spacing w:after="0" w:line="156" w:lineRule="exact"/>
              <w:rPr>
                <w:sz w:val="20"/>
                <w:szCs w:val="20"/>
                <w:color w:val="auto"/>
              </w:rPr>
            </w:pPr>
            <w:r>
              <w:rPr>
                <w:rFonts w:ascii="Arial" w:cs="Arial" w:eastAsia="Arial" w:hAnsi="Arial"/>
                <w:sz w:val="15"/>
                <w:szCs w:val="15"/>
                <w:b w:val="1"/>
                <w:bCs w:val="1"/>
                <w:color w:val="auto"/>
              </w:rPr>
              <w:t>(263,984)</w:t>
            </w:r>
          </w:p>
        </w:tc>
        <w:tc>
          <w:tcPr>
            <w:tcW w:w="1080" w:type="dxa"/>
            <w:vAlign w:val="bottom"/>
            <w:tcBorders>
              <w:bottom w:val="single" w:sz="8" w:color="auto"/>
            </w:tcBorders>
          </w:tcPr>
          <w:p>
            <w:pPr>
              <w:jc w:val="right"/>
              <w:ind w:right="46"/>
              <w:spacing w:after="0" w:line="156" w:lineRule="exact"/>
              <w:rPr>
                <w:sz w:val="20"/>
                <w:szCs w:val="20"/>
                <w:color w:val="auto"/>
              </w:rPr>
            </w:pPr>
            <w:r>
              <w:rPr>
                <w:rFonts w:ascii="Arial" w:cs="Arial" w:eastAsia="Arial" w:hAnsi="Arial"/>
                <w:sz w:val="15"/>
                <w:szCs w:val="15"/>
                <w:color w:val="auto"/>
              </w:rPr>
              <w:t>(247,112)</w:t>
            </w:r>
          </w:p>
        </w:tc>
        <w:tc>
          <w:tcPr>
            <w:tcW w:w="10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(189,671)</w:t>
            </w:r>
          </w:p>
        </w:tc>
      </w:tr>
      <w:tr>
        <w:trPr>
          <w:trHeight w:val="149"/>
        </w:trPr>
        <w:tc>
          <w:tcPr>
            <w:tcW w:w="234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Total Building Materials Business</w:t>
            </w:r>
          </w:p>
        </w:tc>
        <w:tc>
          <w:tcPr>
            <w:tcW w:w="1160" w:type="dxa"/>
            <w:vAlign w:val="bottom"/>
            <w:shd w:val="clear" w:color="auto" w:fill="CCEEFF"/>
          </w:tcPr>
          <w:p>
            <w:pPr>
              <w:jc w:val="right"/>
              <w:ind w:right="86"/>
              <w:spacing w:after="0" w:line="149" w:lineRule="exact"/>
              <w:rPr>
                <w:sz w:val="20"/>
                <w:szCs w:val="20"/>
                <w:color w:val="auto"/>
              </w:rPr>
            </w:pPr>
            <w:r>
              <w:rPr>
                <w:rFonts w:ascii="Arial" w:cs="Arial" w:eastAsia="Arial" w:hAnsi="Arial"/>
                <w:sz w:val="15"/>
                <w:szCs w:val="15"/>
                <w:b w:val="1"/>
                <w:bCs w:val="1"/>
                <w:color w:val="auto"/>
              </w:rPr>
              <w:t>3,473,357</w:t>
            </w:r>
          </w:p>
        </w:tc>
        <w:tc>
          <w:tcPr>
            <w:tcW w:w="1080" w:type="dxa"/>
            <w:vAlign w:val="bottom"/>
            <w:shd w:val="clear" w:color="auto" w:fill="CCEEFF"/>
          </w:tcPr>
          <w:p>
            <w:pPr>
              <w:jc w:val="right"/>
              <w:ind w:right="86"/>
              <w:spacing w:after="0" w:line="149" w:lineRule="exact"/>
              <w:rPr>
                <w:sz w:val="20"/>
                <w:szCs w:val="20"/>
                <w:color w:val="auto"/>
              </w:rPr>
            </w:pPr>
            <w:r>
              <w:rPr>
                <w:rFonts w:ascii="Arial" w:cs="Arial" w:eastAsia="Arial" w:hAnsi="Arial"/>
                <w:sz w:val="15"/>
                <w:szCs w:val="15"/>
                <w:color w:val="auto"/>
              </w:rPr>
              <w:t>3,338,766</w:t>
            </w:r>
          </w:p>
        </w:tc>
        <w:tc>
          <w:tcPr>
            <w:tcW w:w="1000" w:type="dxa"/>
            <w:vAlign w:val="bottom"/>
            <w:shd w:val="clear" w:color="auto" w:fill="CCEEFF"/>
          </w:tcPr>
          <w:p>
            <w:pPr>
              <w:jc w:val="right"/>
              <w:ind w:right="6"/>
              <w:spacing w:after="0" w:line="149" w:lineRule="exact"/>
              <w:rPr>
                <w:sz w:val="20"/>
                <w:szCs w:val="20"/>
                <w:color w:val="auto"/>
              </w:rPr>
            </w:pPr>
            <w:r>
              <w:rPr>
                <w:rFonts w:ascii="Arial" w:cs="Arial" w:eastAsia="Arial" w:hAnsi="Arial"/>
                <w:sz w:val="15"/>
                <w:szCs w:val="15"/>
                <w:color w:val="auto"/>
              </w:rPr>
              <w:t>3,040,608</w:t>
            </w:r>
          </w:p>
        </w:tc>
      </w:tr>
      <w:tr>
        <w:trPr>
          <w:trHeight w:val="156"/>
        </w:trPr>
        <w:tc>
          <w:tcPr>
            <w:tcW w:w="2340" w:type="dxa"/>
            <w:vAlign w:val="bottom"/>
            <w:tcBorders>
              <w:bottom w:val="single" w:sz="8" w:color="auto"/>
            </w:tcBorders>
          </w:tcPr>
          <w:p>
            <w:pPr>
              <w:spacing w:after="0" w:line="156" w:lineRule="exact"/>
              <w:rPr>
                <w:sz w:val="20"/>
                <w:szCs w:val="20"/>
                <w:color w:val="auto"/>
              </w:rPr>
            </w:pPr>
            <w:r>
              <w:rPr>
                <w:rFonts w:ascii="Arial" w:cs="Arial" w:eastAsia="Arial" w:hAnsi="Arial"/>
                <w:sz w:val="15"/>
                <w:szCs w:val="15"/>
                <w:color w:val="auto"/>
              </w:rPr>
              <w:t>Magnesia Specialties</w:t>
            </w:r>
          </w:p>
        </w:tc>
        <w:tc>
          <w:tcPr>
            <w:tcW w:w="1160" w:type="dxa"/>
            <w:vAlign w:val="bottom"/>
            <w:tcBorders>
              <w:bottom w:val="single" w:sz="8" w:color="auto"/>
            </w:tcBorders>
          </w:tcPr>
          <w:p>
            <w:pPr>
              <w:jc w:val="right"/>
              <w:ind w:right="86"/>
              <w:spacing w:after="0" w:line="156" w:lineRule="exact"/>
              <w:rPr>
                <w:sz w:val="20"/>
                <w:szCs w:val="20"/>
                <w:color w:val="auto"/>
              </w:rPr>
            </w:pPr>
            <w:r>
              <w:rPr>
                <w:rFonts w:ascii="Arial" w:cs="Arial" w:eastAsia="Arial" w:hAnsi="Arial"/>
                <w:sz w:val="15"/>
                <w:szCs w:val="15"/>
                <w:b w:val="1"/>
                <w:bCs w:val="1"/>
                <w:color w:val="auto"/>
              </w:rPr>
              <w:t>248,071</w:t>
            </w:r>
          </w:p>
        </w:tc>
        <w:tc>
          <w:tcPr>
            <w:tcW w:w="1080" w:type="dxa"/>
            <w:vAlign w:val="bottom"/>
            <w:tcBorders>
              <w:bottom w:val="single" w:sz="8" w:color="auto"/>
            </w:tcBorders>
          </w:tcPr>
          <w:p>
            <w:pPr>
              <w:jc w:val="right"/>
              <w:ind w:right="86"/>
              <w:spacing w:after="0" w:line="156" w:lineRule="exact"/>
              <w:rPr>
                <w:sz w:val="20"/>
                <w:szCs w:val="20"/>
                <w:color w:val="auto"/>
              </w:rPr>
            </w:pPr>
            <w:r>
              <w:rPr>
                <w:rFonts w:ascii="Arial" w:cs="Arial" w:eastAsia="Arial" w:hAnsi="Arial"/>
                <w:sz w:val="15"/>
                <w:szCs w:val="15"/>
                <w:color w:val="auto"/>
              </w:rPr>
              <w:t>238,001</w:t>
            </w:r>
          </w:p>
        </w:tc>
        <w:tc>
          <w:tcPr>
            <w:tcW w:w="1000" w:type="dxa"/>
            <w:vAlign w:val="bottom"/>
            <w:tcBorders>
              <w:bottom w:val="single" w:sz="8" w:color="auto"/>
            </w:tcBorders>
          </w:tcPr>
          <w:p>
            <w:pPr>
              <w:jc w:val="right"/>
              <w:ind w:right="6"/>
              <w:spacing w:after="0" w:line="156" w:lineRule="exact"/>
              <w:rPr>
                <w:sz w:val="20"/>
                <w:szCs w:val="20"/>
                <w:color w:val="auto"/>
              </w:rPr>
            </w:pPr>
            <w:r>
              <w:rPr>
                <w:rFonts w:ascii="Arial" w:cs="Arial" w:eastAsia="Arial" w:hAnsi="Arial"/>
                <w:sz w:val="15"/>
                <w:szCs w:val="15"/>
                <w:color w:val="auto"/>
              </w:rPr>
              <w:t>227,508</w:t>
            </w:r>
          </w:p>
        </w:tc>
      </w:tr>
      <w:tr>
        <w:trPr>
          <w:trHeight w:val="155"/>
        </w:trPr>
        <w:tc>
          <w:tcPr>
            <w:tcW w:w="234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5"/>
                <w:szCs w:val="15"/>
                <w:color w:val="auto"/>
              </w:rPr>
              <w:t>Total Consolidated Net Sales</w:t>
            </w:r>
          </w:p>
        </w:tc>
        <w:tc>
          <w:tcPr>
            <w:tcW w:w="1160" w:type="dxa"/>
            <w:vAlign w:val="bottom"/>
            <w:tcBorders>
              <w:bottom w:val="single" w:sz="8" w:color="auto"/>
            </w:tcBorders>
            <w:shd w:val="clear" w:color="auto" w:fill="CCEEFF"/>
          </w:tcPr>
          <w:p>
            <w:pPr>
              <w:jc w:val="right"/>
              <w:ind w:right="86"/>
              <w:spacing w:after="0" w:line="149" w:lineRule="exact"/>
              <w:rPr>
                <w:sz w:val="20"/>
                <w:szCs w:val="20"/>
                <w:color w:val="auto"/>
              </w:rPr>
            </w:pPr>
            <w:r>
              <w:rPr>
                <w:rFonts w:ascii="Arial" w:cs="Arial" w:eastAsia="Arial" w:hAnsi="Arial"/>
                <w:sz w:val="15"/>
                <w:szCs w:val="15"/>
                <w:b w:val="1"/>
                <w:bCs w:val="1"/>
                <w:color w:val="auto"/>
              </w:rPr>
              <w:t>$ 3,721,428</w:t>
            </w:r>
          </w:p>
        </w:tc>
        <w:tc>
          <w:tcPr>
            <w:tcW w:w="1080" w:type="dxa"/>
            <w:vAlign w:val="bottom"/>
            <w:tcBorders>
              <w:bottom w:val="single" w:sz="8" w:color="auto"/>
            </w:tcBorders>
            <w:shd w:val="clear" w:color="auto" w:fill="CCEEFF"/>
          </w:tcPr>
          <w:p>
            <w:pPr>
              <w:jc w:val="right"/>
              <w:ind w:right="86"/>
              <w:spacing w:after="0" w:line="149" w:lineRule="exact"/>
              <w:rPr>
                <w:sz w:val="20"/>
                <w:szCs w:val="20"/>
                <w:color w:val="auto"/>
              </w:rPr>
            </w:pPr>
            <w:r>
              <w:rPr>
                <w:rFonts w:ascii="Arial" w:cs="Arial" w:eastAsia="Arial" w:hAnsi="Arial"/>
                <w:sz w:val="15"/>
                <w:szCs w:val="15"/>
                <w:color w:val="auto"/>
              </w:rPr>
              <w:t>$ 3,576,767</w:t>
            </w:r>
          </w:p>
        </w:tc>
        <w:tc>
          <w:tcPr>
            <w:tcW w:w="1000" w:type="dxa"/>
            <w:vAlign w:val="bottom"/>
            <w:tcBorders>
              <w:bottom w:val="single" w:sz="8" w:color="auto"/>
            </w:tcBorders>
            <w:shd w:val="clear" w:color="auto" w:fill="CCEEFF"/>
          </w:tcPr>
          <w:p>
            <w:pPr>
              <w:jc w:val="right"/>
              <w:ind w:right="6"/>
              <w:spacing w:after="0" w:line="149" w:lineRule="exact"/>
              <w:rPr>
                <w:sz w:val="20"/>
                <w:szCs w:val="20"/>
                <w:color w:val="auto"/>
              </w:rPr>
            </w:pPr>
            <w:r>
              <w:rPr>
                <w:rFonts w:ascii="Arial" w:cs="Arial" w:eastAsia="Arial" w:hAnsi="Arial"/>
                <w:sz w:val="15"/>
                <w:szCs w:val="15"/>
                <w:color w:val="auto"/>
              </w:rPr>
              <w:t>$ 3,268,116</w:t>
            </w:r>
          </w:p>
        </w:tc>
      </w:tr>
    </w:tbl>
    <w:p>
      <w:pPr>
        <w:spacing w:after="0" w:line="200" w:lineRule="exact"/>
        <w:rPr>
          <w:sz w:val="20"/>
          <w:szCs w:val="20"/>
          <w:color w:val="auto"/>
        </w:rPr>
      </w:pPr>
    </w:p>
    <w:p>
      <w:pPr>
        <w:sectPr>
          <w:pgSz w:w="11900" w:h="16838" w:orient="portrait"/>
          <w:cols w:equalWidth="0" w:num="2">
            <w:col w:w="5480" w:space="360"/>
            <w:col w:w="5580"/>
          </w:cols>
          <w:pgMar w:left="240" w:top="259" w:right="239" w:bottom="1440" w:gutter="0" w:footer="0" w:header="0"/>
          <w:type w:val="continuous"/>
        </w:sectPr>
      </w:pP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63</w:t>
      </w:r>
    </w:p>
    <w:p>
      <w:pPr>
        <w:sectPr>
          <w:pgSz w:w="11900" w:h="16838" w:orient="portrait"/>
          <w:cols w:equalWidth="0" w:num="1">
            <w:col w:w="11420"/>
          </w:cols>
          <w:pgMar w:left="240" w:top="259" w:right="239" w:bottom="1440" w:gutter="0" w:footer="0" w:header="0"/>
          <w:type w:val="continuous"/>
        </w:sectPr>
      </w:pPr>
    </w:p>
    <w:bookmarkStart w:id="116" w:name="page117"/>
    <w:bookmarkEnd w:id="116"/>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4">
                      <a:extLst>
                        <a:ext uri="{28A0092B-C50C-407E-A947-70E740481C1C}"/>
                      </a:extLst>
                    </a:blip>
                    <a:srcRect/>
                    <a:stretch>
                      <a:fillRect/>
                    </a:stretch>
                  </pic:blipFill>
                  <pic:spPr bwMode="auto">
                    <a:xfrm>
                      <a:off x="0" y="0"/>
                      <a:ext cx="7293610" cy="37465"/>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420"/>
          </w:cols>
          <w:pgMar w:left="240" w:top="2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79" w:lineRule="auto"/>
        <w:rPr>
          <w:sz w:val="20"/>
          <w:szCs w:val="20"/>
          <w:color w:val="auto"/>
        </w:rPr>
      </w:pPr>
      <w:r>
        <w:rPr>
          <w:rFonts w:ascii="Arial" w:cs="Arial" w:eastAsia="Arial" w:hAnsi="Arial"/>
          <w:sz w:val="16"/>
          <w:szCs w:val="16"/>
          <w:b w:val="1"/>
          <w:bCs w:val="1"/>
          <w:i w:val="1"/>
          <w:iCs w:val="1"/>
          <w:color w:val="49B28F"/>
        </w:rPr>
        <w:t xml:space="preserve">Aggregates Product Line. </w:t>
      </w:r>
      <w:r>
        <w:rPr>
          <w:rFonts w:ascii="Arial" w:cs="Arial" w:eastAsia="Arial" w:hAnsi="Arial"/>
          <w:sz w:val="16"/>
          <w:szCs w:val="16"/>
          <w:color w:val="000000"/>
        </w:rPr>
        <w:t>Aggregates product line average selling price</w:t>
      </w:r>
      <w:r>
        <w:rPr>
          <w:rFonts w:ascii="Arial" w:cs="Arial" w:eastAsia="Arial" w:hAnsi="Arial"/>
          <w:sz w:val="16"/>
          <w:szCs w:val="16"/>
          <w:b w:val="1"/>
          <w:bCs w:val="1"/>
          <w:i w:val="1"/>
          <w:iCs w:val="1"/>
          <w:color w:val="49B28F"/>
        </w:rPr>
        <w:t xml:space="preserve"> </w:t>
      </w:r>
      <w:r>
        <w:rPr>
          <w:rFonts w:ascii="Arial" w:cs="Arial" w:eastAsia="Arial" w:hAnsi="Arial"/>
          <w:sz w:val="16"/>
          <w:szCs w:val="16"/>
          <w:color w:val="000000"/>
        </w:rPr>
        <w:t>increases are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560" w:type="dxa"/>
            <w:vAlign w:val="bottom"/>
            <w:tcBorders>
              <w:bottom w:val="single" w:sz="8" w:color="auto"/>
            </w:tcBorders>
          </w:tcPr>
          <w:p>
            <w:pPr>
              <w:spacing w:after="0"/>
              <w:rPr>
                <w:sz w:val="20"/>
                <w:szCs w:val="20"/>
                <w:color w:val="auto"/>
              </w:rPr>
            </w:pPr>
            <w:r>
              <w:rPr>
                <w:rFonts w:ascii="Arial" w:cs="Arial" w:eastAsia="Arial" w:hAnsi="Arial"/>
                <w:sz w:val="15"/>
                <w:szCs w:val="15"/>
                <w:i w:val="1"/>
                <w:iCs w:val="1"/>
                <w:color w:val="auto"/>
              </w:rPr>
              <w:t>years ended December 31</w:t>
            </w:r>
          </w:p>
        </w:tc>
        <w:tc>
          <w:tcPr>
            <w:tcW w:w="138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b w:val="1"/>
                <w:bCs w:val="1"/>
                <w:color w:val="0085CD"/>
              </w:rPr>
              <w:t>2017</w:t>
            </w:r>
          </w:p>
        </w:tc>
        <w:tc>
          <w:tcPr>
            <w:tcW w:w="86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rPr>
              <w:t>2016</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2015</w:t>
            </w:r>
          </w:p>
        </w:tc>
      </w:tr>
      <w:tr>
        <w:trPr>
          <w:trHeight w:val="149"/>
        </w:trPr>
        <w:tc>
          <w:tcPr>
            <w:tcW w:w="2560" w:type="dxa"/>
            <w:vAlign w:val="bottom"/>
            <w:shd w:val="clear" w:color="auto" w:fill="CCEEFF"/>
          </w:tcPr>
          <w:p>
            <w:pPr>
              <w:ind w:left="160"/>
              <w:spacing w:after="0" w:line="149" w:lineRule="exact"/>
              <w:rPr>
                <w:sz w:val="20"/>
                <w:szCs w:val="20"/>
                <w:color w:val="auto"/>
              </w:rPr>
            </w:pPr>
            <w:r>
              <w:rPr>
                <w:rFonts w:ascii="Arial" w:cs="Arial" w:eastAsia="Arial" w:hAnsi="Arial"/>
                <w:sz w:val="15"/>
                <w:szCs w:val="15"/>
                <w:color w:val="auto"/>
              </w:rPr>
              <w:t>Mid-America Group</w:t>
            </w:r>
          </w:p>
        </w:tc>
        <w:tc>
          <w:tcPr>
            <w:tcW w:w="1380" w:type="dxa"/>
            <w:vAlign w:val="bottom"/>
            <w:shd w:val="clear" w:color="auto" w:fill="CCEEFF"/>
          </w:tcPr>
          <w:p>
            <w:pPr>
              <w:jc w:val="right"/>
              <w:ind w:right="146"/>
              <w:spacing w:after="0" w:line="149" w:lineRule="exact"/>
              <w:rPr>
                <w:sz w:val="20"/>
                <w:szCs w:val="20"/>
                <w:color w:val="auto"/>
              </w:rPr>
            </w:pPr>
            <w:r>
              <w:rPr>
                <w:rFonts w:ascii="Arial" w:cs="Arial" w:eastAsia="Arial" w:hAnsi="Arial"/>
                <w:sz w:val="15"/>
                <w:szCs w:val="15"/>
                <w:b w:val="1"/>
                <w:bCs w:val="1"/>
                <w:color w:val="auto"/>
              </w:rPr>
              <w:t>5.0%</w:t>
            </w:r>
          </w:p>
        </w:tc>
        <w:tc>
          <w:tcPr>
            <w:tcW w:w="860" w:type="dxa"/>
            <w:vAlign w:val="bottom"/>
            <w:shd w:val="clear" w:color="auto" w:fill="CCEEFF"/>
          </w:tcPr>
          <w:p>
            <w:pPr>
              <w:jc w:val="right"/>
              <w:ind w:right="146"/>
              <w:spacing w:after="0" w:line="149" w:lineRule="exact"/>
              <w:rPr>
                <w:sz w:val="20"/>
                <w:szCs w:val="20"/>
                <w:color w:val="auto"/>
              </w:rPr>
            </w:pPr>
            <w:r>
              <w:rPr>
                <w:rFonts w:ascii="Arial" w:cs="Arial" w:eastAsia="Arial" w:hAnsi="Arial"/>
                <w:sz w:val="15"/>
                <w:szCs w:val="15"/>
                <w:color w:val="auto"/>
              </w:rPr>
              <w:t>4.3%</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4.7%</w:t>
            </w:r>
          </w:p>
        </w:tc>
      </w:tr>
      <w:tr>
        <w:trPr>
          <w:trHeight w:val="156"/>
        </w:trPr>
        <w:tc>
          <w:tcPr>
            <w:tcW w:w="2560" w:type="dxa"/>
            <w:vAlign w:val="bottom"/>
          </w:tcPr>
          <w:p>
            <w:pPr>
              <w:ind w:left="160"/>
              <w:spacing w:after="0" w:line="156" w:lineRule="exact"/>
              <w:rPr>
                <w:sz w:val="20"/>
                <w:szCs w:val="20"/>
                <w:color w:val="auto"/>
              </w:rPr>
            </w:pPr>
            <w:r>
              <w:rPr>
                <w:rFonts w:ascii="Arial" w:cs="Arial" w:eastAsia="Arial" w:hAnsi="Arial"/>
                <w:sz w:val="15"/>
                <w:szCs w:val="15"/>
                <w:color w:val="auto"/>
              </w:rPr>
              <w:t>Southeast Group</w:t>
            </w:r>
          </w:p>
        </w:tc>
        <w:tc>
          <w:tcPr>
            <w:tcW w:w="1380" w:type="dxa"/>
            <w:vAlign w:val="bottom"/>
          </w:tcPr>
          <w:p>
            <w:pPr>
              <w:jc w:val="right"/>
              <w:ind w:right="146"/>
              <w:spacing w:after="0" w:line="156" w:lineRule="exact"/>
              <w:rPr>
                <w:sz w:val="20"/>
                <w:szCs w:val="20"/>
                <w:color w:val="auto"/>
              </w:rPr>
            </w:pPr>
            <w:r>
              <w:rPr>
                <w:rFonts w:ascii="Arial" w:cs="Arial" w:eastAsia="Arial" w:hAnsi="Arial"/>
                <w:sz w:val="15"/>
                <w:szCs w:val="15"/>
                <w:b w:val="1"/>
                <w:bCs w:val="1"/>
                <w:color w:val="auto"/>
              </w:rPr>
              <w:t>8.7%</w:t>
            </w:r>
          </w:p>
        </w:tc>
        <w:tc>
          <w:tcPr>
            <w:tcW w:w="860" w:type="dxa"/>
            <w:vAlign w:val="bottom"/>
          </w:tcPr>
          <w:p>
            <w:pPr>
              <w:jc w:val="right"/>
              <w:ind w:right="146"/>
              <w:spacing w:after="0" w:line="156" w:lineRule="exact"/>
              <w:rPr>
                <w:sz w:val="20"/>
                <w:szCs w:val="20"/>
                <w:color w:val="auto"/>
              </w:rPr>
            </w:pPr>
            <w:r>
              <w:rPr>
                <w:rFonts w:ascii="Arial" w:cs="Arial" w:eastAsia="Arial" w:hAnsi="Arial"/>
                <w:sz w:val="15"/>
                <w:szCs w:val="15"/>
                <w:color w:val="auto"/>
              </w:rPr>
              <w:t>7.1%</w:t>
            </w:r>
          </w:p>
        </w:tc>
        <w:tc>
          <w:tcPr>
            <w:tcW w:w="680" w:type="dxa"/>
            <w:vAlign w:val="bottom"/>
          </w:tcPr>
          <w:p>
            <w:pPr>
              <w:jc w:val="right"/>
              <w:spacing w:after="0" w:line="156" w:lineRule="exact"/>
              <w:rPr>
                <w:sz w:val="20"/>
                <w:szCs w:val="20"/>
                <w:color w:val="auto"/>
              </w:rPr>
            </w:pPr>
            <w:r>
              <w:rPr>
                <w:rFonts w:ascii="Arial" w:cs="Arial" w:eastAsia="Arial" w:hAnsi="Arial"/>
                <w:sz w:val="15"/>
                <w:szCs w:val="15"/>
                <w:color w:val="auto"/>
              </w:rPr>
              <w:t>5.4%</w:t>
            </w:r>
          </w:p>
        </w:tc>
      </w:tr>
      <w:tr>
        <w:trPr>
          <w:trHeight w:val="156"/>
        </w:trPr>
        <w:tc>
          <w:tcPr>
            <w:tcW w:w="2560" w:type="dxa"/>
            <w:vAlign w:val="bottom"/>
            <w:shd w:val="clear" w:color="auto" w:fill="CCEEFF"/>
          </w:tcPr>
          <w:p>
            <w:pPr>
              <w:ind w:left="160"/>
              <w:spacing w:after="0" w:line="156" w:lineRule="exact"/>
              <w:rPr>
                <w:sz w:val="20"/>
                <w:szCs w:val="20"/>
                <w:color w:val="auto"/>
              </w:rPr>
            </w:pPr>
            <w:r>
              <w:rPr>
                <w:rFonts w:ascii="Arial" w:cs="Arial" w:eastAsia="Arial" w:hAnsi="Arial"/>
                <w:sz w:val="15"/>
                <w:szCs w:val="15"/>
                <w:color w:val="auto"/>
              </w:rPr>
              <w:t>West Group</w:t>
            </w:r>
          </w:p>
        </w:tc>
        <w:tc>
          <w:tcPr>
            <w:tcW w:w="1380" w:type="dxa"/>
            <w:vAlign w:val="bottom"/>
            <w:shd w:val="clear" w:color="auto" w:fill="CCEEFF"/>
          </w:tcPr>
          <w:p>
            <w:pPr>
              <w:jc w:val="right"/>
              <w:ind w:right="146"/>
              <w:spacing w:after="0" w:line="156" w:lineRule="exact"/>
              <w:rPr>
                <w:sz w:val="20"/>
                <w:szCs w:val="20"/>
                <w:color w:val="auto"/>
              </w:rPr>
            </w:pPr>
            <w:r>
              <w:rPr>
                <w:rFonts w:ascii="Arial" w:cs="Arial" w:eastAsia="Arial" w:hAnsi="Arial"/>
                <w:sz w:val="15"/>
                <w:szCs w:val="15"/>
                <w:b w:val="1"/>
                <w:bCs w:val="1"/>
                <w:color w:val="auto"/>
              </w:rPr>
              <w:t>1.7%</w:t>
            </w:r>
          </w:p>
        </w:tc>
        <w:tc>
          <w:tcPr>
            <w:tcW w:w="860" w:type="dxa"/>
            <w:vAlign w:val="bottom"/>
            <w:shd w:val="clear" w:color="auto" w:fill="CCEEFF"/>
          </w:tcPr>
          <w:p>
            <w:pPr>
              <w:jc w:val="right"/>
              <w:ind w:right="146"/>
              <w:spacing w:after="0" w:line="156" w:lineRule="exact"/>
              <w:rPr>
                <w:sz w:val="20"/>
                <w:szCs w:val="20"/>
                <w:color w:val="auto"/>
              </w:rPr>
            </w:pPr>
            <w:r>
              <w:rPr>
                <w:rFonts w:ascii="Arial" w:cs="Arial" w:eastAsia="Arial" w:hAnsi="Arial"/>
                <w:sz w:val="15"/>
                <w:szCs w:val="15"/>
                <w:color w:val="auto"/>
              </w:rPr>
              <w:t>10.6%</w:t>
            </w:r>
          </w:p>
        </w:tc>
        <w:tc>
          <w:tcPr>
            <w:tcW w:w="68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13.5%</w:t>
            </w:r>
          </w:p>
        </w:tc>
      </w:tr>
      <w:tr>
        <w:trPr>
          <w:trHeight w:val="195"/>
        </w:trPr>
        <w:tc>
          <w:tcPr>
            <w:tcW w:w="2560" w:type="dxa"/>
            <w:vAlign w:val="bottom"/>
          </w:tcPr>
          <w:p>
            <w:pPr>
              <w:spacing w:after="0"/>
              <w:rPr>
                <w:sz w:val="20"/>
                <w:szCs w:val="20"/>
                <w:color w:val="auto"/>
              </w:rPr>
            </w:pPr>
            <w:r>
              <w:rPr>
                <w:rFonts w:ascii="Arial" w:cs="Arial" w:eastAsia="Arial" w:hAnsi="Arial"/>
                <w:sz w:val="15"/>
                <w:szCs w:val="15"/>
                <w:color w:val="auto"/>
              </w:rPr>
              <w:t>Aggregates Product Line</w:t>
            </w:r>
          </w:p>
        </w:tc>
        <w:tc>
          <w:tcPr>
            <w:tcW w:w="1380" w:type="dxa"/>
            <w:vAlign w:val="bottom"/>
          </w:tcPr>
          <w:p>
            <w:pPr>
              <w:jc w:val="right"/>
              <w:ind w:right="146"/>
              <w:spacing w:after="0"/>
              <w:rPr>
                <w:sz w:val="20"/>
                <w:szCs w:val="20"/>
                <w:color w:val="auto"/>
              </w:rPr>
            </w:pPr>
            <w:r>
              <w:rPr>
                <w:rFonts w:ascii="Arial" w:cs="Arial" w:eastAsia="Arial" w:hAnsi="Arial"/>
                <w:sz w:val="15"/>
                <w:szCs w:val="15"/>
                <w:b w:val="1"/>
                <w:bCs w:val="1"/>
                <w:color w:val="auto"/>
              </w:rPr>
              <w:t>4.5%</w:t>
            </w:r>
          </w:p>
        </w:tc>
        <w:tc>
          <w:tcPr>
            <w:tcW w:w="860" w:type="dxa"/>
            <w:vAlign w:val="bottom"/>
          </w:tcPr>
          <w:p>
            <w:pPr>
              <w:jc w:val="right"/>
              <w:ind w:right="146"/>
              <w:spacing w:after="0"/>
              <w:rPr>
                <w:sz w:val="20"/>
                <w:szCs w:val="20"/>
                <w:color w:val="auto"/>
              </w:rPr>
            </w:pPr>
            <w:r>
              <w:rPr>
                <w:rFonts w:ascii="Arial" w:cs="Arial" w:eastAsia="Arial" w:hAnsi="Arial"/>
                <w:sz w:val="15"/>
                <w:szCs w:val="15"/>
                <w:color w:val="auto"/>
              </w:rPr>
              <w:t>7.3%</w:t>
            </w:r>
          </w:p>
        </w:tc>
        <w:tc>
          <w:tcPr>
            <w:tcW w:w="680" w:type="dxa"/>
            <w:vAlign w:val="bottom"/>
          </w:tcPr>
          <w:p>
            <w:pPr>
              <w:jc w:val="right"/>
              <w:spacing w:after="0"/>
              <w:rPr>
                <w:sz w:val="20"/>
                <w:szCs w:val="20"/>
                <w:color w:val="auto"/>
              </w:rPr>
            </w:pPr>
            <w:r>
              <w:rPr>
                <w:rFonts w:ascii="Arial" w:cs="Arial" w:eastAsia="Arial" w:hAnsi="Arial"/>
                <w:sz w:val="15"/>
                <w:szCs w:val="15"/>
                <w:color w:val="auto"/>
              </w:rPr>
              <w:t>8.0%</w:t>
            </w:r>
          </w:p>
        </w:tc>
      </w:tr>
    </w:tbl>
    <w:p>
      <w:pPr>
        <w:spacing w:after="0" w:line="16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average selling price per ton for the aggregates product line was $13.46, $12.88 and $12.00 for 2017, 2016 and 2015, respectively.</w:t>
      </w:r>
    </w:p>
    <w:p>
      <w:pPr>
        <w:spacing w:after="0" w:line="183"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In 2017, 2016 and 2015, the average selling price increase exceeded the Company’s 20- and 30-year compounded annual growth rate for the period ended December 31, 2017 of 4.3% and 3.6%, respectively.</w:t>
      </w:r>
    </w:p>
    <w:p>
      <w:pPr>
        <w:spacing w:after="0" w:line="18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following presents aggregates product line shipments for each reportable segment of the Building Materials business: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00" w:type="dxa"/>
            <w:vAlign w:val="bottom"/>
          </w:tcPr>
          <w:p>
            <w:pPr>
              <w:spacing w:after="0"/>
              <w:rPr>
                <w:sz w:val="20"/>
                <w:szCs w:val="20"/>
                <w:color w:val="auto"/>
              </w:rPr>
            </w:pPr>
            <w:r>
              <w:rPr>
                <w:rFonts w:ascii="Arial" w:cs="Arial" w:eastAsia="Arial" w:hAnsi="Arial"/>
                <w:sz w:val="14"/>
                <w:szCs w:val="14"/>
                <w:i w:val="1"/>
                <w:iCs w:val="1"/>
                <w:color w:val="auto"/>
              </w:rPr>
              <w:t>years ended December 31</w:t>
            </w:r>
          </w:p>
        </w:tc>
        <w:tc>
          <w:tcPr>
            <w:tcW w:w="1320" w:type="dxa"/>
            <w:vAlign w:val="bottom"/>
            <w:vMerge w:val="restart"/>
          </w:tcPr>
          <w:p>
            <w:pPr>
              <w:jc w:val="right"/>
              <w:ind w:right="126"/>
              <w:spacing w:after="0"/>
              <w:rPr>
                <w:sz w:val="20"/>
                <w:szCs w:val="20"/>
                <w:color w:val="auto"/>
              </w:rPr>
            </w:pPr>
            <w:r>
              <w:rPr>
                <w:rFonts w:ascii="Arial" w:cs="Arial" w:eastAsia="Arial" w:hAnsi="Arial"/>
                <w:sz w:val="15"/>
                <w:szCs w:val="15"/>
                <w:b w:val="1"/>
                <w:bCs w:val="1"/>
                <w:color w:val="0085CD"/>
              </w:rPr>
              <w:t>2017</w:t>
            </w: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4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Tons (add 000)</w:t>
            </w:r>
          </w:p>
        </w:tc>
        <w:tc>
          <w:tcPr>
            <w:tcW w:w="1320" w:type="dxa"/>
            <w:vAlign w:val="bottom"/>
            <w:tcBorders>
              <w:bottom w:val="single" w:sz="8" w:color="auto"/>
            </w:tcBorders>
            <w:vMerge w:val="continue"/>
          </w:tcPr>
          <w:p>
            <w:pPr>
              <w:spacing w:after="0"/>
              <w:rPr>
                <w:sz w:val="14"/>
                <w:szCs w:val="14"/>
                <w:color w:val="auto"/>
              </w:rPr>
            </w:pPr>
          </w:p>
        </w:tc>
        <w:tc>
          <w:tcPr>
            <w:tcW w:w="960" w:type="dxa"/>
            <w:vAlign w:val="bottom"/>
            <w:tcBorders>
              <w:bottom w:val="single" w:sz="8" w:color="auto"/>
            </w:tcBorders>
          </w:tcPr>
          <w:p>
            <w:pPr>
              <w:jc w:val="right"/>
              <w:ind w:right="126"/>
              <w:spacing w:after="0" w:line="164" w:lineRule="exact"/>
              <w:rPr>
                <w:sz w:val="20"/>
                <w:szCs w:val="20"/>
                <w:color w:val="auto"/>
              </w:rPr>
            </w:pPr>
            <w:r>
              <w:rPr>
                <w:rFonts w:ascii="Arial" w:cs="Arial" w:eastAsia="Arial" w:hAnsi="Arial"/>
                <w:sz w:val="15"/>
                <w:szCs w:val="15"/>
                <w:color w:val="auto"/>
              </w:rPr>
              <w:t>2016</w:t>
            </w:r>
          </w:p>
        </w:tc>
        <w:tc>
          <w:tcPr>
            <w:tcW w:w="800" w:type="dxa"/>
            <w:vAlign w:val="bottom"/>
            <w:tcBorders>
              <w:bottom w:val="single" w:sz="8" w:color="auto"/>
            </w:tcBorders>
          </w:tcPr>
          <w:p>
            <w:pPr>
              <w:jc w:val="right"/>
              <w:spacing w:after="0" w:line="164" w:lineRule="exact"/>
              <w:rPr>
                <w:sz w:val="20"/>
                <w:szCs w:val="20"/>
                <w:color w:val="auto"/>
              </w:rPr>
            </w:pPr>
            <w:r>
              <w:rPr>
                <w:rFonts w:ascii="Arial" w:cs="Arial" w:eastAsia="Arial" w:hAnsi="Arial"/>
                <w:sz w:val="15"/>
                <w:szCs w:val="15"/>
                <w:color w:val="auto"/>
              </w:rPr>
              <w:t>2015</w:t>
            </w:r>
          </w:p>
        </w:tc>
        <w:tc>
          <w:tcPr>
            <w:tcW w:w="0" w:type="dxa"/>
            <w:vAlign w:val="bottom"/>
          </w:tcPr>
          <w:p>
            <w:pPr>
              <w:spacing w:after="0"/>
              <w:rPr>
                <w:sz w:val="1"/>
                <w:szCs w:val="1"/>
                <w:color w:val="auto"/>
              </w:rPr>
            </w:pPr>
          </w:p>
        </w:tc>
      </w:tr>
      <w:tr>
        <w:trPr>
          <w:trHeight w:val="149"/>
        </w:trPr>
        <w:tc>
          <w:tcPr>
            <w:tcW w:w="2400" w:type="dxa"/>
            <w:vAlign w:val="bottom"/>
            <w:shd w:val="clear" w:color="auto" w:fill="CCEEFF"/>
          </w:tcPr>
          <w:p>
            <w:pPr>
              <w:ind w:left="160"/>
              <w:spacing w:after="0" w:line="149" w:lineRule="exact"/>
              <w:rPr>
                <w:sz w:val="20"/>
                <w:szCs w:val="20"/>
                <w:color w:val="auto"/>
              </w:rPr>
            </w:pPr>
            <w:r>
              <w:rPr>
                <w:rFonts w:ascii="Arial" w:cs="Arial" w:eastAsia="Arial" w:hAnsi="Arial"/>
                <w:sz w:val="15"/>
                <w:szCs w:val="15"/>
                <w:color w:val="auto"/>
              </w:rPr>
              <w:t>Mid-America Group</w:t>
            </w:r>
          </w:p>
        </w:tc>
        <w:tc>
          <w:tcPr>
            <w:tcW w:w="1320" w:type="dxa"/>
            <w:vAlign w:val="bottom"/>
            <w:shd w:val="clear" w:color="auto" w:fill="CCEEFF"/>
          </w:tcPr>
          <w:p>
            <w:pPr>
              <w:jc w:val="right"/>
              <w:ind w:right="126"/>
              <w:spacing w:after="0" w:line="149" w:lineRule="exact"/>
              <w:rPr>
                <w:sz w:val="20"/>
                <w:szCs w:val="20"/>
                <w:color w:val="auto"/>
              </w:rPr>
            </w:pPr>
            <w:r>
              <w:rPr>
                <w:rFonts w:ascii="Arial" w:cs="Arial" w:eastAsia="Arial" w:hAnsi="Arial"/>
                <w:sz w:val="15"/>
                <w:szCs w:val="15"/>
                <w:b w:val="1"/>
                <w:bCs w:val="1"/>
                <w:color w:val="auto"/>
              </w:rPr>
              <w:t>72,539</w:t>
            </w:r>
          </w:p>
        </w:tc>
        <w:tc>
          <w:tcPr>
            <w:tcW w:w="960" w:type="dxa"/>
            <w:vAlign w:val="bottom"/>
            <w:shd w:val="clear" w:color="auto" w:fill="CCEEFF"/>
          </w:tcPr>
          <w:p>
            <w:pPr>
              <w:jc w:val="right"/>
              <w:ind w:right="126"/>
              <w:spacing w:after="0" w:line="149" w:lineRule="exact"/>
              <w:rPr>
                <w:sz w:val="20"/>
                <w:szCs w:val="20"/>
                <w:color w:val="auto"/>
              </w:rPr>
            </w:pPr>
            <w:r>
              <w:rPr>
                <w:rFonts w:ascii="Arial" w:cs="Arial" w:eastAsia="Arial" w:hAnsi="Arial"/>
                <w:sz w:val="15"/>
                <w:szCs w:val="15"/>
                <w:color w:val="auto"/>
              </w:rPr>
              <w:t>73,060</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68,611</w:t>
            </w:r>
          </w:p>
        </w:tc>
        <w:tc>
          <w:tcPr>
            <w:tcW w:w="0" w:type="dxa"/>
            <w:vAlign w:val="bottom"/>
          </w:tcPr>
          <w:p>
            <w:pPr>
              <w:spacing w:after="0"/>
              <w:rPr>
                <w:sz w:val="1"/>
                <w:szCs w:val="1"/>
                <w:color w:val="auto"/>
              </w:rPr>
            </w:pPr>
          </w:p>
        </w:tc>
      </w:tr>
      <w:tr>
        <w:trPr>
          <w:trHeight w:val="156"/>
        </w:trPr>
        <w:tc>
          <w:tcPr>
            <w:tcW w:w="2400" w:type="dxa"/>
            <w:vAlign w:val="bottom"/>
          </w:tcPr>
          <w:p>
            <w:pPr>
              <w:ind w:left="160"/>
              <w:spacing w:after="0" w:line="156" w:lineRule="exact"/>
              <w:rPr>
                <w:sz w:val="20"/>
                <w:szCs w:val="20"/>
                <w:color w:val="auto"/>
              </w:rPr>
            </w:pPr>
            <w:r>
              <w:rPr>
                <w:rFonts w:ascii="Arial" w:cs="Arial" w:eastAsia="Arial" w:hAnsi="Arial"/>
                <w:sz w:val="15"/>
                <w:szCs w:val="15"/>
                <w:color w:val="auto"/>
              </w:rPr>
              <w:t>Southeast Group</w:t>
            </w:r>
          </w:p>
        </w:tc>
        <w:tc>
          <w:tcPr>
            <w:tcW w:w="1320" w:type="dxa"/>
            <w:vAlign w:val="bottom"/>
          </w:tcPr>
          <w:p>
            <w:pPr>
              <w:jc w:val="right"/>
              <w:ind w:right="126"/>
              <w:spacing w:after="0" w:line="156" w:lineRule="exact"/>
              <w:rPr>
                <w:sz w:val="20"/>
                <w:szCs w:val="20"/>
                <w:color w:val="auto"/>
              </w:rPr>
            </w:pPr>
            <w:r>
              <w:rPr>
                <w:rFonts w:ascii="Arial" w:cs="Arial" w:eastAsia="Arial" w:hAnsi="Arial"/>
                <w:sz w:val="15"/>
                <w:szCs w:val="15"/>
                <w:b w:val="1"/>
                <w:bCs w:val="1"/>
                <w:color w:val="auto"/>
              </w:rPr>
              <w:t>20,429</w:t>
            </w:r>
          </w:p>
        </w:tc>
        <w:tc>
          <w:tcPr>
            <w:tcW w:w="960" w:type="dxa"/>
            <w:vAlign w:val="bottom"/>
          </w:tcPr>
          <w:p>
            <w:pPr>
              <w:jc w:val="right"/>
              <w:ind w:right="126"/>
              <w:spacing w:after="0" w:line="156" w:lineRule="exact"/>
              <w:rPr>
                <w:sz w:val="20"/>
                <w:szCs w:val="20"/>
                <w:color w:val="auto"/>
              </w:rPr>
            </w:pPr>
            <w:r>
              <w:rPr>
                <w:rFonts w:ascii="Arial" w:cs="Arial" w:eastAsia="Arial" w:hAnsi="Arial"/>
                <w:sz w:val="15"/>
                <w:szCs w:val="15"/>
                <w:color w:val="auto"/>
              </w:rPr>
              <w:t>19,396</w:t>
            </w:r>
          </w:p>
        </w:tc>
        <w:tc>
          <w:tcPr>
            <w:tcW w:w="800" w:type="dxa"/>
            <w:vAlign w:val="bottom"/>
          </w:tcPr>
          <w:p>
            <w:pPr>
              <w:jc w:val="right"/>
              <w:spacing w:after="0" w:line="156" w:lineRule="exact"/>
              <w:rPr>
                <w:sz w:val="20"/>
                <w:szCs w:val="20"/>
                <w:color w:val="auto"/>
              </w:rPr>
            </w:pPr>
            <w:r>
              <w:rPr>
                <w:rFonts w:ascii="Arial" w:cs="Arial" w:eastAsia="Arial" w:hAnsi="Arial"/>
                <w:sz w:val="15"/>
                <w:szCs w:val="15"/>
                <w:color w:val="auto"/>
              </w:rPr>
              <w:t>19,479</w:t>
            </w:r>
          </w:p>
        </w:tc>
        <w:tc>
          <w:tcPr>
            <w:tcW w:w="0" w:type="dxa"/>
            <w:vAlign w:val="bottom"/>
          </w:tcPr>
          <w:p>
            <w:pPr>
              <w:spacing w:after="0"/>
              <w:rPr>
                <w:sz w:val="1"/>
                <w:szCs w:val="1"/>
                <w:color w:val="auto"/>
              </w:rPr>
            </w:pPr>
          </w:p>
        </w:tc>
      </w:tr>
      <w:tr>
        <w:trPr>
          <w:trHeight w:val="156"/>
        </w:trPr>
        <w:tc>
          <w:tcPr>
            <w:tcW w:w="2400" w:type="dxa"/>
            <w:vAlign w:val="bottom"/>
            <w:tcBorders>
              <w:bottom w:val="single" w:sz="8" w:color="auto"/>
            </w:tcBorders>
            <w:shd w:val="clear" w:color="auto" w:fill="CCEEFF"/>
          </w:tcPr>
          <w:p>
            <w:pPr>
              <w:ind w:left="160"/>
              <w:spacing w:after="0" w:line="156" w:lineRule="exact"/>
              <w:rPr>
                <w:sz w:val="20"/>
                <w:szCs w:val="20"/>
                <w:color w:val="auto"/>
              </w:rPr>
            </w:pPr>
            <w:r>
              <w:rPr>
                <w:rFonts w:ascii="Arial" w:cs="Arial" w:eastAsia="Arial" w:hAnsi="Arial"/>
                <w:sz w:val="15"/>
                <w:szCs w:val="15"/>
                <w:color w:val="auto"/>
              </w:rPr>
              <w:t>West Group</w:t>
            </w:r>
          </w:p>
        </w:tc>
        <w:tc>
          <w:tcPr>
            <w:tcW w:w="1320" w:type="dxa"/>
            <w:vAlign w:val="bottom"/>
            <w:tcBorders>
              <w:bottom w:val="single" w:sz="8" w:color="auto"/>
            </w:tcBorders>
            <w:shd w:val="clear" w:color="auto" w:fill="CCEEFF"/>
          </w:tcPr>
          <w:p>
            <w:pPr>
              <w:jc w:val="right"/>
              <w:ind w:right="126"/>
              <w:spacing w:after="0" w:line="156" w:lineRule="exact"/>
              <w:rPr>
                <w:sz w:val="20"/>
                <w:szCs w:val="20"/>
                <w:color w:val="auto"/>
              </w:rPr>
            </w:pPr>
            <w:r>
              <w:rPr>
                <w:rFonts w:ascii="Arial" w:cs="Arial" w:eastAsia="Arial" w:hAnsi="Arial"/>
                <w:sz w:val="15"/>
                <w:szCs w:val="15"/>
                <w:b w:val="1"/>
                <w:bCs w:val="1"/>
                <w:color w:val="auto"/>
              </w:rPr>
              <w:t>64,730</w:t>
            </w:r>
          </w:p>
        </w:tc>
        <w:tc>
          <w:tcPr>
            <w:tcW w:w="960" w:type="dxa"/>
            <w:vAlign w:val="bottom"/>
            <w:tcBorders>
              <w:bottom w:val="single" w:sz="8" w:color="auto"/>
            </w:tcBorders>
            <w:shd w:val="clear" w:color="auto" w:fill="CCEEFF"/>
          </w:tcPr>
          <w:p>
            <w:pPr>
              <w:jc w:val="right"/>
              <w:ind w:right="126"/>
              <w:spacing w:after="0" w:line="156" w:lineRule="exact"/>
              <w:rPr>
                <w:sz w:val="20"/>
                <w:szCs w:val="20"/>
                <w:color w:val="auto"/>
              </w:rPr>
            </w:pPr>
            <w:r>
              <w:rPr>
                <w:rFonts w:ascii="Arial" w:cs="Arial" w:eastAsia="Arial" w:hAnsi="Arial"/>
                <w:sz w:val="15"/>
                <w:szCs w:val="15"/>
                <w:color w:val="auto"/>
              </w:rPr>
              <w:t>66,170</w:t>
            </w:r>
          </w:p>
        </w:tc>
        <w:tc>
          <w:tcPr>
            <w:tcW w:w="80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68,332</w:t>
            </w:r>
          </w:p>
        </w:tc>
        <w:tc>
          <w:tcPr>
            <w:tcW w:w="0" w:type="dxa"/>
            <w:vAlign w:val="bottom"/>
          </w:tcPr>
          <w:p>
            <w:pPr>
              <w:spacing w:after="0"/>
              <w:rPr>
                <w:sz w:val="1"/>
                <w:szCs w:val="1"/>
                <w:color w:val="auto"/>
              </w:rPr>
            </w:pPr>
          </w:p>
        </w:tc>
      </w:tr>
      <w:tr>
        <w:trPr>
          <w:trHeight w:val="155"/>
        </w:trPr>
        <w:tc>
          <w:tcPr>
            <w:tcW w:w="2400" w:type="dxa"/>
            <w:vAlign w:val="bottom"/>
            <w:tcBorders>
              <w:bottom w:val="single" w:sz="8" w:color="auto"/>
            </w:tcBorders>
          </w:tcPr>
          <w:p>
            <w:pPr>
              <w:spacing w:after="0" w:line="149" w:lineRule="exact"/>
              <w:rPr>
                <w:sz w:val="20"/>
                <w:szCs w:val="20"/>
                <w:color w:val="auto"/>
              </w:rPr>
            </w:pPr>
            <w:r>
              <w:rPr>
                <w:rFonts w:ascii="Arial" w:cs="Arial" w:eastAsia="Arial" w:hAnsi="Arial"/>
                <w:sz w:val="15"/>
                <w:szCs w:val="15"/>
                <w:color w:val="auto"/>
              </w:rPr>
              <w:t>Building Materials Business</w:t>
            </w:r>
          </w:p>
        </w:tc>
        <w:tc>
          <w:tcPr>
            <w:tcW w:w="1320" w:type="dxa"/>
            <w:vAlign w:val="bottom"/>
            <w:tcBorders>
              <w:bottom w:val="single" w:sz="8" w:color="auto"/>
            </w:tcBorders>
          </w:tcPr>
          <w:p>
            <w:pPr>
              <w:jc w:val="right"/>
              <w:ind w:right="126"/>
              <w:spacing w:after="0" w:line="149" w:lineRule="exact"/>
              <w:rPr>
                <w:sz w:val="20"/>
                <w:szCs w:val="20"/>
                <w:color w:val="auto"/>
              </w:rPr>
            </w:pPr>
            <w:r>
              <w:rPr>
                <w:rFonts w:ascii="Arial" w:cs="Arial" w:eastAsia="Arial" w:hAnsi="Arial"/>
                <w:sz w:val="15"/>
                <w:szCs w:val="15"/>
                <w:b w:val="1"/>
                <w:bCs w:val="1"/>
                <w:color w:val="auto"/>
              </w:rPr>
              <w:t>157,698</w:t>
            </w:r>
          </w:p>
        </w:tc>
        <w:tc>
          <w:tcPr>
            <w:tcW w:w="960" w:type="dxa"/>
            <w:vAlign w:val="bottom"/>
            <w:tcBorders>
              <w:bottom w:val="single" w:sz="8" w:color="auto"/>
            </w:tcBorders>
          </w:tcPr>
          <w:p>
            <w:pPr>
              <w:jc w:val="right"/>
              <w:ind w:right="126"/>
              <w:spacing w:after="0" w:line="149" w:lineRule="exact"/>
              <w:rPr>
                <w:sz w:val="20"/>
                <w:szCs w:val="20"/>
                <w:color w:val="auto"/>
              </w:rPr>
            </w:pPr>
            <w:r>
              <w:rPr>
                <w:rFonts w:ascii="Arial" w:cs="Arial" w:eastAsia="Arial" w:hAnsi="Arial"/>
                <w:sz w:val="15"/>
                <w:szCs w:val="15"/>
                <w:color w:val="auto"/>
              </w:rPr>
              <w:t>158,626</w:t>
            </w: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color w:val="auto"/>
              </w:rPr>
              <w:t>156,422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Aggregates product line shipments sold externally to customers and tons used in other product lines are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80" w:type="dxa"/>
            <w:vAlign w:val="bottom"/>
          </w:tcPr>
          <w:p>
            <w:pPr>
              <w:spacing w:after="0"/>
              <w:rPr>
                <w:sz w:val="20"/>
                <w:szCs w:val="20"/>
                <w:color w:val="auto"/>
              </w:rPr>
            </w:pPr>
            <w:r>
              <w:rPr>
                <w:rFonts w:ascii="Arial" w:cs="Arial" w:eastAsia="Arial" w:hAnsi="Arial"/>
                <w:sz w:val="14"/>
                <w:szCs w:val="14"/>
                <w:i w:val="1"/>
                <w:iCs w:val="1"/>
                <w:color w:val="auto"/>
              </w:rPr>
              <w:t>years ended December 31</w:t>
            </w:r>
          </w:p>
        </w:tc>
        <w:tc>
          <w:tcPr>
            <w:tcW w:w="940" w:type="dxa"/>
            <w:vAlign w:val="bottom"/>
            <w:vMerge w:val="restart"/>
          </w:tcPr>
          <w:p>
            <w:pPr>
              <w:jc w:val="right"/>
              <w:ind w:right="126"/>
              <w:spacing w:after="0"/>
              <w:rPr>
                <w:sz w:val="20"/>
                <w:szCs w:val="20"/>
                <w:color w:val="auto"/>
              </w:rPr>
            </w:pPr>
            <w:r>
              <w:rPr>
                <w:rFonts w:ascii="Arial" w:cs="Arial" w:eastAsia="Arial" w:hAnsi="Arial"/>
                <w:sz w:val="15"/>
                <w:szCs w:val="15"/>
                <w:b w:val="1"/>
                <w:bCs w:val="1"/>
                <w:color w:val="0085CD"/>
              </w:rPr>
              <w:t>2017</w:t>
            </w: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7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Tons (add 000)</w:t>
            </w:r>
          </w:p>
        </w:tc>
        <w:tc>
          <w:tcPr>
            <w:tcW w:w="940" w:type="dxa"/>
            <w:vAlign w:val="bottom"/>
            <w:tcBorders>
              <w:bottom w:val="single" w:sz="8" w:color="auto"/>
            </w:tcBorders>
            <w:vMerge w:val="continue"/>
          </w:tcPr>
          <w:p>
            <w:pPr>
              <w:spacing w:after="0"/>
              <w:rPr>
                <w:sz w:val="14"/>
                <w:szCs w:val="14"/>
                <w:color w:val="auto"/>
              </w:rPr>
            </w:pPr>
          </w:p>
        </w:tc>
        <w:tc>
          <w:tcPr>
            <w:tcW w:w="960" w:type="dxa"/>
            <w:vAlign w:val="bottom"/>
            <w:tcBorders>
              <w:bottom w:val="single" w:sz="8" w:color="auto"/>
            </w:tcBorders>
          </w:tcPr>
          <w:p>
            <w:pPr>
              <w:jc w:val="right"/>
              <w:ind w:right="126"/>
              <w:spacing w:after="0" w:line="164" w:lineRule="exact"/>
              <w:rPr>
                <w:sz w:val="20"/>
                <w:szCs w:val="20"/>
                <w:color w:val="auto"/>
              </w:rPr>
            </w:pPr>
            <w:r>
              <w:rPr>
                <w:rFonts w:ascii="Arial" w:cs="Arial" w:eastAsia="Arial" w:hAnsi="Arial"/>
                <w:sz w:val="15"/>
                <w:szCs w:val="15"/>
                <w:color w:val="auto"/>
              </w:rPr>
              <w:t>2016</w:t>
            </w:r>
          </w:p>
        </w:tc>
        <w:tc>
          <w:tcPr>
            <w:tcW w:w="800" w:type="dxa"/>
            <w:vAlign w:val="bottom"/>
            <w:tcBorders>
              <w:bottom w:val="single" w:sz="8" w:color="auto"/>
            </w:tcBorders>
          </w:tcPr>
          <w:p>
            <w:pPr>
              <w:jc w:val="right"/>
              <w:spacing w:after="0" w:line="164" w:lineRule="exact"/>
              <w:rPr>
                <w:sz w:val="20"/>
                <w:szCs w:val="20"/>
                <w:color w:val="auto"/>
              </w:rPr>
            </w:pPr>
            <w:r>
              <w:rPr>
                <w:rFonts w:ascii="Arial" w:cs="Arial" w:eastAsia="Arial" w:hAnsi="Arial"/>
                <w:sz w:val="15"/>
                <w:szCs w:val="15"/>
                <w:color w:val="auto"/>
              </w:rPr>
              <w:t>2015</w:t>
            </w:r>
          </w:p>
        </w:tc>
        <w:tc>
          <w:tcPr>
            <w:tcW w:w="0" w:type="dxa"/>
            <w:vAlign w:val="bottom"/>
          </w:tcPr>
          <w:p>
            <w:pPr>
              <w:spacing w:after="0"/>
              <w:rPr>
                <w:sz w:val="1"/>
                <w:szCs w:val="1"/>
                <w:color w:val="auto"/>
              </w:rPr>
            </w:pPr>
          </w:p>
        </w:tc>
      </w:tr>
      <w:tr>
        <w:trPr>
          <w:trHeight w:val="149"/>
        </w:trPr>
        <w:tc>
          <w:tcPr>
            <w:tcW w:w="278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Tons to external customers</w:t>
            </w:r>
          </w:p>
        </w:tc>
        <w:tc>
          <w:tcPr>
            <w:tcW w:w="940" w:type="dxa"/>
            <w:vAlign w:val="bottom"/>
            <w:shd w:val="clear" w:color="auto" w:fill="CCEEFF"/>
          </w:tcPr>
          <w:p>
            <w:pPr>
              <w:jc w:val="right"/>
              <w:ind w:right="126"/>
              <w:spacing w:after="0" w:line="149" w:lineRule="exact"/>
              <w:rPr>
                <w:sz w:val="20"/>
                <w:szCs w:val="20"/>
                <w:color w:val="auto"/>
              </w:rPr>
            </w:pPr>
            <w:r>
              <w:rPr>
                <w:rFonts w:ascii="Arial" w:cs="Arial" w:eastAsia="Arial" w:hAnsi="Arial"/>
                <w:sz w:val="15"/>
                <w:szCs w:val="15"/>
                <w:b w:val="1"/>
                <w:bCs w:val="1"/>
                <w:color w:val="auto"/>
              </w:rPr>
              <w:t>146,818</w:t>
            </w:r>
          </w:p>
        </w:tc>
        <w:tc>
          <w:tcPr>
            <w:tcW w:w="960" w:type="dxa"/>
            <w:vAlign w:val="bottom"/>
            <w:shd w:val="clear" w:color="auto" w:fill="CCEEFF"/>
          </w:tcPr>
          <w:p>
            <w:pPr>
              <w:jc w:val="right"/>
              <w:ind w:right="126"/>
              <w:spacing w:after="0" w:line="149" w:lineRule="exact"/>
              <w:rPr>
                <w:sz w:val="20"/>
                <w:szCs w:val="20"/>
                <w:color w:val="auto"/>
              </w:rPr>
            </w:pPr>
            <w:r>
              <w:rPr>
                <w:rFonts w:ascii="Arial" w:cs="Arial" w:eastAsia="Arial" w:hAnsi="Arial"/>
                <w:sz w:val="15"/>
                <w:szCs w:val="15"/>
                <w:color w:val="auto"/>
              </w:rPr>
              <w:t>148,198</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147,197</w:t>
            </w:r>
          </w:p>
        </w:tc>
        <w:tc>
          <w:tcPr>
            <w:tcW w:w="0" w:type="dxa"/>
            <w:vAlign w:val="bottom"/>
          </w:tcPr>
          <w:p>
            <w:pPr>
              <w:spacing w:after="0"/>
              <w:rPr>
                <w:sz w:val="1"/>
                <w:szCs w:val="1"/>
                <w:color w:val="auto"/>
              </w:rPr>
            </w:pPr>
          </w:p>
        </w:tc>
      </w:tr>
      <w:tr>
        <w:trPr>
          <w:trHeight w:val="156"/>
        </w:trPr>
        <w:tc>
          <w:tcPr>
            <w:tcW w:w="2780" w:type="dxa"/>
            <w:vAlign w:val="bottom"/>
            <w:tcBorders>
              <w:bottom w:val="single" w:sz="8" w:color="auto"/>
            </w:tcBorders>
          </w:tcPr>
          <w:p>
            <w:pPr>
              <w:spacing w:after="0" w:line="156" w:lineRule="exact"/>
              <w:rPr>
                <w:sz w:val="20"/>
                <w:szCs w:val="20"/>
                <w:color w:val="auto"/>
              </w:rPr>
            </w:pPr>
            <w:r>
              <w:rPr>
                <w:rFonts w:ascii="Arial" w:cs="Arial" w:eastAsia="Arial" w:hAnsi="Arial"/>
                <w:sz w:val="15"/>
                <w:szCs w:val="15"/>
                <w:color w:val="auto"/>
              </w:rPr>
              <w:t>Internal tons used in other product lines</w:t>
            </w:r>
          </w:p>
        </w:tc>
        <w:tc>
          <w:tcPr>
            <w:tcW w:w="940" w:type="dxa"/>
            <w:vAlign w:val="bottom"/>
            <w:tcBorders>
              <w:bottom w:val="single" w:sz="8" w:color="auto"/>
            </w:tcBorders>
          </w:tcPr>
          <w:p>
            <w:pPr>
              <w:jc w:val="right"/>
              <w:ind w:right="126"/>
              <w:spacing w:after="0" w:line="156" w:lineRule="exact"/>
              <w:rPr>
                <w:sz w:val="20"/>
                <w:szCs w:val="20"/>
                <w:color w:val="auto"/>
              </w:rPr>
            </w:pPr>
            <w:r>
              <w:rPr>
                <w:rFonts w:ascii="Arial" w:cs="Arial" w:eastAsia="Arial" w:hAnsi="Arial"/>
                <w:sz w:val="15"/>
                <w:szCs w:val="15"/>
                <w:b w:val="1"/>
                <w:bCs w:val="1"/>
                <w:color w:val="auto"/>
              </w:rPr>
              <w:t>10,880</w:t>
            </w:r>
          </w:p>
        </w:tc>
        <w:tc>
          <w:tcPr>
            <w:tcW w:w="960" w:type="dxa"/>
            <w:vAlign w:val="bottom"/>
            <w:tcBorders>
              <w:bottom w:val="single" w:sz="8" w:color="auto"/>
            </w:tcBorders>
          </w:tcPr>
          <w:p>
            <w:pPr>
              <w:jc w:val="right"/>
              <w:ind w:right="126"/>
              <w:spacing w:after="0" w:line="156" w:lineRule="exact"/>
              <w:rPr>
                <w:sz w:val="20"/>
                <w:szCs w:val="20"/>
                <w:color w:val="auto"/>
              </w:rPr>
            </w:pPr>
            <w:r>
              <w:rPr>
                <w:rFonts w:ascii="Arial" w:cs="Arial" w:eastAsia="Arial" w:hAnsi="Arial"/>
                <w:sz w:val="15"/>
                <w:szCs w:val="15"/>
                <w:color w:val="auto"/>
              </w:rPr>
              <w:t>10,428</w:t>
            </w:r>
          </w:p>
        </w:tc>
        <w:tc>
          <w:tcPr>
            <w:tcW w:w="8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9,225</w:t>
            </w:r>
          </w:p>
        </w:tc>
        <w:tc>
          <w:tcPr>
            <w:tcW w:w="0" w:type="dxa"/>
            <w:vAlign w:val="bottom"/>
          </w:tcPr>
          <w:p>
            <w:pPr>
              <w:spacing w:after="0"/>
              <w:rPr>
                <w:sz w:val="1"/>
                <w:szCs w:val="1"/>
                <w:color w:val="auto"/>
              </w:rPr>
            </w:pPr>
          </w:p>
        </w:tc>
      </w:tr>
      <w:tr>
        <w:trPr>
          <w:trHeight w:val="155"/>
        </w:trPr>
        <w:tc>
          <w:tcPr>
            <w:tcW w:w="278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5"/>
                <w:szCs w:val="15"/>
                <w:color w:val="auto"/>
              </w:rPr>
              <w:t>Total Aggregates Tons</w:t>
            </w:r>
          </w:p>
        </w:tc>
        <w:tc>
          <w:tcPr>
            <w:tcW w:w="940" w:type="dxa"/>
            <w:vAlign w:val="bottom"/>
            <w:tcBorders>
              <w:bottom w:val="single" w:sz="8" w:color="auto"/>
            </w:tcBorders>
            <w:shd w:val="clear" w:color="auto" w:fill="CCEEFF"/>
          </w:tcPr>
          <w:p>
            <w:pPr>
              <w:jc w:val="right"/>
              <w:ind w:right="126"/>
              <w:spacing w:after="0" w:line="149" w:lineRule="exact"/>
              <w:rPr>
                <w:sz w:val="20"/>
                <w:szCs w:val="20"/>
                <w:color w:val="auto"/>
              </w:rPr>
            </w:pPr>
            <w:r>
              <w:rPr>
                <w:rFonts w:ascii="Arial" w:cs="Arial" w:eastAsia="Arial" w:hAnsi="Arial"/>
                <w:sz w:val="15"/>
                <w:szCs w:val="15"/>
                <w:b w:val="1"/>
                <w:bCs w:val="1"/>
                <w:color w:val="auto"/>
              </w:rPr>
              <w:t>157,698</w:t>
            </w:r>
          </w:p>
        </w:tc>
        <w:tc>
          <w:tcPr>
            <w:tcW w:w="960" w:type="dxa"/>
            <w:vAlign w:val="bottom"/>
            <w:tcBorders>
              <w:bottom w:val="single" w:sz="8" w:color="auto"/>
            </w:tcBorders>
            <w:shd w:val="clear" w:color="auto" w:fill="CCEEFF"/>
          </w:tcPr>
          <w:p>
            <w:pPr>
              <w:jc w:val="right"/>
              <w:ind w:right="126"/>
              <w:spacing w:after="0" w:line="149" w:lineRule="exact"/>
              <w:rPr>
                <w:sz w:val="20"/>
                <w:szCs w:val="20"/>
                <w:color w:val="auto"/>
              </w:rPr>
            </w:pPr>
            <w:r>
              <w:rPr>
                <w:rFonts w:ascii="Arial" w:cs="Arial" w:eastAsia="Arial" w:hAnsi="Arial"/>
                <w:sz w:val="15"/>
                <w:szCs w:val="15"/>
                <w:color w:val="auto"/>
              </w:rPr>
              <w:t>158,626</w:t>
            </w: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156,422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Aggregates product line volume variance by reportable segment is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580" w:type="dxa"/>
            <w:vAlign w:val="bottom"/>
            <w:tcBorders>
              <w:bottom w:val="single" w:sz="8" w:color="auto"/>
            </w:tcBorders>
          </w:tcPr>
          <w:p>
            <w:pPr>
              <w:spacing w:after="0"/>
              <w:rPr>
                <w:sz w:val="20"/>
                <w:szCs w:val="20"/>
                <w:color w:val="auto"/>
              </w:rPr>
            </w:pPr>
            <w:r>
              <w:rPr>
                <w:rFonts w:ascii="Arial" w:cs="Arial" w:eastAsia="Arial" w:hAnsi="Arial"/>
                <w:sz w:val="15"/>
                <w:szCs w:val="15"/>
                <w:i w:val="1"/>
                <w:iCs w:val="1"/>
                <w:color w:val="auto"/>
              </w:rPr>
              <w:t>years ended December 31</w:t>
            </w:r>
          </w:p>
        </w:tc>
        <w:tc>
          <w:tcPr>
            <w:tcW w:w="148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b w:val="1"/>
                <w:bCs w:val="1"/>
                <w:color w:val="0085CD"/>
              </w:rPr>
              <w:t>2017</w:t>
            </w:r>
          </w:p>
        </w:tc>
        <w:tc>
          <w:tcPr>
            <w:tcW w:w="84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rPr>
              <w:t>2016</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2015</w:t>
            </w:r>
          </w:p>
        </w:tc>
      </w:tr>
      <w:tr>
        <w:trPr>
          <w:trHeight w:val="149"/>
        </w:trPr>
        <w:tc>
          <w:tcPr>
            <w:tcW w:w="2580" w:type="dxa"/>
            <w:vAlign w:val="bottom"/>
            <w:shd w:val="clear" w:color="auto" w:fill="CCEEFF"/>
          </w:tcPr>
          <w:p>
            <w:pPr>
              <w:ind w:left="160"/>
              <w:spacing w:after="0" w:line="149" w:lineRule="exact"/>
              <w:rPr>
                <w:sz w:val="20"/>
                <w:szCs w:val="20"/>
                <w:color w:val="auto"/>
              </w:rPr>
            </w:pPr>
            <w:r>
              <w:rPr>
                <w:rFonts w:ascii="Arial" w:cs="Arial" w:eastAsia="Arial" w:hAnsi="Arial"/>
                <w:sz w:val="15"/>
                <w:szCs w:val="15"/>
                <w:color w:val="auto"/>
              </w:rPr>
              <w:t>Mid-America Group</w:t>
            </w:r>
          </w:p>
        </w:tc>
        <w:tc>
          <w:tcPr>
            <w:tcW w:w="1480" w:type="dxa"/>
            <w:vAlign w:val="bottom"/>
            <w:shd w:val="clear" w:color="auto" w:fill="CCEEFF"/>
          </w:tcPr>
          <w:p>
            <w:pPr>
              <w:jc w:val="right"/>
              <w:ind w:right="146"/>
              <w:spacing w:after="0" w:line="149" w:lineRule="exact"/>
              <w:rPr>
                <w:sz w:val="20"/>
                <w:szCs w:val="20"/>
                <w:color w:val="auto"/>
              </w:rPr>
            </w:pPr>
            <w:r>
              <w:rPr>
                <w:rFonts w:ascii="Arial" w:cs="Arial" w:eastAsia="Arial" w:hAnsi="Arial"/>
                <w:sz w:val="15"/>
                <w:szCs w:val="15"/>
                <w:b w:val="1"/>
                <w:bCs w:val="1"/>
                <w:color w:val="auto"/>
              </w:rPr>
              <w:t>(0.7%)</w:t>
            </w:r>
          </w:p>
        </w:tc>
        <w:tc>
          <w:tcPr>
            <w:tcW w:w="840" w:type="dxa"/>
            <w:vAlign w:val="bottom"/>
            <w:shd w:val="clear" w:color="auto" w:fill="CCEEFF"/>
          </w:tcPr>
          <w:p>
            <w:pPr>
              <w:jc w:val="right"/>
              <w:ind w:right="186"/>
              <w:spacing w:after="0" w:line="149" w:lineRule="exact"/>
              <w:rPr>
                <w:sz w:val="20"/>
                <w:szCs w:val="20"/>
                <w:color w:val="auto"/>
              </w:rPr>
            </w:pPr>
            <w:r>
              <w:rPr>
                <w:rFonts w:ascii="Arial" w:cs="Arial" w:eastAsia="Arial" w:hAnsi="Arial"/>
                <w:sz w:val="15"/>
                <w:szCs w:val="15"/>
                <w:color w:val="auto"/>
              </w:rPr>
              <w:t>6.5%</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5.6%</w:t>
            </w:r>
          </w:p>
        </w:tc>
      </w:tr>
      <w:tr>
        <w:trPr>
          <w:trHeight w:val="156"/>
        </w:trPr>
        <w:tc>
          <w:tcPr>
            <w:tcW w:w="2580" w:type="dxa"/>
            <w:vAlign w:val="bottom"/>
          </w:tcPr>
          <w:p>
            <w:pPr>
              <w:ind w:left="160"/>
              <w:spacing w:after="0" w:line="156" w:lineRule="exact"/>
              <w:rPr>
                <w:sz w:val="20"/>
                <w:szCs w:val="20"/>
                <w:color w:val="auto"/>
              </w:rPr>
            </w:pPr>
            <w:r>
              <w:rPr>
                <w:rFonts w:ascii="Arial" w:cs="Arial" w:eastAsia="Arial" w:hAnsi="Arial"/>
                <w:sz w:val="15"/>
                <w:szCs w:val="15"/>
                <w:color w:val="auto"/>
              </w:rPr>
              <w:t>Southeast Group</w:t>
            </w:r>
          </w:p>
        </w:tc>
        <w:tc>
          <w:tcPr>
            <w:tcW w:w="1480" w:type="dxa"/>
            <w:vAlign w:val="bottom"/>
          </w:tcPr>
          <w:p>
            <w:pPr>
              <w:jc w:val="right"/>
              <w:ind w:right="186"/>
              <w:spacing w:after="0" w:line="156" w:lineRule="exact"/>
              <w:rPr>
                <w:sz w:val="20"/>
                <w:szCs w:val="20"/>
                <w:color w:val="auto"/>
              </w:rPr>
            </w:pPr>
            <w:r>
              <w:rPr>
                <w:rFonts w:ascii="Arial" w:cs="Arial" w:eastAsia="Arial" w:hAnsi="Arial"/>
                <w:sz w:val="15"/>
                <w:szCs w:val="15"/>
                <w:b w:val="1"/>
                <w:bCs w:val="1"/>
                <w:color w:val="auto"/>
              </w:rPr>
              <w:t>5.3%</w:t>
            </w:r>
          </w:p>
        </w:tc>
        <w:tc>
          <w:tcPr>
            <w:tcW w:w="840" w:type="dxa"/>
            <w:vAlign w:val="bottom"/>
          </w:tcPr>
          <w:p>
            <w:pPr>
              <w:jc w:val="right"/>
              <w:ind w:right="146"/>
              <w:spacing w:after="0" w:line="156" w:lineRule="exact"/>
              <w:rPr>
                <w:sz w:val="20"/>
                <w:szCs w:val="20"/>
                <w:color w:val="auto"/>
              </w:rPr>
            </w:pPr>
            <w:r>
              <w:rPr>
                <w:rFonts w:ascii="Arial" w:cs="Arial" w:eastAsia="Arial" w:hAnsi="Arial"/>
                <w:sz w:val="15"/>
                <w:szCs w:val="15"/>
                <w:color w:val="auto"/>
              </w:rPr>
              <w:t>(0.4%)</w:t>
            </w:r>
          </w:p>
        </w:tc>
        <w:tc>
          <w:tcPr>
            <w:tcW w:w="580" w:type="dxa"/>
            <w:vAlign w:val="bottom"/>
          </w:tcPr>
          <w:p>
            <w:pPr>
              <w:jc w:val="right"/>
              <w:spacing w:after="0" w:line="156" w:lineRule="exact"/>
              <w:rPr>
                <w:sz w:val="20"/>
                <w:szCs w:val="20"/>
                <w:color w:val="auto"/>
              </w:rPr>
            </w:pPr>
            <w:r>
              <w:rPr>
                <w:rFonts w:ascii="Arial" w:cs="Arial" w:eastAsia="Arial" w:hAnsi="Arial"/>
                <w:sz w:val="15"/>
                <w:szCs w:val="15"/>
                <w:color w:val="auto"/>
              </w:rPr>
              <w:t>6.5%</w:t>
            </w:r>
          </w:p>
        </w:tc>
      </w:tr>
      <w:tr>
        <w:trPr>
          <w:trHeight w:val="156"/>
        </w:trPr>
        <w:tc>
          <w:tcPr>
            <w:tcW w:w="2580" w:type="dxa"/>
            <w:vAlign w:val="bottom"/>
            <w:shd w:val="clear" w:color="auto" w:fill="CCEEFF"/>
          </w:tcPr>
          <w:p>
            <w:pPr>
              <w:ind w:left="160"/>
              <w:spacing w:after="0" w:line="156" w:lineRule="exact"/>
              <w:rPr>
                <w:sz w:val="20"/>
                <w:szCs w:val="20"/>
                <w:color w:val="auto"/>
              </w:rPr>
            </w:pPr>
            <w:r>
              <w:rPr>
                <w:rFonts w:ascii="Arial" w:cs="Arial" w:eastAsia="Arial" w:hAnsi="Arial"/>
                <w:sz w:val="15"/>
                <w:szCs w:val="15"/>
                <w:color w:val="auto"/>
              </w:rPr>
              <w:t>West Group</w:t>
            </w:r>
          </w:p>
        </w:tc>
        <w:tc>
          <w:tcPr>
            <w:tcW w:w="1480" w:type="dxa"/>
            <w:vAlign w:val="bottom"/>
            <w:shd w:val="clear" w:color="auto" w:fill="CCEEFF"/>
          </w:tcPr>
          <w:p>
            <w:pPr>
              <w:jc w:val="right"/>
              <w:ind w:right="146"/>
              <w:spacing w:after="0" w:line="156" w:lineRule="exact"/>
              <w:rPr>
                <w:sz w:val="20"/>
                <w:szCs w:val="20"/>
                <w:color w:val="auto"/>
              </w:rPr>
            </w:pPr>
            <w:r>
              <w:rPr>
                <w:rFonts w:ascii="Arial" w:cs="Arial" w:eastAsia="Arial" w:hAnsi="Arial"/>
                <w:sz w:val="15"/>
                <w:szCs w:val="15"/>
                <w:b w:val="1"/>
                <w:bCs w:val="1"/>
                <w:color w:val="auto"/>
              </w:rPr>
              <w:t>(2.2%)</w:t>
            </w:r>
          </w:p>
        </w:tc>
        <w:tc>
          <w:tcPr>
            <w:tcW w:w="840" w:type="dxa"/>
            <w:vAlign w:val="bottom"/>
            <w:shd w:val="clear" w:color="auto" w:fill="CCEEFF"/>
          </w:tcPr>
          <w:p>
            <w:pPr>
              <w:jc w:val="right"/>
              <w:ind w:right="146"/>
              <w:spacing w:after="0" w:line="156" w:lineRule="exact"/>
              <w:rPr>
                <w:sz w:val="20"/>
                <w:szCs w:val="20"/>
                <w:color w:val="auto"/>
              </w:rPr>
            </w:pPr>
            <w:r>
              <w:rPr>
                <w:rFonts w:ascii="Arial" w:cs="Arial" w:eastAsia="Arial" w:hAnsi="Arial"/>
                <w:sz w:val="15"/>
                <w:szCs w:val="15"/>
                <w:color w:val="auto"/>
              </w:rPr>
              <w:t>(3.2%)</w:t>
            </w:r>
          </w:p>
        </w:tc>
        <w:tc>
          <w:tcPr>
            <w:tcW w:w="58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8.6%</w:t>
            </w:r>
          </w:p>
        </w:tc>
      </w:tr>
      <w:tr>
        <w:trPr>
          <w:trHeight w:val="195"/>
        </w:trPr>
        <w:tc>
          <w:tcPr>
            <w:tcW w:w="2580" w:type="dxa"/>
            <w:vAlign w:val="bottom"/>
          </w:tcPr>
          <w:p>
            <w:pPr>
              <w:spacing w:after="0"/>
              <w:rPr>
                <w:sz w:val="20"/>
                <w:szCs w:val="20"/>
                <w:color w:val="auto"/>
              </w:rPr>
            </w:pPr>
            <w:r>
              <w:rPr>
                <w:rFonts w:ascii="Arial" w:cs="Arial" w:eastAsia="Arial" w:hAnsi="Arial"/>
                <w:sz w:val="15"/>
                <w:szCs w:val="15"/>
                <w:color w:val="auto"/>
              </w:rPr>
              <w:t>Aggregates Product Line</w:t>
            </w:r>
          </w:p>
        </w:tc>
        <w:tc>
          <w:tcPr>
            <w:tcW w:w="1480" w:type="dxa"/>
            <w:vAlign w:val="bottom"/>
          </w:tcPr>
          <w:p>
            <w:pPr>
              <w:jc w:val="right"/>
              <w:ind w:right="146"/>
              <w:spacing w:after="0"/>
              <w:rPr>
                <w:sz w:val="20"/>
                <w:szCs w:val="20"/>
                <w:color w:val="auto"/>
              </w:rPr>
            </w:pPr>
            <w:r>
              <w:rPr>
                <w:rFonts w:ascii="Arial" w:cs="Arial" w:eastAsia="Arial" w:hAnsi="Arial"/>
                <w:sz w:val="15"/>
                <w:szCs w:val="15"/>
                <w:b w:val="1"/>
                <w:bCs w:val="1"/>
                <w:color w:val="auto"/>
              </w:rPr>
              <w:t>(0.6%)</w:t>
            </w:r>
          </w:p>
        </w:tc>
        <w:tc>
          <w:tcPr>
            <w:tcW w:w="840" w:type="dxa"/>
            <w:vAlign w:val="bottom"/>
          </w:tcPr>
          <w:p>
            <w:pPr>
              <w:jc w:val="right"/>
              <w:ind w:right="186"/>
              <w:spacing w:after="0"/>
              <w:rPr>
                <w:sz w:val="20"/>
                <w:szCs w:val="20"/>
                <w:color w:val="auto"/>
              </w:rPr>
            </w:pPr>
            <w:r>
              <w:rPr>
                <w:rFonts w:ascii="Arial" w:cs="Arial" w:eastAsia="Arial" w:hAnsi="Arial"/>
                <w:sz w:val="15"/>
                <w:szCs w:val="15"/>
                <w:color w:val="auto"/>
              </w:rPr>
              <w:t>1.4%</w:t>
            </w:r>
          </w:p>
        </w:tc>
        <w:tc>
          <w:tcPr>
            <w:tcW w:w="580" w:type="dxa"/>
            <w:vAlign w:val="bottom"/>
          </w:tcPr>
          <w:p>
            <w:pPr>
              <w:jc w:val="right"/>
              <w:spacing w:after="0"/>
              <w:rPr>
                <w:sz w:val="20"/>
                <w:szCs w:val="20"/>
                <w:color w:val="auto"/>
              </w:rPr>
            </w:pPr>
            <w:r>
              <w:rPr>
                <w:rFonts w:ascii="Arial" w:cs="Arial" w:eastAsia="Arial" w:hAnsi="Arial"/>
                <w:sz w:val="15"/>
                <w:szCs w:val="15"/>
                <w:color w:val="auto"/>
              </w:rPr>
              <w:t>7.1%</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rPr>
          <w:sz w:val="20"/>
          <w:szCs w:val="20"/>
          <w:color w:val="auto"/>
        </w:rPr>
      </w:pPr>
      <w:r>
        <w:rPr>
          <w:rFonts w:ascii="Arial" w:cs="Arial" w:eastAsia="Arial" w:hAnsi="Arial"/>
          <w:sz w:val="16"/>
          <w:szCs w:val="16"/>
          <w:color w:val="auto"/>
        </w:rPr>
        <w:t>2017 shipments reflect strength in private sector construction offset by underinvestment in public infrastructure. Rainfall negatively affected shipments in 2017, notably in the southwestern United States, which experienced the fourth-wettest year for this region in recorded history. Additionally, shipment volumes were suppressed by project delays, customer- and Department of Transportation-related labor constraints and government uncertainty. Notwithstanding these headwinds, the Southeast Group’s 5.3% increase in shipments demonstrates the underlying strength of the Georgia and Florida markets. Volumes in 2016 were hindered by significant rainfall; certain infrastructure project delays, notably in Texas; a reduction in energy-sector shipments resulting from lower oil prices; and lower ballast shipments resulting from reduced activity on railroads. Aggregates product line volume strength in the Mid-America Group in 2016, relative to the other groups, was due to steady economic improvement, which drove growth in office, retail, industrial and residential development in North Carolina and South Carolina.</w:t>
      </w:r>
    </w:p>
    <w:p>
      <w:pPr>
        <w:spacing w:after="0" w:line="33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b w:val="1"/>
          <w:bCs w:val="1"/>
          <w:i w:val="1"/>
          <w:iCs w:val="1"/>
          <w:color w:val="49B28F"/>
        </w:rPr>
        <w:t xml:space="preserve">Cement, Ready Mixed Concrete, Asphalt and Paving Services. </w:t>
      </w:r>
      <w:r>
        <w:rPr>
          <w:rFonts w:ascii="Arial" w:cs="Arial" w:eastAsia="Arial" w:hAnsi="Arial"/>
          <w:sz w:val="16"/>
          <w:szCs w:val="16"/>
          <w:color w:val="000000"/>
        </w:rPr>
        <w:t>The</w:t>
      </w:r>
      <w:r>
        <w:rPr>
          <w:rFonts w:ascii="Arial" w:cs="Arial" w:eastAsia="Arial" w:hAnsi="Arial"/>
          <w:sz w:val="16"/>
          <w:szCs w:val="16"/>
          <w:b w:val="1"/>
          <w:bCs w:val="1"/>
          <w:i w:val="1"/>
          <w:iCs w:val="1"/>
          <w:color w:val="49B28F"/>
        </w:rPr>
        <w:t xml:space="preserve"> </w:t>
      </w:r>
      <w:r>
        <w:rPr>
          <w:rFonts w:ascii="Arial" w:cs="Arial" w:eastAsia="Arial" w:hAnsi="Arial"/>
          <w:sz w:val="16"/>
          <w:szCs w:val="16"/>
          <w:color w:val="000000"/>
        </w:rPr>
        <w:t>Company’s cement and downstream operations, namely ready mixed concrete, asphalt and paving services, are located in the West Group, notably in the high-growth states of Texas and Colorado.</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Average selling prices for cement, ready mixed concrete and asphalt are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460" w:type="dxa"/>
            <w:vAlign w:val="bottom"/>
            <w:tcBorders>
              <w:bottom w:val="single" w:sz="8" w:color="auto"/>
            </w:tcBorders>
          </w:tcPr>
          <w:p>
            <w:pPr>
              <w:spacing w:after="0"/>
              <w:rPr>
                <w:sz w:val="20"/>
                <w:szCs w:val="20"/>
                <w:color w:val="auto"/>
              </w:rPr>
            </w:pPr>
            <w:r>
              <w:rPr>
                <w:rFonts w:ascii="Arial" w:cs="Arial" w:eastAsia="Arial" w:hAnsi="Arial"/>
                <w:sz w:val="15"/>
                <w:szCs w:val="15"/>
                <w:i w:val="1"/>
                <w:iCs w:val="1"/>
                <w:color w:val="auto"/>
              </w:rPr>
              <w:t>years ended December 31</w:t>
            </w:r>
          </w:p>
        </w:tc>
        <w:tc>
          <w:tcPr>
            <w:tcW w:w="3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b w:val="1"/>
                <w:bCs w:val="1"/>
                <w:color w:val="0085CD"/>
              </w:rPr>
              <w:t>2017</w:t>
            </w:r>
          </w:p>
        </w:tc>
        <w:tc>
          <w:tcPr>
            <w:tcW w:w="4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rPr>
              <w:t>2016</w:t>
            </w:r>
          </w:p>
        </w:tc>
        <w:tc>
          <w:tcPr>
            <w:tcW w:w="4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2015</w:t>
            </w:r>
          </w:p>
        </w:tc>
        <w:tc>
          <w:tcPr>
            <w:tcW w:w="0" w:type="dxa"/>
            <w:vAlign w:val="bottom"/>
          </w:tcPr>
          <w:p>
            <w:pPr>
              <w:spacing w:after="0"/>
              <w:rPr>
                <w:sz w:val="1"/>
                <w:szCs w:val="1"/>
                <w:color w:val="auto"/>
              </w:rPr>
            </w:pPr>
          </w:p>
        </w:tc>
      </w:tr>
      <w:tr>
        <w:trPr>
          <w:trHeight w:val="149"/>
        </w:trPr>
        <w:tc>
          <w:tcPr>
            <w:tcW w:w="246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Cement - per ton</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760" w:type="dxa"/>
            <w:vAlign w:val="bottom"/>
            <w:shd w:val="clear" w:color="auto" w:fill="CCEEFF"/>
          </w:tcPr>
          <w:p>
            <w:pPr>
              <w:jc w:val="right"/>
              <w:ind w:right="186"/>
              <w:spacing w:after="0" w:line="149" w:lineRule="exact"/>
              <w:rPr>
                <w:sz w:val="20"/>
                <w:szCs w:val="20"/>
                <w:color w:val="auto"/>
              </w:rPr>
            </w:pPr>
            <w:r>
              <w:rPr>
                <w:rFonts w:ascii="Arial" w:cs="Arial" w:eastAsia="Arial" w:hAnsi="Arial"/>
                <w:sz w:val="15"/>
                <w:szCs w:val="15"/>
                <w:b w:val="1"/>
                <w:bCs w:val="1"/>
                <w:color w:val="auto"/>
              </w:rPr>
              <w:t>105.97</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ind w:right="186"/>
              <w:spacing w:after="0" w:line="149" w:lineRule="exact"/>
              <w:rPr>
                <w:sz w:val="20"/>
                <w:szCs w:val="20"/>
                <w:color w:val="auto"/>
              </w:rPr>
            </w:pPr>
            <w:r>
              <w:rPr>
                <w:rFonts w:ascii="Arial" w:cs="Arial" w:eastAsia="Arial" w:hAnsi="Arial"/>
                <w:sz w:val="15"/>
                <w:szCs w:val="15"/>
                <w:color w:val="auto"/>
              </w:rPr>
              <w:t>101.96</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98.35</w:t>
            </w:r>
          </w:p>
        </w:tc>
        <w:tc>
          <w:tcPr>
            <w:tcW w:w="0" w:type="dxa"/>
            <w:vAlign w:val="bottom"/>
          </w:tcPr>
          <w:p>
            <w:pPr>
              <w:spacing w:after="0"/>
              <w:rPr>
                <w:sz w:val="1"/>
                <w:szCs w:val="1"/>
                <w:color w:val="auto"/>
              </w:rPr>
            </w:pPr>
          </w:p>
        </w:tc>
      </w:tr>
      <w:tr>
        <w:trPr>
          <w:trHeight w:val="152"/>
        </w:trPr>
        <w:tc>
          <w:tcPr>
            <w:tcW w:w="2460" w:type="dxa"/>
            <w:vAlign w:val="bottom"/>
          </w:tcPr>
          <w:p>
            <w:pPr>
              <w:spacing w:after="0" w:line="153" w:lineRule="exact"/>
              <w:rPr>
                <w:sz w:val="20"/>
                <w:szCs w:val="20"/>
                <w:color w:val="auto"/>
              </w:rPr>
            </w:pPr>
            <w:r>
              <w:rPr>
                <w:rFonts w:ascii="Arial" w:cs="Arial" w:eastAsia="Arial" w:hAnsi="Arial"/>
                <w:sz w:val="15"/>
                <w:szCs w:val="15"/>
                <w:color w:val="auto"/>
              </w:rPr>
              <w:t>Ready Mixed Concrete - per cubic</w:t>
            </w:r>
          </w:p>
        </w:tc>
        <w:tc>
          <w:tcPr>
            <w:tcW w:w="3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760" w:type="dxa"/>
            <w:vAlign w:val="bottom"/>
            <w:vMerge w:val="restart"/>
          </w:tcPr>
          <w:p>
            <w:pPr>
              <w:jc w:val="right"/>
              <w:ind w:right="186"/>
              <w:spacing w:after="0"/>
              <w:rPr>
                <w:sz w:val="20"/>
                <w:szCs w:val="20"/>
                <w:color w:val="auto"/>
              </w:rPr>
            </w:pPr>
            <w:r>
              <w:rPr>
                <w:rFonts w:ascii="Arial" w:cs="Arial" w:eastAsia="Arial" w:hAnsi="Arial"/>
                <w:sz w:val="15"/>
                <w:szCs w:val="15"/>
                <w:b w:val="1"/>
                <w:bCs w:val="1"/>
                <w:color w:val="auto"/>
              </w:rPr>
              <w:t>107.27</w:t>
            </w: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460" w:type="dxa"/>
            <w:vAlign w:val="bottom"/>
          </w:tcPr>
          <w:p>
            <w:pPr>
              <w:ind w:left="140"/>
              <w:spacing w:after="0" w:line="159" w:lineRule="exact"/>
              <w:rPr>
                <w:sz w:val="20"/>
                <w:szCs w:val="20"/>
                <w:color w:val="auto"/>
              </w:rPr>
            </w:pPr>
            <w:r>
              <w:rPr>
                <w:rFonts w:ascii="Arial" w:cs="Arial" w:eastAsia="Arial" w:hAnsi="Arial"/>
                <w:sz w:val="15"/>
                <w:szCs w:val="15"/>
                <w:color w:val="auto"/>
              </w:rPr>
              <w:t>yard</w:t>
            </w:r>
          </w:p>
        </w:tc>
        <w:tc>
          <w:tcPr>
            <w:tcW w:w="36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400" w:type="dxa"/>
            <w:vAlign w:val="bottom"/>
          </w:tcPr>
          <w:p>
            <w:pPr>
              <w:jc w:val="right"/>
              <w:spacing w:after="0" w:line="159" w:lineRule="exact"/>
              <w:rPr>
                <w:sz w:val="20"/>
                <w:szCs w:val="20"/>
                <w:color w:val="auto"/>
              </w:rPr>
            </w:pPr>
            <w:r>
              <w:rPr>
                <w:rFonts w:ascii="Arial" w:cs="Arial" w:eastAsia="Arial" w:hAnsi="Arial"/>
                <w:sz w:val="15"/>
                <w:szCs w:val="15"/>
                <w:color w:val="auto"/>
              </w:rPr>
              <w:t>$</w:t>
            </w:r>
          </w:p>
        </w:tc>
        <w:tc>
          <w:tcPr>
            <w:tcW w:w="740" w:type="dxa"/>
            <w:vAlign w:val="bottom"/>
          </w:tcPr>
          <w:p>
            <w:pPr>
              <w:jc w:val="right"/>
              <w:ind w:right="186"/>
              <w:spacing w:after="0" w:line="159" w:lineRule="exact"/>
              <w:rPr>
                <w:sz w:val="20"/>
                <w:szCs w:val="20"/>
                <w:color w:val="auto"/>
              </w:rPr>
            </w:pPr>
            <w:r>
              <w:rPr>
                <w:rFonts w:ascii="Arial" w:cs="Arial" w:eastAsia="Arial" w:hAnsi="Arial"/>
                <w:sz w:val="15"/>
                <w:szCs w:val="15"/>
                <w:color w:val="auto"/>
              </w:rPr>
              <w:t>104.26</w:t>
            </w:r>
          </w:p>
        </w:tc>
        <w:tc>
          <w:tcPr>
            <w:tcW w:w="400" w:type="dxa"/>
            <w:vAlign w:val="bottom"/>
          </w:tcPr>
          <w:p>
            <w:pPr>
              <w:jc w:val="right"/>
              <w:spacing w:after="0" w:line="159" w:lineRule="exact"/>
              <w:rPr>
                <w:sz w:val="20"/>
                <w:szCs w:val="20"/>
                <w:color w:val="auto"/>
              </w:rPr>
            </w:pPr>
            <w:r>
              <w:rPr>
                <w:rFonts w:ascii="Arial" w:cs="Arial" w:eastAsia="Arial" w:hAnsi="Arial"/>
                <w:sz w:val="15"/>
                <w:szCs w:val="15"/>
                <w:color w:val="auto"/>
              </w:rPr>
              <w:t>$</w:t>
            </w:r>
          </w:p>
        </w:tc>
        <w:tc>
          <w:tcPr>
            <w:tcW w:w="460" w:type="dxa"/>
            <w:vAlign w:val="bottom"/>
          </w:tcPr>
          <w:p>
            <w:pPr>
              <w:jc w:val="right"/>
              <w:spacing w:after="0" w:line="159" w:lineRule="exact"/>
              <w:rPr>
                <w:sz w:val="20"/>
                <w:szCs w:val="20"/>
                <w:color w:val="auto"/>
              </w:rPr>
            </w:pPr>
            <w:r>
              <w:rPr>
                <w:rFonts w:ascii="Arial" w:cs="Arial" w:eastAsia="Arial" w:hAnsi="Arial"/>
                <w:sz w:val="15"/>
                <w:szCs w:val="15"/>
                <w:color w:val="auto"/>
              </w:rPr>
              <w:t>96.28</w:t>
            </w:r>
          </w:p>
        </w:tc>
        <w:tc>
          <w:tcPr>
            <w:tcW w:w="0" w:type="dxa"/>
            <w:vAlign w:val="bottom"/>
          </w:tcPr>
          <w:p>
            <w:pPr>
              <w:spacing w:after="0"/>
              <w:rPr>
                <w:sz w:val="1"/>
                <w:szCs w:val="1"/>
                <w:color w:val="auto"/>
              </w:rPr>
            </w:pPr>
          </w:p>
        </w:tc>
      </w:tr>
      <w:tr>
        <w:trPr>
          <w:trHeight w:val="156"/>
        </w:trPr>
        <w:tc>
          <w:tcPr>
            <w:tcW w:w="246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Asphalt - per ton</w:t>
            </w:r>
          </w:p>
        </w:tc>
        <w:tc>
          <w:tcPr>
            <w:tcW w:w="36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rPr>
              <w:t>$</w:t>
            </w:r>
          </w:p>
        </w:tc>
        <w:tc>
          <w:tcPr>
            <w:tcW w:w="760" w:type="dxa"/>
            <w:vAlign w:val="bottom"/>
            <w:shd w:val="clear" w:color="auto" w:fill="CCEEFF"/>
          </w:tcPr>
          <w:p>
            <w:pPr>
              <w:jc w:val="right"/>
              <w:ind w:right="186"/>
              <w:spacing w:after="0" w:line="156" w:lineRule="exact"/>
              <w:rPr>
                <w:sz w:val="20"/>
                <w:szCs w:val="20"/>
                <w:color w:val="auto"/>
              </w:rPr>
            </w:pPr>
            <w:r>
              <w:rPr>
                <w:rFonts w:ascii="Arial" w:cs="Arial" w:eastAsia="Arial" w:hAnsi="Arial"/>
                <w:sz w:val="15"/>
                <w:szCs w:val="15"/>
                <w:b w:val="1"/>
                <w:bCs w:val="1"/>
                <w:color w:val="auto"/>
              </w:rPr>
              <w:t>43.41</w:t>
            </w:r>
          </w:p>
        </w:tc>
        <w:tc>
          <w:tcPr>
            <w:tcW w:w="40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ind w:right="186"/>
              <w:spacing w:after="0" w:line="156" w:lineRule="exact"/>
              <w:rPr>
                <w:sz w:val="20"/>
                <w:szCs w:val="20"/>
                <w:color w:val="auto"/>
              </w:rPr>
            </w:pPr>
            <w:r>
              <w:rPr>
                <w:rFonts w:ascii="Arial" w:cs="Arial" w:eastAsia="Arial" w:hAnsi="Arial"/>
                <w:sz w:val="15"/>
                <w:szCs w:val="15"/>
                <w:color w:val="auto"/>
              </w:rPr>
              <w:t>39.20</w:t>
            </w:r>
          </w:p>
        </w:tc>
        <w:tc>
          <w:tcPr>
            <w:tcW w:w="40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42.57</w:t>
            </w:r>
          </w:p>
        </w:tc>
        <w:tc>
          <w:tcPr>
            <w:tcW w:w="0" w:type="dxa"/>
            <w:vAlign w:val="bottom"/>
          </w:tcPr>
          <w:p>
            <w:pPr>
              <w:spacing w:after="0"/>
              <w:rPr>
                <w:sz w:val="1"/>
                <w:szCs w:val="1"/>
                <w:color w:val="auto"/>
              </w:rPr>
            </w:pPr>
          </w:p>
        </w:tc>
      </w:tr>
    </w:tbl>
    <w:p>
      <w:pPr>
        <w:spacing w:after="0" w:line="2562" w:lineRule="exact"/>
        <w:rPr>
          <w:sz w:val="20"/>
          <w:szCs w:val="20"/>
          <w:color w:val="auto"/>
        </w:rPr>
      </w:pPr>
    </w:p>
    <w:p>
      <w:pPr>
        <w:sectPr>
          <w:pgSz w:w="11900" w:h="16838" w:orient="portrait"/>
          <w:cols w:equalWidth="0" w:num="2">
            <w:col w:w="5480" w:space="360"/>
            <w:col w:w="5580"/>
          </w:cols>
          <w:pgMar w:left="240" w:top="259" w:right="239" w:bottom="1440" w:gutter="0" w:footer="0" w:header="0"/>
          <w:type w:val="continuous"/>
        </w:sectPr>
      </w:pP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64</w:t>
      </w:r>
    </w:p>
    <w:p>
      <w:pPr>
        <w:sectPr>
          <w:pgSz w:w="11900" w:h="16838" w:orient="portrait"/>
          <w:cols w:equalWidth="0" w:num="1">
            <w:col w:w="11420"/>
          </w:cols>
          <w:pgMar w:left="240" w:top="259" w:right="239" w:bottom="1440" w:gutter="0" w:footer="0" w:header="0"/>
          <w:type w:val="continuous"/>
        </w:sectPr>
      </w:pPr>
    </w:p>
    <w:bookmarkStart w:id="117" w:name="page118"/>
    <w:bookmarkEnd w:id="117"/>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5">
                      <a:extLst>
                        <a:ext uri="{28A0092B-C50C-407E-A947-70E740481C1C}"/>
                      </a:extLst>
                    </a:blip>
                    <a:srcRect/>
                    <a:stretch>
                      <a:fillRect/>
                    </a:stretch>
                  </pic:blipFill>
                  <pic:spPr bwMode="auto">
                    <a:xfrm>
                      <a:off x="0" y="0"/>
                      <a:ext cx="7293610" cy="37465"/>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420"/>
          </w:cols>
          <w:pgMar w:left="240" w:top="2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Unit shipments for cement, ready mixed concrete and asphalt are as follows: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20" w:type="dxa"/>
            <w:vAlign w:val="bottom"/>
          </w:tcPr>
          <w:p>
            <w:pPr>
              <w:spacing w:after="0"/>
              <w:rPr>
                <w:sz w:val="20"/>
                <w:szCs w:val="20"/>
                <w:color w:val="auto"/>
              </w:rPr>
            </w:pPr>
            <w:r>
              <w:rPr>
                <w:rFonts w:ascii="Arial" w:cs="Arial" w:eastAsia="Arial" w:hAnsi="Arial"/>
                <w:sz w:val="14"/>
                <w:szCs w:val="14"/>
                <w:i w:val="1"/>
                <w:iCs w:val="1"/>
                <w:color w:val="auto"/>
              </w:rPr>
              <w:t>years ended December 31</w:t>
            </w:r>
          </w:p>
        </w:tc>
        <w:tc>
          <w:tcPr>
            <w:tcW w:w="860" w:type="dxa"/>
            <w:vAlign w:val="bottom"/>
            <w:vMerge w:val="restart"/>
          </w:tcPr>
          <w:p>
            <w:pPr>
              <w:jc w:val="right"/>
              <w:ind w:right="246"/>
              <w:spacing w:after="0"/>
              <w:rPr>
                <w:sz w:val="20"/>
                <w:szCs w:val="20"/>
                <w:color w:val="auto"/>
              </w:rPr>
            </w:pPr>
            <w:r>
              <w:rPr>
                <w:rFonts w:ascii="Arial" w:cs="Arial" w:eastAsia="Arial" w:hAnsi="Arial"/>
                <w:sz w:val="15"/>
                <w:szCs w:val="15"/>
                <w:b w:val="1"/>
                <w:bCs w:val="1"/>
                <w:color w:val="0085CD"/>
              </w:rPr>
              <w:t>2017</w:t>
            </w: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1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(add 000)</w:t>
            </w:r>
          </w:p>
        </w:tc>
        <w:tc>
          <w:tcPr>
            <w:tcW w:w="86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auto"/>
            </w:tcBorders>
          </w:tcPr>
          <w:p>
            <w:pPr>
              <w:jc w:val="right"/>
              <w:ind w:right="246"/>
              <w:spacing w:after="0" w:line="164" w:lineRule="exact"/>
              <w:rPr>
                <w:sz w:val="20"/>
                <w:szCs w:val="20"/>
                <w:color w:val="auto"/>
              </w:rPr>
            </w:pPr>
            <w:r>
              <w:rPr>
                <w:rFonts w:ascii="Arial" w:cs="Arial" w:eastAsia="Arial" w:hAnsi="Arial"/>
                <w:sz w:val="15"/>
                <w:szCs w:val="15"/>
                <w:color w:val="auto"/>
              </w:rPr>
              <w:t>2016</w:t>
            </w:r>
          </w:p>
        </w:tc>
        <w:tc>
          <w:tcPr>
            <w:tcW w:w="700" w:type="dxa"/>
            <w:vAlign w:val="bottom"/>
            <w:tcBorders>
              <w:bottom w:val="single" w:sz="8" w:color="auto"/>
            </w:tcBorders>
          </w:tcPr>
          <w:p>
            <w:pPr>
              <w:jc w:val="right"/>
              <w:ind w:right="146"/>
              <w:spacing w:after="0" w:line="164" w:lineRule="exact"/>
              <w:rPr>
                <w:sz w:val="20"/>
                <w:szCs w:val="20"/>
                <w:color w:val="auto"/>
              </w:rPr>
            </w:pPr>
            <w:r>
              <w:rPr>
                <w:rFonts w:ascii="Arial" w:cs="Arial" w:eastAsia="Arial" w:hAnsi="Arial"/>
                <w:sz w:val="15"/>
                <w:szCs w:val="15"/>
                <w:color w:val="auto"/>
              </w:rPr>
              <w:t>2015</w:t>
            </w:r>
          </w:p>
        </w:tc>
        <w:tc>
          <w:tcPr>
            <w:tcW w:w="0" w:type="dxa"/>
            <w:vAlign w:val="bottom"/>
          </w:tcPr>
          <w:p>
            <w:pPr>
              <w:spacing w:after="0"/>
              <w:rPr>
                <w:sz w:val="1"/>
                <w:szCs w:val="1"/>
                <w:color w:val="auto"/>
              </w:rPr>
            </w:pPr>
          </w:p>
        </w:tc>
      </w:tr>
      <w:tr>
        <w:trPr>
          <w:trHeight w:val="149"/>
        </w:trPr>
        <w:tc>
          <w:tcPr>
            <w:tcW w:w="312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Cement Product Line:</w:t>
            </w:r>
          </w:p>
        </w:tc>
        <w:tc>
          <w:tcPr>
            <w:tcW w:w="8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120" w:type="dxa"/>
            <w:vAlign w:val="bottom"/>
          </w:tcPr>
          <w:p>
            <w:pPr>
              <w:ind w:left="160"/>
              <w:spacing w:after="0" w:line="156" w:lineRule="exact"/>
              <w:rPr>
                <w:sz w:val="20"/>
                <w:szCs w:val="20"/>
                <w:color w:val="auto"/>
              </w:rPr>
            </w:pPr>
            <w:r>
              <w:rPr>
                <w:rFonts w:ascii="Arial" w:cs="Arial" w:eastAsia="Arial" w:hAnsi="Arial"/>
                <w:sz w:val="15"/>
                <w:szCs w:val="15"/>
                <w:color w:val="auto"/>
              </w:rPr>
              <w:t>Tons to external customers</w:t>
            </w:r>
          </w:p>
        </w:tc>
        <w:tc>
          <w:tcPr>
            <w:tcW w:w="860" w:type="dxa"/>
            <w:vAlign w:val="bottom"/>
          </w:tcPr>
          <w:p>
            <w:pPr>
              <w:jc w:val="right"/>
              <w:ind w:right="86"/>
              <w:spacing w:after="0" w:line="156" w:lineRule="exact"/>
              <w:rPr>
                <w:sz w:val="20"/>
                <w:szCs w:val="20"/>
                <w:color w:val="auto"/>
              </w:rPr>
            </w:pPr>
            <w:r>
              <w:rPr>
                <w:rFonts w:ascii="Arial" w:cs="Arial" w:eastAsia="Arial" w:hAnsi="Arial"/>
                <w:sz w:val="15"/>
                <w:szCs w:val="15"/>
                <w:b w:val="1"/>
                <w:bCs w:val="1"/>
                <w:color w:val="auto"/>
              </w:rPr>
              <w:t>2,271</w:t>
            </w:r>
          </w:p>
        </w:tc>
        <w:tc>
          <w:tcPr>
            <w:tcW w:w="800" w:type="dxa"/>
            <w:vAlign w:val="bottom"/>
          </w:tcPr>
          <w:p>
            <w:pPr>
              <w:jc w:val="right"/>
              <w:ind w:right="86"/>
              <w:spacing w:after="0" w:line="156" w:lineRule="exact"/>
              <w:rPr>
                <w:sz w:val="20"/>
                <w:szCs w:val="20"/>
                <w:color w:val="auto"/>
              </w:rPr>
            </w:pPr>
            <w:r>
              <w:rPr>
                <w:rFonts w:ascii="Arial" w:cs="Arial" w:eastAsia="Arial" w:hAnsi="Arial"/>
                <w:sz w:val="15"/>
                <w:szCs w:val="15"/>
                <w:color w:val="auto"/>
              </w:rPr>
              <w:t>2,331</w:t>
            </w:r>
          </w:p>
        </w:tc>
        <w:tc>
          <w:tcPr>
            <w:tcW w:w="700" w:type="dxa"/>
            <w:vAlign w:val="bottom"/>
          </w:tcPr>
          <w:p>
            <w:pPr>
              <w:jc w:val="right"/>
              <w:spacing w:after="0" w:line="156" w:lineRule="exact"/>
              <w:rPr>
                <w:sz w:val="20"/>
                <w:szCs w:val="20"/>
                <w:color w:val="auto"/>
              </w:rPr>
            </w:pPr>
            <w:r>
              <w:rPr>
                <w:rFonts w:ascii="Arial" w:cs="Arial" w:eastAsia="Arial" w:hAnsi="Arial"/>
                <w:sz w:val="15"/>
                <w:szCs w:val="15"/>
                <w:color w:val="auto"/>
              </w:rPr>
              <w:t>3,667</w:t>
            </w:r>
          </w:p>
        </w:tc>
        <w:tc>
          <w:tcPr>
            <w:tcW w:w="0" w:type="dxa"/>
            <w:vAlign w:val="bottom"/>
          </w:tcPr>
          <w:p>
            <w:pPr>
              <w:spacing w:after="0"/>
              <w:rPr>
                <w:sz w:val="1"/>
                <w:szCs w:val="1"/>
                <w:color w:val="auto"/>
              </w:rPr>
            </w:pPr>
          </w:p>
        </w:tc>
      </w:tr>
      <w:tr>
        <w:trPr>
          <w:trHeight w:val="156"/>
        </w:trPr>
        <w:tc>
          <w:tcPr>
            <w:tcW w:w="3120" w:type="dxa"/>
            <w:vAlign w:val="bottom"/>
            <w:tcBorders>
              <w:bottom w:val="single" w:sz="8" w:color="auto"/>
            </w:tcBorders>
            <w:shd w:val="clear" w:color="auto" w:fill="CCEEFF"/>
          </w:tcPr>
          <w:p>
            <w:pPr>
              <w:ind w:left="160"/>
              <w:spacing w:after="0" w:line="156" w:lineRule="exact"/>
              <w:rPr>
                <w:sz w:val="20"/>
                <w:szCs w:val="20"/>
                <w:color w:val="auto"/>
              </w:rPr>
            </w:pPr>
            <w:r>
              <w:rPr>
                <w:rFonts w:ascii="Arial" w:cs="Arial" w:eastAsia="Arial" w:hAnsi="Arial"/>
                <w:sz w:val="15"/>
                <w:szCs w:val="15"/>
                <w:color w:val="auto"/>
              </w:rPr>
              <w:t>Internal tons used in ready mixed concrete</w:t>
            </w:r>
          </w:p>
        </w:tc>
        <w:tc>
          <w:tcPr>
            <w:tcW w:w="860" w:type="dxa"/>
            <w:vAlign w:val="bottom"/>
            <w:tcBorders>
              <w:bottom w:val="single" w:sz="8" w:color="auto"/>
            </w:tcBorders>
            <w:shd w:val="clear" w:color="auto" w:fill="CCEEFF"/>
          </w:tcPr>
          <w:p>
            <w:pPr>
              <w:jc w:val="right"/>
              <w:ind w:right="86"/>
              <w:spacing w:after="0" w:line="156" w:lineRule="exact"/>
              <w:rPr>
                <w:sz w:val="20"/>
                <w:szCs w:val="20"/>
                <w:color w:val="auto"/>
              </w:rPr>
            </w:pPr>
            <w:r>
              <w:rPr>
                <w:rFonts w:ascii="Arial" w:cs="Arial" w:eastAsia="Arial" w:hAnsi="Arial"/>
                <w:sz w:val="15"/>
                <w:szCs w:val="15"/>
                <w:b w:val="1"/>
                <w:bCs w:val="1"/>
                <w:color w:val="auto"/>
              </w:rPr>
              <w:t>1,196</w:t>
            </w:r>
          </w:p>
        </w:tc>
        <w:tc>
          <w:tcPr>
            <w:tcW w:w="800" w:type="dxa"/>
            <w:vAlign w:val="bottom"/>
            <w:tcBorders>
              <w:bottom w:val="single" w:sz="8" w:color="auto"/>
            </w:tcBorders>
            <w:shd w:val="clear" w:color="auto" w:fill="CCEEFF"/>
          </w:tcPr>
          <w:p>
            <w:pPr>
              <w:jc w:val="right"/>
              <w:ind w:right="86"/>
              <w:spacing w:after="0" w:line="156" w:lineRule="exact"/>
              <w:rPr>
                <w:sz w:val="20"/>
                <w:szCs w:val="20"/>
                <w:color w:val="auto"/>
              </w:rPr>
            </w:pPr>
            <w:r>
              <w:rPr>
                <w:rFonts w:ascii="Arial" w:cs="Arial" w:eastAsia="Arial" w:hAnsi="Arial"/>
                <w:sz w:val="15"/>
                <w:szCs w:val="15"/>
                <w:color w:val="auto"/>
              </w:rPr>
              <w:t>1,194</w:t>
            </w:r>
          </w:p>
        </w:tc>
        <w:tc>
          <w:tcPr>
            <w:tcW w:w="70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891</w:t>
            </w:r>
          </w:p>
        </w:tc>
        <w:tc>
          <w:tcPr>
            <w:tcW w:w="0" w:type="dxa"/>
            <w:vAlign w:val="bottom"/>
          </w:tcPr>
          <w:p>
            <w:pPr>
              <w:spacing w:after="0"/>
              <w:rPr>
                <w:sz w:val="1"/>
                <w:szCs w:val="1"/>
                <w:color w:val="auto"/>
              </w:rPr>
            </w:pPr>
          </w:p>
        </w:tc>
      </w:tr>
      <w:tr>
        <w:trPr>
          <w:trHeight w:val="155"/>
        </w:trPr>
        <w:tc>
          <w:tcPr>
            <w:tcW w:w="3120" w:type="dxa"/>
            <w:vAlign w:val="bottom"/>
            <w:tcBorders>
              <w:bottom w:val="single" w:sz="8" w:color="auto"/>
            </w:tcBorders>
          </w:tcPr>
          <w:p>
            <w:pPr>
              <w:spacing w:after="0" w:line="149" w:lineRule="exact"/>
              <w:rPr>
                <w:sz w:val="20"/>
                <w:szCs w:val="20"/>
                <w:color w:val="auto"/>
              </w:rPr>
            </w:pPr>
            <w:r>
              <w:rPr>
                <w:rFonts w:ascii="Arial" w:cs="Arial" w:eastAsia="Arial" w:hAnsi="Arial"/>
                <w:sz w:val="15"/>
                <w:szCs w:val="15"/>
                <w:color w:val="auto"/>
              </w:rPr>
              <w:t>Total cement tons</w:t>
            </w:r>
          </w:p>
        </w:tc>
        <w:tc>
          <w:tcPr>
            <w:tcW w:w="860" w:type="dxa"/>
            <w:vAlign w:val="bottom"/>
            <w:tcBorders>
              <w:bottom w:val="single" w:sz="8" w:color="auto"/>
            </w:tcBorders>
          </w:tcPr>
          <w:p>
            <w:pPr>
              <w:jc w:val="right"/>
              <w:ind w:right="86"/>
              <w:spacing w:after="0" w:line="149" w:lineRule="exact"/>
              <w:rPr>
                <w:sz w:val="20"/>
                <w:szCs w:val="20"/>
                <w:color w:val="auto"/>
              </w:rPr>
            </w:pPr>
            <w:r>
              <w:rPr>
                <w:rFonts w:ascii="Arial" w:cs="Arial" w:eastAsia="Arial" w:hAnsi="Arial"/>
                <w:sz w:val="15"/>
                <w:szCs w:val="15"/>
                <w:b w:val="1"/>
                <w:bCs w:val="1"/>
                <w:color w:val="auto"/>
              </w:rPr>
              <w:t>3,467</w:t>
            </w:r>
          </w:p>
        </w:tc>
        <w:tc>
          <w:tcPr>
            <w:tcW w:w="800" w:type="dxa"/>
            <w:vAlign w:val="bottom"/>
            <w:tcBorders>
              <w:bottom w:val="single" w:sz="8" w:color="auto"/>
            </w:tcBorders>
          </w:tcPr>
          <w:p>
            <w:pPr>
              <w:jc w:val="right"/>
              <w:ind w:right="86"/>
              <w:spacing w:after="0" w:line="149" w:lineRule="exact"/>
              <w:rPr>
                <w:sz w:val="20"/>
                <w:szCs w:val="20"/>
                <w:color w:val="auto"/>
              </w:rPr>
            </w:pPr>
            <w:r>
              <w:rPr>
                <w:rFonts w:ascii="Arial" w:cs="Arial" w:eastAsia="Arial" w:hAnsi="Arial"/>
                <w:sz w:val="15"/>
                <w:szCs w:val="15"/>
                <w:color w:val="auto"/>
              </w:rPr>
              <w:t>3,525</w:t>
            </w: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color w:val="auto"/>
              </w:rPr>
              <w:t>4,558</w:t>
            </w:r>
          </w:p>
        </w:tc>
        <w:tc>
          <w:tcPr>
            <w:tcW w:w="0" w:type="dxa"/>
            <w:vAlign w:val="bottom"/>
          </w:tcPr>
          <w:p>
            <w:pPr>
              <w:spacing w:after="0"/>
              <w:rPr>
                <w:sz w:val="1"/>
                <w:szCs w:val="1"/>
                <w:color w:val="auto"/>
              </w:rPr>
            </w:pPr>
          </w:p>
        </w:tc>
      </w:tr>
      <w:tr>
        <w:trPr>
          <w:trHeight w:val="156"/>
        </w:trPr>
        <w:tc>
          <w:tcPr>
            <w:tcW w:w="3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12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Ready Mixed Concrete – cubic yards</w:t>
            </w:r>
          </w:p>
        </w:tc>
        <w:tc>
          <w:tcPr>
            <w:tcW w:w="860" w:type="dxa"/>
            <w:vAlign w:val="bottom"/>
            <w:tcBorders>
              <w:bottom w:val="single" w:sz="8" w:color="auto"/>
            </w:tcBorders>
            <w:shd w:val="clear" w:color="auto" w:fill="CCEEFF"/>
          </w:tcPr>
          <w:p>
            <w:pPr>
              <w:jc w:val="right"/>
              <w:ind w:right="86"/>
              <w:spacing w:after="0" w:line="156" w:lineRule="exact"/>
              <w:rPr>
                <w:sz w:val="20"/>
                <w:szCs w:val="20"/>
                <w:color w:val="auto"/>
              </w:rPr>
            </w:pPr>
            <w:r>
              <w:rPr>
                <w:rFonts w:ascii="Arial" w:cs="Arial" w:eastAsia="Arial" w:hAnsi="Arial"/>
                <w:sz w:val="15"/>
                <w:szCs w:val="15"/>
                <w:b w:val="1"/>
                <w:bCs w:val="1"/>
                <w:color w:val="auto"/>
              </w:rPr>
              <w:t>8,559</w:t>
            </w:r>
          </w:p>
        </w:tc>
        <w:tc>
          <w:tcPr>
            <w:tcW w:w="800" w:type="dxa"/>
            <w:vAlign w:val="bottom"/>
            <w:tcBorders>
              <w:bottom w:val="single" w:sz="8" w:color="auto"/>
            </w:tcBorders>
            <w:shd w:val="clear" w:color="auto" w:fill="CCEEFF"/>
          </w:tcPr>
          <w:p>
            <w:pPr>
              <w:jc w:val="right"/>
              <w:ind w:right="86"/>
              <w:spacing w:after="0" w:line="156" w:lineRule="exact"/>
              <w:rPr>
                <w:sz w:val="20"/>
                <w:szCs w:val="20"/>
                <w:color w:val="auto"/>
              </w:rPr>
            </w:pPr>
            <w:r>
              <w:rPr>
                <w:rFonts w:ascii="Arial" w:cs="Arial" w:eastAsia="Arial" w:hAnsi="Arial"/>
                <w:sz w:val="15"/>
                <w:szCs w:val="15"/>
                <w:color w:val="auto"/>
              </w:rPr>
              <w:t>8,490</w:t>
            </w:r>
          </w:p>
        </w:tc>
        <w:tc>
          <w:tcPr>
            <w:tcW w:w="70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6,707</w:t>
            </w:r>
          </w:p>
        </w:tc>
        <w:tc>
          <w:tcPr>
            <w:tcW w:w="0" w:type="dxa"/>
            <w:vAlign w:val="bottom"/>
          </w:tcPr>
          <w:p>
            <w:pPr>
              <w:spacing w:after="0"/>
              <w:rPr>
                <w:sz w:val="1"/>
                <w:szCs w:val="1"/>
                <w:color w:val="auto"/>
              </w:rPr>
            </w:pPr>
          </w:p>
        </w:tc>
      </w:tr>
      <w:tr>
        <w:trPr>
          <w:trHeight w:val="311"/>
        </w:trPr>
        <w:tc>
          <w:tcPr>
            <w:tcW w:w="3120" w:type="dxa"/>
            <w:vAlign w:val="bottom"/>
          </w:tcPr>
          <w:p>
            <w:pPr>
              <w:spacing w:after="0"/>
              <w:rPr>
                <w:sz w:val="20"/>
                <w:szCs w:val="20"/>
                <w:color w:val="auto"/>
              </w:rPr>
            </w:pPr>
            <w:r>
              <w:rPr>
                <w:rFonts w:ascii="Arial" w:cs="Arial" w:eastAsia="Arial" w:hAnsi="Arial"/>
                <w:sz w:val="15"/>
                <w:szCs w:val="15"/>
                <w:color w:val="auto"/>
              </w:rPr>
              <w:t>Asphalt Product Line:</w:t>
            </w: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120" w:type="dxa"/>
            <w:vAlign w:val="bottom"/>
            <w:shd w:val="clear" w:color="auto" w:fill="CCEEFF"/>
          </w:tcPr>
          <w:p>
            <w:pPr>
              <w:ind w:left="160"/>
              <w:spacing w:after="0" w:line="156" w:lineRule="exact"/>
              <w:rPr>
                <w:sz w:val="20"/>
                <w:szCs w:val="20"/>
                <w:color w:val="auto"/>
              </w:rPr>
            </w:pPr>
            <w:r>
              <w:rPr>
                <w:rFonts w:ascii="Arial" w:cs="Arial" w:eastAsia="Arial" w:hAnsi="Arial"/>
                <w:sz w:val="15"/>
                <w:szCs w:val="15"/>
                <w:color w:val="auto"/>
              </w:rPr>
              <w:t>Tons to external customers</w:t>
            </w:r>
          </w:p>
        </w:tc>
        <w:tc>
          <w:tcPr>
            <w:tcW w:w="860" w:type="dxa"/>
            <w:vAlign w:val="bottom"/>
            <w:shd w:val="clear" w:color="auto" w:fill="CCEEFF"/>
          </w:tcPr>
          <w:p>
            <w:pPr>
              <w:jc w:val="right"/>
              <w:ind w:right="86"/>
              <w:spacing w:after="0" w:line="156" w:lineRule="exact"/>
              <w:rPr>
                <w:sz w:val="20"/>
                <w:szCs w:val="20"/>
                <w:color w:val="auto"/>
              </w:rPr>
            </w:pPr>
            <w:r>
              <w:rPr>
                <w:rFonts w:ascii="Arial" w:cs="Arial" w:eastAsia="Arial" w:hAnsi="Arial"/>
                <w:sz w:val="15"/>
                <w:szCs w:val="15"/>
                <w:b w:val="1"/>
                <w:bCs w:val="1"/>
                <w:color w:val="auto"/>
              </w:rPr>
              <w:t>1,123</w:t>
            </w:r>
          </w:p>
        </w:tc>
        <w:tc>
          <w:tcPr>
            <w:tcW w:w="800" w:type="dxa"/>
            <w:vAlign w:val="bottom"/>
            <w:shd w:val="clear" w:color="auto" w:fill="CCEEFF"/>
          </w:tcPr>
          <w:p>
            <w:pPr>
              <w:jc w:val="right"/>
              <w:ind w:right="86"/>
              <w:spacing w:after="0" w:line="156" w:lineRule="exact"/>
              <w:rPr>
                <w:sz w:val="20"/>
                <w:szCs w:val="20"/>
                <w:color w:val="auto"/>
              </w:rPr>
            </w:pPr>
            <w:r>
              <w:rPr>
                <w:rFonts w:ascii="Arial" w:cs="Arial" w:eastAsia="Arial" w:hAnsi="Arial"/>
                <w:sz w:val="15"/>
                <w:szCs w:val="15"/>
                <w:color w:val="auto"/>
              </w:rPr>
              <w:t>1,023</w:t>
            </w:r>
          </w:p>
        </w:tc>
        <w:tc>
          <w:tcPr>
            <w:tcW w:w="70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1,220</w:t>
            </w:r>
          </w:p>
        </w:tc>
        <w:tc>
          <w:tcPr>
            <w:tcW w:w="0" w:type="dxa"/>
            <w:vAlign w:val="bottom"/>
          </w:tcPr>
          <w:p>
            <w:pPr>
              <w:spacing w:after="0"/>
              <w:rPr>
                <w:sz w:val="1"/>
                <w:szCs w:val="1"/>
                <w:color w:val="auto"/>
              </w:rPr>
            </w:pPr>
          </w:p>
        </w:tc>
      </w:tr>
      <w:tr>
        <w:trPr>
          <w:trHeight w:val="156"/>
        </w:trPr>
        <w:tc>
          <w:tcPr>
            <w:tcW w:w="3120" w:type="dxa"/>
            <w:vAlign w:val="bottom"/>
            <w:tcBorders>
              <w:bottom w:val="single" w:sz="8" w:color="auto"/>
            </w:tcBorders>
          </w:tcPr>
          <w:p>
            <w:pPr>
              <w:ind w:left="160"/>
              <w:spacing w:after="0" w:line="156" w:lineRule="exact"/>
              <w:rPr>
                <w:sz w:val="20"/>
                <w:szCs w:val="20"/>
                <w:color w:val="auto"/>
              </w:rPr>
            </w:pPr>
            <w:r>
              <w:rPr>
                <w:rFonts w:ascii="Arial" w:cs="Arial" w:eastAsia="Arial" w:hAnsi="Arial"/>
                <w:sz w:val="15"/>
                <w:szCs w:val="15"/>
                <w:color w:val="auto"/>
              </w:rPr>
              <w:t>Internal tons used in paving operations</w:t>
            </w:r>
          </w:p>
        </w:tc>
        <w:tc>
          <w:tcPr>
            <w:tcW w:w="860" w:type="dxa"/>
            <w:vAlign w:val="bottom"/>
            <w:tcBorders>
              <w:bottom w:val="single" w:sz="8" w:color="auto"/>
            </w:tcBorders>
          </w:tcPr>
          <w:p>
            <w:pPr>
              <w:jc w:val="right"/>
              <w:ind w:right="86"/>
              <w:spacing w:after="0" w:line="156" w:lineRule="exact"/>
              <w:rPr>
                <w:sz w:val="20"/>
                <w:szCs w:val="20"/>
                <w:color w:val="auto"/>
              </w:rPr>
            </w:pPr>
            <w:r>
              <w:rPr>
                <w:rFonts w:ascii="Arial" w:cs="Arial" w:eastAsia="Arial" w:hAnsi="Arial"/>
                <w:sz w:val="15"/>
                <w:szCs w:val="15"/>
                <w:b w:val="1"/>
                <w:bCs w:val="1"/>
                <w:color w:val="auto"/>
              </w:rPr>
              <w:t>2,167</w:t>
            </w:r>
          </w:p>
        </w:tc>
        <w:tc>
          <w:tcPr>
            <w:tcW w:w="800" w:type="dxa"/>
            <w:vAlign w:val="bottom"/>
            <w:tcBorders>
              <w:bottom w:val="single" w:sz="8" w:color="auto"/>
            </w:tcBorders>
          </w:tcPr>
          <w:p>
            <w:pPr>
              <w:jc w:val="right"/>
              <w:ind w:right="86"/>
              <w:spacing w:after="0" w:line="156" w:lineRule="exact"/>
              <w:rPr>
                <w:sz w:val="20"/>
                <w:szCs w:val="20"/>
                <w:color w:val="auto"/>
              </w:rPr>
            </w:pPr>
            <w:r>
              <w:rPr>
                <w:rFonts w:ascii="Arial" w:cs="Arial" w:eastAsia="Arial" w:hAnsi="Arial"/>
                <w:sz w:val="15"/>
                <w:szCs w:val="15"/>
                <w:color w:val="auto"/>
              </w:rPr>
              <w:t>2,131</w:t>
            </w:r>
          </w:p>
        </w:tc>
        <w:tc>
          <w:tcPr>
            <w:tcW w:w="7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1,697</w:t>
            </w:r>
          </w:p>
        </w:tc>
        <w:tc>
          <w:tcPr>
            <w:tcW w:w="0" w:type="dxa"/>
            <w:vAlign w:val="bottom"/>
          </w:tcPr>
          <w:p>
            <w:pPr>
              <w:spacing w:after="0"/>
              <w:rPr>
                <w:sz w:val="1"/>
                <w:szCs w:val="1"/>
                <w:color w:val="auto"/>
              </w:rPr>
            </w:pPr>
          </w:p>
        </w:tc>
      </w:tr>
      <w:tr>
        <w:trPr>
          <w:trHeight w:val="155"/>
        </w:trPr>
        <w:tc>
          <w:tcPr>
            <w:tcW w:w="312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5"/>
                <w:szCs w:val="15"/>
                <w:color w:val="auto"/>
              </w:rPr>
              <w:t>Total asphalt tons</w:t>
            </w:r>
          </w:p>
        </w:tc>
        <w:tc>
          <w:tcPr>
            <w:tcW w:w="860" w:type="dxa"/>
            <w:vAlign w:val="bottom"/>
            <w:tcBorders>
              <w:bottom w:val="single" w:sz="8" w:color="auto"/>
            </w:tcBorders>
            <w:shd w:val="clear" w:color="auto" w:fill="CCEEFF"/>
          </w:tcPr>
          <w:p>
            <w:pPr>
              <w:jc w:val="right"/>
              <w:ind w:right="86"/>
              <w:spacing w:after="0" w:line="149" w:lineRule="exact"/>
              <w:rPr>
                <w:sz w:val="20"/>
                <w:szCs w:val="20"/>
                <w:color w:val="auto"/>
              </w:rPr>
            </w:pPr>
            <w:r>
              <w:rPr>
                <w:rFonts w:ascii="Arial" w:cs="Arial" w:eastAsia="Arial" w:hAnsi="Arial"/>
                <w:sz w:val="15"/>
                <w:szCs w:val="15"/>
                <w:b w:val="1"/>
                <w:bCs w:val="1"/>
                <w:color w:val="auto"/>
              </w:rPr>
              <w:t>3,290</w:t>
            </w:r>
          </w:p>
        </w:tc>
        <w:tc>
          <w:tcPr>
            <w:tcW w:w="800" w:type="dxa"/>
            <w:vAlign w:val="bottom"/>
            <w:tcBorders>
              <w:bottom w:val="single" w:sz="8" w:color="auto"/>
            </w:tcBorders>
            <w:shd w:val="clear" w:color="auto" w:fill="CCEEFF"/>
          </w:tcPr>
          <w:p>
            <w:pPr>
              <w:jc w:val="right"/>
              <w:ind w:right="86"/>
              <w:spacing w:after="0" w:line="149" w:lineRule="exact"/>
              <w:rPr>
                <w:sz w:val="20"/>
                <w:szCs w:val="20"/>
                <w:color w:val="auto"/>
              </w:rPr>
            </w:pPr>
            <w:r>
              <w:rPr>
                <w:rFonts w:ascii="Arial" w:cs="Arial" w:eastAsia="Arial" w:hAnsi="Arial"/>
                <w:sz w:val="15"/>
                <w:szCs w:val="15"/>
                <w:color w:val="auto"/>
              </w:rPr>
              <w:t>3,154</w:t>
            </w: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2,917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Cement shipments in 2017 and 2016 were negatively affected by significant amounts of precipitation in Texas. Shipments in 2015 include the divested California operations, which accounted for 1.1 million tons prior to being sold on September 30, 2015.</w:t>
      </w:r>
    </w:p>
    <w:p>
      <w:pPr>
        <w:spacing w:after="0" w:line="192"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The increases in ready mixed concrete and asphalt shipments are primarily attributable to market strength and more favorable weather in the Front Range region of Colorado. Ready mixed concrete shipments also reflect an acquisition in Colorado in the first quarter of 2016 and the buyout of the majority interest in a joint venture in Texas in the third quarter of 2016.</w:t>
      </w:r>
    </w:p>
    <w:p>
      <w:pPr>
        <w:spacing w:after="0" w:line="17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b w:val="1"/>
          <w:bCs w:val="1"/>
          <w:i w:val="1"/>
          <w:iCs w:val="1"/>
          <w:color w:val="49B28F"/>
        </w:rPr>
        <w:t xml:space="preserve">Magnesia Specialties. </w:t>
      </w:r>
      <w:r>
        <w:rPr>
          <w:rFonts w:ascii="Arial" w:cs="Arial" w:eastAsia="Arial" w:hAnsi="Arial"/>
          <w:sz w:val="16"/>
          <w:szCs w:val="16"/>
          <w:color w:val="000000"/>
        </w:rPr>
        <w:t>Magnesia Specialties’ record total revenues of</w:t>
      </w:r>
      <w:r>
        <w:rPr>
          <w:rFonts w:ascii="Arial" w:cs="Arial" w:eastAsia="Arial" w:hAnsi="Arial"/>
          <w:sz w:val="16"/>
          <w:szCs w:val="16"/>
          <w:b w:val="1"/>
          <w:bCs w:val="1"/>
          <w:i w:val="1"/>
          <w:iCs w:val="1"/>
          <w:color w:val="49B28F"/>
        </w:rPr>
        <w:t xml:space="preserve"> </w:t>
      </w:r>
      <w:r>
        <w:rPr>
          <w:rFonts w:ascii="Arial" w:cs="Arial" w:eastAsia="Arial" w:hAnsi="Arial"/>
          <w:sz w:val="16"/>
          <w:szCs w:val="16"/>
          <w:color w:val="000000"/>
        </w:rPr>
        <w:t>$270.0 million increased 5.0% compared with 2016, primarily attributable to volume increases in the chemicals product line. Total revenues of $257.1 million in 2016 increased 4.5% compared with 2015.</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8D5D6C"/>
        </w:rPr>
        <w:t>Freight and Delivery Revenues and Costs</w:t>
      </w:r>
    </w:p>
    <w:p>
      <w:pPr>
        <w:spacing w:after="0" w:line="55"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Freight and delivery revenues and costs represent pass-through transportation costs incurred when the Company directly ships products from a production location to a customer by arranging for a third-party carrier to deliver the products and then charging the freight costs to the customer. These freight and delivery revenues and costs are separately presented in the consolidated statements of earnings. Such revenues and costs were $244.2 million, $242.0 million and $271.5 million in 2017, 2016 and 2015, respectively.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b w:val="1"/>
          <w:bCs w:val="1"/>
          <w:color w:val="8D5D6C"/>
        </w:rPr>
        <w:t>Cost of Sales</w:t>
      </w:r>
    </w:p>
    <w:p>
      <w:pPr>
        <w:spacing w:after="0" w:line="55"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Cost of sales increased 3.2% in 2017 and 4.9% in 2016, both compared with the prior year and attributable to the 3.8% and 7.9% increases in total revenues, respectively. Significant precipitation hindered production efficiencies and negatively affected operating leverage, resulting in a slight increase in aggregates product line direct production cost per ton for 2017 versus 2016. On average, the Company paid $1.81 per gallon of diesel fuel in 2017 compared with $1.96 in 2016. The 2016 cost per gallon reflects a fixed-price commitment for approximately 40% of the Company’s diesel consumption throughout the year. The fixed price was, on average, $0.30 per gallon higher than the spot rate for the majority of the contract period. The diesel contract was not renewed for 2017.</w:t>
      </w:r>
    </w:p>
    <w:p>
      <w:pPr>
        <w:spacing w:after="0" w:line="199"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Aggregates product line direct production cost per ton shipped for 2016 increased 3.8% compared with 2015, reflecting higher depreciation costs related to the Medina Rock and Rail capital project completed in central Texas at the end of 2015 and higher contract services for grading, drilling and short-term equipment rentals.</w:t>
      </w:r>
    </w:p>
    <w:p>
      <w:pPr>
        <w:spacing w:after="0" w:line="192"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Cost of sales also includes internal freight costs incurred when the Company transports aggregates, either by rail or water, from a production location to a distribution yard. These freight costs are included in the Building Materials business’ cost of sales and were $250.7 million, $242.2 million and $218.8 million for 2017, 2016 and 2015, respectively.</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8D5D6C"/>
        </w:rPr>
        <w:t>Gross Profit</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Gross profit (loss) by product line is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80" w:type="dxa"/>
            <w:vAlign w:val="bottom"/>
          </w:tcPr>
          <w:p>
            <w:pPr>
              <w:spacing w:after="0"/>
              <w:rPr>
                <w:sz w:val="20"/>
                <w:szCs w:val="20"/>
                <w:color w:val="auto"/>
              </w:rPr>
            </w:pPr>
            <w:r>
              <w:rPr>
                <w:rFonts w:ascii="Arial" w:cs="Arial" w:eastAsia="Arial" w:hAnsi="Arial"/>
                <w:sz w:val="14"/>
                <w:szCs w:val="14"/>
                <w:i w:val="1"/>
                <w:iCs w:val="1"/>
                <w:color w:val="auto"/>
              </w:rPr>
              <w:t>years ended December 31</w:t>
            </w:r>
          </w:p>
        </w:tc>
        <w:tc>
          <w:tcPr>
            <w:tcW w:w="260" w:type="dxa"/>
            <w:vAlign w:val="bottom"/>
          </w:tcPr>
          <w:p>
            <w:pPr>
              <w:spacing w:after="0"/>
              <w:rPr>
                <w:sz w:val="14"/>
                <w:szCs w:val="14"/>
                <w:color w:val="auto"/>
              </w:rPr>
            </w:pPr>
          </w:p>
        </w:tc>
        <w:tc>
          <w:tcPr>
            <w:tcW w:w="820" w:type="dxa"/>
            <w:vAlign w:val="bottom"/>
            <w:vMerge w:val="restart"/>
          </w:tcPr>
          <w:p>
            <w:pPr>
              <w:jc w:val="right"/>
              <w:ind w:right="166"/>
              <w:spacing w:after="0"/>
              <w:rPr>
                <w:sz w:val="20"/>
                <w:szCs w:val="20"/>
                <w:color w:val="auto"/>
              </w:rPr>
            </w:pPr>
            <w:r>
              <w:rPr>
                <w:rFonts w:ascii="Arial" w:cs="Arial" w:eastAsia="Arial" w:hAnsi="Arial"/>
                <w:sz w:val="15"/>
                <w:szCs w:val="15"/>
                <w:b w:val="1"/>
                <w:bCs w:val="1"/>
                <w:color w:val="0085CD"/>
              </w:rPr>
              <w:t>2017</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(add 000)</w:t>
            </w: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66"/>
              <w:spacing w:after="0" w:line="164" w:lineRule="exact"/>
              <w:rPr>
                <w:sz w:val="20"/>
                <w:szCs w:val="20"/>
                <w:color w:val="auto"/>
              </w:rPr>
            </w:pPr>
            <w:r>
              <w:rPr>
                <w:rFonts w:ascii="Arial" w:cs="Arial" w:eastAsia="Arial" w:hAnsi="Arial"/>
                <w:sz w:val="15"/>
                <w:szCs w:val="15"/>
                <w:color w:val="auto"/>
              </w:rPr>
              <w:t>2016</w:t>
            </w:r>
          </w:p>
        </w:tc>
        <w:tc>
          <w:tcPr>
            <w:tcW w:w="3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6"/>
              <w:spacing w:after="0" w:line="164" w:lineRule="exact"/>
              <w:rPr>
                <w:sz w:val="20"/>
                <w:szCs w:val="20"/>
                <w:color w:val="auto"/>
              </w:rPr>
            </w:pPr>
            <w:r>
              <w:rPr>
                <w:rFonts w:ascii="Arial" w:cs="Arial" w:eastAsia="Arial" w:hAnsi="Arial"/>
                <w:sz w:val="15"/>
                <w:szCs w:val="15"/>
                <w:color w:val="auto"/>
              </w:rPr>
              <w:t>2015</w:t>
            </w:r>
          </w:p>
        </w:tc>
        <w:tc>
          <w:tcPr>
            <w:tcW w:w="0" w:type="dxa"/>
            <w:vAlign w:val="bottom"/>
          </w:tcPr>
          <w:p>
            <w:pPr>
              <w:spacing w:after="0"/>
              <w:rPr>
                <w:sz w:val="1"/>
                <w:szCs w:val="1"/>
                <w:color w:val="auto"/>
              </w:rPr>
            </w:pPr>
          </w:p>
        </w:tc>
      </w:tr>
      <w:tr>
        <w:trPr>
          <w:trHeight w:val="149"/>
        </w:trPr>
        <w:tc>
          <w:tcPr>
            <w:tcW w:w="228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Building Materials Business:</w:t>
            </w: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280" w:type="dxa"/>
            <w:vAlign w:val="bottom"/>
          </w:tcPr>
          <w:p>
            <w:pPr>
              <w:ind w:left="140"/>
              <w:spacing w:after="0" w:line="156" w:lineRule="exact"/>
              <w:rPr>
                <w:sz w:val="20"/>
                <w:szCs w:val="20"/>
                <w:color w:val="auto"/>
              </w:rPr>
            </w:pPr>
            <w:r>
              <w:rPr>
                <w:rFonts w:ascii="Arial" w:cs="Arial" w:eastAsia="Arial" w:hAnsi="Arial"/>
                <w:sz w:val="15"/>
                <w:szCs w:val="15"/>
                <w:color w:val="auto"/>
              </w:rPr>
              <w:t>Aggregates</w:t>
            </w:r>
          </w:p>
        </w:tc>
        <w:tc>
          <w:tcPr>
            <w:tcW w:w="260" w:type="dxa"/>
            <w:vAlign w:val="bottom"/>
          </w:tcPr>
          <w:p>
            <w:pPr>
              <w:jc w:val="right"/>
              <w:spacing w:after="0" w:line="156" w:lineRule="exact"/>
              <w:rPr>
                <w:sz w:val="20"/>
                <w:szCs w:val="20"/>
                <w:color w:val="auto"/>
              </w:rPr>
            </w:pPr>
            <w:r>
              <w:rPr>
                <w:rFonts w:ascii="Arial" w:cs="Arial" w:eastAsia="Arial" w:hAnsi="Arial"/>
                <w:sz w:val="15"/>
                <w:szCs w:val="15"/>
                <w:b w:val="1"/>
                <w:bCs w:val="1"/>
                <w:color w:val="auto"/>
              </w:rPr>
              <w:t>$</w:t>
            </w:r>
          </w:p>
        </w:tc>
        <w:tc>
          <w:tcPr>
            <w:tcW w:w="820" w:type="dxa"/>
            <w:vAlign w:val="bottom"/>
          </w:tcPr>
          <w:p>
            <w:pPr>
              <w:jc w:val="right"/>
              <w:ind w:right="166"/>
              <w:spacing w:after="0" w:line="156" w:lineRule="exact"/>
              <w:rPr>
                <w:sz w:val="20"/>
                <w:szCs w:val="20"/>
                <w:color w:val="auto"/>
              </w:rPr>
            </w:pPr>
            <w:r>
              <w:rPr>
                <w:rFonts w:ascii="Arial" w:cs="Arial" w:eastAsia="Arial" w:hAnsi="Arial"/>
                <w:sz w:val="15"/>
                <w:szCs w:val="15"/>
                <w:b w:val="1"/>
                <w:bCs w:val="1"/>
                <w:color w:val="auto"/>
              </w:rPr>
              <w:t>601,968</w:t>
            </w:r>
          </w:p>
        </w:tc>
        <w:tc>
          <w:tcPr>
            <w:tcW w:w="360" w:type="dxa"/>
            <w:vAlign w:val="bottom"/>
          </w:tcPr>
          <w:p>
            <w:pPr>
              <w:jc w:val="right"/>
              <w:spacing w:after="0" w:line="156" w:lineRule="exact"/>
              <w:rPr>
                <w:sz w:val="20"/>
                <w:szCs w:val="20"/>
                <w:color w:val="auto"/>
              </w:rPr>
            </w:pPr>
            <w:r>
              <w:rPr>
                <w:rFonts w:ascii="Arial" w:cs="Arial" w:eastAsia="Arial" w:hAnsi="Arial"/>
                <w:sz w:val="15"/>
                <w:szCs w:val="15"/>
                <w:color w:val="auto"/>
              </w:rPr>
              <w:t>$</w:t>
            </w:r>
          </w:p>
        </w:tc>
        <w:tc>
          <w:tcPr>
            <w:tcW w:w="840" w:type="dxa"/>
            <w:vAlign w:val="bottom"/>
          </w:tcPr>
          <w:p>
            <w:pPr>
              <w:jc w:val="right"/>
              <w:ind w:right="166"/>
              <w:spacing w:after="0" w:line="156" w:lineRule="exact"/>
              <w:rPr>
                <w:sz w:val="20"/>
                <w:szCs w:val="20"/>
                <w:color w:val="auto"/>
              </w:rPr>
            </w:pPr>
            <w:r>
              <w:rPr>
                <w:rFonts w:ascii="Arial" w:cs="Arial" w:eastAsia="Arial" w:hAnsi="Arial"/>
                <w:sz w:val="15"/>
                <w:szCs w:val="15"/>
                <w:color w:val="auto"/>
              </w:rPr>
              <w:t>558,318</w:t>
            </w:r>
          </w:p>
        </w:tc>
        <w:tc>
          <w:tcPr>
            <w:tcW w:w="360" w:type="dxa"/>
            <w:vAlign w:val="bottom"/>
          </w:tcPr>
          <w:p>
            <w:pPr>
              <w:jc w:val="right"/>
              <w:spacing w:after="0" w:line="156" w:lineRule="exact"/>
              <w:rPr>
                <w:sz w:val="20"/>
                <w:szCs w:val="20"/>
                <w:color w:val="auto"/>
              </w:rPr>
            </w:pPr>
            <w:r>
              <w:rPr>
                <w:rFonts w:ascii="Arial" w:cs="Arial" w:eastAsia="Arial" w:hAnsi="Arial"/>
                <w:sz w:val="15"/>
                <w:szCs w:val="15"/>
                <w:color w:val="auto"/>
              </w:rPr>
              <w:t>$</w:t>
            </w:r>
          </w:p>
        </w:tc>
        <w:tc>
          <w:tcPr>
            <w:tcW w:w="660" w:type="dxa"/>
            <w:vAlign w:val="bottom"/>
          </w:tcPr>
          <w:p>
            <w:pPr>
              <w:jc w:val="right"/>
              <w:ind w:right="6"/>
              <w:spacing w:after="0" w:line="156" w:lineRule="exact"/>
              <w:rPr>
                <w:sz w:val="20"/>
                <w:szCs w:val="20"/>
                <w:color w:val="auto"/>
              </w:rPr>
            </w:pPr>
            <w:r>
              <w:rPr>
                <w:rFonts w:ascii="Arial" w:cs="Arial" w:eastAsia="Arial" w:hAnsi="Arial"/>
                <w:sz w:val="15"/>
                <w:szCs w:val="15"/>
                <w:color w:val="auto"/>
              </w:rPr>
              <w:t>470,688</w:t>
            </w:r>
          </w:p>
        </w:tc>
        <w:tc>
          <w:tcPr>
            <w:tcW w:w="0" w:type="dxa"/>
            <w:vAlign w:val="bottom"/>
          </w:tcPr>
          <w:p>
            <w:pPr>
              <w:spacing w:after="0"/>
              <w:rPr>
                <w:sz w:val="1"/>
                <w:szCs w:val="1"/>
                <w:color w:val="auto"/>
              </w:rPr>
            </w:pPr>
          </w:p>
        </w:tc>
      </w:tr>
      <w:tr>
        <w:trPr>
          <w:trHeight w:val="156"/>
        </w:trPr>
        <w:tc>
          <w:tcPr>
            <w:tcW w:w="2280" w:type="dxa"/>
            <w:vAlign w:val="bottom"/>
            <w:shd w:val="clear" w:color="auto" w:fill="CCEEFF"/>
          </w:tcPr>
          <w:p>
            <w:pPr>
              <w:ind w:left="140"/>
              <w:spacing w:after="0" w:line="156" w:lineRule="exact"/>
              <w:rPr>
                <w:sz w:val="20"/>
                <w:szCs w:val="20"/>
                <w:color w:val="auto"/>
              </w:rPr>
            </w:pPr>
            <w:r>
              <w:rPr>
                <w:rFonts w:ascii="Arial" w:cs="Arial" w:eastAsia="Arial" w:hAnsi="Arial"/>
                <w:sz w:val="15"/>
                <w:szCs w:val="15"/>
                <w:color w:val="auto"/>
              </w:rPr>
              <w:t>Cement</w:t>
            </w: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166"/>
              <w:spacing w:after="0" w:line="156" w:lineRule="exact"/>
              <w:rPr>
                <w:sz w:val="20"/>
                <w:szCs w:val="20"/>
                <w:color w:val="auto"/>
              </w:rPr>
            </w:pPr>
            <w:r>
              <w:rPr>
                <w:rFonts w:ascii="Arial" w:cs="Arial" w:eastAsia="Arial" w:hAnsi="Arial"/>
                <w:sz w:val="15"/>
                <w:szCs w:val="15"/>
                <w:b w:val="1"/>
                <w:bCs w:val="1"/>
                <w:color w:val="auto"/>
              </w:rPr>
              <w:t>117,313</w:t>
            </w:r>
          </w:p>
        </w:tc>
        <w:tc>
          <w:tcPr>
            <w:tcW w:w="36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166"/>
              <w:spacing w:after="0" w:line="156" w:lineRule="exact"/>
              <w:rPr>
                <w:sz w:val="20"/>
                <w:szCs w:val="20"/>
                <w:color w:val="auto"/>
              </w:rPr>
            </w:pPr>
            <w:r>
              <w:rPr>
                <w:rFonts w:ascii="Arial" w:cs="Arial" w:eastAsia="Arial" w:hAnsi="Arial"/>
                <w:sz w:val="15"/>
                <w:szCs w:val="15"/>
                <w:color w:val="auto"/>
              </w:rPr>
              <w:t>120,201</w:t>
            </w:r>
          </w:p>
        </w:tc>
        <w:tc>
          <w:tcPr>
            <w:tcW w:w="3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6"/>
              <w:spacing w:after="0" w:line="156" w:lineRule="exact"/>
              <w:rPr>
                <w:sz w:val="20"/>
                <w:szCs w:val="20"/>
                <w:color w:val="auto"/>
              </w:rPr>
            </w:pPr>
            <w:r>
              <w:rPr>
                <w:rFonts w:ascii="Arial" w:cs="Arial" w:eastAsia="Arial" w:hAnsi="Arial"/>
                <w:sz w:val="15"/>
                <w:szCs w:val="15"/>
                <w:color w:val="auto"/>
              </w:rPr>
              <w:t>103,813</w:t>
            </w:r>
          </w:p>
        </w:tc>
        <w:tc>
          <w:tcPr>
            <w:tcW w:w="0" w:type="dxa"/>
            <w:vAlign w:val="bottom"/>
          </w:tcPr>
          <w:p>
            <w:pPr>
              <w:spacing w:after="0"/>
              <w:rPr>
                <w:sz w:val="1"/>
                <w:szCs w:val="1"/>
                <w:color w:val="auto"/>
              </w:rPr>
            </w:pPr>
          </w:p>
        </w:tc>
      </w:tr>
      <w:tr>
        <w:trPr>
          <w:trHeight w:val="156"/>
        </w:trPr>
        <w:tc>
          <w:tcPr>
            <w:tcW w:w="2280" w:type="dxa"/>
            <w:vAlign w:val="bottom"/>
          </w:tcPr>
          <w:p>
            <w:pPr>
              <w:ind w:left="140"/>
              <w:spacing w:after="0" w:line="156" w:lineRule="exact"/>
              <w:rPr>
                <w:sz w:val="20"/>
                <w:szCs w:val="20"/>
                <w:color w:val="auto"/>
              </w:rPr>
            </w:pPr>
            <w:r>
              <w:rPr>
                <w:rFonts w:ascii="Arial" w:cs="Arial" w:eastAsia="Arial" w:hAnsi="Arial"/>
                <w:sz w:val="15"/>
                <w:szCs w:val="15"/>
                <w:color w:val="auto"/>
              </w:rPr>
              <w:t>Ready Mixed Concrete</w:t>
            </w:r>
          </w:p>
        </w:tc>
        <w:tc>
          <w:tcPr>
            <w:tcW w:w="260" w:type="dxa"/>
            <w:vAlign w:val="bottom"/>
          </w:tcPr>
          <w:p>
            <w:pPr>
              <w:spacing w:after="0"/>
              <w:rPr>
                <w:sz w:val="13"/>
                <w:szCs w:val="13"/>
                <w:color w:val="auto"/>
              </w:rPr>
            </w:pPr>
          </w:p>
        </w:tc>
        <w:tc>
          <w:tcPr>
            <w:tcW w:w="820" w:type="dxa"/>
            <w:vAlign w:val="bottom"/>
          </w:tcPr>
          <w:p>
            <w:pPr>
              <w:jc w:val="right"/>
              <w:ind w:right="166"/>
              <w:spacing w:after="0" w:line="156" w:lineRule="exact"/>
              <w:rPr>
                <w:sz w:val="20"/>
                <w:szCs w:val="20"/>
                <w:color w:val="auto"/>
              </w:rPr>
            </w:pPr>
            <w:r>
              <w:rPr>
                <w:rFonts w:ascii="Arial" w:cs="Arial" w:eastAsia="Arial" w:hAnsi="Arial"/>
                <w:sz w:val="15"/>
                <w:szCs w:val="15"/>
                <w:b w:val="1"/>
                <w:bCs w:val="1"/>
                <w:color w:val="auto"/>
              </w:rPr>
              <w:t>91,670</w:t>
            </w:r>
          </w:p>
        </w:tc>
        <w:tc>
          <w:tcPr>
            <w:tcW w:w="360" w:type="dxa"/>
            <w:vAlign w:val="bottom"/>
          </w:tcPr>
          <w:p>
            <w:pPr>
              <w:spacing w:after="0"/>
              <w:rPr>
                <w:sz w:val="13"/>
                <w:szCs w:val="13"/>
                <w:color w:val="auto"/>
              </w:rPr>
            </w:pPr>
          </w:p>
        </w:tc>
        <w:tc>
          <w:tcPr>
            <w:tcW w:w="840" w:type="dxa"/>
            <w:vAlign w:val="bottom"/>
          </w:tcPr>
          <w:p>
            <w:pPr>
              <w:jc w:val="right"/>
              <w:ind w:right="166"/>
              <w:spacing w:after="0" w:line="156" w:lineRule="exact"/>
              <w:rPr>
                <w:sz w:val="20"/>
                <w:szCs w:val="20"/>
                <w:color w:val="auto"/>
              </w:rPr>
            </w:pPr>
            <w:r>
              <w:rPr>
                <w:rFonts w:ascii="Arial" w:cs="Arial" w:eastAsia="Arial" w:hAnsi="Arial"/>
                <w:sz w:val="15"/>
                <w:szCs w:val="15"/>
                <w:color w:val="auto"/>
              </w:rPr>
              <w:t>99,042</w:t>
            </w:r>
          </w:p>
        </w:tc>
        <w:tc>
          <w:tcPr>
            <w:tcW w:w="360" w:type="dxa"/>
            <w:vAlign w:val="bottom"/>
          </w:tcPr>
          <w:p>
            <w:pPr>
              <w:spacing w:after="0"/>
              <w:rPr>
                <w:sz w:val="13"/>
                <w:szCs w:val="13"/>
                <w:color w:val="auto"/>
              </w:rPr>
            </w:pPr>
          </w:p>
        </w:tc>
        <w:tc>
          <w:tcPr>
            <w:tcW w:w="660" w:type="dxa"/>
            <w:vAlign w:val="bottom"/>
          </w:tcPr>
          <w:p>
            <w:pPr>
              <w:jc w:val="right"/>
              <w:ind w:right="6"/>
              <w:spacing w:after="0" w:line="156" w:lineRule="exact"/>
              <w:rPr>
                <w:sz w:val="20"/>
                <w:szCs w:val="20"/>
                <w:color w:val="auto"/>
              </w:rPr>
            </w:pPr>
            <w:r>
              <w:rPr>
                <w:rFonts w:ascii="Arial" w:cs="Arial" w:eastAsia="Arial" w:hAnsi="Arial"/>
                <w:sz w:val="15"/>
                <w:szCs w:val="15"/>
                <w:color w:val="auto"/>
              </w:rPr>
              <w:t>42,110</w:t>
            </w:r>
          </w:p>
        </w:tc>
        <w:tc>
          <w:tcPr>
            <w:tcW w:w="0" w:type="dxa"/>
            <w:vAlign w:val="bottom"/>
          </w:tcPr>
          <w:p>
            <w:pPr>
              <w:spacing w:after="0"/>
              <w:rPr>
                <w:sz w:val="1"/>
                <w:szCs w:val="1"/>
                <w:color w:val="auto"/>
              </w:rPr>
            </w:pPr>
          </w:p>
        </w:tc>
      </w:tr>
      <w:tr>
        <w:trPr>
          <w:trHeight w:val="156"/>
        </w:trPr>
        <w:tc>
          <w:tcPr>
            <w:tcW w:w="2280" w:type="dxa"/>
            <w:vAlign w:val="bottom"/>
            <w:tcBorders>
              <w:bottom w:val="single" w:sz="8" w:color="auto"/>
            </w:tcBorders>
            <w:shd w:val="clear" w:color="auto" w:fill="CCEEFF"/>
          </w:tcPr>
          <w:p>
            <w:pPr>
              <w:ind w:left="140"/>
              <w:spacing w:after="0" w:line="156" w:lineRule="exact"/>
              <w:rPr>
                <w:sz w:val="20"/>
                <w:szCs w:val="20"/>
                <w:color w:val="auto"/>
              </w:rPr>
            </w:pPr>
            <w:r>
              <w:rPr>
                <w:rFonts w:ascii="Arial" w:cs="Arial" w:eastAsia="Arial" w:hAnsi="Arial"/>
                <w:sz w:val="15"/>
                <w:szCs w:val="15"/>
                <w:color w:val="auto"/>
              </w:rPr>
              <w:t>Asphalt and Paving Services</w:t>
            </w:r>
          </w:p>
        </w:tc>
        <w:tc>
          <w:tcPr>
            <w:tcW w:w="26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ind w:right="166"/>
              <w:spacing w:after="0" w:line="156" w:lineRule="exact"/>
              <w:rPr>
                <w:sz w:val="20"/>
                <w:szCs w:val="20"/>
                <w:color w:val="auto"/>
              </w:rPr>
            </w:pPr>
            <w:r>
              <w:rPr>
                <w:rFonts w:ascii="Arial" w:cs="Arial" w:eastAsia="Arial" w:hAnsi="Arial"/>
                <w:sz w:val="15"/>
                <w:szCs w:val="15"/>
                <w:b w:val="1"/>
                <w:bCs w:val="1"/>
                <w:color w:val="auto"/>
              </w:rPr>
              <w:t>64,680</w:t>
            </w:r>
          </w:p>
        </w:tc>
        <w:tc>
          <w:tcPr>
            <w:tcW w:w="36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166"/>
              <w:spacing w:after="0" w:line="156" w:lineRule="exact"/>
              <w:rPr>
                <w:sz w:val="20"/>
                <w:szCs w:val="20"/>
                <w:color w:val="auto"/>
              </w:rPr>
            </w:pPr>
            <w:r>
              <w:rPr>
                <w:rFonts w:ascii="Arial" w:cs="Arial" w:eastAsia="Arial" w:hAnsi="Arial"/>
                <w:sz w:val="15"/>
                <w:szCs w:val="15"/>
                <w:color w:val="auto"/>
              </w:rPr>
              <w:t>53,075</w:t>
            </w:r>
          </w:p>
        </w:tc>
        <w:tc>
          <w:tcPr>
            <w:tcW w:w="36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ind w:right="6"/>
              <w:spacing w:after="0" w:line="156" w:lineRule="exact"/>
              <w:rPr>
                <w:sz w:val="20"/>
                <w:szCs w:val="20"/>
                <w:color w:val="auto"/>
              </w:rPr>
            </w:pPr>
            <w:r>
              <w:rPr>
                <w:rFonts w:ascii="Arial" w:cs="Arial" w:eastAsia="Arial" w:hAnsi="Arial"/>
                <w:sz w:val="15"/>
                <w:szCs w:val="15"/>
                <w:color w:val="auto"/>
              </w:rPr>
              <w:t>35,417</w:t>
            </w:r>
          </w:p>
        </w:tc>
        <w:tc>
          <w:tcPr>
            <w:tcW w:w="0" w:type="dxa"/>
            <w:vAlign w:val="bottom"/>
          </w:tcPr>
          <w:p>
            <w:pPr>
              <w:spacing w:after="0"/>
              <w:rPr>
                <w:sz w:val="1"/>
                <w:szCs w:val="1"/>
                <w:color w:val="auto"/>
              </w:rPr>
            </w:pPr>
          </w:p>
        </w:tc>
      </w:tr>
      <w:tr>
        <w:trPr>
          <w:trHeight w:val="149"/>
        </w:trPr>
        <w:tc>
          <w:tcPr>
            <w:tcW w:w="2280" w:type="dxa"/>
            <w:vAlign w:val="bottom"/>
          </w:tcPr>
          <w:p>
            <w:pPr>
              <w:spacing w:after="0" w:line="149" w:lineRule="exact"/>
              <w:rPr>
                <w:sz w:val="20"/>
                <w:szCs w:val="20"/>
                <w:color w:val="auto"/>
              </w:rPr>
            </w:pPr>
            <w:r>
              <w:rPr>
                <w:rFonts w:ascii="Arial" w:cs="Arial" w:eastAsia="Arial" w:hAnsi="Arial"/>
                <w:sz w:val="15"/>
                <w:szCs w:val="15"/>
                <w:color w:val="auto"/>
              </w:rPr>
              <w:t>Total Building Materials Business</w:t>
            </w:r>
          </w:p>
        </w:tc>
        <w:tc>
          <w:tcPr>
            <w:tcW w:w="260" w:type="dxa"/>
            <w:vAlign w:val="bottom"/>
          </w:tcPr>
          <w:p>
            <w:pPr>
              <w:spacing w:after="0"/>
              <w:rPr>
                <w:sz w:val="12"/>
                <w:szCs w:val="12"/>
                <w:color w:val="auto"/>
              </w:rPr>
            </w:pPr>
          </w:p>
        </w:tc>
        <w:tc>
          <w:tcPr>
            <w:tcW w:w="820" w:type="dxa"/>
            <w:vAlign w:val="bottom"/>
          </w:tcPr>
          <w:p>
            <w:pPr>
              <w:jc w:val="right"/>
              <w:ind w:right="166"/>
              <w:spacing w:after="0" w:line="149" w:lineRule="exact"/>
              <w:rPr>
                <w:sz w:val="20"/>
                <w:szCs w:val="20"/>
                <w:color w:val="auto"/>
              </w:rPr>
            </w:pPr>
            <w:r>
              <w:rPr>
                <w:rFonts w:ascii="Arial" w:cs="Arial" w:eastAsia="Arial" w:hAnsi="Arial"/>
                <w:sz w:val="15"/>
                <w:szCs w:val="15"/>
                <w:b w:val="1"/>
                <w:bCs w:val="1"/>
                <w:color w:val="auto"/>
              </w:rPr>
              <w:t>875,631</w:t>
            </w:r>
          </w:p>
        </w:tc>
        <w:tc>
          <w:tcPr>
            <w:tcW w:w="360" w:type="dxa"/>
            <w:vAlign w:val="bottom"/>
          </w:tcPr>
          <w:p>
            <w:pPr>
              <w:spacing w:after="0"/>
              <w:rPr>
                <w:sz w:val="12"/>
                <w:szCs w:val="12"/>
                <w:color w:val="auto"/>
              </w:rPr>
            </w:pPr>
          </w:p>
        </w:tc>
        <w:tc>
          <w:tcPr>
            <w:tcW w:w="840" w:type="dxa"/>
            <w:vAlign w:val="bottom"/>
          </w:tcPr>
          <w:p>
            <w:pPr>
              <w:jc w:val="right"/>
              <w:ind w:right="166"/>
              <w:spacing w:after="0" w:line="149" w:lineRule="exact"/>
              <w:rPr>
                <w:sz w:val="20"/>
                <w:szCs w:val="20"/>
                <w:color w:val="auto"/>
              </w:rPr>
            </w:pPr>
            <w:r>
              <w:rPr>
                <w:rFonts w:ascii="Arial" w:cs="Arial" w:eastAsia="Arial" w:hAnsi="Arial"/>
                <w:sz w:val="15"/>
                <w:szCs w:val="15"/>
                <w:color w:val="auto"/>
              </w:rPr>
              <w:t>830,636</w:t>
            </w:r>
          </w:p>
        </w:tc>
        <w:tc>
          <w:tcPr>
            <w:tcW w:w="360" w:type="dxa"/>
            <w:vAlign w:val="bottom"/>
          </w:tcPr>
          <w:p>
            <w:pPr>
              <w:spacing w:after="0"/>
              <w:rPr>
                <w:sz w:val="12"/>
                <w:szCs w:val="12"/>
                <w:color w:val="auto"/>
              </w:rPr>
            </w:pPr>
          </w:p>
        </w:tc>
        <w:tc>
          <w:tcPr>
            <w:tcW w:w="660" w:type="dxa"/>
            <w:vAlign w:val="bottom"/>
          </w:tcPr>
          <w:p>
            <w:pPr>
              <w:jc w:val="right"/>
              <w:ind w:right="6"/>
              <w:spacing w:after="0" w:line="149" w:lineRule="exact"/>
              <w:rPr>
                <w:sz w:val="20"/>
                <w:szCs w:val="20"/>
                <w:color w:val="auto"/>
              </w:rPr>
            </w:pPr>
            <w:r>
              <w:rPr>
                <w:rFonts w:ascii="Arial" w:cs="Arial" w:eastAsia="Arial" w:hAnsi="Arial"/>
                <w:sz w:val="15"/>
                <w:szCs w:val="15"/>
                <w:color w:val="auto"/>
              </w:rPr>
              <w:t>652,028</w:t>
            </w:r>
          </w:p>
        </w:tc>
        <w:tc>
          <w:tcPr>
            <w:tcW w:w="0" w:type="dxa"/>
            <w:vAlign w:val="bottom"/>
          </w:tcPr>
          <w:p>
            <w:pPr>
              <w:spacing w:after="0"/>
              <w:rPr>
                <w:sz w:val="1"/>
                <w:szCs w:val="1"/>
                <w:color w:val="auto"/>
              </w:rPr>
            </w:pPr>
          </w:p>
        </w:tc>
      </w:tr>
      <w:tr>
        <w:trPr>
          <w:trHeight w:val="156"/>
        </w:trPr>
        <w:tc>
          <w:tcPr>
            <w:tcW w:w="228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Magnesia Specialties</w:t>
            </w: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166"/>
              <w:spacing w:after="0" w:line="156" w:lineRule="exact"/>
              <w:rPr>
                <w:sz w:val="20"/>
                <w:szCs w:val="20"/>
                <w:color w:val="auto"/>
              </w:rPr>
            </w:pPr>
            <w:r>
              <w:rPr>
                <w:rFonts w:ascii="Arial" w:cs="Arial" w:eastAsia="Arial" w:hAnsi="Arial"/>
                <w:sz w:val="15"/>
                <w:szCs w:val="15"/>
                <w:b w:val="1"/>
                <w:bCs w:val="1"/>
                <w:color w:val="auto"/>
              </w:rPr>
              <w:t>89,399</w:t>
            </w:r>
          </w:p>
        </w:tc>
        <w:tc>
          <w:tcPr>
            <w:tcW w:w="36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166"/>
              <w:spacing w:after="0" w:line="156" w:lineRule="exact"/>
              <w:rPr>
                <w:sz w:val="20"/>
                <w:szCs w:val="20"/>
                <w:color w:val="auto"/>
              </w:rPr>
            </w:pPr>
            <w:r>
              <w:rPr>
                <w:rFonts w:ascii="Arial" w:cs="Arial" w:eastAsia="Arial" w:hAnsi="Arial"/>
                <w:sz w:val="15"/>
                <w:szCs w:val="15"/>
                <w:color w:val="auto"/>
              </w:rPr>
              <w:t>89,603</w:t>
            </w:r>
          </w:p>
        </w:tc>
        <w:tc>
          <w:tcPr>
            <w:tcW w:w="3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6"/>
              <w:spacing w:after="0" w:line="156" w:lineRule="exact"/>
              <w:rPr>
                <w:sz w:val="20"/>
                <w:szCs w:val="20"/>
                <w:color w:val="auto"/>
              </w:rPr>
            </w:pPr>
            <w:r>
              <w:rPr>
                <w:rFonts w:ascii="Arial" w:cs="Arial" w:eastAsia="Arial" w:hAnsi="Arial"/>
                <w:sz w:val="15"/>
                <w:szCs w:val="15"/>
                <w:color w:val="auto"/>
              </w:rPr>
              <w:t>79,057</w:t>
            </w:r>
          </w:p>
        </w:tc>
        <w:tc>
          <w:tcPr>
            <w:tcW w:w="0" w:type="dxa"/>
            <w:vAlign w:val="bottom"/>
          </w:tcPr>
          <w:p>
            <w:pPr>
              <w:spacing w:after="0"/>
              <w:rPr>
                <w:sz w:val="1"/>
                <w:szCs w:val="1"/>
                <w:color w:val="auto"/>
              </w:rPr>
            </w:pPr>
          </w:p>
        </w:tc>
      </w:tr>
      <w:tr>
        <w:trPr>
          <w:trHeight w:val="156"/>
        </w:trPr>
        <w:tc>
          <w:tcPr>
            <w:tcW w:w="2280" w:type="dxa"/>
            <w:vAlign w:val="bottom"/>
            <w:tcBorders>
              <w:bottom w:val="single" w:sz="8" w:color="auto"/>
            </w:tcBorders>
          </w:tcPr>
          <w:p>
            <w:pPr>
              <w:spacing w:after="0" w:line="156" w:lineRule="exact"/>
              <w:rPr>
                <w:sz w:val="20"/>
                <w:szCs w:val="20"/>
                <w:color w:val="auto"/>
              </w:rPr>
            </w:pPr>
            <w:r>
              <w:rPr>
                <w:rFonts w:ascii="Arial" w:cs="Arial" w:eastAsia="Arial" w:hAnsi="Arial"/>
                <w:sz w:val="15"/>
                <w:szCs w:val="15"/>
                <w:color w:val="auto"/>
              </w:rPr>
              <w:t>Corporate</w:t>
            </w: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66"/>
              <w:spacing w:after="0" w:line="156" w:lineRule="exact"/>
              <w:rPr>
                <w:sz w:val="20"/>
                <w:szCs w:val="20"/>
                <w:color w:val="auto"/>
              </w:rPr>
            </w:pPr>
            <w:r>
              <w:rPr>
                <w:rFonts w:ascii="Arial" w:cs="Arial" w:eastAsia="Arial" w:hAnsi="Arial"/>
                <w:sz w:val="15"/>
                <w:szCs w:val="15"/>
                <w:b w:val="1"/>
                <w:bCs w:val="1"/>
                <w:color w:val="auto"/>
              </w:rPr>
              <w:t>6,910</w:t>
            </w:r>
          </w:p>
        </w:tc>
        <w:tc>
          <w:tcPr>
            <w:tcW w:w="3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26"/>
              <w:spacing w:after="0" w:line="156" w:lineRule="exact"/>
              <w:rPr>
                <w:sz w:val="20"/>
                <w:szCs w:val="20"/>
                <w:color w:val="auto"/>
              </w:rPr>
            </w:pPr>
            <w:r>
              <w:rPr>
                <w:rFonts w:ascii="Arial" w:cs="Arial" w:eastAsia="Arial" w:hAnsi="Arial"/>
                <w:sz w:val="15"/>
                <w:szCs w:val="15"/>
                <w:color w:val="auto"/>
              </w:rPr>
              <w:t>(8,501)</w:t>
            </w:r>
          </w:p>
        </w:tc>
        <w:tc>
          <w:tcPr>
            <w:tcW w:w="3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(4,165)</w:t>
            </w:r>
          </w:p>
        </w:tc>
        <w:tc>
          <w:tcPr>
            <w:tcW w:w="0" w:type="dxa"/>
            <w:vAlign w:val="bottom"/>
          </w:tcPr>
          <w:p>
            <w:pPr>
              <w:spacing w:after="0"/>
              <w:rPr>
                <w:sz w:val="1"/>
                <w:szCs w:val="1"/>
                <w:color w:val="auto"/>
              </w:rPr>
            </w:pPr>
          </w:p>
        </w:tc>
      </w:tr>
      <w:tr>
        <w:trPr>
          <w:trHeight w:val="155"/>
        </w:trPr>
        <w:tc>
          <w:tcPr>
            <w:tcW w:w="228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5"/>
                <w:szCs w:val="15"/>
                <w:color w:val="auto"/>
              </w:rPr>
              <w:t>Total Consolidated Gross Profit</w:t>
            </w:r>
          </w:p>
        </w:tc>
        <w:tc>
          <w:tcPr>
            <w:tcW w:w="2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820" w:type="dxa"/>
            <w:vAlign w:val="bottom"/>
            <w:tcBorders>
              <w:bottom w:val="single" w:sz="8" w:color="auto"/>
            </w:tcBorders>
            <w:shd w:val="clear" w:color="auto" w:fill="CCEEFF"/>
          </w:tcPr>
          <w:p>
            <w:pPr>
              <w:jc w:val="right"/>
              <w:ind w:right="166"/>
              <w:spacing w:after="0" w:line="149" w:lineRule="exact"/>
              <w:rPr>
                <w:sz w:val="20"/>
                <w:szCs w:val="20"/>
                <w:color w:val="auto"/>
              </w:rPr>
            </w:pPr>
            <w:r>
              <w:rPr>
                <w:rFonts w:ascii="Arial" w:cs="Arial" w:eastAsia="Arial" w:hAnsi="Arial"/>
                <w:sz w:val="15"/>
                <w:szCs w:val="15"/>
                <w:b w:val="1"/>
                <w:bCs w:val="1"/>
                <w:color w:val="auto"/>
              </w:rPr>
              <w:t>971,940</w:t>
            </w:r>
          </w:p>
        </w:tc>
        <w:tc>
          <w:tcPr>
            <w:tcW w:w="3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shd w:val="clear" w:color="auto" w:fill="CCEEFF"/>
          </w:tcPr>
          <w:p>
            <w:pPr>
              <w:jc w:val="right"/>
              <w:ind w:right="166"/>
              <w:spacing w:after="0" w:line="149" w:lineRule="exact"/>
              <w:rPr>
                <w:sz w:val="20"/>
                <w:szCs w:val="20"/>
                <w:color w:val="auto"/>
              </w:rPr>
            </w:pPr>
            <w:r>
              <w:rPr>
                <w:rFonts w:ascii="Arial" w:cs="Arial" w:eastAsia="Arial" w:hAnsi="Arial"/>
                <w:sz w:val="15"/>
                <w:szCs w:val="15"/>
                <w:color w:val="auto"/>
              </w:rPr>
              <w:t>911,738</w:t>
            </w:r>
          </w:p>
        </w:tc>
        <w:tc>
          <w:tcPr>
            <w:tcW w:w="3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shd w:val="clear" w:color="auto" w:fill="CCEEFF"/>
          </w:tcPr>
          <w:p>
            <w:pPr>
              <w:jc w:val="right"/>
              <w:ind w:right="6"/>
              <w:spacing w:after="0" w:line="149" w:lineRule="exact"/>
              <w:rPr>
                <w:sz w:val="20"/>
                <w:szCs w:val="20"/>
                <w:color w:val="auto"/>
              </w:rPr>
            </w:pPr>
            <w:r>
              <w:rPr>
                <w:rFonts w:ascii="Arial" w:cs="Arial" w:eastAsia="Arial" w:hAnsi="Arial"/>
                <w:sz w:val="15"/>
                <w:szCs w:val="15"/>
                <w:color w:val="auto"/>
              </w:rPr>
              <w:t>726,920</w:t>
            </w:r>
          </w:p>
        </w:tc>
        <w:tc>
          <w:tcPr>
            <w:tcW w:w="0" w:type="dxa"/>
            <w:vAlign w:val="bottom"/>
          </w:tcPr>
          <w:p>
            <w:pPr>
              <w:spacing w:after="0"/>
              <w:rPr>
                <w:sz w:val="1"/>
                <w:szCs w:val="1"/>
                <w:color w:val="auto"/>
              </w:rPr>
            </w:pPr>
          </w:p>
        </w:tc>
      </w:tr>
    </w:tbl>
    <w:p>
      <w:pPr>
        <w:spacing w:after="0" w:line="738" w:lineRule="exact"/>
        <w:rPr>
          <w:sz w:val="20"/>
          <w:szCs w:val="20"/>
          <w:color w:val="auto"/>
        </w:rPr>
      </w:pPr>
    </w:p>
    <w:p>
      <w:pPr>
        <w:sectPr>
          <w:pgSz w:w="11900" w:h="16838" w:orient="portrait"/>
          <w:cols w:equalWidth="0" w:num="2">
            <w:col w:w="5480" w:space="360"/>
            <w:col w:w="5580"/>
          </w:cols>
          <w:pgMar w:left="240" w:top="259" w:right="239" w:bottom="1440" w:gutter="0" w:footer="0" w:header="0"/>
          <w:type w:val="continuous"/>
        </w:sectPr>
      </w:pPr>
    </w:p>
    <w:p>
      <w:pPr>
        <w:spacing w:after="0" w:line="4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65</w:t>
      </w:r>
    </w:p>
    <w:p>
      <w:pPr>
        <w:sectPr>
          <w:pgSz w:w="11900" w:h="16838" w:orient="portrait"/>
          <w:cols w:equalWidth="0" w:num="1">
            <w:col w:w="11420"/>
          </w:cols>
          <w:pgMar w:left="240" w:top="259" w:right="239" w:bottom="1440" w:gutter="0" w:footer="0" w:header="0"/>
          <w:type w:val="continuous"/>
        </w:sectPr>
      </w:pPr>
    </w:p>
    <w:bookmarkStart w:id="118" w:name="page119"/>
    <w:bookmarkEnd w:id="118"/>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6">
                      <a:extLst>
                        <a:ext uri="{28A0092B-C50C-407E-A947-70E740481C1C}"/>
                      </a:extLst>
                    </a:blip>
                    <a:srcRect/>
                    <a:stretch>
                      <a:fillRect/>
                    </a:stretch>
                  </pic:blipFill>
                  <pic:spPr bwMode="auto">
                    <a:xfrm>
                      <a:off x="0" y="0"/>
                      <a:ext cx="7293610" cy="37465"/>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420"/>
          </w:cols>
          <w:pgMar w:left="240" w:top="2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following presents a rollforward of the Company’s consolidated gross profit: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420" w:type="dxa"/>
            <w:vAlign w:val="bottom"/>
          </w:tcPr>
          <w:p>
            <w:pPr>
              <w:spacing w:after="0"/>
              <w:rPr>
                <w:sz w:val="20"/>
                <w:szCs w:val="20"/>
                <w:color w:val="auto"/>
              </w:rPr>
            </w:pPr>
            <w:r>
              <w:rPr>
                <w:rFonts w:ascii="Arial" w:cs="Arial" w:eastAsia="Arial" w:hAnsi="Arial"/>
                <w:sz w:val="15"/>
                <w:szCs w:val="15"/>
                <w:i w:val="1"/>
                <w:iCs w:val="1"/>
                <w:color w:val="auto"/>
              </w:rPr>
              <w:t>years ended December 31</w:t>
            </w:r>
          </w:p>
        </w:tc>
        <w:tc>
          <w:tcPr>
            <w:tcW w:w="540" w:type="dxa"/>
            <w:vAlign w:val="bottom"/>
          </w:tcPr>
          <w:p>
            <w:pPr>
              <w:spacing w:after="0"/>
              <w:rPr>
                <w:sz w:val="14"/>
                <w:szCs w:val="14"/>
                <w:color w:val="auto"/>
              </w:rPr>
            </w:pPr>
          </w:p>
        </w:tc>
        <w:tc>
          <w:tcPr>
            <w:tcW w:w="680" w:type="dxa"/>
            <w:vAlign w:val="bottom"/>
            <w:vMerge w:val="restart"/>
          </w:tcPr>
          <w:p>
            <w:pPr>
              <w:jc w:val="right"/>
              <w:ind w:right="26"/>
              <w:spacing w:after="0"/>
              <w:rPr>
                <w:sz w:val="20"/>
                <w:szCs w:val="20"/>
                <w:color w:val="auto"/>
              </w:rPr>
            </w:pPr>
            <w:r>
              <w:rPr>
                <w:rFonts w:ascii="Arial" w:cs="Arial" w:eastAsia="Arial" w:hAnsi="Arial"/>
                <w:sz w:val="15"/>
                <w:szCs w:val="15"/>
                <w:b w:val="1"/>
                <w:bCs w:val="1"/>
                <w:color w:val="0085CD"/>
              </w:rPr>
              <w:t>2017</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3420" w:type="dxa"/>
            <w:vAlign w:val="bottom"/>
            <w:tcBorders>
              <w:bottom w:val="single" w:sz="8" w:color="auto"/>
            </w:tcBorders>
          </w:tcPr>
          <w:p>
            <w:pPr>
              <w:spacing w:after="0" w:line="159" w:lineRule="exact"/>
              <w:rPr>
                <w:sz w:val="20"/>
                <w:szCs w:val="20"/>
                <w:color w:val="auto"/>
              </w:rPr>
            </w:pPr>
            <w:r>
              <w:rPr>
                <w:rFonts w:ascii="Arial" w:cs="Arial" w:eastAsia="Arial" w:hAnsi="Arial"/>
                <w:sz w:val="15"/>
                <w:szCs w:val="15"/>
                <w:color w:val="auto"/>
              </w:rPr>
              <w:t>(add 000)</w:t>
            </w:r>
          </w:p>
        </w:tc>
        <w:tc>
          <w:tcPr>
            <w:tcW w:w="5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6"/>
              <w:spacing w:after="0" w:line="159" w:lineRule="exact"/>
              <w:rPr>
                <w:sz w:val="20"/>
                <w:szCs w:val="20"/>
                <w:color w:val="auto"/>
              </w:rPr>
            </w:pPr>
            <w:r>
              <w:rPr>
                <w:rFonts w:ascii="Arial" w:cs="Arial" w:eastAsia="Arial" w:hAnsi="Arial"/>
                <w:sz w:val="15"/>
                <w:szCs w:val="15"/>
                <w:color w:val="auto"/>
              </w:rPr>
              <w:t>2016</w:t>
            </w:r>
          </w:p>
        </w:tc>
        <w:tc>
          <w:tcPr>
            <w:tcW w:w="0" w:type="dxa"/>
            <w:vAlign w:val="bottom"/>
          </w:tcPr>
          <w:p>
            <w:pPr>
              <w:spacing w:after="0"/>
              <w:rPr>
                <w:sz w:val="1"/>
                <w:szCs w:val="1"/>
                <w:color w:val="auto"/>
              </w:rPr>
            </w:pPr>
          </w:p>
        </w:tc>
      </w:tr>
      <w:tr>
        <w:trPr>
          <w:trHeight w:val="149"/>
        </w:trPr>
        <w:tc>
          <w:tcPr>
            <w:tcW w:w="342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Consolidated gross profit, prior year</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680" w:type="dxa"/>
            <w:vAlign w:val="bottom"/>
            <w:shd w:val="clear" w:color="auto" w:fill="CCEEFF"/>
          </w:tcPr>
          <w:p>
            <w:pPr>
              <w:jc w:val="right"/>
              <w:ind w:right="26"/>
              <w:spacing w:after="0" w:line="149" w:lineRule="exact"/>
              <w:rPr>
                <w:sz w:val="20"/>
                <w:szCs w:val="20"/>
                <w:color w:val="auto"/>
              </w:rPr>
            </w:pPr>
            <w:r>
              <w:rPr>
                <w:rFonts w:ascii="Arial" w:cs="Arial" w:eastAsia="Arial" w:hAnsi="Arial"/>
                <w:sz w:val="15"/>
                <w:szCs w:val="15"/>
                <w:b w:val="1"/>
                <w:bCs w:val="1"/>
                <w:color w:val="auto"/>
              </w:rPr>
              <w:t>911,738</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ind w:right="6"/>
              <w:spacing w:after="0" w:line="149" w:lineRule="exact"/>
              <w:rPr>
                <w:sz w:val="20"/>
                <w:szCs w:val="20"/>
                <w:color w:val="auto"/>
              </w:rPr>
            </w:pPr>
            <w:r>
              <w:rPr>
                <w:rFonts w:ascii="Arial" w:cs="Arial" w:eastAsia="Arial" w:hAnsi="Arial"/>
                <w:sz w:val="15"/>
                <w:szCs w:val="15"/>
                <w:color w:val="auto"/>
              </w:rPr>
              <w:t>726,920</w:t>
            </w:r>
          </w:p>
        </w:tc>
        <w:tc>
          <w:tcPr>
            <w:tcW w:w="0" w:type="dxa"/>
            <w:vAlign w:val="bottom"/>
          </w:tcPr>
          <w:p>
            <w:pPr>
              <w:spacing w:after="0"/>
              <w:rPr>
                <w:sz w:val="1"/>
                <w:szCs w:val="1"/>
                <w:color w:val="auto"/>
              </w:rPr>
            </w:pPr>
          </w:p>
        </w:tc>
      </w:tr>
      <w:tr>
        <w:trPr>
          <w:trHeight w:val="156"/>
        </w:trPr>
        <w:tc>
          <w:tcPr>
            <w:tcW w:w="3420" w:type="dxa"/>
            <w:vAlign w:val="bottom"/>
          </w:tcPr>
          <w:p>
            <w:pPr>
              <w:spacing w:after="0" w:line="156" w:lineRule="exact"/>
              <w:rPr>
                <w:sz w:val="20"/>
                <w:szCs w:val="20"/>
                <w:color w:val="auto"/>
              </w:rPr>
            </w:pPr>
            <w:r>
              <w:rPr>
                <w:rFonts w:ascii="Arial" w:cs="Arial" w:eastAsia="Arial" w:hAnsi="Arial"/>
                <w:sz w:val="15"/>
                <w:szCs w:val="15"/>
                <w:color w:val="auto"/>
              </w:rPr>
              <w:t>Aggregates product line:</w:t>
            </w: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20" w:type="dxa"/>
            <w:vAlign w:val="bottom"/>
            <w:shd w:val="clear" w:color="auto" w:fill="CCEEFF"/>
          </w:tcPr>
          <w:p>
            <w:pPr>
              <w:ind w:left="160"/>
              <w:spacing w:after="0" w:line="156" w:lineRule="exact"/>
              <w:rPr>
                <w:sz w:val="20"/>
                <w:szCs w:val="20"/>
                <w:color w:val="auto"/>
              </w:rPr>
            </w:pPr>
            <w:r>
              <w:rPr>
                <w:rFonts w:ascii="Arial" w:cs="Arial" w:eastAsia="Arial" w:hAnsi="Arial"/>
                <w:sz w:val="15"/>
                <w:szCs w:val="15"/>
                <w:color w:val="auto"/>
              </w:rPr>
              <w:t>Pricing</w:t>
            </w:r>
          </w:p>
        </w:tc>
        <w:tc>
          <w:tcPr>
            <w:tcW w:w="54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26"/>
              <w:spacing w:after="0" w:line="156" w:lineRule="exact"/>
              <w:rPr>
                <w:sz w:val="20"/>
                <w:szCs w:val="20"/>
                <w:color w:val="auto"/>
              </w:rPr>
            </w:pPr>
            <w:r>
              <w:rPr>
                <w:rFonts w:ascii="Arial" w:cs="Arial" w:eastAsia="Arial" w:hAnsi="Arial"/>
                <w:sz w:val="15"/>
                <w:szCs w:val="15"/>
                <w:b w:val="1"/>
                <w:bCs w:val="1"/>
                <w:color w:val="auto"/>
              </w:rPr>
              <w:t>93,727</w:t>
            </w: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6"/>
              <w:spacing w:after="0" w:line="156" w:lineRule="exact"/>
              <w:rPr>
                <w:sz w:val="20"/>
                <w:szCs w:val="20"/>
                <w:color w:val="auto"/>
              </w:rPr>
            </w:pPr>
            <w:r>
              <w:rPr>
                <w:rFonts w:ascii="Arial" w:cs="Arial" w:eastAsia="Arial" w:hAnsi="Arial"/>
                <w:sz w:val="15"/>
                <w:szCs w:val="15"/>
                <w:color w:val="auto"/>
              </w:rPr>
              <w:t>138,286</w:t>
            </w:r>
          </w:p>
        </w:tc>
        <w:tc>
          <w:tcPr>
            <w:tcW w:w="0" w:type="dxa"/>
            <w:vAlign w:val="bottom"/>
          </w:tcPr>
          <w:p>
            <w:pPr>
              <w:spacing w:after="0"/>
              <w:rPr>
                <w:sz w:val="1"/>
                <w:szCs w:val="1"/>
                <w:color w:val="auto"/>
              </w:rPr>
            </w:pPr>
          </w:p>
        </w:tc>
      </w:tr>
      <w:tr>
        <w:trPr>
          <w:trHeight w:val="156"/>
        </w:trPr>
        <w:tc>
          <w:tcPr>
            <w:tcW w:w="3420" w:type="dxa"/>
            <w:vAlign w:val="bottom"/>
          </w:tcPr>
          <w:p>
            <w:pPr>
              <w:ind w:left="160"/>
              <w:spacing w:after="0" w:line="156" w:lineRule="exact"/>
              <w:rPr>
                <w:sz w:val="20"/>
                <w:szCs w:val="20"/>
                <w:color w:val="auto"/>
              </w:rPr>
            </w:pPr>
            <w:r>
              <w:rPr>
                <w:rFonts w:ascii="Arial" w:cs="Arial" w:eastAsia="Arial" w:hAnsi="Arial"/>
                <w:sz w:val="15"/>
                <w:szCs w:val="15"/>
                <w:color w:val="auto"/>
              </w:rPr>
              <w:t>Volume</w:t>
            </w:r>
          </w:p>
        </w:tc>
        <w:tc>
          <w:tcPr>
            <w:tcW w:w="540" w:type="dxa"/>
            <w:vAlign w:val="bottom"/>
          </w:tcPr>
          <w:p>
            <w:pPr>
              <w:spacing w:after="0"/>
              <w:rPr>
                <w:sz w:val="13"/>
                <w:szCs w:val="13"/>
                <w:color w:val="auto"/>
              </w:rPr>
            </w:pPr>
          </w:p>
        </w:tc>
        <w:tc>
          <w:tcPr>
            <w:tcW w:w="680" w:type="dxa"/>
            <w:vAlign w:val="bottom"/>
          </w:tcPr>
          <w:p>
            <w:pPr>
              <w:jc w:val="right"/>
              <w:spacing w:after="0" w:line="156" w:lineRule="exact"/>
              <w:rPr>
                <w:sz w:val="20"/>
                <w:szCs w:val="20"/>
                <w:color w:val="auto"/>
              </w:rPr>
            </w:pPr>
            <w:r>
              <w:rPr>
                <w:rFonts w:ascii="Arial" w:cs="Arial" w:eastAsia="Arial" w:hAnsi="Arial"/>
                <w:sz w:val="15"/>
                <w:szCs w:val="15"/>
                <w:b w:val="1"/>
                <w:bCs w:val="1"/>
                <w:color w:val="auto"/>
              </w:rPr>
              <w:t>(17,951)</w:t>
            </w:r>
          </w:p>
        </w:tc>
        <w:tc>
          <w:tcPr>
            <w:tcW w:w="180" w:type="dxa"/>
            <w:vAlign w:val="bottom"/>
          </w:tcPr>
          <w:p>
            <w:pPr>
              <w:spacing w:after="0"/>
              <w:rPr>
                <w:sz w:val="13"/>
                <w:szCs w:val="13"/>
                <w:color w:val="auto"/>
              </w:rPr>
            </w:pPr>
          </w:p>
        </w:tc>
        <w:tc>
          <w:tcPr>
            <w:tcW w:w="660" w:type="dxa"/>
            <w:vAlign w:val="bottom"/>
          </w:tcPr>
          <w:p>
            <w:pPr>
              <w:jc w:val="right"/>
              <w:ind w:right="6"/>
              <w:spacing w:after="0" w:line="156" w:lineRule="exact"/>
              <w:rPr>
                <w:sz w:val="20"/>
                <w:szCs w:val="20"/>
                <w:color w:val="auto"/>
              </w:rPr>
            </w:pPr>
            <w:r>
              <w:rPr>
                <w:rFonts w:ascii="Arial" w:cs="Arial" w:eastAsia="Arial" w:hAnsi="Arial"/>
                <w:sz w:val="15"/>
                <w:szCs w:val="15"/>
                <w:color w:val="auto"/>
              </w:rPr>
              <w:t>26,446</w:t>
            </w:r>
          </w:p>
        </w:tc>
        <w:tc>
          <w:tcPr>
            <w:tcW w:w="0" w:type="dxa"/>
            <w:vAlign w:val="bottom"/>
          </w:tcPr>
          <w:p>
            <w:pPr>
              <w:spacing w:after="0"/>
              <w:rPr>
                <w:sz w:val="1"/>
                <w:szCs w:val="1"/>
                <w:color w:val="auto"/>
              </w:rPr>
            </w:pPr>
          </w:p>
        </w:tc>
      </w:tr>
      <w:tr>
        <w:trPr>
          <w:trHeight w:val="156"/>
        </w:trPr>
        <w:tc>
          <w:tcPr>
            <w:tcW w:w="3420" w:type="dxa"/>
            <w:vAlign w:val="bottom"/>
            <w:shd w:val="clear" w:color="auto" w:fill="CCEEFF"/>
          </w:tcPr>
          <w:p>
            <w:pPr>
              <w:ind w:left="160"/>
              <w:spacing w:after="0" w:line="156" w:lineRule="exact"/>
              <w:rPr>
                <w:sz w:val="20"/>
                <w:szCs w:val="20"/>
                <w:color w:val="auto"/>
              </w:rPr>
            </w:pPr>
            <w:r>
              <w:rPr>
                <w:rFonts w:ascii="Arial" w:cs="Arial" w:eastAsia="Arial" w:hAnsi="Arial"/>
                <w:sz w:val="15"/>
                <w:szCs w:val="15"/>
                <w:color w:val="auto"/>
              </w:rPr>
              <w:t>Production costs</w:t>
            </w:r>
          </w:p>
        </w:tc>
        <w:tc>
          <w:tcPr>
            <w:tcW w:w="5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rPr>
              <w:t>(30,014)</w:t>
            </w: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(60,270)</w:t>
            </w:r>
          </w:p>
        </w:tc>
        <w:tc>
          <w:tcPr>
            <w:tcW w:w="0" w:type="dxa"/>
            <w:vAlign w:val="bottom"/>
          </w:tcPr>
          <w:p>
            <w:pPr>
              <w:spacing w:after="0"/>
              <w:rPr>
                <w:sz w:val="1"/>
                <w:szCs w:val="1"/>
                <w:color w:val="auto"/>
              </w:rPr>
            </w:pPr>
          </w:p>
        </w:tc>
      </w:tr>
      <w:tr>
        <w:trPr>
          <w:trHeight w:val="156"/>
        </w:trPr>
        <w:tc>
          <w:tcPr>
            <w:tcW w:w="3420" w:type="dxa"/>
            <w:vAlign w:val="bottom"/>
          </w:tcPr>
          <w:p>
            <w:pPr>
              <w:ind w:left="160"/>
              <w:spacing w:after="0" w:line="156" w:lineRule="exact"/>
              <w:rPr>
                <w:sz w:val="20"/>
                <w:szCs w:val="20"/>
                <w:color w:val="auto"/>
              </w:rPr>
            </w:pPr>
            <w:r>
              <w:rPr>
                <w:rFonts w:ascii="Arial" w:cs="Arial" w:eastAsia="Arial" w:hAnsi="Arial"/>
                <w:sz w:val="15"/>
                <w:szCs w:val="15"/>
                <w:color w:val="auto"/>
              </w:rPr>
              <w:t>Internal freight costs</w:t>
            </w:r>
          </w:p>
        </w:tc>
        <w:tc>
          <w:tcPr>
            <w:tcW w:w="540" w:type="dxa"/>
            <w:vAlign w:val="bottom"/>
          </w:tcPr>
          <w:p>
            <w:pPr>
              <w:spacing w:after="0"/>
              <w:rPr>
                <w:sz w:val="13"/>
                <w:szCs w:val="13"/>
                <w:color w:val="auto"/>
              </w:rPr>
            </w:pPr>
          </w:p>
        </w:tc>
        <w:tc>
          <w:tcPr>
            <w:tcW w:w="680" w:type="dxa"/>
            <w:vAlign w:val="bottom"/>
          </w:tcPr>
          <w:p>
            <w:pPr>
              <w:jc w:val="right"/>
              <w:spacing w:after="0" w:line="156" w:lineRule="exact"/>
              <w:rPr>
                <w:sz w:val="20"/>
                <w:szCs w:val="20"/>
                <w:color w:val="auto"/>
              </w:rPr>
            </w:pPr>
            <w:r>
              <w:rPr>
                <w:rFonts w:ascii="Arial" w:cs="Arial" w:eastAsia="Arial" w:hAnsi="Arial"/>
                <w:sz w:val="15"/>
                <w:szCs w:val="15"/>
                <w:b w:val="1"/>
                <w:bCs w:val="1"/>
                <w:color w:val="auto"/>
              </w:rPr>
              <w:t>(6,793)</w:t>
            </w:r>
          </w:p>
        </w:tc>
        <w:tc>
          <w:tcPr>
            <w:tcW w:w="180" w:type="dxa"/>
            <w:vAlign w:val="bottom"/>
          </w:tcPr>
          <w:p>
            <w:pPr>
              <w:spacing w:after="0"/>
              <w:rPr>
                <w:sz w:val="13"/>
                <w:szCs w:val="13"/>
                <w:color w:val="auto"/>
              </w:rPr>
            </w:pPr>
          </w:p>
        </w:tc>
        <w:tc>
          <w:tcPr>
            <w:tcW w:w="660" w:type="dxa"/>
            <w:vAlign w:val="bottom"/>
          </w:tcPr>
          <w:p>
            <w:pPr>
              <w:jc w:val="right"/>
              <w:spacing w:after="0" w:line="156" w:lineRule="exact"/>
              <w:rPr>
                <w:sz w:val="20"/>
                <w:szCs w:val="20"/>
                <w:color w:val="auto"/>
              </w:rPr>
            </w:pPr>
            <w:r>
              <w:rPr>
                <w:rFonts w:ascii="Arial" w:cs="Arial" w:eastAsia="Arial" w:hAnsi="Arial"/>
                <w:sz w:val="15"/>
                <w:szCs w:val="15"/>
                <w:color w:val="auto"/>
              </w:rPr>
              <w:t>(22,193)</w:t>
            </w:r>
          </w:p>
        </w:tc>
        <w:tc>
          <w:tcPr>
            <w:tcW w:w="0" w:type="dxa"/>
            <w:vAlign w:val="bottom"/>
          </w:tcPr>
          <w:p>
            <w:pPr>
              <w:spacing w:after="0"/>
              <w:rPr>
                <w:sz w:val="1"/>
                <w:szCs w:val="1"/>
                <w:color w:val="auto"/>
              </w:rPr>
            </w:pPr>
          </w:p>
        </w:tc>
      </w:tr>
      <w:tr>
        <w:trPr>
          <w:trHeight w:val="156"/>
        </w:trPr>
        <w:tc>
          <w:tcPr>
            <w:tcW w:w="3420" w:type="dxa"/>
            <w:vAlign w:val="bottom"/>
            <w:tcBorders>
              <w:bottom w:val="single" w:sz="8" w:color="auto"/>
            </w:tcBorders>
            <w:shd w:val="clear" w:color="auto" w:fill="CCEEFF"/>
          </w:tcPr>
          <w:p>
            <w:pPr>
              <w:ind w:left="160"/>
              <w:spacing w:after="0" w:line="156" w:lineRule="exact"/>
              <w:rPr>
                <w:sz w:val="20"/>
                <w:szCs w:val="20"/>
                <w:color w:val="auto"/>
              </w:rPr>
            </w:pPr>
            <w:r>
              <w:rPr>
                <w:rFonts w:ascii="Arial" w:cs="Arial" w:eastAsia="Arial" w:hAnsi="Arial"/>
                <w:sz w:val="15"/>
                <w:szCs w:val="15"/>
                <w:color w:val="auto"/>
              </w:rPr>
              <w:t>Other costs, net</w:t>
            </w:r>
          </w:p>
        </w:tc>
        <w:tc>
          <w:tcPr>
            <w:tcW w:w="5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26"/>
              <w:spacing w:after="0" w:line="156" w:lineRule="exact"/>
              <w:rPr>
                <w:sz w:val="20"/>
                <w:szCs w:val="20"/>
                <w:color w:val="auto"/>
              </w:rPr>
            </w:pPr>
            <w:r>
              <w:rPr>
                <w:rFonts w:ascii="Arial" w:cs="Arial" w:eastAsia="Arial" w:hAnsi="Arial"/>
                <w:sz w:val="15"/>
                <w:szCs w:val="15"/>
                <w:b w:val="1"/>
                <w:bCs w:val="1"/>
                <w:color w:val="auto"/>
              </w:rPr>
              <w:t>4,681</w:t>
            </w:r>
          </w:p>
        </w:tc>
        <w:tc>
          <w:tcPr>
            <w:tcW w:w="1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ind w:right="6"/>
              <w:spacing w:after="0" w:line="156" w:lineRule="exact"/>
              <w:rPr>
                <w:sz w:val="20"/>
                <w:szCs w:val="20"/>
                <w:color w:val="auto"/>
              </w:rPr>
            </w:pPr>
            <w:r>
              <w:rPr>
                <w:rFonts w:ascii="Arial" w:cs="Arial" w:eastAsia="Arial" w:hAnsi="Arial"/>
                <w:sz w:val="15"/>
                <w:szCs w:val="15"/>
                <w:color w:val="auto"/>
              </w:rPr>
              <w:t>5,361</w:t>
            </w:r>
          </w:p>
        </w:tc>
        <w:tc>
          <w:tcPr>
            <w:tcW w:w="0" w:type="dxa"/>
            <w:vAlign w:val="bottom"/>
          </w:tcPr>
          <w:p>
            <w:pPr>
              <w:spacing w:after="0"/>
              <w:rPr>
                <w:sz w:val="1"/>
                <w:szCs w:val="1"/>
                <w:color w:val="auto"/>
              </w:rPr>
            </w:pPr>
          </w:p>
        </w:tc>
      </w:tr>
      <w:tr>
        <w:trPr>
          <w:trHeight w:val="149"/>
        </w:trPr>
        <w:tc>
          <w:tcPr>
            <w:tcW w:w="3420" w:type="dxa"/>
            <w:vAlign w:val="bottom"/>
          </w:tcPr>
          <w:p>
            <w:pPr>
              <w:spacing w:after="0" w:line="149" w:lineRule="exact"/>
              <w:rPr>
                <w:sz w:val="20"/>
                <w:szCs w:val="20"/>
                <w:color w:val="auto"/>
              </w:rPr>
            </w:pPr>
            <w:r>
              <w:rPr>
                <w:rFonts w:ascii="Arial" w:cs="Arial" w:eastAsia="Arial" w:hAnsi="Arial"/>
                <w:sz w:val="15"/>
                <w:szCs w:val="15"/>
                <w:color w:val="auto"/>
              </w:rPr>
              <w:t>Change in aggregates product line gross profit</w:t>
            </w:r>
          </w:p>
        </w:tc>
        <w:tc>
          <w:tcPr>
            <w:tcW w:w="540" w:type="dxa"/>
            <w:vAlign w:val="bottom"/>
          </w:tcPr>
          <w:p>
            <w:pPr>
              <w:spacing w:after="0"/>
              <w:rPr>
                <w:sz w:val="12"/>
                <w:szCs w:val="12"/>
                <w:color w:val="auto"/>
              </w:rPr>
            </w:pPr>
          </w:p>
        </w:tc>
        <w:tc>
          <w:tcPr>
            <w:tcW w:w="680" w:type="dxa"/>
            <w:vAlign w:val="bottom"/>
          </w:tcPr>
          <w:p>
            <w:pPr>
              <w:jc w:val="right"/>
              <w:ind w:right="26"/>
              <w:spacing w:after="0" w:line="149" w:lineRule="exact"/>
              <w:rPr>
                <w:sz w:val="20"/>
                <w:szCs w:val="20"/>
                <w:color w:val="auto"/>
              </w:rPr>
            </w:pPr>
            <w:r>
              <w:rPr>
                <w:rFonts w:ascii="Arial" w:cs="Arial" w:eastAsia="Arial" w:hAnsi="Arial"/>
                <w:sz w:val="15"/>
                <w:szCs w:val="15"/>
                <w:b w:val="1"/>
                <w:bCs w:val="1"/>
                <w:color w:val="auto"/>
              </w:rPr>
              <w:t>43,650</w:t>
            </w:r>
          </w:p>
        </w:tc>
        <w:tc>
          <w:tcPr>
            <w:tcW w:w="180" w:type="dxa"/>
            <w:vAlign w:val="bottom"/>
          </w:tcPr>
          <w:p>
            <w:pPr>
              <w:spacing w:after="0"/>
              <w:rPr>
                <w:sz w:val="12"/>
                <w:szCs w:val="12"/>
                <w:color w:val="auto"/>
              </w:rPr>
            </w:pPr>
          </w:p>
        </w:tc>
        <w:tc>
          <w:tcPr>
            <w:tcW w:w="660" w:type="dxa"/>
            <w:vAlign w:val="bottom"/>
          </w:tcPr>
          <w:p>
            <w:pPr>
              <w:jc w:val="right"/>
              <w:ind w:right="6"/>
              <w:spacing w:after="0" w:line="149" w:lineRule="exact"/>
              <w:rPr>
                <w:sz w:val="20"/>
                <w:szCs w:val="20"/>
                <w:color w:val="auto"/>
              </w:rPr>
            </w:pPr>
            <w:r>
              <w:rPr>
                <w:rFonts w:ascii="Arial" w:cs="Arial" w:eastAsia="Arial" w:hAnsi="Arial"/>
                <w:sz w:val="15"/>
                <w:szCs w:val="15"/>
                <w:color w:val="auto"/>
              </w:rPr>
              <w:t>87,630</w:t>
            </w:r>
          </w:p>
        </w:tc>
        <w:tc>
          <w:tcPr>
            <w:tcW w:w="0" w:type="dxa"/>
            <w:vAlign w:val="bottom"/>
          </w:tcPr>
          <w:p>
            <w:pPr>
              <w:spacing w:after="0"/>
              <w:rPr>
                <w:sz w:val="1"/>
                <w:szCs w:val="1"/>
                <w:color w:val="auto"/>
              </w:rPr>
            </w:pPr>
          </w:p>
        </w:tc>
      </w:tr>
      <w:tr>
        <w:trPr>
          <w:trHeight w:val="156"/>
        </w:trPr>
        <w:tc>
          <w:tcPr>
            <w:tcW w:w="342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Cement and downstream operations</w:t>
            </w:r>
          </w:p>
        </w:tc>
        <w:tc>
          <w:tcPr>
            <w:tcW w:w="54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26"/>
              <w:spacing w:after="0" w:line="156" w:lineRule="exact"/>
              <w:rPr>
                <w:sz w:val="20"/>
                <w:szCs w:val="20"/>
                <w:color w:val="auto"/>
              </w:rPr>
            </w:pPr>
            <w:r>
              <w:rPr>
                <w:rFonts w:ascii="Arial" w:cs="Arial" w:eastAsia="Arial" w:hAnsi="Arial"/>
                <w:sz w:val="15"/>
                <w:szCs w:val="15"/>
                <w:b w:val="1"/>
                <w:bCs w:val="1"/>
                <w:color w:val="auto"/>
              </w:rPr>
              <w:t>1,345</w:t>
            </w: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6"/>
              <w:spacing w:after="0" w:line="156" w:lineRule="exact"/>
              <w:rPr>
                <w:sz w:val="20"/>
                <w:szCs w:val="20"/>
                <w:color w:val="auto"/>
              </w:rPr>
            </w:pPr>
            <w:r>
              <w:rPr>
                <w:rFonts w:ascii="Arial" w:cs="Arial" w:eastAsia="Arial" w:hAnsi="Arial"/>
                <w:sz w:val="15"/>
                <w:szCs w:val="15"/>
                <w:color w:val="auto"/>
              </w:rPr>
              <w:t>90,978</w:t>
            </w:r>
          </w:p>
        </w:tc>
        <w:tc>
          <w:tcPr>
            <w:tcW w:w="0" w:type="dxa"/>
            <w:vAlign w:val="bottom"/>
          </w:tcPr>
          <w:p>
            <w:pPr>
              <w:spacing w:after="0"/>
              <w:rPr>
                <w:sz w:val="1"/>
                <w:szCs w:val="1"/>
                <w:color w:val="auto"/>
              </w:rPr>
            </w:pPr>
          </w:p>
        </w:tc>
      </w:tr>
      <w:tr>
        <w:trPr>
          <w:trHeight w:val="156"/>
        </w:trPr>
        <w:tc>
          <w:tcPr>
            <w:tcW w:w="3420" w:type="dxa"/>
            <w:vAlign w:val="bottom"/>
          </w:tcPr>
          <w:p>
            <w:pPr>
              <w:spacing w:after="0" w:line="156" w:lineRule="exact"/>
              <w:rPr>
                <w:sz w:val="20"/>
                <w:szCs w:val="20"/>
                <w:color w:val="auto"/>
              </w:rPr>
            </w:pPr>
            <w:r>
              <w:rPr>
                <w:rFonts w:ascii="Arial" w:cs="Arial" w:eastAsia="Arial" w:hAnsi="Arial"/>
                <w:sz w:val="15"/>
                <w:szCs w:val="15"/>
                <w:color w:val="auto"/>
              </w:rPr>
              <w:t>Magnesia Specialties</w:t>
            </w:r>
          </w:p>
        </w:tc>
        <w:tc>
          <w:tcPr>
            <w:tcW w:w="540" w:type="dxa"/>
            <w:vAlign w:val="bottom"/>
          </w:tcPr>
          <w:p>
            <w:pPr>
              <w:spacing w:after="0"/>
              <w:rPr>
                <w:sz w:val="13"/>
                <w:szCs w:val="13"/>
                <w:color w:val="auto"/>
              </w:rPr>
            </w:pPr>
          </w:p>
        </w:tc>
        <w:tc>
          <w:tcPr>
            <w:tcW w:w="680" w:type="dxa"/>
            <w:vAlign w:val="bottom"/>
          </w:tcPr>
          <w:p>
            <w:pPr>
              <w:jc w:val="right"/>
              <w:spacing w:after="0" w:line="156" w:lineRule="exact"/>
              <w:rPr>
                <w:sz w:val="20"/>
                <w:szCs w:val="20"/>
                <w:color w:val="auto"/>
              </w:rPr>
            </w:pPr>
            <w:r>
              <w:rPr>
                <w:rFonts w:ascii="Arial" w:cs="Arial" w:eastAsia="Arial" w:hAnsi="Arial"/>
                <w:sz w:val="15"/>
                <w:szCs w:val="15"/>
                <w:b w:val="1"/>
                <w:bCs w:val="1"/>
                <w:color w:val="auto"/>
              </w:rPr>
              <w:t>(204)</w:t>
            </w:r>
          </w:p>
        </w:tc>
        <w:tc>
          <w:tcPr>
            <w:tcW w:w="180" w:type="dxa"/>
            <w:vAlign w:val="bottom"/>
          </w:tcPr>
          <w:p>
            <w:pPr>
              <w:spacing w:after="0"/>
              <w:rPr>
                <w:sz w:val="13"/>
                <w:szCs w:val="13"/>
                <w:color w:val="auto"/>
              </w:rPr>
            </w:pPr>
          </w:p>
        </w:tc>
        <w:tc>
          <w:tcPr>
            <w:tcW w:w="660" w:type="dxa"/>
            <w:vAlign w:val="bottom"/>
          </w:tcPr>
          <w:p>
            <w:pPr>
              <w:jc w:val="right"/>
              <w:ind w:right="6"/>
              <w:spacing w:after="0" w:line="156" w:lineRule="exact"/>
              <w:rPr>
                <w:sz w:val="20"/>
                <w:szCs w:val="20"/>
                <w:color w:val="auto"/>
              </w:rPr>
            </w:pPr>
            <w:r>
              <w:rPr>
                <w:rFonts w:ascii="Arial" w:cs="Arial" w:eastAsia="Arial" w:hAnsi="Arial"/>
                <w:sz w:val="15"/>
                <w:szCs w:val="15"/>
                <w:color w:val="auto"/>
              </w:rPr>
              <w:t>10,546</w:t>
            </w:r>
          </w:p>
        </w:tc>
        <w:tc>
          <w:tcPr>
            <w:tcW w:w="0" w:type="dxa"/>
            <w:vAlign w:val="bottom"/>
          </w:tcPr>
          <w:p>
            <w:pPr>
              <w:spacing w:after="0"/>
              <w:rPr>
                <w:sz w:val="1"/>
                <w:szCs w:val="1"/>
                <w:color w:val="auto"/>
              </w:rPr>
            </w:pPr>
          </w:p>
        </w:tc>
      </w:tr>
      <w:tr>
        <w:trPr>
          <w:trHeight w:val="156"/>
        </w:trPr>
        <w:tc>
          <w:tcPr>
            <w:tcW w:w="342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Corporate</w:t>
            </w:r>
          </w:p>
        </w:tc>
        <w:tc>
          <w:tcPr>
            <w:tcW w:w="5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26"/>
              <w:spacing w:after="0" w:line="156" w:lineRule="exact"/>
              <w:rPr>
                <w:sz w:val="20"/>
                <w:szCs w:val="20"/>
                <w:color w:val="auto"/>
              </w:rPr>
            </w:pPr>
            <w:r>
              <w:rPr>
                <w:rFonts w:ascii="Arial" w:cs="Arial" w:eastAsia="Arial" w:hAnsi="Arial"/>
                <w:sz w:val="15"/>
                <w:szCs w:val="15"/>
                <w:b w:val="1"/>
                <w:bCs w:val="1"/>
                <w:color w:val="auto"/>
              </w:rPr>
              <w:t>15,411</w:t>
            </w:r>
          </w:p>
        </w:tc>
        <w:tc>
          <w:tcPr>
            <w:tcW w:w="1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(4,336)</w:t>
            </w:r>
          </w:p>
        </w:tc>
        <w:tc>
          <w:tcPr>
            <w:tcW w:w="0" w:type="dxa"/>
            <w:vAlign w:val="bottom"/>
          </w:tcPr>
          <w:p>
            <w:pPr>
              <w:spacing w:after="0"/>
              <w:rPr>
                <w:sz w:val="1"/>
                <w:szCs w:val="1"/>
                <w:color w:val="auto"/>
              </w:rPr>
            </w:pPr>
          </w:p>
        </w:tc>
      </w:tr>
      <w:tr>
        <w:trPr>
          <w:trHeight w:val="149"/>
        </w:trPr>
        <w:tc>
          <w:tcPr>
            <w:tcW w:w="3420" w:type="dxa"/>
            <w:vAlign w:val="bottom"/>
            <w:tcBorders>
              <w:bottom w:val="single" w:sz="8" w:color="auto"/>
            </w:tcBorders>
          </w:tcPr>
          <w:p>
            <w:pPr>
              <w:spacing w:after="0" w:line="149" w:lineRule="exact"/>
              <w:rPr>
                <w:sz w:val="20"/>
                <w:szCs w:val="20"/>
                <w:color w:val="auto"/>
              </w:rPr>
            </w:pPr>
            <w:r>
              <w:rPr>
                <w:rFonts w:ascii="Arial" w:cs="Arial" w:eastAsia="Arial" w:hAnsi="Arial"/>
                <w:sz w:val="15"/>
                <w:szCs w:val="15"/>
                <w:color w:val="auto"/>
              </w:rPr>
              <w:t>Change in consolidated gross profit</w:t>
            </w:r>
          </w:p>
        </w:tc>
        <w:tc>
          <w:tcPr>
            <w:tcW w:w="5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6"/>
              <w:spacing w:after="0" w:line="149" w:lineRule="exact"/>
              <w:rPr>
                <w:sz w:val="20"/>
                <w:szCs w:val="20"/>
                <w:color w:val="auto"/>
              </w:rPr>
            </w:pPr>
            <w:r>
              <w:rPr>
                <w:rFonts w:ascii="Arial" w:cs="Arial" w:eastAsia="Arial" w:hAnsi="Arial"/>
                <w:sz w:val="15"/>
                <w:szCs w:val="15"/>
                <w:b w:val="1"/>
                <w:bCs w:val="1"/>
                <w:color w:val="auto"/>
              </w:rPr>
              <w:t>60,202</w:t>
            </w: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6"/>
              <w:spacing w:after="0" w:line="149" w:lineRule="exact"/>
              <w:rPr>
                <w:sz w:val="20"/>
                <w:szCs w:val="20"/>
                <w:color w:val="auto"/>
              </w:rPr>
            </w:pPr>
            <w:r>
              <w:rPr>
                <w:rFonts w:ascii="Arial" w:cs="Arial" w:eastAsia="Arial" w:hAnsi="Arial"/>
                <w:sz w:val="15"/>
                <w:szCs w:val="15"/>
                <w:color w:val="auto"/>
              </w:rPr>
              <w:t>184,818</w:t>
            </w:r>
          </w:p>
        </w:tc>
        <w:tc>
          <w:tcPr>
            <w:tcW w:w="0" w:type="dxa"/>
            <w:vAlign w:val="bottom"/>
          </w:tcPr>
          <w:p>
            <w:pPr>
              <w:spacing w:after="0"/>
              <w:rPr>
                <w:sz w:val="1"/>
                <w:szCs w:val="1"/>
                <w:color w:val="auto"/>
              </w:rPr>
            </w:pPr>
          </w:p>
        </w:tc>
      </w:tr>
      <w:tr>
        <w:trPr>
          <w:trHeight w:val="155"/>
        </w:trPr>
        <w:tc>
          <w:tcPr>
            <w:tcW w:w="342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5"/>
                <w:szCs w:val="15"/>
                <w:color w:val="auto"/>
              </w:rPr>
              <w:t>Consolidated gross profit, current year</w:t>
            </w: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680" w:type="dxa"/>
            <w:vAlign w:val="bottom"/>
            <w:tcBorders>
              <w:bottom w:val="single" w:sz="8" w:color="auto"/>
            </w:tcBorders>
            <w:shd w:val="clear" w:color="auto" w:fill="CCEEFF"/>
          </w:tcPr>
          <w:p>
            <w:pPr>
              <w:jc w:val="right"/>
              <w:ind w:right="26"/>
              <w:spacing w:after="0" w:line="149" w:lineRule="exact"/>
              <w:rPr>
                <w:sz w:val="20"/>
                <w:szCs w:val="20"/>
                <w:color w:val="auto"/>
              </w:rPr>
            </w:pPr>
            <w:r>
              <w:rPr>
                <w:rFonts w:ascii="Arial" w:cs="Arial" w:eastAsia="Arial" w:hAnsi="Arial"/>
                <w:sz w:val="15"/>
                <w:szCs w:val="15"/>
                <w:b w:val="1"/>
                <w:bCs w:val="1"/>
                <w:color w:val="auto"/>
              </w:rPr>
              <w:t>971,940</w:t>
            </w:r>
          </w:p>
        </w:tc>
        <w:tc>
          <w:tcPr>
            <w:tcW w:w="1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shd w:val="clear" w:color="auto" w:fill="CCEEFF"/>
          </w:tcPr>
          <w:p>
            <w:pPr>
              <w:jc w:val="right"/>
              <w:ind w:right="6"/>
              <w:spacing w:after="0" w:line="149" w:lineRule="exact"/>
              <w:rPr>
                <w:sz w:val="20"/>
                <w:szCs w:val="20"/>
                <w:color w:val="auto"/>
              </w:rPr>
            </w:pPr>
            <w:r>
              <w:rPr>
                <w:rFonts w:ascii="Arial" w:cs="Arial" w:eastAsia="Arial" w:hAnsi="Arial"/>
                <w:sz w:val="15"/>
                <w:szCs w:val="15"/>
                <w:color w:val="auto"/>
              </w:rPr>
              <w:t>911,738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The growth in gross profit in 2017 and 2016, both as compared with the prior year, reflects pricing strength and disciplined cost management, led by the aggregates product line. The improvement in the cement and downstream operations gross profit in 2016 is due to acquisitions, positive market dynamics, operational improvements and refunds/rebates from electrical providers. The increase in Magnesia Specialties gross profit in 2016 is attributable to increased chemical sales, a decline in natural gas pricing and effective cost control.</w:t>
      </w:r>
    </w:p>
    <w:p>
      <w:pPr>
        <w:spacing w:after="0" w:line="195"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The change in internal freight costs from 2015 to 2016 reflects increased shipments by rail to distribution yards, coupled with increased costs from rail service providers.</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6"/>
          <w:szCs w:val="16"/>
          <w:color w:val="auto"/>
        </w:rPr>
        <w:t>Corporate gross profit (loss) includes depreciation on capitalized interest, unallocated operational expenses excluded from the Company’s evaluation of business segment performance and intercompany royalty and rental revenue and expenses. For 2016, the amount includes the negative variance between the contractual rate in the diesel fuel fixed-price agreement and the spot rate. The 2017 increase in gross profit is primarily attributable to the absence of the unfavorable diesel fuel contract in place in 2016 and 2015.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color w:val="auto"/>
        </w:rPr>
        <w:t>Gross profit (loss) by reportable segment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600" w:type="dxa"/>
            <w:vAlign w:val="bottom"/>
          </w:tcPr>
          <w:p>
            <w:pPr>
              <w:spacing w:after="0"/>
              <w:rPr>
                <w:sz w:val="20"/>
                <w:szCs w:val="20"/>
                <w:color w:val="auto"/>
              </w:rPr>
            </w:pPr>
            <w:r>
              <w:rPr>
                <w:rFonts w:ascii="Arial" w:cs="Arial" w:eastAsia="Arial" w:hAnsi="Arial"/>
                <w:sz w:val="15"/>
                <w:szCs w:val="15"/>
                <w:i w:val="1"/>
                <w:iCs w:val="1"/>
                <w:color w:val="auto"/>
              </w:rPr>
              <w:t>years ended December 31</w:t>
            </w:r>
          </w:p>
        </w:tc>
        <w:tc>
          <w:tcPr>
            <w:tcW w:w="60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5"/>
                <w:szCs w:val="15"/>
                <w:b w:val="1"/>
                <w:bCs w:val="1"/>
                <w:color w:val="0085CD"/>
              </w:rPr>
              <w:t>2017</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600" w:type="dxa"/>
            <w:vAlign w:val="bottom"/>
            <w:tcBorders>
              <w:bottom w:val="single" w:sz="8" w:color="auto"/>
            </w:tcBorders>
          </w:tcPr>
          <w:p>
            <w:pPr>
              <w:spacing w:after="0" w:line="159" w:lineRule="exact"/>
              <w:rPr>
                <w:sz w:val="20"/>
                <w:szCs w:val="20"/>
                <w:color w:val="auto"/>
              </w:rPr>
            </w:pPr>
            <w:r>
              <w:rPr>
                <w:rFonts w:ascii="Arial" w:cs="Arial" w:eastAsia="Arial" w:hAnsi="Arial"/>
                <w:sz w:val="15"/>
                <w:szCs w:val="15"/>
                <w:color w:val="auto"/>
              </w:rPr>
              <w:t>(add 000)</w:t>
            </w:r>
          </w:p>
        </w:tc>
        <w:tc>
          <w:tcPr>
            <w:tcW w:w="6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2"/>
          </w:tcPr>
          <w:p>
            <w:pPr>
              <w:jc w:val="right"/>
              <w:ind w:right="26"/>
              <w:spacing w:after="0" w:line="159" w:lineRule="exact"/>
              <w:rPr>
                <w:sz w:val="20"/>
                <w:szCs w:val="20"/>
                <w:color w:val="auto"/>
              </w:rPr>
            </w:pPr>
            <w:r>
              <w:rPr>
                <w:rFonts w:ascii="Arial" w:cs="Arial" w:eastAsia="Arial" w:hAnsi="Arial"/>
                <w:sz w:val="15"/>
                <w:szCs w:val="15"/>
                <w:color w:val="auto"/>
              </w:rPr>
              <w:t>2016</w:t>
            </w:r>
          </w:p>
        </w:tc>
        <w:tc>
          <w:tcPr>
            <w:tcW w:w="2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6"/>
              <w:spacing w:after="0" w:line="159" w:lineRule="exact"/>
              <w:rPr>
                <w:sz w:val="20"/>
                <w:szCs w:val="20"/>
                <w:color w:val="auto"/>
              </w:rPr>
            </w:pPr>
            <w:r>
              <w:rPr>
                <w:rFonts w:ascii="Arial" w:cs="Arial" w:eastAsia="Arial" w:hAnsi="Arial"/>
                <w:sz w:val="15"/>
                <w:szCs w:val="15"/>
                <w:color w:val="auto"/>
              </w:rPr>
              <w:t>2015</w:t>
            </w:r>
          </w:p>
        </w:tc>
        <w:tc>
          <w:tcPr>
            <w:tcW w:w="0" w:type="dxa"/>
            <w:vAlign w:val="bottom"/>
          </w:tcPr>
          <w:p>
            <w:pPr>
              <w:spacing w:after="0"/>
              <w:rPr>
                <w:sz w:val="1"/>
                <w:szCs w:val="1"/>
                <w:color w:val="auto"/>
              </w:rPr>
            </w:pPr>
          </w:p>
        </w:tc>
      </w:tr>
      <w:tr>
        <w:trPr>
          <w:trHeight w:val="149"/>
        </w:trPr>
        <w:tc>
          <w:tcPr>
            <w:tcW w:w="260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Building Materials Business:</w:t>
            </w:r>
          </w:p>
        </w:tc>
        <w:tc>
          <w:tcPr>
            <w:tcW w:w="6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600" w:type="dxa"/>
            <w:vAlign w:val="bottom"/>
          </w:tcPr>
          <w:p>
            <w:pPr>
              <w:ind w:left="140"/>
              <w:spacing w:after="0" w:line="156" w:lineRule="exact"/>
              <w:rPr>
                <w:sz w:val="20"/>
                <w:szCs w:val="20"/>
                <w:color w:val="auto"/>
              </w:rPr>
            </w:pPr>
            <w:r>
              <w:rPr>
                <w:rFonts w:ascii="Arial" w:cs="Arial" w:eastAsia="Arial" w:hAnsi="Arial"/>
                <w:sz w:val="15"/>
                <w:szCs w:val="15"/>
                <w:color w:val="auto"/>
              </w:rPr>
              <w:t>Mid-America Group</w:t>
            </w:r>
          </w:p>
        </w:tc>
        <w:tc>
          <w:tcPr>
            <w:tcW w:w="600" w:type="dxa"/>
            <w:vAlign w:val="bottom"/>
          </w:tcPr>
          <w:p>
            <w:pPr>
              <w:jc w:val="right"/>
              <w:spacing w:after="0" w:line="156" w:lineRule="exact"/>
              <w:rPr>
                <w:sz w:val="20"/>
                <w:szCs w:val="20"/>
                <w:color w:val="auto"/>
              </w:rPr>
            </w:pPr>
            <w:r>
              <w:rPr>
                <w:rFonts w:ascii="Arial" w:cs="Arial" w:eastAsia="Arial" w:hAnsi="Arial"/>
                <w:sz w:val="15"/>
                <w:szCs w:val="15"/>
                <w:b w:val="1"/>
                <w:bCs w:val="1"/>
                <w:color w:val="auto"/>
              </w:rPr>
              <w:t>$</w:t>
            </w:r>
          </w:p>
        </w:tc>
        <w:tc>
          <w:tcPr>
            <w:tcW w:w="640" w:type="dxa"/>
            <w:vAlign w:val="bottom"/>
          </w:tcPr>
          <w:p>
            <w:pPr>
              <w:jc w:val="right"/>
              <w:spacing w:after="0" w:line="156" w:lineRule="exact"/>
              <w:rPr>
                <w:sz w:val="20"/>
                <w:szCs w:val="20"/>
                <w:color w:val="auto"/>
              </w:rPr>
            </w:pPr>
            <w:r>
              <w:rPr>
                <w:rFonts w:ascii="Arial" w:cs="Arial" w:eastAsia="Arial" w:hAnsi="Arial"/>
                <w:sz w:val="15"/>
                <w:szCs w:val="15"/>
                <w:b w:val="1"/>
                <w:bCs w:val="1"/>
                <w:color w:val="auto"/>
              </w:rPr>
              <w:t>335,394</w:t>
            </w:r>
          </w:p>
        </w:tc>
        <w:tc>
          <w:tcPr>
            <w:tcW w:w="220" w:type="dxa"/>
            <w:vAlign w:val="bottom"/>
          </w:tcPr>
          <w:p>
            <w:pPr>
              <w:jc w:val="right"/>
              <w:spacing w:after="0" w:line="156" w:lineRule="exact"/>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26"/>
              <w:spacing w:after="0" w:line="156" w:lineRule="exact"/>
              <w:rPr>
                <w:sz w:val="20"/>
                <w:szCs w:val="20"/>
                <w:color w:val="auto"/>
              </w:rPr>
            </w:pPr>
            <w:r>
              <w:rPr>
                <w:rFonts w:ascii="Arial" w:cs="Arial" w:eastAsia="Arial" w:hAnsi="Arial"/>
                <w:sz w:val="15"/>
                <w:szCs w:val="15"/>
                <w:color w:val="auto"/>
              </w:rPr>
              <w:t>306,560</w:t>
            </w:r>
          </w:p>
        </w:tc>
        <w:tc>
          <w:tcPr>
            <w:tcW w:w="220" w:type="dxa"/>
            <w:vAlign w:val="bottom"/>
          </w:tcPr>
          <w:p>
            <w:pPr>
              <w:jc w:val="right"/>
              <w:ind w:right="26"/>
              <w:spacing w:after="0" w:line="156" w:lineRule="exact"/>
              <w:rPr>
                <w:sz w:val="20"/>
                <w:szCs w:val="20"/>
                <w:color w:val="auto"/>
              </w:rPr>
            </w:pPr>
            <w:r>
              <w:rPr>
                <w:rFonts w:ascii="Arial" w:cs="Arial" w:eastAsia="Arial" w:hAnsi="Arial"/>
                <w:sz w:val="15"/>
                <w:szCs w:val="15"/>
                <w:color w:val="auto"/>
              </w:rPr>
              <w:t>$</w:t>
            </w:r>
          </w:p>
        </w:tc>
        <w:tc>
          <w:tcPr>
            <w:tcW w:w="620" w:type="dxa"/>
            <w:vAlign w:val="bottom"/>
          </w:tcPr>
          <w:p>
            <w:pPr>
              <w:jc w:val="right"/>
              <w:ind w:right="6"/>
              <w:spacing w:after="0" w:line="156" w:lineRule="exact"/>
              <w:rPr>
                <w:sz w:val="20"/>
                <w:szCs w:val="20"/>
                <w:color w:val="auto"/>
              </w:rPr>
            </w:pPr>
            <w:r>
              <w:rPr>
                <w:rFonts w:ascii="Arial" w:cs="Arial" w:eastAsia="Arial" w:hAnsi="Arial"/>
                <w:sz w:val="15"/>
                <w:szCs w:val="15"/>
                <w:color w:val="auto"/>
                <w:w w:val="95"/>
              </w:rPr>
              <w:t>257,002</w:t>
            </w:r>
          </w:p>
        </w:tc>
        <w:tc>
          <w:tcPr>
            <w:tcW w:w="0" w:type="dxa"/>
            <w:vAlign w:val="bottom"/>
          </w:tcPr>
          <w:p>
            <w:pPr>
              <w:spacing w:after="0"/>
              <w:rPr>
                <w:sz w:val="1"/>
                <w:szCs w:val="1"/>
                <w:color w:val="auto"/>
              </w:rPr>
            </w:pPr>
          </w:p>
        </w:tc>
      </w:tr>
      <w:tr>
        <w:trPr>
          <w:trHeight w:val="156"/>
        </w:trPr>
        <w:tc>
          <w:tcPr>
            <w:tcW w:w="2600" w:type="dxa"/>
            <w:vAlign w:val="bottom"/>
            <w:shd w:val="clear" w:color="auto" w:fill="CCEEFF"/>
          </w:tcPr>
          <w:p>
            <w:pPr>
              <w:ind w:left="140"/>
              <w:spacing w:after="0" w:line="156" w:lineRule="exact"/>
              <w:rPr>
                <w:sz w:val="20"/>
                <w:szCs w:val="20"/>
                <w:color w:val="auto"/>
              </w:rPr>
            </w:pPr>
            <w:r>
              <w:rPr>
                <w:rFonts w:ascii="Arial" w:cs="Arial" w:eastAsia="Arial" w:hAnsi="Arial"/>
                <w:sz w:val="15"/>
                <w:szCs w:val="15"/>
                <w:color w:val="auto"/>
              </w:rPr>
              <w:t>Southeast Group</w:t>
            </w:r>
          </w:p>
        </w:tc>
        <w:tc>
          <w:tcPr>
            <w:tcW w:w="6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rPr>
              <w:t>74,642</w:t>
            </w:r>
          </w:p>
        </w:tc>
        <w:tc>
          <w:tcPr>
            <w:tcW w:w="2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6"/>
              <w:spacing w:after="0" w:line="156" w:lineRule="exact"/>
              <w:rPr>
                <w:sz w:val="20"/>
                <w:szCs w:val="20"/>
                <w:color w:val="auto"/>
              </w:rPr>
            </w:pPr>
            <w:r>
              <w:rPr>
                <w:rFonts w:ascii="Arial" w:cs="Arial" w:eastAsia="Arial" w:hAnsi="Arial"/>
                <w:sz w:val="15"/>
                <w:szCs w:val="15"/>
                <w:color w:val="auto"/>
              </w:rPr>
              <w:t>57,286</w:t>
            </w:r>
          </w:p>
        </w:tc>
        <w:tc>
          <w:tcPr>
            <w:tcW w:w="22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6"/>
              <w:spacing w:after="0" w:line="156" w:lineRule="exact"/>
              <w:rPr>
                <w:sz w:val="20"/>
                <w:szCs w:val="20"/>
                <w:color w:val="auto"/>
              </w:rPr>
            </w:pPr>
            <w:r>
              <w:rPr>
                <w:rFonts w:ascii="Arial" w:cs="Arial" w:eastAsia="Arial" w:hAnsi="Arial"/>
                <w:sz w:val="15"/>
                <w:szCs w:val="15"/>
                <w:color w:val="auto"/>
              </w:rPr>
              <w:t>34,359</w:t>
            </w:r>
          </w:p>
        </w:tc>
        <w:tc>
          <w:tcPr>
            <w:tcW w:w="0" w:type="dxa"/>
            <w:vAlign w:val="bottom"/>
          </w:tcPr>
          <w:p>
            <w:pPr>
              <w:spacing w:after="0"/>
              <w:rPr>
                <w:sz w:val="1"/>
                <w:szCs w:val="1"/>
                <w:color w:val="auto"/>
              </w:rPr>
            </w:pPr>
          </w:p>
        </w:tc>
      </w:tr>
      <w:tr>
        <w:trPr>
          <w:trHeight w:val="156"/>
        </w:trPr>
        <w:tc>
          <w:tcPr>
            <w:tcW w:w="2600" w:type="dxa"/>
            <w:vAlign w:val="bottom"/>
            <w:tcBorders>
              <w:bottom w:val="single" w:sz="8" w:color="auto"/>
            </w:tcBorders>
          </w:tcPr>
          <w:p>
            <w:pPr>
              <w:ind w:left="140"/>
              <w:spacing w:after="0" w:line="156" w:lineRule="exact"/>
              <w:rPr>
                <w:sz w:val="20"/>
                <w:szCs w:val="20"/>
                <w:color w:val="auto"/>
              </w:rPr>
            </w:pPr>
            <w:r>
              <w:rPr>
                <w:rFonts w:ascii="Arial" w:cs="Arial" w:eastAsia="Arial" w:hAnsi="Arial"/>
                <w:sz w:val="15"/>
                <w:szCs w:val="15"/>
                <w:color w:val="auto"/>
              </w:rPr>
              <w:t>West Group</w:t>
            </w:r>
          </w:p>
        </w:tc>
        <w:tc>
          <w:tcPr>
            <w:tcW w:w="6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b w:val="1"/>
                <w:bCs w:val="1"/>
                <w:color w:val="auto"/>
              </w:rPr>
              <w:t>465,595</w:t>
            </w: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2"/>
          </w:tcPr>
          <w:p>
            <w:pPr>
              <w:jc w:val="right"/>
              <w:ind w:right="26"/>
              <w:spacing w:after="0" w:line="156" w:lineRule="exact"/>
              <w:rPr>
                <w:sz w:val="20"/>
                <w:szCs w:val="20"/>
                <w:color w:val="auto"/>
              </w:rPr>
            </w:pPr>
            <w:r>
              <w:rPr>
                <w:rFonts w:ascii="Arial" w:cs="Arial" w:eastAsia="Arial" w:hAnsi="Arial"/>
                <w:sz w:val="15"/>
                <w:szCs w:val="15"/>
                <w:color w:val="auto"/>
              </w:rPr>
              <w:t>466,790</w:t>
            </w:r>
          </w:p>
        </w:tc>
        <w:tc>
          <w:tcPr>
            <w:tcW w:w="2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6"/>
              <w:spacing w:after="0" w:line="156" w:lineRule="exact"/>
              <w:rPr>
                <w:sz w:val="20"/>
                <w:szCs w:val="20"/>
                <w:color w:val="auto"/>
              </w:rPr>
            </w:pPr>
            <w:r>
              <w:rPr>
                <w:rFonts w:ascii="Arial" w:cs="Arial" w:eastAsia="Arial" w:hAnsi="Arial"/>
                <w:sz w:val="15"/>
                <w:szCs w:val="15"/>
                <w:color w:val="auto"/>
                <w:w w:val="95"/>
              </w:rPr>
              <w:t>360,667</w:t>
            </w:r>
          </w:p>
        </w:tc>
        <w:tc>
          <w:tcPr>
            <w:tcW w:w="0" w:type="dxa"/>
            <w:vAlign w:val="bottom"/>
          </w:tcPr>
          <w:p>
            <w:pPr>
              <w:spacing w:after="0"/>
              <w:rPr>
                <w:sz w:val="1"/>
                <w:szCs w:val="1"/>
                <w:color w:val="auto"/>
              </w:rPr>
            </w:pPr>
          </w:p>
        </w:tc>
      </w:tr>
      <w:tr>
        <w:trPr>
          <w:trHeight w:val="149"/>
        </w:trPr>
        <w:tc>
          <w:tcPr>
            <w:tcW w:w="260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Total Building Materials Business</w:t>
            </w:r>
          </w:p>
        </w:tc>
        <w:tc>
          <w:tcPr>
            <w:tcW w:w="6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b w:val="1"/>
                <w:bCs w:val="1"/>
                <w:color w:val="auto"/>
              </w:rPr>
              <w:t>875,631</w:t>
            </w:r>
          </w:p>
        </w:tc>
        <w:tc>
          <w:tcPr>
            <w:tcW w:w="2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6"/>
              <w:spacing w:after="0" w:line="149" w:lineRule="exact"/>
              <w:rPr>
                <w:sz w:val="20"/>
                <w:szCs w:val="20"/>
                <w:color w:val="auto"/>
              </w:rPr>
            </w:pPr>
            <w:r>
              <w:rPr>
                <w:rFonts w:ascii="Arial" w:cs="Arial" w:eastAsia="Arial" w:hAnsi="Arial"/>
                <w:sz w:val="15"/>
                <w:szCs w:val="15"/>
                <w:color w:val="auto"/>
              </w:rPr>
              <w:t>830,636</w:t>
            </w: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6"/>
              <w:spacing w:after="0" w:line="149" w:lineRule="exact"/>
              <w:rPr>
                <w:sz w:val="20"/>
                <w:szCs w:val="20"/>
                <w:color w:val="auto"/>
              </w:rPr>
            </w:pPr>
            <w:r>
              <w:rPr>
                <w:rFonts w:ascii="Arial" w:cs="Arial" w:eastAsia="Arial" w:hAnsi="Arial"/>
                <w:sz w:val="15"/>
                <w:szCs w:val="15"/>
                <w:color w:val="auto"/>
                <w:w w:val="95"/>
              </w:rPr>
              <w:t>652,028</w:t>
            </w:r>
          </w:p>
        </w:tc>
        <w:tc>
          <w:tcPr>
            <w:tcW w:w="0" w:type="dxa"/>
            <w:vAlign w:val="bottom"/>
          </w:tcPr>
          <w:p>
            <w:pPr>
              <w:spacing w:after="0"/>
              <w:rPr>
                <w:sz w:val="1"/>
                <w:szCs w:val="1"/>
                <w:color w:val="auto"/>
              </w:rPr>
            </w:pPr>
          </w:p>
        </w:tc>
      </w:tr>
      <w:tr>
        <w:trPr>
          <w:trHeight w:val="156"/>
        </w:trPr>
        <w:tc>
          <w:tcPr>
            <w:tcW w:w="2600" w:type="dxa"/>
            <w:vAlign w:val="bottom"/>
          </w:tcPr>
          <w:p>
            <w:pPr>
              <w:ind w:left="140"/>
              <w:spacing w:after="0" w:line="156" w:lineRule="exact"/>
              <w:rPr>
                <w:sz w:val="20"/>
                <w:szCs w:val="20"/>
                <w:color w:val="auto"/>
              </w:rPr>
            </w:pPr>
            <w:r>
              <w:rPr>
                <w:rFonts w:ascii="Arial" w:cs="Arial" w:eastAsia="Arial" w:hAnsi="Arial"/>
                <w:sz w:val="15"/>
                <w:szCs w:val="15"/>
                <w:color w:val="auto"/>
              </w:rPr>
              <w:t>Magnesia Specialties</w:t>
            </w:r>
          </w:p>
        </w:tc>
        <w:tc>
          <w:tcPr>
            <w:tcW w:w="600" w:type="dxa"/>
            <w:vAlign w:val="bottom"/>
          </w:tcPr>
          <w:p>
            <w:pPr>
              <w:spacing w:after="0"/>
              <w:rPr>
                <w:sz w:val="13"/>
                <w:szCs w:val="13"/>
                <w:color w:val="auto"/>
              </w:rPr>
            </w:pPr>
          </w:p>
        </w:tc>
        <w:tc>
          <w:tcPr>
            <w:tcW w:w="640" w:type="dxa"/>
            <w:vAlign w:val="bottom"/>
          </w:tcPr>
          <w:p>
            <w:pPr>
              <w:jc w:val="right"/>
              <w:spacing w:after="0" w:line="156" w:lineRule="exact"/>
              <w:rPr>
                <w:sz w:val="20"/>
                <w:szCs w:val="20"/>
                <w:color w:val="auto"/>
              </w:rPr>
            </w:pPr>
            <w:r>
              <w:rPr>
                <w:rFonts w:ascii="Arial" w:cs="Arial" w:eastAsia="Arial" w:hAnsi="Arial"/>
                <w:sz w:val="15"/>
                <w:szCs w:val="15"/>
                <w:b w:val="1"/>
                <w:bCs w:val="1"/>
                <w:color w:val="auto"/>
              </w:rPr>
              <w:t>89,399</w:t>
            </w:r>
          </w:p>
        </w:tc>
        <w:tc>
          <w:tcPr>
            <w:tcW w:w="220" w:type="dxa"/>
            <w:vAlign w:val="bottom"/>
          </w:tcPr>
          <w:p>
            <w:pPr>
              <w:spacing w:after="0"/>
              <w:rPr>
                <w:sz w:val="13"/>
                <w:szCs w:val="13"/>
                <w:color w:val="auto"/>
              </w:rPr>
            </w:pPr>
          </w:p>
        </w:tc>
        <w:tc>
          <w:tcPr>
            <w:tcW w:w="680" w:type="dxa"/>
            <w:vAlign w:val="bottom"/>
            <w:gridSpan w:val="2"/>
          </w:tcPr>
          <w:p>
            <w:pPr>
              <w:jc w:val="right"/>
              <w:ind w:right="26"/>
              <w:spacing w:after="0" w:line="156" w:lineRule="exact"/>
              <w:rPr>
                <w:sz w:val="20"/>
                <w:szCs w:val="20"/>
                <w:color w:val="auto"/>
              </w:rPr>
            </w:pPr>
            <w:r>
              <w:rPr>
                <w:rFonts w:ascii="Arial" w:cs="Arial" w:eastAsia="Arial" w:hAnsi="Arial"/>
                <w:sz w:val="15"/>
                <w:szCs w:val="15"/>
                <w:color w:val="auto"/>
              </w:rPr>
              <w:t>89,603</w:t>
            </w:r>
          </w:p>
        </w:tc>
        <w:tc>
          <w:tcPr>
            <w:tcW w:w="220" w:type="dxa"/>
            <w:vAlign w:val="bottom"/>
          </w:tcPr>
          <w:p>
            <w:pPr>
              <w:spacing w:after="0"/>
              <w:rPr>
                <w:sz w:val="13"/>
                <w:szCs w:val="13"/>
                <w:color w:val="auto"/>
              </w:rPr>
            </w:pPr>
          </w:p>
        </w:tc>
        <w:tc>
          <w:tcPr>
            <w:tcW w:w="620" w:type="dxa"/>
            <w:vAlign w:val="bottom"/>
          </w:tcPr>
          <w:p>
            <w:pPr>
              <w:jc w:val="right"/>
              <w:ind w:right="6"/>
              <w:spacing w:after="0" w:line="156" w:lineRule="exact"/>
              <w:rPr>
                <w:sz w:val="20"/>
                <w:szCs w:val="20"/>
                <w:color w:val="auto"/>
              </w:rPr>
            </w:pPr>
            <w:r>
              <w:rPr>
                <w:rFonts w:ascii="Arial" w:cs="Arial" w:eastAsia="Arial" w:hAnsi="Arial"/>
                <w:sz w:val="15"/>
                <w:szCs w:val="15"/>
                <w:color w:val="auto"/>
              </w:rPr>
              <w:t>79,057</w:t>
            </w:r>
          </w:p>
        </w:tc>
        <w:tc>
          <w:tcPr>
            <w:tcW w:w="0" w:type="dxa"/>
            <w:vAlign w:val="bottom"/>
          </w:tcPr>
          <w:p>
            <w:pPr>
              <w:spacing w:after="0"/>
              <w:rPr>
                <w:sz w:val="1"/>
                <w:szCs w:val="1"/>
                <w:color w:val="auto"/>
              </w:rPr>
            </w:pPr>
          </w:p>
        </w:tc>
      </w:tr>
      <w:tr>
        <w:trPr>
          <w:trHeight w:val="156"/>
        </w:trPr>
        <w:tc>
          <w:tcPr>
            <w:tcW w:w="2600" w:type="dxa"/>
            <w:vAlign w:val="bottom"/>
            <w:tcBorders>
              <w:bottom w:val="single" w:sz="8" w:color="auto"/>
            </w:tcBorders>
            <w:shd w:val="clear" w:color="auto" w:fill="CCEEFF"/>
          </w:tcPr>
          <w:p>
            <w:pPr>
              <w:ind w:left="140"/>
              <w:spacing w:after="0" w:line="156" w:lineRule="exact"/>
              <w:rPr>
                <w:sz w:val="20"/>
                <w:szCs w:val="20"/>
                <w:color w:val="auto"/>
              </w:rPr>
            </w:pPr>
            <w:r>
              <w:rPr>
                <w:rFonts w:ascii="Arial" w:cs="Arial" w:eastAsia="Arial" w:hAnsi="Arial"/>
                <w:sz w:val="15"/>
                <w:szCs w:val="15"/>
                <w:color w:val="auto"/>
              </w:rPr>
              <w:t>Corporate</w:t>
            </w:r>
          </w:p>
        </w:tc>
        <w:tc>
          <w:tcPr>
            <w:tcW w:w="60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rPr>
              <w:t>6,910</w:t>
            </w:r>
          </w:p>
        </w:tc>
        <w:tc>
          <w:tcPr>
            <w:tcW w:w="22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gridSpan w:val="2"/>
            <w:shd w:val="clear" w:color="auto" w:fill="CCEEFF"/>
          </w:tcPr>
          <w:p>
            <w:pPr>
              <w:jc w:val="right"/>
              <w:spacing w:after="0" w:line="156" w:lineRule="exact"/>
              <w:rPr>
                <w:sz w:val="20"/>
                <w:szCs w:val="20"/>
                <w:color w:val="auto"/>
              </w:rPr>
            </w:pPr>
            <w:r>
              <w:rPr>
                <w:rFonts w:ascii="Arial" w:cs="Arial" w:eastAsia="Arial" w:hAnsi="Arial"/>
                <w:sz w:val="15"/>
                <w:szCs w:val="15"/>
                <w:color w:val="auto"/>
              </w:rPr>
              <w:t>(8,501)</w:t>
            </w:r>
          </w:p>
        </w:tc>
        <w:tc>
          <w:tcPr>
            <w:tcW w:w="22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(4,165)</w:t>
            </w:r>
          </w:p>
        </w:tc>
        <w:tc>
          <w:tcPr>
            <w:tcW w:w="0" w:type="dxa"/>
            <w:vAlign w:val="bottom"/>
          </w:tcPr>
          <w:p>
            <w:pPr>
              <w:spacing w:after="0"/>
              <w:rPr>
                <w:sz w:val="1"/>
                <w:szCs w:val="1"/>
                <w:color w:val="auto"/>
              </w:rPr>
            </w:pPr>
          </w:p>
        </w:tc>
      </w:tr>
      <w:tr>
        <w:trPr>
          <w:trHeight w:val="155"/>
        </w:trPr>
        <w:tc>
          <w:tcPr>
            <w:tcW w:w="2600" w:type="dxa"/>
            <w:vAlign w:val="bottom"/>
            <w:tcBorders>
              <w:bottom w:val="single" w:sz="8" w:color="auto"/>
            </w:tcBorders>
          </w:tcPr>
          <w:p>
            <w:pPr>
              <w:spacing w:after="0" w:line="149" w:lineRule="exact"/>
              <w:rPr>
                <w:sz w:val="20"/>
                <w:szCs w:val="20"/>
                <w:color w:val="auto"/>
              </w:rPr>
            </w:pPr>
            <w:r>
              <w:rPr>
                <w:rFonts w:ascii="Arial" w:cs="Arial" w:eastAsia="Arial" w:hAnsi="Arial"/>
                <w:sz w:val="15"/>
                <w:szCs w:val="15"/>
                <w:color w:val="auto"/>
              </w:rPr>
              <w:t>Total Consolidated Gross Profit</w:t>
            </w: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b w:val="1"/>
                <w:bCs w:val="1"/>
                <w:color w:val="auto"/>
              </w:rPr>
              <w:t>$</w:t>
            </w: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b w:val="1"/>
                <w:bCs w:val="1"/>
                <w:color w:val="auto"/>
              </w:rPr>
              <w:t>971,940</w:t>
            </w:r>
          </w:p>
        </w:tc>
        <w:tc>
          <w:tcPr>
            <w:tcW w:w="2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color w:val="auto"/>
              </w:rPr>
              <w:t>$</w:t>
            </w:r>
          </w:p>
        </w:tc>
        <w:tc>
          <w:tcPr>
            <w:tcW w:w="680" w:type="dxa"/>
            <w:vAlign w:val="bottom"/>
            <w:tcBorders>
              <w:bottom w:val="single" w:sz="8" w:color="auto"/>
            </w:tcBorders>
            <w:gridSpan w:val="2"/>
          </w:tcPr>
          <w:p>
            <w:pPr>
              <w:jc w:val="right"/>
              <w:ind w:right="26"/>
              <w:spacing w:after="0" w:line="149" w:lineRule="exact"/>
              <w:rPr>
                <w:sz w:val="20"/>
                <w:szCs w:val="20"/>
                <w:color w:val="auto"/>
              </w:rPr>
            </w:pPr>
            <w:r>
              <w:rPr>
                <w:rFonts w:ascii="Arial" w:cs="Arial" w:eastAsia="Arial" w:hAnsi="Arial"/>
                <w:sz w:val="15"/>
                <w:szCs w:val="15"/>
                <w:color w:val="auto"/>
              </w:rPr>
              <w:t>911,738</w:t>
            </w:r>
          </w:p>
        </w:tc>
        <w:tc>
          <w:tcPr>
            <w:tcW w:w="220" w:type="dxa"/>
            <w:vAlign w:val="bottom"/>
            <w:tcBorders>
              <w:bottom w:val="single" w:sz="8" w:color="auto"/>
            </w:tcBorders>
          </w:tcPr>
          <w:p>
            <w:pPr>
              <w:jc w:val="right"/>
              <w:ind w:right="26"/>
              <w:spacing w:after="0" w:line="149" w:lineRule="exact"/>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tcPr>
          <w:p>
            <w:pPr>
              <w:jc w:val="right"/>
              <w:ind w:right="6"/>
              <w:spacing w:after="0" w:line="149" w:lineRule="exact"/>
              <w:rPr>
                <w:sz w:val="20"/>
                <w:szCs w:val="20"/>
                <w:color w:val="auto"/>
              </w:rPr>
            </w:pPr>
            <w:r>
              <w:rPr>
                <w:rFonts w:ascii="Arial" w:cs="Arial" w:eastAsia="Arial" w:hAnsi="Arial"/>
                <w:sz w:val="15"/>
                <w:szCs w:val="15"/>
                <w:color w:val="auto"/>
                <w:w w:val="95"/>
              </w:rPr>
              <w:t>726,920</w:t>
            </w:r>
          </w:p>
        </w:tc>
        <w:tc>
          <w:tcPr>
            <w:tcW w:w="0" w:type="dxa"/>
            <w:vAlign w:val="bottom"/>
          </w:tcPr>
          <w:p>
            <w:pPr>
              <w:spacing w:after="0"/>
              <w:rPr>
                <w:sz w:val="1"/>
                <w:szCs w:val="1"/>
                <w:color w:val="auto"/>
              </w:rPr>
            </w:pPr>
          </w:p>
        </w:tc>
      </w:tr>
      <w:tr>
        <w:trPr>
          <w:trHeight w:val="398"/>
        </w:trPr>
        <w:tc>
          <w:tcPr>
            <w:tcW w:w="3840" w:type="dxa"/>
            <w:vAlign w:val="bottom"/>
            <w:gridSpan w:val="3"/>
          </w:tcPr>
          <w:p>
            <w:pPr>
              <w:spacing w:after="0"/>
              <w:rPr>
                <w:sz w:val="20"/>
                <w:szCs w:val="20"/>
                <w:color w:val="auto"/>
              </w:rPr>
            </w:pPr>
            <w:r>
              <w:rPr>
                <w:rFonts w:ascii="Arial" w:cs="Arial" w:eastAsia="Arial" w:hAnsi="Arial"/>
                <w:sz w:val="16"/>
                <w:szCs w:val="16"/>
                <w:color w:val="auto"/>
              </w:rPr>
              <w:t>Gross margin by reportable segment is as follows:</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2600" w:type="dxa"/>
            <w:vAlign w:val="bottom"/>
          </w:tcPr>
          <w:p>
            <w:pPr>
              <w:spacing w:after="0"/>
              <w:rPr>
                <w:sz w:val="20"/>
                <w:szCs w:val="20"/>
                <w:color w:val="auto"/>
              </w:rPr>
            </w:pPr>
            <w:r>
              <w:rPr>
                <w:rFonts w:ascii="Arial" w:cs="Arial" w:eastAsia="Arial" w:hAnsi="Arial"/>
                <w:sz w:val="15"/>
                <w:szCs w:val="15"/>
                <w:i w:val="1"/>
                <w:iCs w:val="1"/>
                <w:color w:val="auto"/>
              </w:rPr>
              <w:t>years ended December 31</w:t>
            </w: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gridSpan w:val="2"/>
            <w:vMerge w:val="restart"/>
          </w:tcPr>
          <w:p>
            <w:pPr>
              <w:jc w:val="right"/>
              <w:ind w:right="106"/>
              <w:spacing w:after="0"/>
              <w:rPr>
                <w:sz w:val="20"/>
                <w:szCs w:val="20"/>
                <w:color w:val="auto"/>
              </w:rPr>
            </w:pPr>
            <w:r>
              <w:rPr>
                <w:rFonts w:ascii="Arial" w:cs="Arial" w:eastAsia="Arial" w:hAnsi="Arial"/>
                <w:sz w:val="15"/>
                <w:szCs w:val="15"/>
                <w:b w:val="1"/>
                <w:bCs w:val="1"/>
                <w:color w:val="0085CD"/>
              </w:rPr>
              <w:t>2017</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600" w:type="dxa"/>
            <w:vAlign w:val="bottom"/>
            <w:tcBorders>
              <w:bottom w:val="single" w:sz="8" w:color="auto"/>
            </w:tcBorders>
          </w:tcPr>
          <w:p>
            <w:pPr>
              <w:spacing w:after="0" w:line="159" w:lineRule="exact"/>
              <w:rPr>
                <w:sz w:val="20"/>
                <w:szCs w:val="20"/>
                <w:color w:val="auto"/>
              </w:rPr>
            </w:pPr>
            <w:r>
              <w:rPr>
                <w:rFonts w:ascii="Arial" w:cs="Arial" w:eastAsia="Arial" w:hAnsi="Arial"/>
                <w:sz w:val="15"/>
                <w:szCs w:val="15"/>
                <w:color w:val="auto"/>
              </w:rPr>
              <w:t>(add 000)</w:t>
            </w:r>
          </w:p>
        </w:tc>
        <w:tc>
          <w:tcPr>
            <w:tcW w:w="6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gridSpan w:val="2"/>
            <w:vMerge w:val="continue"/>
          </w:tcPr>
          <w:p>
            <w:pPr>
              <w:spacing w:after="0"/>
              <w:rPr>
                <w:sz w:val="13"/>
                <w:szCs w:val="13"/>
                <w:color w:val="auto"/>
              </w:rPr>
            </w:pPr>
          </w:p>
        </w:tc>
        <w:tc>
          <w:tcPr>
            <w:tcW w:w="540" w:type="dxa"/>
            <w:vAlign w:val="bottom"/>
            <w:tcBorders>
              <w:bottom w:val="single" w:sz="8" w:color="auto"/>
            </w:tcBorders>
            <w:gridSpan w:val="2"/>
          </w:tcPr>
          <w:p>
            <w:pPr>
              <w:jc w:val="right"/>
              <w:ind w:right="66"/>
              <w:spacing w:after="0" w:line="159" w:lineRule="exact"/>
              <w:rPr>
                <w:sz w:val="20"/>
                <w:szCs w:val="20"/>
                <w:color w:val="auto"/>
              </w:rPr>
            </w:pPr>
            <w:r>
              <w:rPr>
                <w:rFonts w:ascii="Arial" w:cs="Arial" w:eastAsia="Arial" w:hAnsi="Arial"/>
                <w:sz w:val="15"/>
                <w:szCs w:val="15"/>
                <w:color w:val="auto"/>
              </w:rPr>
              <w:t>2016</w:t>
            </w:r>
          </w:p>
        </w:tc>
        <w:tc>
          <w:tcPr>
            <w:tcW w:w="620" w:type="dxa"/>
            <w:vAlign w:val="bottom"/>
            <w:tcBorders>
              <w:bottom w:val="single" w:sz="8" w:color="auto"/>
            </w:tcBorders>
          </w:tcPr>
          <w:p>
            <w:pPr>
              <w:jc w:val="right"/>
              <w:ind w:right="106"/>
              <w:spacing w:after="0" w:line="159" w:lineRule="exact"/>
              <w:rPr>
                <w:sz w:val="20"/>
                <w:szCs w:val="20"/>
                <w:color w:val="auto"/>
              </w:rPr>
            </w:pPr>
            <w:r>
              <w:rPr>
                <w:rFonts w:ascii="Arial" w:cs="Arial" w:eastAsia="Arial" w:hAnsi="Arial"/>
                <w:sz w:val="15"/>
                <w:szCs w:val="15"/>
                <w:color w:val="auto"/>
              </w:rPr>
              <w:t>2015</w:t>
            </w:r>
          </w:p>
        </w:tc>
        <w:tc>
          <w:tcPr>
            <w:tcW w:w="0" w:type="dxa"/>
            <w:vAlign w:val="bottom"/>
          </w:tcPr>
          <w:p>
            <w:pPr>
              <w:spacing w:after="0"/>
              <w:rPr>
                <w:sz w:val="1"/>
                <w:szCs w:val="1"/>
                <w:color w:val="auto"/>
              </w:rPr>
            </w:pPr>
          </w:p>
        </w:tc>
      </w:tr>
      <w:tr>
        <w:trPr>
          <w:trHeight w:val="149"/>
        </w:trPr>
        <w:tc>
          <w:tcPr>
            <w:tcW w:w="2600" w:type="dxa"/>
            <w:vAlign w:val="bottom"/>
            <w:shd w:val="clear" w:color="auto" w:fill="CCEEFF"/>
          </w:tcPr>
          <w:p>
            <w:pPr>
              <w:ind w:left="140"/>
              <w:spacing w:after="0" w:line="149" w:lineRule="exact"/>
              <w:rPr>
                <w:sz w:val="20"/>
                <w:szCs w:val="20"/>
                <w:color w:val="auto"/>
              </w:rPr>
            </w:pPr>
            <w:r>
              <w:rPr>
                <w:rFonts w:ascii="Arial" w:cs="Arial" w:eastAsia="Arial" w:hAnsi="Arial"/>
                <w:sz w:val="15"/>
                <w:szCs w:val="15"/>
                <w:color w:val="auto"/>
              </w:rPr>
              <w:t>Mid-America Group</w:t>
            </w:r>
          </w:p>
        </w:tc>
        <w:tc>
          <w:tcPr>
            <w:tcW w:w="6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5"/>
                <w:szCs w:val="15"/>
                <w:b w:val="1"/>
                <w:bCs w:val="1"/>
                <w:color w:val="auto"/>
              </w:rPr>
              <w:t>31.8%</w:t>
            </w:r>
          </w:p>
        </w:tc>
        <w:tc>
          <w:tcPr>
            <w:tcW w:w="11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5"/>
                <w:szCs w:val="15"/>
                <w:color w:val="auto"/>
              </w:rPr>
              <w:t>30.1%  27.7%</w:t>
            </w:r>
          </w:p>
        </w:tc>
        <w:tc>
          <w:tcPr>
            <w:tcW w:w="0" w:type="dxa"/>
            <w:vAlign w:val="bottom"/>
          </w:tcPr>
          <w:p>
            <w:pPr>
              <w:spacing w:after="0"/>
              <w:rPr>
                <w:sz w:val="1"/>
                <w:szCs w:val="1"/>
                <w:color w:val="auto"/>
              </w:rPr>
            </w:pPr>
          </w:p>
        </w:tc>
      </w:tr>
      <w:tr>
        <w:trPr>
          <w:trHeight w:val="156"/>
        </w:trPr>
        <w:tc>
          <w:tcPr>
            <w:tcW w:w="2600" w:type="dxa"/>
            <w:vAlign w:val="bottom"/>
          </w:tcPr>
          <w:p>
            <w:pPr>
              <w:ind w:left="140"/>
              <w:spacing w:after="0" w:line="156" w:lineRule="exact"/>
              <w:rPr>
                <w:sz w:val="20"/>
                <w:szCs w:val="20"/>
                <w:color w:val="auto"/>
              </w:rPr>
            </w:pPr>
            <w:r>
              <w:rPr>
                <w:rFonts w:ascii="Arial" w:cs="Arial" w:eastAsia="Arial" w:hAnsi="Arial"/>
                <w:sz w:val="15"/>
                <w:szCs w:val="15"/>
                <w:color w:val="auto"/>
              </w:rPr>
              <w:t>Southeast Group</w:t>
            </w: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gridSpan w:val="2"/>
          </w:tcPr>
          <w:p>
            <w:pPr>
              <w:jc w:val="right"/>
              <w:spacing w:after="0" w:line="156" w:lineRule="exact"/>
              <w:rPr>
                <w:sz w:val="20"/>
                <w:szCs w:val="20"/>
                <w:color w:val="auto"/>
              </w:rPr>
            </w:pPr>
            <w:r>
              <w:rPr>
                <w:rFonts w:ascii="Arial" w:cs="Arial" w:eastAsia="Arial" w:hAnsi="Arial"/>
                <w:sz w:val="15"/>
                <w:szCs w:val="15"/>
                <w:b w:val="1"/>
                <w:bCs w:val="1"/>
                <w:color w:val="auto"/>
              </w:rPr>
              <w:t>20.6%</w:t>
            </w:r>
          </w:p>
        </w:tc>
        <w:tc>
          <w:tcPr>
            <w:tcW w:w="1160" w:type="dxa"/>
            <w:vAlign w:val="bottom"/>
            <w:gridSpan w:val="3"/>
          </w:tcPr>
          <w:p>
            <w:pPr>
              <w:jc w:val="right"/>
              <w:spacing w:after="0" w:line="156" w:lineRule="exact"/>
              <w:rPr>
                <w:sz w:val="20"/>
                <w:szCs w:val="20"/>
                <w:color w:val="auto"/>
              </w:rPr>
            </w:pPr>
            <w:r>
              <w:rPr>
                <w:rFonts w:ascii="Arial" w:cs="Arial" w:eastAsia="Arial" w:hAnsi="Arial"/>
                <w:sz w:val="15"/>
                <w:szCs w:val="15"/>
                <w:color w:val="auto"/>
              </w:rPr>
              <w:t>17.8%  11.3%</w:t>
            </w:r>
          </w:p>
        </w:tc>
        <w:tc>
          <w:tcPr>
            <w:tcW w:w="0" w:type="dxa"/>
            <w:vAlign w:val="bottom"/>
          </w:tcPr>
          <w:p>
            <w:pPr>
              <w:spacing w:after="0"/>
              <w:rPr>
                <w:sz w:val="1"/>
                <w:szCs w:val="1"/>
                <w:color w:val="auto"/>
              </w:rPr>
            </w:pPr>
          </w:p>
        </w:tc>
      </w:tr>
      <w:tr>
        <w:trPr>
          <w:trHeight w:val="156"/>
        </w:trPr>
        <w:tc>
          <w:tcPr>
            <w:tcW w:w="2600" w:type="dxa"/>
            <w:vAlign w:val="bottom"/>
            <w:shd w:val="clear" w:color="auto" w:fill="CCEEFF"/>
          </w:tcPr>
          <w:p>
            <w:pPr>
              <w:ind w:left="140"/>
              <w:spacing w:after="0" w:line="156" w:lineRule="exact"/>
              <w:rPr>
                <w:sz w:val="20"/>
                <w:szCs w:val="20"/>
                <w:color w:val="auto"/>
              </w:rPr>
            </w:pPr>
            <w:r>
              <w:rPr>
                <w:rFonts w:ascii="Arial" w:cs="Arial" w:eastAsia="Arial" w:hAnsi="Arial"/>
                <w:sz w:val="15"/>
                <w:szCs w:val="15"/>
                <w:color w:val="auto"/>
              </w:rPr>
              <w:t>West Group</w:t>
            </w:r>
          </w:p>
        </w:tc>
        <w:tc>
          <w:tcPr>
            <w:tcW w:w="6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rPr>
              <w:t>20.4%</w:t>
            </w:r>
          </w:p>
        </w:tc>
        <w:tc>
          <w:tcPr>
            <w:tcW w:w="1160" w:type="dxa"/>
            <w:vAlign w:val="bottom"/>
            <w:gridSpan w:val="3"/>
            <w:shd w:val="clear" w:color="auto" w:fill="CCEEFF"/>
          </w:tcPr>
          <w:p>
            <w:pPr>
              <w:jc w:val="right"/>
              <w:spacing w:after="0" w:line="156" w:lineRule="exact"/>
              <w:rPr>
                <w:sz w:val="20"/>
                <w:szCs w:val="20"/>
                <w:color w:val="auto"/>
              </w:rPr>
            </w:pPr>
            <w:r>
              <w:rPr>
                <w:rFonts w:ascii="Arial" w:cs="Arial" w:eastAsia="Arial" w:hAnsi="Arial"/>
                <w:sz w:val="15"/>
                <w:szCs w:val="15"/>
                <w:color w:val="auto"/>
              </w:rPr>
              <w:t>21.0%  17.5%</w:t>
            </w:r>
          </w:p>
        </w:tc>
        <w:tc>
          <w:tcPr>
            <w:tcW w:w="0" w:type="dxa"/>
            <w:vAlign w:val="bottom"/>
          </w:tcPr>
          <w:p>
            <w:pPr>
              <w:spacing w:after="0"/>
              <w:rPr>
                <w:sz w:val="1"/>
                <w:szCs w:val="1"/>
                <w:color w:val="auto"/>
              </w:rPr>
            </w:pPr>
          </w:p>
        </w:tc>
      </w:tr>
      <w:tr>
        <w:trPr>
          <w:trHeight w:val="156"/>
        </w:trPr>
        <w:tc>
          <w:tcPr>
            <w:tcW w:w="2600" w:type="dxa"/>
            <w:vAlign w:val="bottom"/>
          </w:tcPr>
          <w:p>
            <w:pPr>
              <w:spacing w:after="0" w:line="156" w:lineRule="exact"/>
              <w:rPr>
                <w:sz w:val="20"/>
                <w:szCs w:val="20"/>
                <w:color w:val="auto"/>
              </w:rPr>
            </w:pPr>
            <w:r>
              <w:rPr>
                <w:rFonts w:ascii="Arial" w:cs="Arial" w:eastAsia="Arial" w:hAnsi="Arial"/>
                <w:sz w:val="15"/>
                <w:szCs w:val="15"/>
                <w:color w:val="auto"/>
              </w:rPr>
              <w:t>Total Building Materials Business</w:t>
            </w: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gridSpan w:val="2"/>
          </w:tcPr>
          <w:p>
            <w:pPr>
              <w:jc w:val="right"/>
              <w:spacing w:after="0" w:line="156" w:lineRule="exact"/>
              <w:rPr>
                <w:sz w:val="20"/>
                <w:szCs w:val="20"/>
                <w:color w:val="auto"/>
              </w:rPr>
            </w:pPr>
            <w:r>
              <w:rPr>
                <w:rFonts w:ascii="Arial" w:cs="Arial" w:eastAsia="Arial" w:hAnsi="Arial"/>
                <w:sz w:val="15"/>
                <w:szCs w:val="15"/>
                <w:b w:val="1"/>
                <w:bCs w:val="1"/>
                <w:color w:val="auto"/>
              </w:rPr>
              <w:t>23.7%</w:t>
            </w:r>
          </w:p>
        </w:tc>
        <w:tc>
          <w:tcPr>
            <w:tcW w:w="1160" w:type="dxa"/>
            <w:vAlign w:val="bottom"/>
            <w:gridSpan w:val="3"/>
          </w:tcPr>
          <w:p>
            <w:pPr>
              <w:jc w:val="right"/>
              <w:spacing w:after="0" w:line="156" w:lineRule="exact"/>
              <w:rPr>
                <w:sz w:val="20"/>
                <w:szCs w:val="20"/>
                <w:color w:val="auto"/>
              </w:rPr>
            </w:pPr>
            <w:r>
              <w:rPr>
                <w:rFonts w:ascii="Arial" w:cs="Arial" w:eastAsia="Arial" w:hAnsi="Arial"/>
                <w:sz w:val="15"/>
                <w:szCs w:val="15"/>
                <w:color w:val="auto"/>
              </w:rPr>
              <w:t>23.3%  19.8%</w:t>
            </w:r>
          </w:p>
        </w:tc>
        <w:tc>
          <w:tcPr>
            <w:tcW w:w="0" w:type="dxa"/>
            <w:vAlign w:val="bottom"/>
          </w:tcPr>
          <w:p>
            <w:pPr>
              <w:spacing w:after="0"/>
              <w:rPr>
                <w:sz w:val="1"/>
                <w:szCs w:val="1"/>
                <w:color w:val="auto"/>
              </w:rPr>
            </w:pPr>
          </w:p>
        </w:tc>
      </w:tr>
      <w:tr>
        <w:trPr>
          <w:trHeight w:val="156"/>
        </w:trPr>
        <w:tc>
          <w:tcPr>
            <w:tcW w:w="260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Magnesia Specialties</w:t>
            </w:r>
          </w:p>
        </w:tc>
        <w:tc>
          <w:tcPr>
            <w:tcW w:w="6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rPr>
              <w:t>33.1%</w:t>
            </w:r>
          </w:p>
        </w:tc>
        <w:tc>
          <w:tcPr>
            <w:tcW w:w="1160" w:type="dxa"/>
            <w:vAlign w:val="bottom"/>
            <w:gridSpan w:val="3"/>
            <w:shd w:val="clear" w:color="auto" w:fill="CCEEFF"/>
          </w:tcPr>
          <w:p>
            <w:pPr>
              <w:jc w:val="right"/>
              <w:spacing w:after="0" w:line="156" w:lineRule="exact"/>
              <w:rPr>
                <w:sz w:val="20"/>
                <w:szCs w:val="20"/>
                <w:color w:val="auto"/>
              </w:rPr>
            </w:pPr>
            <w:r>
              <w:rPr>
                <w:rFonts w:ascii="Arial" w:cs="Arial" w:eastAsia="Arial" w:hAnsi="Arial"/>
                <w:sz w:val="15"/>
                <w:szCs w:val="15"/>
                <w:color w:val="auto"/>
              </w:rPr>
              <w:t>34.9%  32.2%</w:t>
            </w:r>
          </w:p>
        </w:tc>
        <w:tc>
          <w:tcPr>
            <w:tcW w:w="0" w:type="dxa"/>
            <w:vAlign w:val="bottom"/>
          </w:tcPr>
          <w:p>
            <w:pPr>
              <w:spacing w:after="0"/>
              <w:rPr>
                <w:sz w:val="1"/>
                <w:szCs w:val="1"/>
                <w:color w:val="auto"/>
              </w:rPr>
            </w:pPr>
          </w:p>
        </w:tc>
      </w:tr>
      <w:tr>
        <w:trPr>
          <w:trHeight w:val="195"/>
        </w:trPr>
        <w:tc>
          <w:tcPr>
            <w:tcW w:w="2600" w:type="dxa"/>
            <w:vAlign w:val="bottom"/>
          </w:tcPr>
          <w:p>
            <w:pPr>
              <w:spacing w:after="0"/>
              <w:rPr>
                <w:sz w:val="20"/>
                <w:szCs w:val="20"/>
                <w:color w:val="auto"/>
              </w:rPr>
            </w:pPr>
            <w:r>
              <w:rPr>
                <w:rFonts w:ascii="Arial" w:cs="Arial" w:eastAsia="Arial" w:hAnsi="Arial"/>
                <w:sz w:val="15"/>
                <w:szCs w:val="15"/>
                <w:color w:val="auto"/>
              </w:rPr>
              <w:t>Total Consolidated</w:t>
            </w: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gridSpan w:val="2"/>
          </w:tcPr>
          <w:p>
            <w:pPr>
              <w:jc w:val="right"/>
              <w:spacing w:after="0"/>
              <w:rPr>
                <w:sz w:val="20"/>
                <w:szCs w:val="20"/>
                <w:color w:val="auto"/>
              </w:rPr>
            </w:pPr>
            <w:r>
              <w:rPr>
                <w:rFonts w:ascii="Arial" w:cs="Arial" w:eastAsia="Arial" w:hAnsi="Arial"/>
                <w:sz w:val="15"/>
                <w:szCs w:val="15"/>
                <w:b w:val="1"/>
                <w:bCs w:val="1"/>
                <w:color w:val="auto"/>
              </w:rPr>
              <w:t>24.5%</w:t>
            </w:r>
          </w:p>
        </w:tc>
        <w:tc>
          <w:tcPr>
            <w:tcW w:w="540" w:type="dxa"/>
            <w:vAlign w:val="bottom"/>
            <w:gridSpan w:val="2"/>
          </w:tcPr>
          <w:p>
            <w:pPr>
              <w:jc w:val="right"/>
              <w:spacing w:after="0"/>
              <w:rPr>
                <w:sz w:val="20"/>
                <w:szCs w:val="20"/>
                <w:color w:val="auto"/>
              </w:rPr>
            </w:pPr>
            <w:r>
              <w:rPr>
                <w:rFonts w:ascii="Arial" w:cs="Arial" w:eastAsia="Arial" w:hAnsi="Arial"/>
                <w:sz w:val="15"/>
                <w:szCs w:val="15"/>
                <w:color w:val="auto"/>
              </w:rPr>
              <w:t>23.9%</w:t>
            </w:r>
          </w:p>
        </w:tc>
        <w:tc>
          <w:tcPr>
            <w:tcW w:w="620" w:type="dxa"/>
            <w:vAlign w:val="bottom"/>
          </w:tcPr>
          <w:p>
            <w:pPr>
              <w:jc w:val="right"/>
              <w:spacing w:after="0"/>
              <w:rPr>
                <w:sz w:val="20"/>
                <w:szCs w:val="20"/>
                <w:color w:val="auto"/>
              </w:rPr>
            </w:pPr>
            <w:r>
              <w:rPr>
                <w:rFonts w:ascii="Arial" w:cs="Arial" w:eastAsia="Arial" w:hAnsi="Arial"/>
                <w:sz w:val="15"/>
                <w:szCs w:val="15"/>
                <w:color w:val="auto"/>
              </w:rPr>
              <w:t>20.5%</w:t>
            </w:r>
          </w:p>
        </w:tc>
        <w:tc>
          <w:tcPr>
            <w:tcW w:w="0" w:type="dxa"/>
            <w:vAlign w:val="bottom"/>
          </w:tcPr>
          <w:p>
            <w:pPr>
              <w:spacing w:after="0"/>
              <w:rPr>
                <w:sz w:val="1"/>
                <w:szCs w:val="1"/>
                <w:color w:val="auto"/>
              </w:rPr>
            </w:pPr>
          </w:p>
        </w:tc>
      </w:tr>
    </w:tbl>
    <w:p>
      <w:pPr>
        <w:spacing w:after="0" w:line="162"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Gross margin improvement for the Building Materials business reflects pricing strength across all product lines and management’s effective cost discipline.</w:t>
      </w:r>
    </w:p>
    <w:p>
      <w:pPr>
        <w:spacing w:after="0" w:line="374"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Magnesia Specialties business’ 2017 gross margin decline is due to higher maintenance and contract services costs, coupled with an increase in natural gas prices. The increase in 2016 is attributable to increased operating leverage attributable to effective cost management.</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8D5D6C"/>
        </w:rPr>
        <w:t>Selling, General and Administrative Expenses</w:t>
      </w:r>
    </w:p>
    <w:p>
      <w:pPr>
        <w:spacing w:after="0" w:line="55"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SG&amp;A expenses for 2017 were 6.6% of total revenues, an increase of 30 basis points, and reflect higher personnel and share-based compensation costs. In 2016, SG&amp;A expenses increased 30 basis points over 2015, reflecting higher performance-based incentive compensation costs.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8D5D6C"/>
        </w:rPr>
        <w:t>Acquisition-Related Expenses</w:t>
      </w:r>
    </w:p>
    <w:p>
      <w:pPr>
        <w:spacing w:after="0" w:line="42"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The Company incurred business development and acquisition integration costs (collectively “acquisition-related expenses”) in connection with its strategic growth plan. In 2017, these expenses were related primarily to the pending Bluegrass acquisition. In 2015, these costs were principally TXI integration costs.</w:t>
      </w:r>
    </w:p>
    <w:p>
      <w:pPr>
        <w:spacing w:after="0" w:line="200" w:lineRule="exact"/>
        <w:rPr>
          <w:sz w:val="20"/>
          <w:szCs w:val="20"/>
          <w:color w:val="auto"/>
        </w:rPr>
      </w:pPr>
    </w:p>
    <w:p>
      <w:pPr>
        <w:sectPr>
          <w:pgSz w:w="11900" w:h="16838" w:orient="portrait"/>
          <w:cols w:equalWidth="0" w:num="2">
            <w:col w:w="5480" w:space="360"/>
            <w:col w:w="5580"/>
          </w:cols>
          <w:pgMar w:left="240" w:top="259" w:right="239" w:bottom="1440" w:gutter="0" w:footer="0" w:header="0"/>
          <w:type w:val="continuous"/>
        </w:sectPr>
      </w:pPr>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66</w:t>
      </w:r>
    </w:p>
    <w:p>
      <w:pPr>
        <w:sectPr>
          <w:pgSz w:w="11900" w:h="16838" w:orient="portrait"/>
          <w:cols w:equalWidth="0" w:num="1">
            <w:col w:w="11420"/>
          </w:cols>
          <w:pgMar w:left="240" w:top="259" w:right="239" w:bottom="1440" w:gutter="0" w:footer="0" w:header="0"/>
          <w:type w:val="continuous"/>
        </w:sectPr>
      </w:pPr>
    </w:p>
    <w:bookmarkStart w:id="119" w:name="page120"/>
    <w:bookmarkEnd w:id="119"/>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7">
                      <a:extLst>
                        <a:ext uri="{28A0092B-C50C-407E-A947-70E740481C1C}"/>
                      </a:extLst>
                    </a:blip>
                    <a:srcRect/>
                    <a:stretch>
                      <a:fillRect/>
                    </a:stretch>
                  </pic:blipFill>
                  <pic:spPr bwMode="auto">
                    <a:xfrm>
                      <a:off x="0" y="0"/>
                      <a:ext cx="7293610" cy="37465"/>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420"/>
          </w:cols>
          <w:pgMar w:left="240" w:top="2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color w:val="8D5D6C"/>
        </w:rPr>
        <w:t>Other Operating Expenses and (Income), Net</w:t>
      </w:r>
    </w:p>
    <w:p>
      <w:pPr>
        <w:spacing w:after="0" w:line="55"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Other operating expenses and income, net, are comprised generally of gains and losses on the sale of assets; gains and losses related to certain customer accounts receivable; rental, royalty and services income; accretion expense, depreciation expense and gains and losses related to asset retirement obligations. These net amounts represented an expense of $0.8 million in 2017, income of $8.0 million in 2016 and an expense of $15.7 million in 2015. The 2017 amount primarily reflects $19.4 million of gains on the sale of assets, offset by $12.7 million of nonrecurring repair costs related to certain of the Company’s leased railcars and approximately $10.8 million of executive retirement expense. The net expense for 2015 reflects the net impact of sales of the California cement operations and the San Antonio asphalt operations.</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b w:val="1"/>
          <w:bCs w:val="1"/>
          <w:color w:val="8D5D6C"/>
        </w:rPr>
        <w:t>Earnings from Operations</w:t>
      </w:r>
    </w:p>
    <w:p>
      <w:pPr>
        <w:spacing w:after="0" w:line="4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Consolidated earnings from operations were $700.4 million, $677.3 million and $494.2 million in 2017, 2016 and 2015, respectively.</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8D5D6C"/>
        </w:rPr>
        <w:t>Interest Expense</w:t>
      </w:r>
    </w:p>
    <w:p>
      <w:pPr>
        <w:spacing w:after="0" w:line="55" w:lineRule="exact"/>
        <w:rPr>
          <w:sz w:val="20"/>
          <w:szCs w:val="20"/>
          <w:color w:val="auto"/>
        </w:rPr>
      </w:pPr>
    </w:p>
    <w:p>
      <w:pPr>
        <w:jc w:val="both"/>
        <w:spacing w:after="0"/>
        <w:rPr>
          <w:sz w:val="20"/>
          <w:szCs w:val="20"/>
          <w:color w:val="auto"/>
        </w:rPr>
      </w:pPr>
      <w:r>
        <w:rPr>
          <w:rFonts w:ascii="Arial" w:cs="Arial" w:eastAsia="Arial" w:hAnsi="Arial"/>
          <w:sz w:val="16"/>
          <w:szCs w:val="16"/>
          <w:color w:val="auto"/>
        </w:rPr>
        <w:t>Interest expense of $91.5 million in 2017 increased $9.8 million over 2016, reflecting the issuance of additional debt during 2017 in anticipation of closing the Bluegrass acquisition and maturity of the $300 million 6.6% Senior Notes due in April 2018. In 2016, interest expense of $81.7 million increased $5.4 million over 2015 due to an increase in average debt outstanding, coupled with an increase in variable interest rates in 2016.</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color w:val="8D5D6C"/>
        </w:rPr>
        <w:t>Other Nonoperating (Income) and Expenses, Net</w:t>
      </w:r>
    </w:p>
    <w:p>
      <w:pPr>
        <w:spacing w:after="0" w:line="55" w:lineRule="exact"/>
        <w:rPr>
          <w:sz w:val="20"/>
          <w:szCs w:val="20"/>
          <w:color w:val="auto"/>
        </w:rPr>
      </w:pPr>
    </w:p>
    <w:p>
      <w:pPr>
        <w:jc w:val="both"/>
        <w:spacing w:after="0"/>
        <w:rPr>
          <w:sz w:val="20"/>
          <w:szCs w:val="20"/>
          <w:color w:val="auto"/>
        </w:rPr>
      </w:pPr>
      <w:r>
        <w:rPr>
          <w:rFonts w:ascii="Arial" w:cs="Arial" w:eastAsia="Arial" w:hAnsi="Arial"/>
          <w:sz w:val="16"/>
          <w:szCs w:val="16"/>
          <w:color w:val="auto"/>
        </w:rPr>
        <w:t>Other nonoperating income and expenses, net, are comprised generally of interest income; foreign currency transaction gains and losses; pension and postretirement benefit cost, excluding service cost; and net equity earnings from nonconsolidated investments. Consolidated other nonoperating income and expenses, net, was income of $10.0 million and $11.4 million, in 2017 and 2016, respectively. The income in 2017 reflects increased earnings from nonconsolidated investments. The 2016 income includes the gain from the remeasurement of an interest held in a joint venture due to the purchase of the remaining interest. Other nonoperating expense, net, for 2015 was a $4.1 million expense, which reflects higher pension expense compared with 2016.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b w:val="1"/>
          <w:bCs w:val="1"/>
          <w:color w:val="8D5D6C"/>
        </w:rPr>
        <w:t>Income Tax (Benefit) Expense</w:t>
      </w:r>
    </w:p>
    <w:p>
      <w:pPr>
        <w:spacing w:after="0" w:line="55" w:lineRule="exact"/>
        <w:rPr>
          <w:sz w:val="20"/>
          <w:szCs w:val="20"/>
          <w:color w:val="auto"/>
        </w:rPr>
      </w:pPr>
    </w:p>
    <w:p>
      <w:pPr>
        <w:jc w:val="both"/>
        <w:spacing w:after="0"/>
        <w:rPr>
          <w:sz w:val="20"/>
          <w:szCs w:val="20"/>
          <w:color w:val="auto"/>
        </w:rPr>
      </w:pPr>
      <w:r>
        <w:rPr>
          <w:rFonts w:ascii="Arial" w:cs="Arial" w:eastAsia="Arial" w:hAnsi="Arial"/>
          <w:sz w:val="16"/>
          <w:szCs w:val="16"/>
          <w:color w:val="auto"/>
        </w:rPr>
        <w:t>On December 22, 2017, the President signed the 2017 Tax Act into law. As a result, the Company remeasured its deferred tax assets and liabilities as of the enactment date at the new statutory corporate income tax rate of 21% and recorded a provisional one-time income tax benefit of $258.1 million. For 2018, the Company anticipates that the effective tax rate will be 20% to 22%, which is lower than the historical rate, and estimates additional earnings and cash flow of approximately $95 million. In December 2017, the Securities and Exchange Commission (SEC) issued guidance to address the application of authoritative tax accounting guidance in situations where companies do not have the necessary information available, prepared or analyzed in reasonable detail to complete the accounting for certain income tax effects of the 2017 Tax Act for the reporting period in which the 2017 Tax Act was enacted. In these instances, the SEC’s guidance allows companies to record provisional amounts during a measurement period not to extend beyond one year of the enactment date. The Company has recorded the provisional tax benefit in its 2017 consolidated financial statements to reflect the impact of the 2017 Tax Act, as it has yet to complete its analysis of the impact.</w:t>
      </w:r>
    </w:p>
    <w:p>
      <w:pPr>
        <w:spacing w:after="0" w:line="200" w:lineRule="exact"/>
        <w:rPr>
          <w:sz w:val="20"/>
          <w:szCs w:val="20"/>
          <w:color w:val="auto"/>
        </w:rPr>
      </w:pPr>
    </w:p>
    <w:p>
      <w:pPr>
        <w:spacing w:after="0" w:line="254" w:lineRule="exact"/>
        <w:rPr>
          <w:sz w:val="20"/>
          <w:szCs w:val="20"/>
          <w:color w:val="auto"/>
        </w:rPr>
      </w:pPr>
    </w:p>
    <w:p>
      <w:pPr>
        <w:jc w:val="both"/>
        <w:spacing w:after="0"/>
        <w:rPr>
          <w:sz w:val="20"/>
          <w:szCs w:val="20"/>
          <w:color w:val="auto"/>
        </w:rPr>
      </w:pPr>
      <w:r>
        <w:rPr>
          <w:rFonts w:ascii="Arial" w:cs="Arial" w:eastAsia="Arial" w:hAnsi="Arial"/>
          <w:sz w:val="16"/>
          <w:szCs w:val="16"/>
          <w:color w:val="auto"/>
        </w:rPr>
        <w:t>Variances in the estimated effective income tax rates, when compared with the statutory corporate income tax rate, are due primarily to the statutory depletion deduction for mineral reserves, the effect of state income taxes, the domestic production deduction and the impact of foreign income or losses for which no tax expense or benefit is recognized. Additionally, certain acquisition-related expenses have limited deductibility for income tax purposes.</w:t>
      </w:r>
    </w:p>
    <w:p>
      <w:pPr>
        <w:spacing w:after="0" w:line="200" w:lineRule="exact"/>
        <w:rPr>
          <w:sz w:val="20"/>
          <w:szCs w:val="20"/>
          <w:color w:val="auto"/>
        </w:rPr>
      </w:pPr>
    </w:p>
    <w:p>
      <w:pPr>
        <w:spacing w:after="0" w:line="279"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The permanent benefit associated with the statutory depletion deduction for mineral reserves is typically the significant driver of the estimated effective income tax rate. The statutory depletion deduction is calculated as a percentage of sales subject to certain limitations. Due to these limitations, changes in sales volumes and pretax earnings may not proportionately affect the statutory depletion deduction and the corresponding impact on the effective income tax rate. However, the impact of the depletion deduction on the estimated effective tax rate is inversely affected by increases or decreases in pretax earnings.</w:t>
      </w:r>
    </w:p>
    <w:p>
      <w:pPr>
        <w:spacing w:after="0" w:line="481" w:lineRule="exact"/>
        <w:rPr>
          <w:sz w:val="20"/>
          <w:szCs w:val="20"/>
          <w:color w:val="auto"/>
        </w:rPr>
      </w:pPr>
    </w:p>
    <w:p>
      <w:pPr>
        <w:sectPr>
          <w:pgSz w:w="11900" w:h="16838" w:orient="portrait"/>
          <w:cols w:equalWidth="0" w:num="2">
            <w:col w:w="5480" w:space="360"/>
            <w:col w:w="5580"/>
          </w:cols>
          <w:pgMar w:left="240" w:top="259" w:right="239" w:bottom="1440" w:gutter="0" w:footer="0" w:header="0"/>
          <w:type w:val="continuous"/>
        </w:sect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67</w:t>
      </w:r>
    </w:p>
    <w:p>
      <w:pPr>
        <w:sectPr>
          <w:pgSz w:w="11900" w:h="16838" w:orient="portrait"/>
          <w:cols w:equalWidth="0" w:num="1">
            <w:col w:w="11420"/>
          </w:cols>
          <w:pgMar w:left="240" w:top="259" w:right="239" w:bottom="1440" w:gutter="0" w:footer="0" w:header="0"/>
          <w:type w:val="continuous"/>
        </w:sectPr>
      </w:pPr>
    </w:p>
    <w:bookmarkStart w:id="120" w:name="page121"/>
    <w:bookmarkEnd w:id="120"/>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8">
                      <a:extLst>
                        <a:ext uri="{28A0092B-C50C-407E-A947-70E740481C1C}"/>
                      </a:extLst>
                    </a:blip>
                    <a:srcRect/>
                    <a:stretch>
                      <a:fillRect/>
                    </a:stretch>
                  </pic:blipFill>
                  <pic:spPr bwMode="auto">
                    <a:xfrm>
                      <a:off x="0" y="0"/>
                      <a:ext cx="7293610" cy="37465"/>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420"/>
          </w:cols>
          <w:pgMar w:left="240" w:top="2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color w:val="auto"/>
        </w:rPr>
        <w:t>The Company’s estimated effective income tax rate for the years ended</w:t>
      </w:r>
    </w:p>
    <w:p>
      <w:pPr>
        <w:spacing w:after="0"/>
        <w:rPr>
          <w:sz w:val="20"/>
          <w:szCs w:val="20"/>
          <w:color w:val="auto"/>
        </w:rPr>
      </w:pPr>
      <w:r>
        <w:rPr>
          <w:rFonts w:ascii="Arial" w:cs="Arial" w:eastAsia="Arial" w:hAnsi="Arial"/>
          <w:sz w:val="16"/>
          <w:szCs w:val="16"/>
          <w:color w:val="auto"/>
        </w:rPr>
        <w:t>December 31 are as follows:</w:t>
      </w:r>
    </w:p>
    <w:p>
      <w:pPr>
        <w:spacing w:after="0" w:line="120" w:lineRule="exact"/>
        <w:rPr>
          <w:sz w:val="20"/>
          <w:szCs w:val="20"/>
          <w:color w:val="auto"/>
        </w:rPr>
      </w:pPr>
    </w:p>
    <w:tbl>
      <w:tblPr>
        <w:tblLayout w:type="fixed"/>
        <w:tblInd w:w="1000" w:type="dxa"/>
        <w:tblCellMar>
          <w:top w:w="0" w:type="dxa"/>
          <w:left w:w="0" w:type="dxa"/>
          <w:bottom w:w="0" w:type="dxa"/>
          <w:right w:w="0" w:type="dxa"/>
        </w:tblCellMar>
      </w:tblPr>
      <w:tr>
        <w:trPr>
          <w:trHeight w:val="208"/>
        </w:trPr>
        <w:tc>
          <w:tcPr>
            <w:tcW w:w="1620" w:type="dxa"/>
            <w:vAlign w:val="bottom"/>
          </w:tcPr>
          <w:p>
            <w:pPr>
              <w:jc w:val="right"/>
              <w:ind w:right="1178"/>
              <w:spacing w:after="0"/>
              <w:rPr>
                <w:sz w:val="20"/>
                <w:szCs w:val="20"/>
                <w:color w:val="auto"/>
              </w:rPr>
            </w:pPr>
            <w:r>
              <w:rPr>
                <w:rFonts w:ascii="Arial" w:cs="Arial" w:eastAsia="Arial" w:hAnsi="Arial"/>
                <w:sz w:val="16"/>
                <w:szCs w:val="16"/>
                <w:b w:val="1"/>
                <w:bCs w:val="1"/>
                <w:color w:val="0085CD"/>
                <w:w w:val="95"/>
              </w:rPr>
              <w:t>2017</w:t>
            </w:r>
          </w:p>
        </w:tc>
        <w:tc>
          <w:tcPr>
            <w:tcW w:w="1880" w:type="dxa"/>
            <w:vAlign w:val="bottom"/>
          </w:tcPr>
          <w:p>
            <w:pPr>
              <w:jc w:val="center"/>
              <w:ind w:left="1098"/>
              <w:spacing w:after="0"/>
              <w:rPr>
                <w:sz w:val="20"/>
                <w:szCs w:val="20"/>
                <w:color w:val="auto"/>
              </w:rPr>
            </w:pPr>
            <w:r>
              <w:rPr>
                <w:rFonts w:ascii="Arial" w:cs="Arial" w:eastAsia="Arial" w:hAnsi="Arial"/>
                <w:sz w:val="16"/>
                <w:szCs w:val="16"/>
                <w:b w:val="1"/>
                <w:bCs w:val="1"/>
                <w:color w:val="auto"/>
              </w:rPr>
              <w:t>(15.3%)</w:t>
            </w:r>
          </w:p>
        </w:tc>
      </w:tr>
      <w:tr>
        <w:trPr>
          <w:trHeight w:val="182"/>
        </w:trPr>
        <w:tc>
          <w:tcPr>
            <w:tcW w:w="1620" w:type="dxa"/>
            <w:vAlign w:val="bottom"/>
            <w:shd w:val="clear" w:color="auto" w:fill="CCEEFF"/>
          </w:tcPr>
          <w:p>
            <w:pPr>
              <w:jc w:val="right"/>
              <w:ind w:right="1178"/>
              <w:spacing w:after="0" w:line="182" w:lineRule="exact"/>
              <w:rPr>
                <w:sz w:val="20"/>
                <w:szCs w:val="20"/>
                <w:color w:val="auto"/>
              </w:rPr>
            </w:pPr>
            <w:r>
              <w:rPr>
                <w:rFonts w:ascii="Arial" w:cs="Arial" w:eastAsia="Arial" w:hAnsi="Arial"/>
                <w:sz w:val="16"/>
                <w:szCs w:val="16"/>
                <w:color w:val="auto"/>
                <w:w w:val="95"/>
              </w:rPr>
              <w:t>2016</w:t>
            </w:r>
          </w:p>
        </w:tc>
        <w:tc>
          <w:tcPr>
            <w:tcW w:w="1880" w:type="dxa"/>
            <w:vAlign w:val="bottom"/>
            <w:shd w:val="clear" w:color="auto" w:fill="CCEEFF"/>
          </w:tcPr>
          <w:p>
            <w:pPr>
              <w:jc w:val="center"/>
              <w:ind w:left="1138"/>
              <w:spacing w:after="0" w:line="182" w:lineRule="exact"/>
              <w:rPr>
                <w:sz w:val="20"/>
                <w:szCs w:val="20"/>
                <w:color w:val="auto"/>
              </w:rPr>
            </w:pPr>
            <w:r>
              <w:rPr>
                <w:rFonts w:ascii="Arial" w:cs="Arial" w:eastAsia="Arial" w:hAnsi="Arial"/>
                <w:sz w:val="16"/>
                <w:szCs w:val="16"/>
                <w:color w:val="auto"/>
              </w:rPr>
              <w:t>29.9%</w:t>
            </w:r>
          </w:p>
        </w:tc>
      </w:tr>
      <w:tr>
        <w:trPr>
          <w:trHeight w:val="197"/>
        </w:trPr>
        <w:tc>
          <w:tcPr>
            <w:tcW w:w="1620" w:type="dxa"/>
            <w:vAlign w:val="bottom"/>
          </w:tcPr>
          <w:p>
            <w:pPr>
              <w:jc w:val="right"/>
              <w:ind w:right="1178"/>
              <w:spacing w:after="0"/>
              <w:rPr>
                <w:sz w:val="20"/>
                <w:szCs w:val="20"/>
                <w:color w:val="auto"/>
              </w:rPr>
            </w:pPr>
            <w:r>
              <w:rPr>
                <w:rFonts w:ascii="Arial" w:cs="Arial" w:eastAsia="Arial" w:hAnsi="Arial"/>
                <w:sz w:val="16"/>
                <w:szCs w:val="16"/>
                <w:color w:val="auto"/>
                <w:w w:val="95"/>
              </w:rPr>
              <w:t>2015</w:t>
            </w:r>
          </w:p>
        </w:tc>
        <w:tc>
          <w:tcPr>
            <w:tcW w:w="1880" w:type="dxa"/>
            <w:vAlign w:val="bottom"/>
          </w:tcPr>
          <w:p>
            <w:pPr>
              <w:jc w:val="center"/>
              <w:ind w:left="1138"/>
              <w:spacing w:after="0"/>
              <w:rPr>
                <w:sz w:val="20"/>
                <w:szCs w:val="20"/>
                <w:color w:val="auto"/>
              </w:rPr>
            </w:pPr>
            <w:r>
              <w:rPr>
                <w:rFonts w:ascii="Arial" w:cs="Arial" w:eastAsia="Arial" w:hAnsi="Arial"/>
                <w:sz w:val="16"/>
                <w:szCs w:val="16"/>
                <w:color w:val="auto"/>
              </w:rPr>
              <w:t>30.2%</w:t>
            </w:r>
          </w:p>
        </w:tc>
      </w:tr>
    </w:tbl>
    <w:p>
      <w:pPr>
        <w:spacing w:after="0" w:line="170" w:lineRule="exact"/>
        <w:rPr>
          <w:sz w:val="20"/>
          <w:szCs w:val="20"/>
          <w:color w:val="auto"/>
        </w:rPr>
      </w:pPr>
    </w:p>
    <w:p>
      <w:pPr>
        <w:ind w:right="440"/>
        <w:spacing w:after="0" w:line="273" w:lineRule="auto"/>
        <w:rPr>
          <w:sz w:val="20"/>
          <w:szCs w:val="20"/>
          <w:color w:val="auto"/>
        </w:rPr>
      </w:pPr>
      <w:r>
        <w:rPr>
          <w:rFonts w:ascii="Arial" w:cs="Arial" w:eastAsia="Arial" w:hAnsi="Arial"/>
          <w:sz w:val="17"/>
          <w:szCs w:val="17"/>
          <w:b w:val="1"/>
          <w:bCs w:val="1"/>
          <w:color w:val="8D5D6C"/>
        </w:rPr>
        <w:t>Net Earnings Attributable to Martin Marietta and Earnings Per Diluted Share</w:t>
      </w:r>
    </w:p>
    <w:p>
      <w:pPr>
        <w:jc w:val="both"/>
        <w:spacing w:after="0"/>
        <w:rPr>
          <w:sz w:val="20"/>
          <w:szCs w:val="20"/>
          <w:color w:val="auto"/>
        </w:rPr>
      </w:pPr>
      <w:r>
        <w:rPr>
          <w:rFonts w:ascii="Arial" w:cs="Arial" w:eastAsia="Arial" w:hAnsi="Arial"/>
          <w:sz w:val="16"/>
          <w:szCs w:val="16"/>
          <w:color w:val="auto"/>
        </w:rPr>
        <w:t>Net earnings attributable to Martin Marietta were $713.3 million, or $11.25 per diluted share, for 2017. This amount includes the income tax benefit from the 2017 Tax Act of $258.1 million, or $4.07 per diluted share. For 2016, net earnings attributable to Martin Marietta were $425.4 million, or $6.63 per diluted share. For 2015, net earnings attributable to Martin Marietta were $288.8 million, or $4.29 per diluted share.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0085CD"/>
        </w:rPr>
        <w:t>Liquidity and Cash Flows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color w:val="8D5D6C"/>
        </w:rPr>
        <w:t>Operating Activities</w:t>
      </w:r>
    </w:p>
    <w:p>
      <w:pPr>
        <w:spacing w:after="0" w:line="45" w:lineRule="exact"/>
        <w:rPr>
          <w:sz w:val="20"/>
          <w:szCs w:val="20"/>
          <w:color w:val="auto"/>
        </w:rPr>
      </w:pPr>
    </w:p>
    <w:p>
      <w:pPr>
        <w:jc w:val="both"/>
        <w:spacing w:after="0"/>
        <w:rPr>
          <w:sz w:val="20"/>
          <w:szCs w:val="20"/>
          <w:color w:val="auto"/>
        </w:rPr>
      </w:pPr>
      <w:r>
        <w:rPr>
          <w:rFonts w:ascii="Arial" w:cs="Arial" w:eastAsia="Arial" w:hAnsi="Arial"/>
          <w:sz w:val="16"/>
          <w:szCs w:val="16"/>
          <w:color w:val="auto"/>
        </w:rPr>
        <w:t>Generally, the Company’s primary source of liquidity is cash generated from operating activities. Operating cash flow is substantially derived from consolidated net earnings, before deducting depreciation, depletion and amortization, and offset by working capital requirements. Cash provided by operations was $657.9 million in 2017, $689.2 million in 2016 and $580.6 million in 2015. Cash provided by operations in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127000</wp:posOffset>
            </wp:positionV>
            <wp:extent cx="2661920" cy="30410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9">
                      <a:extLst>
                        <a:ext uri="{28A0092B-C50C-407E-A947-70E740481C1C}"/>
                      </a:extLst>
                    </a:blip>
                    <a:srcRect/>
                    <a:stretch>
                      <a:fillRect/>
                    </a:stretch>
                  </pic:blipFill>
                  <pic:spPr bwMode="auto">
                    <a:xfrm>
                      <a:off x="0" y="0"/>
                      <a:ext cx="2661920" cy="30410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reflects a higher buildup of inventories resulting from lower-than-expected shipment volumes. The increase in 2016 compared with 2015 was primarily attributable to higher earnings before depreciation, depletion and amortization expense.</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Depreciation, depletion and amortization were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280" w:type="dxa"/>
            <w:vAlign w:val="bottom"/>
          </w:tcPr>
          <w:p>
            <w:pPr>
              <w:spacing w:after="0"/>
              <w:rPr>
                <w:sz w:val="20"/>
                <w:szCs w:val="20"/>
                <w:color w:val="auto"/>
              </w:rPr>
            </w:pPr>
            <w:r>
              <w:rPr>
                <w:rFonts w:ascii="Arial" w:cs="Arial" w:eastAsia="Arial" w:hAnsi="Arial"/>
                <w:sz w:val="15"/>
                <w:szCs w:val="15"/>
                <w:i w:val="1"/>
                <w:iCs w:val="1"/>
                <w:color w:val="auto"/>
              </w:rPr>
              <w:t>years ended December 31</w:t>
            </w:r>
          </w:p>
        </w:tc>
        <w:tc>
          <w:tcPr>
            <w:tcW w:w="660" w:type="dxa"/>
            <w:vAlign w:val="bottom"/>
          </w:tcPr>
          <w:p>
            <w:pPr>
              <w:spacing w:after="0"/>
              <w:rPr>
                <w:sz w:val="14"/>
                <w:szCs w:val="14"/>
                <w:color w:val="auto"/>
              </w:rPr>
            </w:pPr>
          </w:p>
        </w:tc>
        <w:tc>
          <w:tcPr>
            <w:tcW w:w="720" w:type="dxa"/>
            <w:vAlign w:val="bottom"/>
            <w:vMerge w:val="restart"/>
          </w:tcPr>
          <w:p>
            <w:pPr>
              <w:jc w:val="right"/>
              <w:ind w:right="110"/>
              <w:spacing w:after="0"/>
              <w:rPr>
                <w:sz w:val="20"/>
                <w:szCs w:val="20"/>
                <w:color w:val="auto"/>
              </w:rPr>
            </w:pPr>
            <w:r>
              <w:rPr>
                <w:rFonts w:ascii="Arial" w:cs="Arial" w:eastAsia="Arial" w:hAnsi="Arial"/>
                <w:sz w:val="15"/>
                <w:szCs w:val="15"/>
                <w:b w:val="1"/>
                <w:bCs w:val="1"/>
                <w:color w:val="0085CD"/>
              </w:rPr>
              <w:t>2017</w:t>
            </w: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280" w:type="dxa"/>
            <w:vAlign w:val="bottom"/>
            <w:tcBorders>
              <w:bottom w:val="single" w:sz="8" w:color="auto"/>
            </w:tcBorders>
          </w:tcPr>
          <w:p>
            <w:pPr>
              <w:spacing w:after="0" w:line="159" w:lineRule="exact"/>
              <w:rPr>
                <w:sz w:val="20"/>
                <w:szCs w:val="20"/>
                <w:color w:val="auto"/>
              </w:rPr>
            </w:pPr>
            <w:r>
              <w:rPr>
                <w:rFonts w:ascii="Arial" w:cs="Arial" w:eastAsia="Arial" w:hAnsi="Arial"/>
                <w:sz w:val="15"/>
                <w:szCs w:val="15"/>
                <w:color w:val="auto"/>
              </w:rPr>
              <w:t>(add 000)</w:t>
            </w:r>
          </w:p>
        </w:tc>
        <w:tc>
          <w:tcPr>
            <w:tcW w:w="6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10"/>
              <w:spacing w:after="0" w:line="159" w:lineRule="exact"/>
              <w:rPr>
                <w:sz w:val="20"/>
                <w:szCs w:val="20"/>
                <w:color w:val="auto"/>
              </w:rPr>
            </w:pPr>
            <w:r>
              <w:rPr>
                <w:rFonts w:ascii="Arial" w:cs="Arial" w:eastAsia="Arial" w:hAnsi="Arial"/>
                <w:sz w:val="15"/>
                <w:szCs w:val="15"/>
                <w:color w:val="auto"/>
              </w:rPr>
              <w:t>2016</w:t>
            </w:r>
          </w:p>
        </w:tc>
        <w:tc>
          <w:tcPr>
            <w:tcW w:w="3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2015</w:t>
            </w:r>
          </w:p>
        </w:tc>
        <w:tc>
          <w:tcPr>
            <w:tcW w:w="0" w:type="dxa"/>
            <w:vAlign w:val="bottom"/>
          </w:tcPr>
          <w:p>
            <w:pPr>
              <w:spacing w:after="0"/>
              <w:rPr>
                <w:sz w:val="1"/>
                <w:szCs w:val="1"/>
                <w:color w:val="auto"/>
              </w:rPr>
            </w:pPr>
          </w:p>
        </w:tc>
      </w:tr>
      <w:tr>
        <w:trPr>
          <w:trHeight w:val="149"/>
        </w:trPr>
        <w:tc>
          <w:tcPr>
            <w:tcW w:w="2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Depreciation</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ind w:right="110"/>
              <w:spacing w:after="0" w:line="149" w:lineRule="exact"/>
              <w:rPr>
                <w:sz w:val="20"/>
                <w:szCs w:val="20"/>
                <w:color w:val="auto"/>
              </w:rPr>
            </w:pPr>
            <w:r>
              <w:rPr>
                <w:rFonts w:ascii="Arial" w:cs="Arial" w:eastAsia="Arial" w:hAnsi="Arial"/>
                <w:sz w:val="14"/>
                <w:szCs w:val="14"/>
                <w:b w:val="1"/>
                <w:bCs w:val="1"/>
                <w:color w:val="auto"/>
              </w:rPr>
              <w:t>262,382</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0"/>
              <w:spacing w:after="0" w:line="149" w:lineRule="exact"/>
              <w:rPr>
                <w:sz w:val="20"/>
                <w:szCs w:val="20"/>
                <w:color w:val="auto"/>
              </w:rPr>
            </w:pPr>
            <w:r>
              <w:rPr>
                <w:rFonts w:ascii="Arial" w:cs="Arial" w:eastAsia="Arial" w:hAnsi="Arial"/>
                <w:sz w:val="14"/>
                <w:szCs w:val="14"/>
                <w:color w:val="auto"/>
              </w:rPr>
              <w:t>253,028</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232,527</w:t>
            </w:r>
          </w:p>
        </w:tc>
        <w:tc>
          <w:tcPr>
            <w:tcW w:w="0" w:type="dxa"/>
            <w:vAlign w:val="bottom"/>
          </w:tcPr>
          <w:p>
            <w:pPr>
              <w:spacing w:after="0"/>
              <w:rPr>
                <w:sz w:val="1"/>
                <w:szCs w:val="1"/>
                <w:color w:val="auto"/>
              </w:rPr>
            </w:pPr>
          </w:p>
        </w:tc>
      </w:tr>
      <w:tr>
        <w:trPr>
          <w:trHeight w:val="156"/>
        </w:trPr>
        <w:tc>
          <w:tcPr>
            <w:tcW w:w="2280" w:type="dxa"/>
            <w:vAlign w:val="bottom"/>
          </w:tcPr>
          <w:p>
            <w:pPr>
              <w:spacing w:after="0" w:line="156" w:lineRule="exact"/>
              <w:rPr>
                <w:sz w:val="20"/>
                <w:szCs w:val="20"/>
                <w:color w:val="auto"/>
              </w:rPr>
            </w:pPr>
            <w:r>
              <w:rPr>
                <w:rFonts w:ascii="Arial" w:cs="Arial" w:eastAsia="Arial" w:hAnsi="Arial"/>
                <w:sz w:val="14"/>
                <w:szCs w:val="14"/>
                <w:color w:val="auto"/>
              </w:rPr>
              <w:t>Depletion</w:t>
            </w:r>
          </w:p>
        </w:tc>
        <w:tc>
          <w:tcPr>
            <w:tcW w:w="660" w:type="dxa"/>
            <w:vAlign w:val="bottom"/>
          </w:tcPr>
          <w:p>
            <w:pPr>
              <w:spacing w:after="0"/>
              <w:rPr>
                <w:sz w:val="13"/>
                <w:szCs w:val="13"/>
                <w:color w:val="auto"/>
              </w:rPr>
            </w:pPr>
          </w:p>
        </w:tc>
        <w:tc>
          <w:tcPr>
            <w:tcW w:w="720" w:type="dxa"/>
            <w:vAlign w:val="bottom"/>
          </w:tcPr>
          <w:p>
            <w:pPr>
              <w:jc w:val="right"/>
              <w:ind w:right="110"/>
              <w:spacing w:after="0" w:line="156" w:lineRule="exact"/>
              <w:rPr>
                <w:sz w:val="20"/>
                <w:szCs w:val="20"/>
                <w:color w:val="auto"/>
              </w:rPr>
            </w:pPr>
            <w:r>
              <w:rPr>
                <w:rFonts w:ascii="Arial" w:cs="Arial" w:eastAsia="Arial" w:hAnsi="Arial"/>
                <w:sz w:val="14"/>
                <w:szCs w:val="14"/>
                <w:b w:val="1"/>
                <w:bCs w:val="1"/>
                <w:color w:val="auto"/>
              </w:rPr>
              <w:t>17,391</w:t>
            </w:r>
          </w:p>
        </w:tc>
        <w:tc>
          <w:tcPr>
            <w:tcW w:w="300" w:type="dxa"/>
            <w:vAlign w:val="bottom"/>
          </w:tcPr>
          <w:p>
            <w:pPr>
              <w:spacing w:after="0"/>
              <w:rPr>
                <w:sz w:val="13"/>
                <w:szCs w:val="13"/>
                <w:color w:val="auto"/>
              </w:rPr>
            </w:pPr>
          </w:p>
        </w:tc>
        <w:tc>
          <w:tcPr>
            <w:tcW w:w="720" w:type="dxa"/>
            <w:vAlign w:val="bottom"/>
          </w:tcPr>
          <w:p>
            <w:pPr>
              <w:jc w:val="right"/>
              <w:ind w:right="110"/>
              <w:spacing w:after="0" w:line="156" w:lineRule="exact"/>
              <w:rPr>
                <w:sz w:val="20"/>
                <w:szCs w:val="20"/>
                <w:color w:val="auto"/>
              </w:rPr>
            </w:pPr>
            <w:r>
              <w:rPr>
                <w:rFonts w:ascii="Arial" w:cs="Arial" w:eastAsia="Arial" w:hAnsi="Arial"/>
                <w:sz w:val="14"/>
                <w:szCs w:val="14"/>
                <w:color w:val="auto"/>
              </w:rPr>
              <w:t>15,907</w:t>
            </w:r>
          </w:p>
        </w:tc>
        <w:tc>
          <w:tcPr>
            <w:tcW w:w="300" w:type="dxa"/>
            <w:vAlign w:val="bottom"/>
          </w:tcPr>
          <w:p>
            <w:pPr>
              <w:spacing w:after="0"/>
              <w:rPr>
                <w:sz w:val="13"/>
                <w:szCs w:val="13"/>
                <w:color w:val="auto"/>
              </w:rPr>
            </w:pPr>
          </w:p>
        </w:tc>
        <w:tc>
          <w:tcPr>
            <w:tcW w:w="600" w:type="dxa"/>
            <w:vAlign w:val="bottom"/>
          </w:tcPr>
          <w:p>
            <w:pPr>
              <w:jc w:val="right"/>
              <w:spacing w:after="0" w:line="156" w:lineRule="exact"/>
              <w:rPr>
                <w:sz w:val="20"/>
                <w:szCs w:val="20"/>
                <w:color w:val="auto"/>
              </w:rPr>
            </w:pPr>
            <w:r>
              <w:rPr>
                <w:rFonts w:ascii="Arial" w:cs="Arial" w:eastAsia="Arial" w:hAnsi="Arial"/>
                <w:sz w:val="14"/>
                <w:szCs w:val="14"/>
                <w:color w:val="auto"/>
              </w:rPr>
              <w:t>14,347</w:t>
            </w:r>
          </w:p>
        </w:tc>
        <w:tc>
          <w:tcPr>
            <w:tcW w:w="0" w:type="dxa"/>
            <w:vAlign w:val="bottom"/>
          </w:tcPr>
          <w:p>
            <w:pPr>
              <w:spacing w:after="0"/>
              <w:rPr>
                <w:sz w:val="1"/>
                <w:szCs w:val="1"/>
                <w:color w:val="auto"/>
              </w:rPr>
            </w:pPr>
          </w:p>
        </w:tc>
      </w:tr>
      <w:tr>
        <w:trPr>
          <w:trHeight w:val="156"/>
        </w:trPr>
        <w:tc>
          <w:tcPr>
            <w:tcW w:w="228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4"/>
                <w:szCs w:val="14"/>
                <w:color w:val="auto"/>
              </w:rPr>
              <w:t>Amortization</w:t>
            </w:r>
          </w:p>
        </w:tc>
        <w:tc>
          <w:tcPr>
            <w:tcW w:w="66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110"/>
              <w:spacing w:after="0" w:line="156" w:lineRule="exact"/>
              <w:rPr>
                <w:sz w:val="20"/>
                <w:szCs w:val="20"/>
                <w:color w:val="auto"/>
              </w:rPr>
            </w:pPr>
            <w:r>
              <w:rPr>
                <w:rFonts w:ascii="Arial" w:cs="Arial" w:eastAsia="Arial" w:hAnsi="Arial"/>
                <w:sz w:val="14"/>
                <w:szCs w:val="14"/>
                <w:b w:val="1"/>
                <w:bCs w:val="1"/>
                <w:color w:val="auto"/>
              </w:rPr>
              <w:t>17,389</w:t>
            </w:r>
          </w:p>
        </w:tc>
        <w:tc>
          <w:tcPr>
            <w:tcW w:w="30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110"/>
              <w:spacing w:after="0" w:line="156" w:lineRule="exact"/>
              <w:rPr>
                <w:sz w:val="20"/>
                <w:szCs w:val="20"/>
                <w:color w:val="auto"/>
              </w:rPr>
            </w:pPr>
            <w:r>
              <w:rPr>
                <w:rFonts w:ascii="Arial" w:cs="Arial" w:eastAsia="Arial" w:hAnsi="Arial"/>
                <w:sz w:val="14"/>
                <w:szCs w:val="14"/>
                <w:color w:val="auto"/>
              </w:rPr>
              <w:t>16,318</w:t>
            </w:r>
          </w:p>
        </w:tc>
        <w:tc>
          <w:tcPr>
            <w:tcW w:w="30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16,713</w:t>
            </w:r>
          </w:p>
        </w:tc>
        <w:tc>
          <w:tcPr>
            <w:tcW w:w="0" w:type="dxa"/>
            <w:vAlign w:val="bottom"/>
          </w:tcPr>
          <w:p>
            <w:pPr>
              <w:spacing w:after="0"/>
              <w:rPr>
                <w:sz w:val="1"/>
                <w:szCs w:val="1"/>
                <w:color w:val="auto"/>
              </w:rPr>
            </w:pPr>
          </w:p>
        </w:tc>
      </w:tr>
      <w:tr>
        <w:trPr>
          <w:trHeight w:val="155"/>
        </w:trPr>
        <w:tc>
          <w:tcPr>
            <w:tcW w:w="228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Total</w:t>
            </w: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tcPr>
          <w:p>
            <w:pPr>
              <w:jc w:val="right"/>
              <w:ind w:right="110"/>
              <w:spacing w:after="0" w:line="149" w:lineRule="exact"/>
              <w:rPr>
                <w:sz w:val="20"/>
                <w:szCs w:val="20"/>
                <w:color w:val="auto"/>
              </w:rPr>
            </w:pPr>
            <w:r>
              <w:rPr>
                <w:rFonts w:ascii="Arial" w:cs="Arial" w:eastAsia="Arial" w:hAnsi="Arial"/>
                <w:sz w:val="14"/>
                <w:szCs w:val="14"/>
                <w:b w:val="1"/>
                <w:bCs w:val="1"/>
                <w:color w:val="auto"/>
              </w:rPr>
              <w:t>297,162</w:t>
            </w:r>
          </w:p>
        </w:tc>
        <w:tc>
          <w:tcPr>
            <w:tcW w:w="3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110"/>
              <w:spacing w:after="0" w:line="149" w:lineRule="exact"/>
              <w:rPr>
                <w:sz w:val="20"/>
                <w:szCs w:val="20"/>
                <w:color w:val="auto"/>
              </w:rPr>
            </w:pPr>
            <w:r>
              <w:rPr>
                <w:rFonts w:ascii="Arial" w:cs="Arial" w:eastAsia="Arial" w:hAnsi="Arial"/>
                <w:sz w:val="14"/>
                <w:szCs w:val="14"/>
                <w:color w:val="auto"/>
              </w:rPr>
              <w:t>285,253</w:t>
            </w:r>
          </w:p>
        </w:tc>
        <w:tc>
          <w:tcPr>
            <w:tcW w:w="3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263,587</w:t>
            </w:r>
          </w:p>
        </w:tc>
        <w:tc>
          <w:tcPr>
            <w:tcW w:w="0" w:type="dxa"/>
            <w:vAlign w:val="bottom"/>
          </w:tcPr>
          <w:p>
            <w:pPr>
              <w:spacing w:after="0"/>
              <w:rPr>
                <w:sz w:val="1"/>
                <w:szCs w:val="1"/>
                <w:color w:val="auto"/>
              </w:rPr>
            </w:pPr>
          </w:p>
        </w:tc>
      </w:tr>
    </w:tbl>
    <w:p>
      <w:pPr>
        <w:spacing w:after="0" w:line="163"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The Company accelerated $38 million of capital spending on mobile equipment in the latter part of 2016, contributing to the increase in depreciation expense in 2017. The increase in 2016 is primarily due to the Medina Rock and Rail capital project, which was completed at the end of 2015.</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8D5D6C"/>
        </w:rPr>
        <w:t>Investing Activities</w:t>
      </w:r>
    </w:p>
    <w:p>
      <w:pPr>
        <w:spacing w:after="0" w:line="55"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Net cash used for investing activities was $386.5 million in 2017 and $555.3 million in 2016. Net cash provided by investing activities was $88.5 million in 2015.</w:t>
      </w:r>
    </w:p>
    <w:p>
      <w:pPr>
        <w:spacing w:after="0" w:line="25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Property, plant and equipment capitalized by reportable segment, excluding acquisitions, was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280" w:type="dxa"/>
            <w:vAlign w:val="bottom"/>
          </w:tcPr>
          <w:p>
            <w:pPr>
              <w:spacing w:after="0"/>
              <w:rPr>
                <w:sz w:val="20"/>
                <w:szCs w:val="20"/>
                <w:color w:val="auto"/>
              </w:rPr>
            </w:pPr>
            <w:r>
              <w:rPr>
                <w:rFonts w:ascii="Arial" w:cs="Arial" w:eastAsia="Arial" w:hAnsi="Arial"/>
                <w:sz w:val="15"/>
                <w:szCs w:val="15"/>
                <w:i w:val="1"/>
                <w:iCs w:val="1"/>
                <w:color w:val="auto"/>
              </w:rPr>
              <w:t>years ended December 31</w:t>
            </w:r>
          </w:p>
        </w:tc>
        <w:tc>
          <w:tcPr>
            <w:tcW w:w="660" w:type="dxa"/>
            <w:vAlign w:val="bottom"/>
          </w:tcPr>
          <w:p>
            <w:pPr>
              <w:spacing w:after="0"/>
              <w:rPr>
                <w:sz w:val="15"/>
                <w:szCs w:val="15"/>
                <w:color w:val="auto"/>
              </w:rPr>
            </w:pPr>
          </w:p>
        </w:tc>
        <w:tc>
          <w:tcPr>
            <w:tcW w:w="720" w:type="dxa"/>
            <w:vAlign w:val="bottom"/>
            <w:vMerge w:val="restart"/>
          </w:tcPr>
          <w:p>
            <w:pPr>
              <w:jc w:val="right"/>
              <w:ind w:right="110"/>
              <w:spacing w:after="0"/>
              <w:rPr>
                <w:sz w:val="20"/>
                <w:szCs w:val="20"/>
                <w:color w:val="auto"/>
              </w:rPr>
            </w:pPr>
            <w:r>
              <w:rPr>
                <w:rFonts w:ascii="Arial" w:cs="Arial" w:eastAsia="Arial" w:hAnsi="Arial"/>
                <w:sz w:val="15"/>
                <w:szCs w:val="15"/>
                <w:b w:val="1"/>
                <w:bCs w:val="1"/>
                <w:color w:val="0085CD"/>
              </w:rPr>
              <w:t>2017</w:t>
            </w: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2280" w:type="dxa"/>
            <w:vAlign w:val="bottom"/>
            <w:tcBorders>
              <w:bottom w:val="single" w:sz="8" w:color="auto"/>
            </w:tcBorders>
          </w:tcPr>
          <w:p>
            <w:pPr>
              <w:spacing w:after="0" w:line="159" w:lineRule="exact"/>
              <w:rPr>
                <w:sz w:val="20"/>
                <w:szCs w:val="20"/>
                <w:color w:val="auto"/>
              </w:rPr>
            </w:pPr>
            <w:r>
              <w:rPr>
                <w:rFonts w:ascii="Arial" w:cs="Arial" w:eastAsia="Arial" w:hAnsi="Arial"/>
                <w:sz w:val="15"/>
                <w:szCs w:val="15"/>
                <w:color w:val="auto"/>
              </w:rPr>
              <w:t>(add 000)</w:t>
            </w:r>
          </w:p>
        </w:tc>
        <w:tc>
          <w:tcPr>
            <w:tcW w:w="6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10"/>
              <w:spacing w:after="0" w:line="159" w:lineRule="exact"/>
              <w:rPr>
                <w:sz w:val="20"/>
                <w:szCs w:val="20"/>
                <w:color w:val="auto"/>
              </w:rPr>
            </w:pPr>
            <w:r>
              <w:rPr>
                <w:rFonts w:ascii="Arial" w:cs="Arial" w:eastAsia="Arial" w:hAnsi="Arial"/>
                <w:sz w:val="15"/>
                <w:szCs w:val="15"/>
                <w:color w:val="auto"/>
              </w:rPr>
              <w:t>2016</w:t>
            </w:r>
          </w:p>
        </w:tc>
        <w:tc>
          <w:tcPr>
            <w:tcW w:w="3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2015</w:t>
            </w:r>
          </w:p>
        </w:tc>
        <w:tc>
          <w:tcPr>
            <w:tcW w:w="0" w:type="dxa"/>
            <w:vAlign w:val="bottom"/>
          </w:tcPr>
          <w:p>
            <w:pPr>
              <w:spacing w:after="0"/>
              <w:rPr>
                <w:sz w:val="1"/>
                <w:szCs w:val="1"/>
                <w:color w:val="auto"/>
              </w:rPr>
            </w:pPr>
          </w:p>
        </w:tc>
      </w:tr>
      <w:tr>
        <w:trPr>
          <w:trHeight w:val="149"/>
        </w:trPr>
        <w:tc>
          <w:tcPr>
            <w:tcW w:w="2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Building Materials Business:</w:t>
            </w:r>
          </w:p>
        </w:tc>
        <w:tc>
          <w:tcPr>
            <w:tcW w:w="6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280" w:type="dxa"/>
            <w:vAlign w:val="bottom"/>
          </w:tcPr>
          <w:p>
            <w:pPr>
              <w:ind w:left="120"/>
              <w:spacing w:after="0" w:line="156" w:lineRule="exact"/>
              <w:rPr>
                <w:sz w:val="20"/>
                <w:szCs w:val="20"/>
                <w:color w:val="auto"/>
              </w:rPr>
            </w:pPr>
            <w:r>
              <w:rPr>
                <w:rFonts w:ascii="Arial" w:cs="Arial" w:eastAsia="Arial" w:hAnsi="Arial"/>
                <w:sz w:val="14"/>
                <w:szCs w:val="14"/>
                <w:color w:val="auto"/>
              </w:rPr>
              <w:t>Mid-America Group</w:t>
            </w:r>
          </w:p>
        </w:tc>
        <w:tc>
          <w:tcPr>
            <w:tcW w:w="660" w:type="dxa"/>
            <w:vAlign w:val="bottom"/>
          </w:tcPr>
          <w:p>
            <w:pPr>
              <w:jc w:val="right"/>
              <w:spacing w:after="0" w:line="156" w:lineRule="exact"/>
              <w:rPr>
                <w:sz w:val="20"/>
                <w:szCs w:val="20"/>
                <w:color w:val="auto"/>
              </w:rPr>
            </w:pPr>
            <w:r>
              <w:rPr>
                <w:rFonts w:ascii="Arial" w:cs="Arial" w:eastAsia="Arial" w:hAnsi="Arial"/>
                <w:sz w:val="14"/>
                <w:szCs w:val="14"/>
                <w:b w:val="1"/>
                <w:bCs w:val="1"/>
                <w:color w:val="auto"/>
              </w:rPr>
              <w:t>$</w:t>
            </w:r>
          </w:p>
        </w:tc>
        <w:tc>
          <w:tcPr>
            <w:tcW w:w="720" w:type="dxa"/>
            <w:vAlign w:val="bottom"/>
          </w:tcPr>
          <w:p>
            <w:pPr>
              <w:jc w:val="right"/>
              <w:ind w:right="110"/>
              <w:spacing w:after="0" w:line="156" w:lineRule="exact"/>
              <w:rPr>
                <w:sz w:val="20"/>
                <w:szCs w:val="20"/>
                <w:color w:val="auto"/>
              </w:rPr>
            </w:pPr>
            <w:r>
              <w:rPr>
                <w:rFonts w:ascii="Arial" w:cs="Arial" w:eastAsia="Arial" w:hAnsi="Arial"/>
                <w:sz w:val="14"/>
                <w:szCs w:val="14"/>
                <w:b w:val="1"/>
                <w:bCs w:val="1"/>
                <w:color w:val="auto"/>
              </w:rPr>
              <w:t>139,445</w:t>
            </w:r>
          </w:p>
        </w:tc>
        <w:tc>
          <w:tcPr>
            <w:tcW w:w="30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0"/>
              <w:spacing w:after="0" w:line="156" w:lineRule="exact"/>
              <w:rPr>
                <w:sz w:val="20"/>
                <w:szCs w:val="20"/>
                <w:color w:val="auto"/>
              </w:rPr>
            </w:pPr>
            <w:r>
              <w:rPr>
                <w:rFonts w:ascii="Arial" w:cs="Arial" w:eastAsia="Arial" w:hAnsi="Arial"/>
                <w:sz w:val="14"/>
                <w:szCs w:val="14"/>
                <w:color w:val="auto"/>
              </w:rPr>
              <w:t>150,490</w:t>
            </w:r>
          </w:p>
        </w:tc>
        <w:tc>
          <w:tcPr>
            <w:tcW w:w="30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6" w:lineRule="exact"/>
              <w:rPr>
                <w:sz w:val="20"/>
                <w:szCs w:val="20"/>
                <w:color w:val="auto"/>
              </w:rPr>
            </w:pPr>
            <w:r>
              <w:rPr>
                <w:rFonts w:ascii="Arial" w:cs="Arial" w:eastAsia="Arial" w:hAnsi="Arial"/>
                <w:sz w:val="14"/>
                <w:szCs w:val="14"/>
                <w:color w:val="auto"/>
              </w:rPr>
              <w:t>73,255</w:t>
            </w:r>
          </w:p>
        </w:tc>
        <w:tc>
          <w:tcPr>
            <w:tcW w:w="0" w:type="dxa"/>
            <w:vAlign w:val="bottom"/>
          </w:tcPr>
          <w:p>
            <w:pPr>
              <w:spacing w:after="0"/>
              <w:rPr>
                <w:sz w:val="1"/>
                <w:szCs w:val="1"/>
                <w:color w:val="auto"/>
              </w:rPr>
            </w:pPr>
          </w:p>
        </w:tc>
      </w:tr>
      <w:tr>
        <w:trPr>
          <w:trHeight w:val="156"/>
        </w:trPr>
        <w:tc>
          <w:tcPr>
            <w:tcW w:w="2280" w:type="dxa"/>
            <w:vAlign w:val="bottom"/>
            <w:shd w:val="clear" w:color="auto" w:fill="CCEEFF"/>
          </w:tcPr>
          <w:p>
            <w:pPr>
              <w:ind w:left="120"/>
              <w:spacing w:after="0" w:line="156" w:lineRule="exact"/>
              <w:rPr>
                <w:sz w:val="20"/>
                <w:szCs w:val="20"/>
                <w:color w:val="auto"/>
              </w:rPr>
            </w:pPr>
            <w:r>
              <w:rPr>
                <w:rFonts w:ascii="Arial" w:cs="Arial" w:eastAsia="Arial" w:hAnsi="Arial"/>
                <w:sz w:val="14"/>
                <w:szCs w:val="14"/>
                <w:color w:val="auto"/>
              </w:rPr>
              <w:t>Southeast Group</w:t>
            </w:r>
          </w:p>
        </w:tc>
        <w:tc>
          <w:tcPr>
            <w:tcW w:w="66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110"/>
              <w:spacing w:after="0" w:line="156" w:lineRule="exact"/>
              <w:rPr>
                <w:sz w:val="20"/>
                <w:szCs w:val="20"/>
                <w:color w:val="auto"/>
              </w:rPr>
            </w:pPr>
            <w:r>
              <w:rPr>
                <w:rFonts w:ascii="Arial" w:cs="Arial" w:eastAsia="Arial" w:hAnsi="Arial"/>
                <w:sz w:val="14"/>
                <w:szCs w:val="14"/>
                <w:b w:val="1"/>
                <w:bCs w:val="1"/>
                <w:color w:val="auto"/>
              </w:rPr>
              <w:t>34,636</w:t>
            </w:r>
          </w:p>
        </w:tc>
        <w:tc>
          <w:tcPr>
            <w:tcW w:w="30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110"/>
              <w:spacing w:after="0" w:line="156" w:lineRule="exact"/>
              <w:rPr>
                <w:sz w:val="20"/>
                <w:szCs w:val="20"/>
                <w:color w:val="auto"/>
              </w:rPr>
            </w:pPr>
            <w:r>
              <w:rPr>
                <w:rFonts w:ascii="Arial" w:cs="Arial" w:eastAsia="Arial" w:hAnsi="Arial"/>
                <w:sz w:val="14"/>
                <w:szCs w:val="14"/>
                <w:color w:val="auto"/>
              </w:rPr>
              <w:t>30,588</w:t>
            </w:r>
          </w:p>
        </w:tc>
        <w:tc>
          <w:tcPr>
            <w:tcW w:w="3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12,155</w:t>
            </w:r>
          </w:p>
        </w:tc>
        <w:tc>
          <w:tcPr>
            <w:tcW w:w="0" w:type="dxa"/>
            <w:vAlign w:val="bottom"/>
          </w:tcPr>
          <w:p>
            <w:pPr>
              <w:spacing w:after="0"/>
              <w:rPr>
                <w:sz w:val="1"/>
                <w:szCs w:val="1"/>
                <w:color w:val="auto"/>
              </w:rPr>
            </w:pPr>
          </w:p>
        </w:tc>
      </w:tr>
      <w:tr>
        <w:trPr>
          <w:trHeight w:val="156"/>
        </w:trPr>
        <w:tc>
          <w:tcPr>
            <w:tcW w:w="2280" w:type="dxa"/>
            <w:vAlign w:val="bottom"/>
            <w:tcBorders>
              <w:bottom w:val="single" w:sz="8" w:color="auto"/>
            </w:tcBorders>
          </w:tcPr>
          <w:p>
            <w:pPr>
              <w:ind w:left="120"/>
              <w:spacing w:after="0" w:line="156" w:lineRule="exact"/>
              <w:rPr>
                <w:sz w:val="20"/>
                <w:szCs w:val="20"/>
                <w:color w:val="auto"/>
              </w:rPr>
            </w:pPr>
            <w:r>
              <w:rPr>
                <w:rFonts w:ascii="Arial" w:cs="Arial" w:eastAsia="Arial" w:hAnsi="Arial"/>
                <w:sz w:val="14"/>
                <w:szCs w:val="14"/>
                <w:color w:val="auto"/>
              </w:rPr>
              <w:t>West Group</w:t>
            </w:r>
          </w:p>
        </w:tc>
        <w:tc>
          <w:tcPr>
            <w:tcW w:w="6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10"/>
              <w:spacing w:after="0" w:line="156" w:lineRule="exact"/>
              <w:rPr>
                <w:sz w:val="20"/>
                <w:szCs w:val="20"/>
                <w:color w:val="auto"/>
              </w:rPr>
            </w:pPr>
            <w:r>
              <w:rPr>
                <w:rFonts w:ascii="Arial" w:cs="Arial" w:eastAsia="Arial" w:hAnsi="Arial"/>
                <w:sz w:val="14"/>
                <w:szCs w:val="14"/>
                <w:b w:val="1"/>
                <w:bCs w:val="1"/>
                <w:color w:val="auto"/>
              </w:rPr>
              <w:t>234,853</w:t>
            </w:r>
          </w:p>
        </w:tc>
        <w:tc>
          <w:tcPr>
            <w:tcW w:w="3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10"/>
              <w:spacing w:after="0" w:line="156" w:lineRule="exact"/>
              <w:rPr>
                <w:sz w:val="20"/>
                <w:szCs w:val="20"/>
                <w:color w:val="auto"/>
              </w:rPr>
            </w:pPr>
            <w:r>
              <w:rPr>
                <w:rFonts w:ascii="Arial" w:cs="Arial" w:eastAsia="Arial" w:hAnsi="Arial"/>
                <w:sz w:val="14"/>
                <w:szCs w:val="14"/>
                <w:color w:val="auto"/>
              </w:rPr>
              <w:t>204,495</w:t>
            </w:r>
          </w:p>
        </w:tc>
        <w:tc>
          <w:tcPr>
            <w:tcW w:w="3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208,169</w:t>
            </w:r>
          </w:p>
        </w:tc>
        <w:tc>
          <w:tcPr>
            <w:tcW w:w="0" w:type="dxa"/>
            <w:vAlign w:val="bottom"/>
          </w:tcPr>
          <w:p>
            <w:pPr>
              <w:spacing w:after="0"/>
              <w:rPr>
                <w:sz w:val="1"/>
                <w:szCs w:val="1"/>
                <w:color w:val="auto"/>
              </w:rPr>
            </w:pPr>
          </w:p>
        </w:tc>
      </w:tr>
      <w:tr>
        <w:trPr>
          <w:trHeight w:val="149"/>
        </w:trPr>
        <w:tc>
          <w:tcPr>
            <w:tcW w:w="2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Building</w:t>
            </w:r>
          </w:p>
        </w:tc>
        <w:tc>
          <w:tcPr>
            <w:tcW w:w="6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280" w:type="dxa"/>
            <w:vAlign w:val="bottom"/>
          </w:tcPr>
          <w:p>
            <w:pPr>
              <w:ind w:left="120"/>
              <w:spacing w:after="0" w:line="156" w:lineRule="exact"/>
              <w:rPr>
                <w:sz w:val="20"/>
                <w:szCs w:val="20"/>
                <w:color w:val="auto"/>
              </w:rPr>
            </w:pPr>
            <w:r>
              <w:rPr>
                <w:rFonts w:ascii="Arial" w:cs="Arial" w:eastAsia="Arial" w:hAnsi="Arial"/>
                <w:sz w:val="14"/>
                <w:szCs w:val="14"/>
                <w:color w:val="auto"/>
              </w:rPr>
              <w:t>Materials Business</w:t>
            </w:r>
          </w:p>
        </w:tc>
        <w:tc>
          <w:tcPr>
            <w:tcW w:w="660" w:type="dxa"/>
            <w:vAlign w:val="bottom"/>
          </w:tcPr>
          <w:p>
            <w:pPr>
              <w:spacing w:after="0"/>
              <w:rPr>
                <w:sz w:val="13"/>
                <w:szCs w:val="13"/>
                <w:color w:val="auto"/>
              </w:rPr>
            </w:pPr>
          </w:p>
        </w:tc>
        <w:tc>
          <w:tcPr>
            <w:tcW w:w="720" w:type="dxa"/>
            <w:vAlign w:val="bottom"/>
          </w:tcPr>
          <w:p>
            <w:pPr>
              <w:jc w:val="right"/>
              <w:ind w:right="110"/>
              <w:spacing w:after="0" w:line="156" w:lineRule="exact"/>
              <w:rPr>
                <w:sz w:val="20"/>
                <w:szCs w:val="20"/>
                <w:color w:val="auto"/>
              </w:rPr>
            </w:pPr>
            <w:r>
              <w:rPr>
                <w:rFonts w:ascii="Arial" w:cs="Arial" w:eastAsia="Arial" w:hAnsi="Arial"/>
                <w:sz w:val="14"/>
                <w:szCs w:val="14"/>
                <w:b w:val="1"/>
                <w:bCs w:val="1"/>
                <w:color w:val="auto"/>
              </w:rPr>
              <w:t>408,934</w:t>
            </w:r>
          </w:p>
        </w:tc>
        <w:tc>
          <w:tcPr>
            <w:tcW w:w="300" w:type="dxa"/>
            <w:vAlign w:val="bottom"/>
          </w:tcPr>
          <w:p>
            <w:pPr>
              <w:spacing w:after="0"/>
              <w:rPr>
                <w:sz w:val="13"/>
                <w:szCs w:val="13"/>
                <w:color w:val="auto"/>
              </w:rPr>
            </w:pPr>
          </w:p>
        </w:tc>
        <w:tc>
          <w:tcPr>
            <w:tcW w:w="720" w:type="dxa"/>
            <w:vAlign w:val="bottom"/>
          </w:tcPr>
          <w:p>
            <w:pPr>
              <w:jc w:val="right"/>
              <w:ind w:right="110"/>
              <w:spacing w:after="0" w:line="156" w:lineRule="exact"/>
              <w:rPr>
                <w:sz w:val="20"/>
                <w:szCs w:val="20"/>
                <w:color w:val="auto"/>
              </w:rPr>
            </w:pPr>
            <w:r>
              <w:rPr>
                <w:rFonts w:ascii="Arial" w:cs="Arial" w:eastAsia="Arial" w:hAnsi="Arial"/>
                <w:sz w:val="14"/>
                <w:szCs w:val="14"/>
                <w:color w:val="auto"/>
              </w:rPr>
              <w:t>385,573</w:t>
            </w:r>
          </w:p>
        </w:tc>
        <w:tc>
          <w:tcPr>
            <w:tcW w:w="300" w:type="dxa"/>
            <w:vAlign w:val="bottom"/>
          </w:tcPr>
          <w:p>
            <w:pPr>
              <w:spacing w:after="0"/>
              <w:rPr>
                <w:sz w:val="13"/>
                <w:szCs w:val="13"/>
                <w:color w:val="auto"/>
              </w:rPr>
            </w:pPr>
          </w:p>
        </w:tc>
        <w:tc>
          <w:tcPr>
            <w:tcW w:w="600" w:type="dxa"/>
            <w:vAlign w:val="bottom"/>
          </w:tcPr>
          <w:p>
            <w:pPr>
              <w:jc w:val="right"/>
              <w:spacing w:after="0" w:line="156" w:lineRule="exact"/>
              <w:rPr>
                <w:sz w:val="20"/>
                <w:szCs w:val="20"/>
                <w:color w:val="auto"/>
              </w:rPr>
            </w:pPr>
            <w:r>
              <w:rPr>
                <w:rFonts w:ascii="Arial" w:cs="Arial" w:eastAsia="Arial" w:hAnsi="Arial"/>
                <w:sz w:val="14"/>
                <w:szCs w:val="14"/>
                <w:color w:val="auto"/>
              </w:rPr>
              <w:t>293,579</w:t>
            </w:r>
          </w:p>
        </w:tc>
        <w:tc>
          <w:tcPr>
            <w:tcW w:w="0" w:type="dxa"/>
            <w:vAlign w:val="bottom"/>
          </w:tcPr>
          <w:p>
            <w:pPr>
              <w:spacing w:after="0"/>
              <w:rPr>
                <w:sz w:val="1"/>
                <w:szCs w:val="1"/>
                <w:color w:val="auto"/>
              </w:rPr>
            </w:pPr>
          </w:p>
        </w:tc>
      </w:tr>
      <w:tr>
        <w:trPr>
          <w:trHeight w:val="156"/>
        </w:trPr>
        <w:tc>
          <w:tcPr>
            <w:tcW w:w="228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Magnesia Specialties</w:t>
            </w:r>
          </w:p>
        </w:tc>
        <w:tc>
          <w:tcPr>
            <w:tcW w:w="66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110"/>
              <w:spacing w:after="0" w:line="156" w:lineRule="exact"/>
              <w:rPr>
                <w:sz w:val="20"/>
                <w:szCs w:val="20"/>
                <w:color w:val="auto"/>
              </w:rPr>
            </w:pPr>
            <w:r>
              <w:rPr>
                <w:rFonts w:ascii="Arial" w:cs="Arial" w:eastAsia="Arial" w:hAnsi="Arial"/>
                <w:sz w:val="14"/>
                <w:szCs w:val="14"/>
                <w:b w:val="1"/>
                <w:bCs w:val="1"/>
                <w:color w:val="auto"/>
              </w:rPr>
              <w:t>11,129</w:t>
            </w:r>
          </w:p>
        </w:tc>
        <w:tc>
          <w:tcPr>
            <w:tcW w:w="30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110"/>
              <w:spacing w:after="0" w:line="156" w:lineRule="exact"/>
              <w:rPr>
                <w:sz w:val="20"/>
                <w:szCs w:val="20"/>
                <w:color w:val="auto"/>
              </w:rPr>
            </w:pPr>
            <w:r>
              <w:rPr>
                <w:rFonts w:ascii="Arial" w:cs="Arial" w:eastAsia="Arial" w:hAnsi="Arial"/>
                <w:sz w:val="14"/>
                <w:szCs w:val="14"/>
                <w:color w:val="auto"/>
              </w:rPr>
              <w:t>8,944</w:t>
            </w:r>
          </w:p>
        </w:tc>
        <w:tc>
          <w:tcPr>
            <w:tcW w:w="3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8,916</w:t>
            </w:r>
          </w:p>
        </w:tc>
        <w:tc>
          <w:tcPr>
            <w:tcW w:w="0" w:type="dxa"/>
            <w:vAlign w:val="bottom"/>
          </w:tcPr>
          <w:p>
            <w:pPr>
              <w:spacing w:after="0"/>
              <w:rPr>
                <w:sz w:val="1"/>
                <w:szCs w:val="1"/>
                <w:color w:val="auto"/>
              </w:rPr>
            </w:pPr>
          </w:p>
        </w:tc>
      </w:tr>
      <w:tr>
        <w:trPr>
          <w:trHeight w:val="156"/>
        </w:trPr>
        <w:tc>
          <w:tcPr>
            <w:tcW w:w="2280" w:type="dxa"/>
            <w:vAlign w:val="bottom"/>
            <w:tcBorders>
              <w:bottom w:val="single" w:sz="8" w:color="auto"/>
            </w:tcBorders>
          </w:tcPr>
          <w:p>
            <w:pPr>
              <w:spacing w:after="0" w:line="156" w:lineRule="exact"/>
              <w:rPr>
                <w:sz w:val="20"/>
                <w:szCs w:val="20"/>
                <w:color w:val="auto"/>
              </w:rPr>
            </w:pPr>
            <w:r>
              <w:rPr>
                <w:rFonts w:ascii="Arial" w:cs="Arial" w:eastAsia="Arial" w:hAnsi="Arial"/>
                <w:sz w:val="14"/>
                <w:szCs w:val="14"/>
                <w:color w:val="auto"/>
              </w:rPr>
              <w:t>Corporate</w:t>
            </w:r>
          </w:p>
        </w:tc>
        <w:tc>
          <w:tcPr>
            <w:tcW w:w="6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10"/>
              <w:spacing w:after="0" w:line="156" w:lineRule="exact"/>
              <w:rPr>
                <w:sz w:val="20"/>
                <w:szCs w:val="20"/>
                <w:color w:val="auto"/>
              </w:rPr>
            </w:pPr>
            <w:r>
              <w:rPr>
                <w:rFonts w:ascii="Arial" w:cs="Arial" w:eastAsia="Arial" w:hAnsi="Arial"/>
                <w:sz w:val="14"/>
                <w:szCs w:val="14"/>
                <w:b w:val="1"/>
                <w:bCs w:val="1"/>
                <w:color w:val="auto"/>
              </w:rPr>
              <w:t>12,291</w:t>
            </w:r>
          </w:p>
        </w:tc>
        <w:tc>
          <w:tcPr>
            <w:tcW w:w="3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10"/>
              <w:spacing w:after="0" w:line="156" w:lineRule="exact"/>
              <w:rPr>
                <w:sz w:val="20"/>
                <w:szCs w:val="20"/>
                <w:color w:val="auto"/>
              </w:rPr>
            </w:pPr>
            <w:r>
              <w:rPr>
                <w:rFonts w:ascii="Arial" w:cs="Arial" w:eastAsia="Arial" w:hAnsi="Arial"/>
                <w:sz w:val="14"/>
                <w:szCs w:val="14"/>
                <w:color w:val="auto"/>
              </w:rPr>
              <w:t>9,031</w:t>
            </w:r>
          </w:p>
        </w:tc>
        <w:tc>
          <w:tcPr>
            <w:tcW w:w="3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15,737</w:t>
            </w:r>
          </w:p>
        </w:tc>
        <w:tc>
          <w:tcPr>
            <w:tcW w:w="0" w:type="dxa"/>
            <w:vAlign w:val="bottom"/>
          </w:tcPr>
          <w:p>
            <w:pPr>
              <w:spacing w:after="0"/>
              <w:rPr>
                <w:sz w:val="1"/>
                <w:szCs w:val="1"/>
                <w:color w:val="auto"/>
              </w:rPr>
            </w:pPr>
          </w:p>
        </w:tc>
      </w:tr>
      <w:tr>
        <w:trPr>
          <w:trHeight w:val="155"/>
        </w:trPr>
        <w:tc>
          <w:tcPr>
            <w:tcW w:w="228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Total Consolidated</w:t>
            </w: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shd w:val="clear" w:color="auto" w:fill="CCEEFF"/>
          </w:tcPr>
          <w:p>
            <w:pPr>
              <w:jc w:val="right"/>
              <w:ind w:right="110"/>
              <w:spacing w:after="0" w:line="149" w:lineRule="exact"/>
              <w:rPr>
                <w:sz w:val="20"/>
                <w:szCs w:val="20"/>
                <w:color w:val="auto"/>
              </w:rPr>
            </w:pPr>
            <w:r>
              <w:rPr>
                <w:rFonts w:ascii="Arial" w:cs="Arial" w:eastAsia="Arial" w:hAnsi="Arial"/>
                <w:sz w:val="14"/>
                <w:szCs w:val="14"/>
                <w:b w:val="1"/>
                <w:bCs w:val="1"/>
                <w:color w:val="auto"/>
              </w:rPr>
              <w:t>432,354</w:t>
            </w:r>
          </w:p>
        </w:tc>
        <w:tc>
          <w:tcPr>
            <w:tcW w:w="3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110"/>
              <w:spacing w:after="0" w:line="149" w:lineRule="exact"/>
              <w:rPr>
                <w:sz w:val="20"/>
                <w:szCs w:val="20"/>
                <w:color w:val="auto"/>
              </w:rPr>
            </w:pPr>
            <w:r>
              <w:rPr>
                <w:rFonts w:ascii="Arial" w:cs="Arial" w:eastAsia="Arial" w:hAnsi="Arial"/>
                <w:sz w:val="14"/>
                <w:szCs w:val="14"/>
                <w:color w:val="auto"/>
              </w:rPr>
              <w:t>403,548</w:t>
            </w:r>
          </w:p>
        </w:tc>
        <w:tc>
          <w:tcPr>
            <w:tcW w:w="3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318,232</w:t>
            </w:r>
          </w:p>
        </w:tc>
        <w:tc>
          <w:tcPr>
            <w:tcW w:w="0" w:type="dxa"/>
            <w:vAlign w:val="bottom"/>
          </w:tcPr>
          <w:p>
            <w:pPr>
              <w:spacing w:after="0"/>
              <w:rPr>
                <w:sz w:val="1"/>
                <w:szCs w:val="1"/>
                <w:color w:val="auto"/>
              </w:rPr>
            </w:pPr>
          </w:p>
        </w:tc>
      </w:tr>
    </w:tbl>
    <w:p>
      <w:pPr>
        <w:spacing w:after="0" w:line="176" w:lineRule="exact"/>
        <w:rPr>
          <w:sz w:val="20"/>
          <w:szCs w:val="20"/>
          <w:color w:val="auto"/>
        </w:rPr>
      </w:pPr>
    </w:p>
    <w:p>
      <w:pPr>
        <w:jc w:val="both"/>
        <w:spacing w:after="0"/>
        <w:rPr>
          <w:sz w:val="20"/>
          <w:szCs w:val="20"/>
          <w:color w:val="auto"/>
        </w:rPr>
      </w:pPr>
      <w:r>
        <w:rPr>
          <w:rFonts w:ascii="Arial" w:cs="Arial" w:eastAsia="Arial" w:hAnsi="Arial"/>
          <w:sz w:val="16"/>
          <w:szCs w:val="16"/>
          <w:color w:val="auto"/>
        </w:rPr>
        <w:t>Spending for the Mid-America Group for 2017 and 2016 includes the ongoing new underground mine project at the Fort Calhoun operation in Nebraska. Spending for the West Group for 2017 and 2016 includes the completion of Hunter Stone Plant, a new aggregates operation that consolidates mining operations with Hunter Cement Plant, and a rail-served facility in Colorado.</w:t>
      </w:r>
    </w:p>
    <w:p>
      <w:pPr>
        <w:spacing w:after="0" w:line="200" w:lineRule="exact"/>
        <w:rPr>
          <w:sz w:val="20"/>
          <w:szCs w:val="20"/>
          <w:color w:val="auto"/>
        </w:rPr>
      </w:pPr>
    </w:p>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Company paid cash of $12.1 million, $178.8 million and $43.2 million for acquisitions in 2017, 2016 and 2015, respectively.</w:t>
      </w:r>
    </w:p>
    <w:p>
      <w:pPr>
        <w:spacing w:after="0" w:line="200" w:lineRule="exact"/>
        <w:rPr>
          <w:sz w:val="20"/>
          <w:szCs w:val="20"/>
          <w:color w:val="auto"/>
        </w:rPr>
      </w:pPr>
    </w:p>
    <w:p>
      <w:pPr>
        <w:sectPr>
          <w:pgSz w:w="11900" w:h="16838" w:orient="portrait"/>
          <w:cols w:equalWidth="0" w:num="2">
            <w:col w:w="5480" w:space="360"/>
            <w:col w:w="5580"/>
          </w:cols>
          <w:pgMar w:left="240" w:top="25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68</w:t>
      </w:r>
    </w:p>
    <w:p>
      <w:pPr>
        <w:sectPr>
          <w:pgSz w:w="11900" w:h="16838" w:orient="portrait"/>
          <w:cols w:equalWidth="0" w:num="1">
            <w:col w:w="11420"/>
          </w:cols>
          <w:pgMar w:left="240" w:top="259" w:right="239" w:bottom="1440" w:gutter="0" w:footer="0" w:header="0"/>
          <w:type w:val="continuous"/>
        </w:sectPr>
      </w:pPr>
    </w:p>
    <w:bookmarkStart w:id="121" w:name="page122"/>
    <w:bookmarkEnd w:id="121"/>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0">
                      <a:extLst>
                        <a:ext uri="{28A0092B-C50C-407E-A947-70E740481C1C}"/>
                      </a:extLst>
                    </a:blip>
                    <a:srcRect/>
                    <a:stretch>
                      <a:fillRect/>
                    </a:stretch>
                  </pic:blipFill>
                  <pic:spPr bwMode="auto">
                    <a:xfrm>
                      <a:off x="0" y="0"/>
                      <a:ext cx="7293610" cy="37465"/>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420"/>
          </w:cols>
          <w:pgMar w:left="240" w:top="2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Proceeds from divestitures and sales of assets were $35.9 million in 2017, $6.5 million in 2016 and $448.1 million in 2015. This pretax cash is generated from the sales of surplus land and equipment. In 2015, the amount also reflects the divestiture of the California cement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8D5D6C"/>
        </w:rPr>
        <w:t>Financing Activities</w:t>
      </w:r>
    </w:p>
    <w:p>
      <w:pPr>
        <w:spacing w:after="0" w:line="55"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Cash provided by financing activities was $1.12 billion in 2017. The Company used $252.3 million and $609.4 million of cash for financing activities during 2016 and 2015, respectively.</w:t>
      </w:r>
    </w:p>
    <w:p>
      <w:pPr>
        <w:spacing w:after="0" w:line="293" w:lineRule="exact"/>
        <w:rPr>
          <w:sz w:val="20"/>
          <w:szCs w:val="20"/>
          <w:color w:val="auto"/>
        </w:rPr>
      </w:pPr>
    </w:p>
    <w:p>
      <w:pPr>
        <w:jc w:val="both"/>
        <w:spacing w:after="0"/>
        <w:rPr>
          <w:sz w:val="20"/>
          <w:szCs w:val="20"/>
          <w:color w:val="auto"/>
        </w:rPr>
      </w:pPr>
      <w:r>
        <w:rPr>
          <w:rFonts w:ascii="Arial" w:cs="Arial" w:eastAsia="Arial" w:hAnsi="Arial"/>
          <w:sz w:val="16"/>
          <w:szCs w:val="16"/>
          <w:color w:val="auto"/>
        </w:rPr>
        <w:t>Net borrowings of long-term debt were $1.34 billion in 2017 and $110.7 million in 2016. Net repayments of long-term debt were $14.7 million in 2015. As discussed in Note G of the audited consolidated financial statements, in May 2017, the Company issued $300 million aggregate principal amount of Floating Rate Senior Notes due in 2020 (the “2020 Floating Rate Notes”) and $300 million aggregate principal amount of 3.450% Senior Notes due in 2027. The 2020 Floating Rate Notes bear interest at a rate, reset quarterly, equal to the three-month LIBOR for U.S. dollars plus 0.65% (or 65 basis points). The net proceeds from the issuance of these notes were used to repay $300 million aggregate principal amount of floating rate notes that matured in June 2017 and to pay down borrowings under the Revolving Facility and the Trade Receivable Facility (as defined below). Additionally, in December 2017, the Company issued $300 million aggregate principal amount of Floating Rate Senior Notes due 2019 (the “2019 Floating Rate Notes”), $500 million aggregate principal amount of 3.500% Senior Notes due 2027 and $600 million aggregate principal amount of 4.250% Senior Notes due 2047. The 2019 Floating Rate Notes will mature on December 20, 2019 and will bear interest at a per annum floating rate, reset quarterly, equal to three-month LIBOR for U.S. dollars plus 0.500% (or 50 basis points). Net proceeds will be used to repay the $300 million aggregate principal amount of 6.6% Senior Notes due in April 2018 and, in part, to finance the pending Bluegrass acquisition.</w:t>
      </w:r>
    </w:p>
    <w:p>
      <w:pPr>
        <w:spacing w:after="0" w:line="200" w:lineRule="exact"/>
        <w:rPr>
          <w:sz w:val="20"/>
          <w:szCs w:val="20"/>
          <w:color w:val="auto"/>
        </w:rPr>
      </w:pPr>
    </w:p>
    <w:p>
      <w:pPr>
        <w:spacing w:after="0" w:line="243"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The Company repurchased 0.5 million shares of its common stock for a total cost of $100.0 million, or $218.46 per share, in 2017. During 2016, the Company repurchased 1.6 million shares for a total cost of $259.2 million, or $163.24 per share. In 2015, 3.3 million shares were repurchased for a total cost of $520.0 million, or $158.28 per share.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For the years ended December 31, 2017, 2016 and 2015, the Board of Directors approved total cash dividends on the Company’s common stock of $1.72 per share, $1.64 per share and $1.60 per share, respectively. Total cash dividends were $108.9 million in 2017, $105.0 million in 2016 and $107.5 million in 2015.</w:t>
      </w:r>
    </w:p>
    <w:p>
      <w:pPr>
        <w:spacing w:after="0" w:line="296"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Cash provided by issuances of common stock, which represents the exercises of stock options, excluding the impact of shares withheld for taxes, was $10.1 million, $27.3 million and $37.2 million in 2017, 2016 and 2015, respectively.</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b w:val="1"/>
          <w:bCs w:val="1"/>
          <w:color w:val="0085CD"/>
        </w:rPr>
        <w:t>Capital Structure and Resources</w:t>
      </w:r>
    </w:p>
    <w:p>
      <w:pPr>
        <w:spacing w:after="0" w:line="55"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Long-term debt, including current maturities, was $3.03 billion at December 31, 2017, and was principally in the form of publicly-issued long-term notes and debentures.</w:t>
      </w:r>
    </w:p>
    <w:p>
      <w:pPr>
        <w:spacing w:after="0" w:line="293" w:lineRule="exact"/>
        <w:rPr>
          <w:sz w:val="20"/>
          <w:szCs w:val="20"/>
          <w:color w:val="auto"/>
        </w:rPr>
      </w:pPr>
    </w:p>
    <w:p>
      <w:pPr>
        <w:jc w:val="both"/>
        <w:spacing w:after="0"/>
        <w:rPr>
          <w:sz w:val="20"/>
          <w:szCs w:val="20"/>
          <w:color w:val="auto"/>
        </w:rPr>
      </w:pPr>
      <w:r>
        <w:rPr>
          <w:rFonts w:ascii="Arial" w:cs="Arial" w:eastAsia="Arial" w:hAnsi="Arial"/>
          <w:sz w:val="16"/>
          <w:szCs w:val="16"/>
          <w:color w:val="auto"/>
        </w:rPr>
        <w:t>On September 27, 2017, the Company, through a wholly-owned special-purpose subsidiary, extended the maturity of its $300 million trade receivable securitization facility (the “Trade Receivable Facility”) to September 26, 2018. The Trade Receivable Facility is backed by eligible trade receivables, as defined. Borrowings are limited to the lesser of the facility limit or the borrowing base, as defined, of $338.8 million at December 31, 2017. These receivables are originated by the Company and then sold or contributed to the wholly-owned special-purpose subsidiary. The Company continues to be responsible for the servicing and administration of the receivables purchased by the wholly-owned special-purpose subsidiary. The Trade Receivable Facility contains a cross-default provision to the Company’s other debt agreements.</w:t>
      </w:r>
    </w:p>
    <w:p>
      <w:pPr>
        <w:spacing w:after="0" w:line="200" w:lineRule="exact"/>
        <w:rPr>
          <w:sz w:val="20"/>
          <w:szCs w:val="20"/>
          <w:color w:val="auto"/>
        </w:rPr>
      </w:pPr>
    </w:p>
    <w:p>
      <w:pPr>
        <w:spacing w:after="0" w:line="268"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The $700 million five-year senior unsecured revolving facility (the “Revolving Facility”) requires the Company’s ratio of consolidated net debt-to-consolidated EBITDA, as defined, for the trailing-twelve month period (the “Ratio”) to not exceed 3.50x as of the end of any fiscal quarter, provided that the Company may exclude from the Ratio debt incurred in connection with certain acquisitions during the quarter or the three preceding quarters so long as the Ratio calculated without such exclusion does not exceed 3.75x. Additionally, if there are no amounts outstanding under the Revolving Facility and the $300 million Trade Receivable Facility, consolidated debt, including debt for which the Company is a co-borrower, may be reduced by the Company’s unrestricted cash and cash equivalents in excess of $50 million, such reduction not to exceed $200 million,</w:t>
      </w:r>
    </w:p>
    <w:p>
      <w:pPr>
        <w:spacing w:after="0" w:line="200" w:lineRule="exact"/>
        <w:rPr>
          <w:sz w:val="20"/>
          <w:szCs w:val="20"/>
          <w:color w:val="auto"/>
        </w:rPr>
      </w:pPr>
    </w:p>
    <w:p>
      <w:pPr>
        <w:sectPr>
          <w:pgSz w:w="11900" w:h="16838" w:orient="portrait"/>
          <w:cols w:equalWidth="0" w:num="2">
            <w:col w:w="5480" w:space="360"/>
            <w:col w:w="5580"/>
          </w:cols>
          <w:pgMar w:left="240" w:top="259" w:right="239" w:bottom="1440" w:gutter="0" w:footer="0" w:header="0"/>
          <w:type w:val="continuous"/>
        </w:sectPr>
      </w:pPr>
    </w:p>
    <w:p>
      <w:pPr>
        <w:spacing w:after="0" w:line="4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69</w:t>
      </w:r>
    </w:p>
    <w:p>
      <w:pPr>
        <w:sectPr>
          <w:pgSz w:w="11900" w:h="16838" w:orient="portrait"/>
          <w:cols w:equalWidth="0" w:num="1">
            <w:col w:w="11420"/>
          </w:cols>
          <w:pgMar w:left="240" w:top="259" w:right="239" w:bottom="1440" w:gutter="0" w:footer="0" w:header="0"/>
          <w:type w:val="continuous"/>
        </w:sectPr>
      </w:pPr>
    </w:p>
    <w:bookmarkStart w:id="122" w:name="page123"/>
    <w:bookmarkEnd w:id="122"/>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1">
                      <a:extLst>
                        <a:ext uri="{28A0092B-C50C-407E-A947-70E740481C1C}"/>
                      </a:extLst>
                    </a:blip>
                    <a:srcRect/>
                    <a:stretch>
                      <a:fillRect/>
                    </a:stretch>
                  </pic:blipFill>
                  <pic:spPr bwMode="auto">
                    <a:xfrm>
                      <a:off x="0" y="0"/>
                      <a:ext cx="7293610" cy="37465"/>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420"/>
          </w:cols>
          <w:pgMar w:left="240" w:top="2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for purposes of the covenant calculation. In December 2017, the Company amended its credit agreement to exclude debt obtained to fund the pending Bluegrass acquisition from the Ratio. In 2017, the Company extended the maturity of the Revolving Facility to December 2022.</w:t>
      </w:r>
    </w:p>
    <w:p>
      <w:pPr>
        <w:spacing w:after="0" w:line="296"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At December 31, 2017, the Company’s ratio of consolidated net debt-to-consolidated EBITDA, as defined by the Company’s Credit Agreement, for the trailing-twelve month EBITDA was 1.58 times and was calculated as follows (dollars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480" w:type="dxa"/>
            <w:vAlign w:val="bottom"/>
            <w:gridSpan w:val="6"/>
          </w:tcPr>
          <w:p>
            <w:pPr>
              <w:jc w:val="right"/>
              <w:ind w:right="80"/>
              <w:spacing w:after="0"/>
              <w:rPr>
                <w:sz w:val="20"/>
                <w:szCs w:val="20"/>
                <w:color w:val="auto"/>
              </w:rPr>
            </w:pPr>
            <w:r>
              <w:rPr>
                <w:rFonts w:ascii="Arial" w:cs="Arial" w:eastAsia="Arial" w:hAnsi="Arial"/>
                <w:sz w:val="15"/>
                <w:szCs w:val="15"/>
                <w:b w:val="1"/>
                <w:bCs w:val="1"/>
                <w:color w:val="auto"/>
              </w:rPr>
              <w:t>Twelve-Month Period</w:t>
            </w:r>
          </w:p>
        </w:tc>
      </w:tr>
      <w:tr>
        <w:trPr>
          <w:trHeight w:val="156"/>
        </w:trPr>
        <w:tc>
          <w:tcPr>
            <w:tcW w:w="4060" w:type="dxa"/>
            <w:vAlign w:val="bottom"/>
          </w:tcPr>
          <w:p>
            <w:pPr>
              <w:spacing w:after="0"/>
              <w:rPr>
                <w:sz w:val="13"/>
                <w:szCs w:val="13"/>
                <w:color w:val="auto"/>
              </w:rPr>
            </w:pPr>
          </w:p>
        </w:tc>
        <w:tc>
          <w:tcPr>
            <w:tcW w:w="1420" w:type="dxa"/>
            <w:vAlign w:val="bottom"/>
            <w:gridSpan w:val="5"/>
          </w:tcPr>
          <w:p>
            <w:pPr>
              <w:jc w:val="right"/>
              <w:ind w:right="80"/>
              <w:spacing w:after="0" w:line="156" w:lineRule="exact"/>
              <w:rPr>
                <w:sz w:val="20"/>
                <w:szCs w:val="20"/>
                <w:color w:val="auto"/>
              </w:rPr>
            </w:pPr>
            <w:r>
              <w:rPr>
                <w:rFonts w:ascii="Arial" w:cs="Arial" w:eastAsia="Arial" w:hAnsi="Arial"/>
                <w:sz w:val="15"/>
                <w:szCs w:val="15"/>
                <w:b w:val="1"/>
                <w:bCs w:val="1"/>
                <w:color w:val="auto"/>
              </w:rPr>
              <w:t>January 1, 2017 to</w:t>
            </w:r>
          </w:p>
        </w:tc>
      </w:tr>
      <w:tr>
        <w:trPr>
          <w:trHeight w:val="190"/>
        </w:trPr>
        <w:tc>
          <w:tcPr>
            <w:tcW w:w="40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5"/>
          </w:tcPr>
          <w:p>
            <w:pPr>
              <w:jc w:val="center"/>
              <w:ind w:right="80"/>
              <w:spacing w:after="0"/>
              <w:rPr>
                <w:sz w:val="20"/>
                <w:szCs w:val="20"/>
                <w:color w:val="auto"/>
              </w:rPr>
            </w:pPr>
            <w:r>
              <w:rPr>
                <w:rFonts w:ascii="Arial" w:cs="Arial" w:eastAsia="Arial" w:hAnsi="Arial"/>
                <w:sz w:val="15"/>
                <w:szCs w:val="15"/>
                <w:b w:val="1"/>
                <w:bCs w:val="1"/>
                <w:color w:val="auto"/>
                <w:w w:val="99"/>
              </w:rPr>
              <w:t>December 31, 2017</w:t>
            </w:r>
          </w:p>
        </w:tc>
      </w:tr>
      <w:tr>
        <w:trPr>
          <w:trHeight w:val="149"/>
        </w:trPr>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earnings attributable to Martin Marietta</w:t>
            </w:r>
          </w:p>
        </w:tc>
        <w:tc>
          <w:tcPr>
            <w:tcW w:w="720" w:type="dxa"/>
            <w:vAlign w:val="bottom"/>
            <w:gridSpan w:val="2"/>
            <w:shd w:val="clear" w:color="auto" w:fill="CCEEFF"/>
          </w:tcPr>
          <w:p>
            <w:pPr>
              <w:jc w:val="center"/>
              <w:ind w:left="549"/>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713,342</w:t>
            </w:r>
          </w:p>
        </w:tc>
        <w:tc>
          <w:tcPr>
            <w:tcW w:w="80" w:type="dxa"/>
            <w:vAlign w:val="bottom"/>
            <w:shd w:val="clear" w:color="auto" w:fill="CCEEFF"/>
          </w:tcPr>
          <w:p>
            <w:pPr>
              <w:spacing w:after="0"/>
              <w:rPr>
                <w:sz w:val="12"/>
                <w:szCs w:val="12"/>
                <w:color w:val="auto"/>
              </w:rPr>
            </w:pPr>
          </w:p>
        </w:tc>
      </w:tr>
      <w:tr>
        <w:trPr>
          <w:trHeight w:val="156"/>
        </w:trPr>
        <w:tc>
          <w:tcPr>
            <w:tcW w:w="4060" w:type="dxa"/>
            <w:vAlign w:val="bottom"/>
          </w:tcPr>
          <w:p>
            <w:pPr>
              <w:spacing w:after="0" w:line="156" w:lineRule="exact"/>
              <w:rPr>
                <w:sz w:val="20"/>
                <w:szCs w:val="20"/>
                <w:color w:val="auto"/>
              </w:rPr>
            </w:pPr>
            <w:r>
              <w:rPr>
                <w:rFonts w:ascii="Arial" w:cs="Arial" w:eastAsia="Arial" w:hAnsi="Arial"/>
                <w:sz w:val="14"/>
                <w:szCs w:val="14"/>
                <w:color w:val="auto"/>
              </w:rPr>
              <w:t>Add back:</w:t>
            </w: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4060" w:type="dxa"/>
            <w:vAlign w:val="bottom"/>
            <w:shd w:val="clear" w:color="auto" w:fill="CCEEFF"/>
          </w:tcPr>
          <w:p>
            <w:pPr>
              <w:ind w:left="280"/>
              <w:spacing w:after="0" w:line="156" w:lineRule="exact"/>
              <w:rPr>
                <w:sz w:val="20"/>
                <w:szCs w:val="20"/>
                <w:color w:val="auto"/>
              </w:rPr>
            </w:pPr>
            <w:r>
              <w:rPr>
                <w:rFonts w:ascii="Arial" w:cs="Arial" w:eastAsia="Arial" w:hAnsi="Arial"/>
                <w:sz w:val="14"/>
                <w:szCs w:val="14"/>
                <w:color w:val="auto"/>
              </w:rPr>
              <w:t>Interest expense</w:t>
            </w: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gridSpan w:val="3"/>
            <w:shd w:val="clear" w:color="auto" w:fill="CCEEFF"/>
          </w:tcPr>
          <w:p>
            <w:pPr>
              <w:jc w:val="right"/>
              <w:ind w:right="80"/>
              <w:spacing w:after="0" w:line="156" w:lineRule="exact"/>
              <w:rPr>
                <w:sz w:val="20"/>
                <w:szCs w:val="20"/>
                <w:color w:val="auto"/>
              </w:rPr>
            </w:pPr>
            <w:r>
              <w:rPr>
                <w:rFonts w:ascii="Arial" w:cs="Arial" w:eastAsia="Arial" w:hAnsi="Arial"/>
                <w:sz w:val="14"/>
                <w:szCs w:val="14"/>
                <w:color w:val="auto"/>
              </w:rPr>
              <w:t>91,487</w:t>
            </w:r>
          </w:p>
        </w:tc>
      </w:tr>
      <w:tr>
        <w:trPr>
          <w:trHeight w:val="156"/>
        </w:trPr>
        <w:tc>
          <w:tcPr>
            <w:tcW w:w="4060" w:type="dxa"/>
            <w:vAlign w:val="bottom"/>
          </w:tcPr>
          <w:p>
            <w:pPr>
              <w:ind w:left="280"/>
              <w:spacing w:after="0" w:line="156" w:lineRule="exact"/>
              <w:rPr>
                <w:sz w:val="20"/>
                <w:szCs w:val="20"/>
                <w:color w:val="auto"/>
              </w:rPr>
            </w:pPr>
            <w:r>
              <w:rPr>
                <w:rFonts w:ascii="Arial" w:cs="Arial" w:eastAsia="Arial" w:hAnsi="Arial"/>
                <w:sz w:val="14"/>
                <w:szCs w:val="14"/>
                <w:color w:val="auto"/>
              </w:rPr>
              <w:t>Depreciation, depletion and amortization expense</w:t>
            </w: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spacing w:after="0" w:line="156" w:lineRule="exact"/>
              <w:rPr>
                <w:sz w:val="20"/>
                <w:szCs w:val="20"/>
                <w:color w:val="auto"/>
              </w:rPr>
            </w:pPr>
            <w:r>
              <w:rPr>
                <w:rFonts w:ascii="Arial" w:cs="Arial" w:eastAsia="Arial" w:hAnsi="Arial"/>
                <w:sz w:val="14"/>
                <w:szCs w:val="14"/>
                <w:color w:val="auto"/>
              </w:rPr>
              <w:t>293,787</w:t>
            </w:r>
          </w:p>
        </w:tc>
        <w:tc>
          <w:tcPr>
            <w:tcW w:w="80" w:type="dxa"/>
            <w:vAlign w:val="bottom"/>
          </w:tcPr>
          <w:p>
            <w:pPr>
              <w:spacing w:after="0"/>
              <w:rPr>
                <w:sz w:val="13"/>
                <w:szCs w:val="13"/>
                <w:color w:val="auto"/>
              </w:rPr>
            </w:pPr>
          </w:p>
        </w:tc>
      </w:tr>
      <w:tr>
        <w:trPr>
          <w:trHeight w:val="156"/>
        </w:trPr>
        <w:tc>
          <w:tcPr>
            <w:tcW w:w="4060" w:type="dxa"/>
            <w:vAlign w:val="bottom"/>
            <w:shd w:val="clear" w:color="auto" w:fill="CCEEFF"/>
          </w:tcPr>
          <w:p>
            <w:pPr>
              <w:ind w:left="280"/>
              <w:spacing w:after="0" w:line="156" w:lineRule="exact"/>
              <w:rPr>
                <w:sz w:val="20"/>
                <w:szCs w:val="20"/>
                <w:color w:val="auto"/>
              </w:rPr>
            </w:pPr>
            <w:r>
              <w:rPr>
                <w:rFonts w:ascii="Arial" w:cs="Arial" w:eastAsia="Arial" w:hAnsi="Arial"/>
                <w:sz w:val="14"/>
                <w:szCs w:val="14"/>
                <w:color w:val="auto"/>
              </w:rPr>
              <w:t>Stock-based compensation expense</w:t>
            </w: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gridSpan w:val="3"/>
            <w:shd w:val="clear" w:color="auto" w:fill="CCEEFF"/>
          </w:tcPr>
          <w:p>
            <w:pPr>
              <w:jc w:val="right"/>
              <w:ind w:right="80"/>
              <w:spacing w:after="0" w:line="156" w:lineRule="exact"/>
              <w:rPr>
                <w:sz w:val="20"/>
                <w:szCs w:val="20"/>
                <w:color w:val="auto"/>
              </w:rPr>
            </w:pPr>
            <w:r>
              <w:rPr>
                <w:rFonts w:ascii="Arial" w:cs="Arial" w:eastAsia="Arial" w:hAnsi="Arial"/>
                <w:sz w:val="14"/>
                <w:szCs w:val="14"/>
                <w:color w:val="auto"/>
              </w:rPr>
              <w:t>30,460</w:t>
            </w:r>
          </w:p>
        </w:tc>
      </w:tr>
      <w:tr>
        <w:trPr>
          <w:trHeight w:val="156"/>
        </w:trPr>
        <w:tc>
          <w:tcPr>
            <w:tcW w:w="4060" w:type="dxa"/>
            <w:vAlign w:val="bottom"/>
          </w:tcPr>
          <w:p>
            <w:pPr>
              <w:ind w:left="280"/>
              <w:spacing w:after="0" w:line="156" w:lineRule="exact"/>
              <w:rPr>
                <w:sz w:val="20"/>
                <w:szCs w:val="20"/>
                <w:color w:val="auto"/>
              </w:rPr>
            </w:pPr>
            <w:r>
              <w:rPr>
                <w:rFonts w:ascii="Arial" w:cs="Arial" w:eastAsia="Arial" w:hAnsi="Arial"/>
                <w:sz w:val="14"/>
                <w:szCs w:val="14"/>
                <w:color w:val="auto"/>
              </w:rPr>
              <w:t>Acquisition-related expenses</w:t>
            </w: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3"/>
          </w:tcPr>
          <w:p>
            <w:pPr>
              <w:jc w:val="right"/>
              <w:ind w:right="80"/>
              <w:spacing w:after="0" w:line="156" w:lineRule="exact"/>
              <w:rPr>
                <w:sz w:val="20"/>
                <w:szCs w:val="20"/>
                <w:color w:val="auto"/>
              </w:rPr>
            </w:pPr>
            <w:r>
              <w:rPr>
                <w:rFonts w:ascii="Arial" w:cs="Arial" w:eastAsia="Arial" w:hAnsi="Arial"/>
                <w:sz w:val="14"/>
                <w:szCs w:val="14"/>
                <w:color w:val="auto"/>
              </w:rPr>
              <w:t>8,616</w:t>
            </w:r>
          </w:p>
        </w:tc>
      </w:tr>
      <w:tr>
        <w:trPr>
          <w:trHeight w:val="156"/>
        </w:trPr>
        <w:tc>
          <w:tcPr>
            <w:tcW w:w="406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Deduct:</w:t>
            </w: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6"/>
        </w:trPr>
        <w:tc>
          <w:tcPr>
            <w:tcW w:w="4060" w:type="dxa"/>
            <w:vAlign w:val="bottom"/>
          </w:tcPr>
          <w:p>
            <w:pPr>
              <w:ind w:left="280"/>
              <w:spacing w:after="0" w:line="156" w:lineRule="exact"/>
              <w:rPr>
                <w:sz w:val="20"/>
                <w:szCs w:val="20"/>
                <w:color w:val="auto"/>
              </w:rPr>
            </w:pPr>
            <w:r>
              <w:rPr>
                <w:rFonts w:ascii="Arial" w:cs="Arial" w:eastAsia="Arial" w:hAnsi="Arial"/>
                <w:sz w:val="14"/>
                <w:szCs w:val="14"/>
                <w:color w:val="auto"/>
              </w:rPr>
              <w:t>Interest income</w:t>
            </w: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3"/>
          </w:tcPr>
          <w:p>
            <w:pPr>
              <w:jc w:val="right"/>
              <w:ind w:right="40"/>
              <w:spacing w:after="0" w:line="156" w:lineRule="exact"/>
              <w:rPr>
                <w:sz w:val="20"/>
                <w:szCs w:val="20"/>
                <w:color w:val="auto"/>
              </w:rPr>
            </w:pPr>
            <w:r>
              <w:rPr>
                <w:rFonts w:ascii="Arial" w:cs="Arial" w:eastAsia="Arial" w:hAnsi="Arial"/>
                <w:sz w:val="14"/>
                <w:szCs w:val="14"/>
                <w:color w:val="auto"/>
              </w:rPr>
              <w:t>(587)</w:t>
            </w:r>
          </w:p>
        </w:tc>
      </w:tr>
      <w:tr>
        <w:trPr>
          <w:trHeight w:val="156"/>
        </w:trPr>
        <w:tc>
          <w:tcPr>
            <w:tcW w:w="4060" w:type="dxa"/>
            <w:vAlign w:val="bottom"/>
            <w:shd w:val="clear" w:color="auto" w:fill="CCEEFF"/>
          </w:tcPr>
          <w:p>
            <w:pPr>
              <w:ind w:left="280"/>
              <w:spacing w:after="0" w:line="156" w:lineRule="exact"/>
              <w:rPr>
                <w:sz w:val="20"/>
                <w:szCs w:val="20"/>
                <w:color w:val="auto"/>
              </w:rPr>
            </w:pPr>
            <w:r>
              <w:rPr>
                <w:rFonts w:ascii="Arial" w:cs="Arial" w:eastAsia="Arial" w:hAnsi="Arial"/>
                <w:sz w:val="14"/>
                <w:szCs w:val="14"/>
                <w:color w:val="auto"/>
              </w:rPr>
              <w:t>Income tax benefit</w:t>
            </w: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gridSpan w:val="3"/>
            <w:shd w:val="clear" w:color="auto" w:fill="CCEEFF"/>
          </w:tcPr>
          <w:p>
            <w:pPr>
              <w:jc w:val="right"/>
              <w:ind w:right="40"/>
              <w:spacing w:after="0" w:line="156" w:lineRule="exact"/>
              <w:rPr>
                <w:sz w:val="20"/>
                <w:szCs w:val="20"/>
                <w:color w:val="auto"/>
              </w:rPr>
            </w:pPr>
            <w:r>
              <w:rPr>
                <w:rFonts w:ascii="Arial" w:cs="Arial" w:eastAsia="Arial" w:hAnsi="Arial"/>
                <w:sz w:val="14"/>
                <w:szCs w:val="14"/>
                <w:color w:val="auto"/>
              </w:rPr>
              <w:t>(94,514)</w:t>
            </w:r>
          </w:p>
        </w:tc>
      </w:tr>
      <w:tr>
        <w:trPr>
          <w:trHeight w:val="166"/>
        </w:trPr>
        <w:tc>
          <w:tcPr>
            <w:tcW w:w="4060" w:type="dxa"/>
            <w:vAlign w:val="bottom"/>
          </w:tcPr>
          <w:p>
            <w:pPr>
              <w:spacing w:after="0"/>
              <w:rPr>
                <w:sz w:val="20"/>
                <w:szCs w:val="20"/>
                <w:color w:val="auto"/>
              </w:rPr>
            </w:pPr>
            <w:r>
              <w:rPr>
                <w:rFonts w:ascii="Arial" w:cs="Arial" w:eastAsia="Arial" w:hAnsi="Arial"/>
                <w:sz w:val="14"/>
                <w:szCs w:val="14"/>
                <w:color w:val="auto"/>
              </w:rPr>
              <w:t>Consolidated EBITDA, as defined by the Company’s Credit</w:t>
            </w:r>
          </w:p>
        </w:tc>
        <w:tc>
          <w:tcPr>
            <w:tcW w:w="5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7"/>
        </w:trPr>
        <w:tc>
          <w:tcPr>
            <w:tcW w:w="4060" w:type="dxa"/>
            <w:vAlign w:val="bottom"/>
          </w:tcPr>
          <w:p>
            <w:pPr>
              <w:ind w:left="140"/>
              <w:spacing w:after="0" w:line="151" w:lineRule="exact"/>
              <w:rPr>
                <w:sz w:val="20"/>
                <w:szCs w:val="20"/>
                <w:color w:val="auto"/>
              </w:rPr>
            </w:pPr>
            <w:r>
              <w:rPr>
                <w:rFonts w:ascii="Arial" w:cs="Arial" w:eastAsia="Arial" w:hAnsi="Arial"/>
                <w:sz w:val="14"/>
                <w:szCs w:val="14"/>
                <w:color w:val="auto"/>
              </w:rPr>
              <w:t>Agreement</w:t>
            </w:r>
          </w:p>
        </w:tc>
        <w:tc>
          <w:tcPr>
            <w:tcW w:w="720" w:type="dxa"/>
            <w:vAlign w:val="bottom"/>
            <w:gridSpan w:val="2"/>
          </w:tcPr>
          <w:p>
            <w:pPr>
              <w:jc w:val="center"/>
              <w:ind w:left="549"/>
              <w:spacing w:after="0" w:line="151" w:lineRule="exact"/>
              <w:rPr>
                <w:sz w:val="20"/>
                <w:szCs w:val="20"/>
                <w:color w:val="auto"/>
              </w:rPr>
            </w:pPr>
            <w:r>
              <w:rPr>
                <w:rFonts w:ascii="Arial" w:cs="Arial" w:eastAsia="Arial" w:hAnsi="Arial"/>
                <w:sz w:val="14"/>
                <w:szCs w:val="14"/>
                <w:u w:val="single" w:color="auto"/>
                <w:color w:val="auto"/>
                <w:w w:val="76"/>
              </w:rPr>
              <w:t>$</w:t>
            </w:r>
          </w:p>
        </w:tc>
        <w:tc>
          <w:tcPr>
            <w:tcW w:w="620" w:type="dxa"/>
            <w:vAlign w:val="bottom"/>
            <w:gridSpan w:val="2"/>
          </w:tcPr>
          <w:p>
            <w:pPr>
              <w:jc w:val="right"/>
              <w:spacing w:after="0" w:line="151" w:lineRule="exact"/>
              <w:rPr>
                <w:sz w:val="20"/>
                <w:szCs w:val="20"/>
                <w:color w:val="auto"/>
              </w:rPr>
            </w:pPr>
            <w:r>
              <w:rPr>
                <w:rFonts w:ascii="Arial" w:cs="Arial" w:eastAsia="Arial" w:hAnsi="Arial"/>
                <w:sz w:val="14"/>
                <w:szCs w:val="14"/>
                <w:color w:val="auto"/>
                <w:w w:val="96"/>
              </w:rPr>
              <w:t>1,042,591</w:t>
            </w:r>
          </w:p>
        </w:tc>
        <w:tc>
          <w:tcPr>
            <w:tcW w:w="80" w:type="dxa"/>
            <w:vAlign w:val="bottom"/>
          </w:tcPr>
          <w:p>
            <w:pPr>
              <w:spacing w:after="0"/>
              <w:rPr>
                <w:sz w:val="15"/>
                <w:szCs w:val="15"/>
                <w:color w:val="auto"/>
              </w:rPr>
            </w:pPr>
          </w:p>
        </w:tc>
      </w:tr>
      <w:tr>
        <w:trPr>
          <w:trHeight w:val="167"/>
        </w:trPr>
        <w:tc>
          <w:tcPr>
            <w:tcW w:w="4060" w:type="dxa"/>
            <w:vAlign w:val="bottom"/>
            <w:shd w:val="clear" w:color="auto" w:fill="CCEEFF"/>
          </w:tcPr>
          <w:p>
            <w:pPr>
              <w:spacing w:after="0"/>
              <w:rPr>
                <w:sz w:val="20"/>
                <w:szCs w:val="20"/>
                <w:color w:val="auto"/>
              </w:rPr>
            </w:pPr>
            <w:r>
              <w:rPr>
                <w:rFonts w:ascii="Arial" w:cs="Arial" w:eastAsia="Arial" w:hAnsi="Arial"/>
                <w:sz w:val="14"/>
                <w:szCs w:val="14"/>
                <w:color w:val="auto"/>
                <w:w w:val="98"/>
              </w:rPr>
              <w:t>Consolidated net debt, as defined and including debt for which the</w:t>
            </w:r>
          </w:p>
        </w:tc>
        <w:tc>
          <w:tcPr>
            <w:tcW w:w="56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70"/>
        </w:trPr>
        <w:tc>
          <w:tcPr>
            <w:tcW w:w="4060" w:type="dxa"/>
            <w:vAlign w:val="bottom"/>
            <w:shd w:val="clear" w:color="auto" w:fill="CCEEFF"/>
          </w:tcPr>
          <w:p>
            <w:pPr>
              <w:ind w:left="140"/>
              <w:spacing w:after="0" w:line="151" w:lineRule="exact"/>
              <w:rPr>
                <w:sz w:val="20"/>
                <w:szCs w:val="20"/>
                <w:color w:val="auto"/>
              </w:rPr>
            </w:pPr>
            <w:r>
              <w:rPr>
                <w:rFonts w:ascii="Arial" w:cs="Arial" w:eastAsia="Arial" w:hAnsi="Arial"/>
                <w:sz w:val="14"/>
                <w:szCs w:val="14"/>
                <w:color w:val="auto"/>
              </w:rPr>
              <w:t>Company is a co-borrower, at December 31, 2017</w:t>
            </w:r>
          </w:p>
        </w:tc>
        <w:tc>
          <w:tcPr>
            <w:tcW w:w="720" w:type="dxa"/>
            <w:vAlign w:val="bottom"/>
            <w:gridSpan w:val="2"/>
            <w:shd w:val="clear" w:color="auto" w:fill="CCEEFF"/>
          </w:tcPr>
          <w:p>
            <w:pPr>
              <w:jc w:val="center"/>
              <w:ind w:left="549"/>
              <w:spacing w:after="0" w:line="151" w:lineRule="exact"/>
              <w:rPr>
                <w:sz w:val="20"/>
                <w:szCs w:val="20"/>
                <w:color w:val="auto"/>
              </w:rPr>
            </w:pPr>
            <w:r>
              <w:rPr>
                <w:rFonts w:ascii="Arial" w:cs="Arial" w:eastAsia="Arial" w:hAnsi="Arial"/>
                <w:sz w:val="14"/>
                <w:szCs w:val="14"/>
                <w:u w:val="single" w:color="auto"/>
                <w:color w:val="auto"/>
                <w:w w:val="76"/>
              </w:rPr>
              <w:t>$</w:t>
            </w:r>
          </w:p>
        </w:tc>
        <w:tc>
          <w:tcPr>
            <w:tcW w:w="620" w:type="dxa"/>
            <w:vAlign w:val="bottom"/>
            <w:gridSpan w:val="2"/>
            <w:shd w:val="clear" w:color="auto" w:fill="CCEEFF"/>
          </w:tcPr>
          <w:p>
            <w:pPr>
              <w:jc w:val="right"/>
              <w:spacing w:after="0" w:line="151" w:lineRule="exact"/>
              <w:rPr>
                <w:sz w:val="20"/>
                <w:szCs w:val="20"/>
                <w:color w:val="auto"/>
              </w:rPr>
            </w:pPr>
            <w:r>
              <w:rPr>
                <w:rFonts w:ascii="Arial" w:cs="Arial" w:eastAsia="Arial" w:hAnsi="Arial"/>
                <w:sz w:val="14"/>
                <w:szCs w:val="14"/>
                <w:color w:val="auto"/>
                <w:w w:val="96"/>
              </w:rPr>
              <w:t>1,642,979</w:t>
            </w:r>
          </w:p>
        </w:tc>
        <w:tc>
          <w:tcPr>
            <w:tcW w:w="80" w:type="dxa"/>
            <w:vAlign w:val="bottom"/>
            <w:shd w:val="clear" w:color="auto" w:fill="CCEEFF"/>
          </w:tcPr>
          <w:p>
            <w:pPr>
              <w:spacing w:after="0"/>
              <w:rPr>
                <w:sz w:val="14"/>
                <w:szCs w:val="14"/>
                <w:color w:val="auto"/>
              </w:rPr>
            </w:pPr>
          </w:p>
        </w:tc>
      </w:tr>
      <w:tr>
        <w:trPr>
          <w:trHeight w:val="173"/>
        </w:trPr>
        <w:tc>
          <w:tcPr>
            <w:tcW w:w="4060" w:type="dxa"/>
            <w:vAlign w:val="bottom"/>
          </w:tcPr>
          <w:p>
            <w:pPr>
              <w:spacing w:after="0"/>
              <w:rPr>
                <w:sz w:val="20"/>
                <w:szCs w:val="20"/>
                <w:color w:val="auto"/>
              </w:rPr>
            </w:pPr>
            <w:r>
              <w:rPr>
                <w:rFonts w:ascii="Arial" w:cs="Arial" w:eastAsia="Arial" w:hAnsi="Arial"/>
                <w:sz w:val="14"/>
                <w:szCs w:val="14"/>
                <w:color w:val="auto"/>
                <w:w w:val="99"/>
              </w:rPr>
              <w:t>Consolidated net debt-to-consolidated EBITDA, as defined by the</w:t>
            </w:r>
          </w:p>
        </w:tc>
        <w:tc>
          <w:tcPr>
            <w:tcW w:w="5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4780" w:type="dxa"/>
            <w:vAlign w:val="bottom"/>
            <w:gridSpan w:val="3"/>
          </w:tcPr>
          <w:p>
            <w:pPr>
              <w:ind w:left="140"/>
              <w:spacing w:after="0" w:line="156" w:lineRule="exact"/>
              <w:rPr>
                <w:sz w:val="20"/>
                <w:szCs w:val="20"/>
                <w:color w:val="auto"/>
              </w:rPr>
            </w:pPr>
            <w:r>
              <w:rPr>
                <w:rFonts w:ascii="Arial" w:cs="Arial" w:eastAsia="Arial" w:hAnsi="Arial"/>
                <w:sz w:val="14"/>
                <w:szCs w:val="14"/>
                <w:color w:val="auto"/>
              </w:rPr>
              <w:t>Company’s Credit Agreement, at December 31, 2017 for trailing-</w:t>
            </w: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0"/>
        </w:trPr>
        <w:tc>
          <w:tcPr>
            <w:tcW w:w="4060" w:type="dxa"/>
            <w:vAlign w:val="bottom"/>
          </w:tcPr>
          <w:p>
            <w:pPr>
              <w:ind w:left="140"/>
              <w:spacing w:after="0" w:line="151" w:lineRule="exact"/>
              <w:rPr>
                <w:sz w:val="20"/>
                <w:szCs w:val="20"/>
                <w:color w:val="auto"/>
              </w:rPr>
            </w:pPr>
            <w:r>
              <w:rPr>
                <w:rFonts w:ascii="Arial" w:cs="Arial" w:eastAsia="Arial" w:hAnsi="Arial"/>
                <w:sz w:val="14"/>
                <w:szCs w:val="14"/>
                <w:color w:val="auto"/>
              </w:rPr>
              <w:t>twelve month EBITDA</w:t>
            </w:r>
          </w:p>
        </w:tc>
        <w:tc>
          <w:tcPr>
            <w:tcW w:w="5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spacing w:after="0" w:line="151" w:lineRule="exact"/>
              <w:rPr>
                <w:sz w:val="20"/>
                <w:szCs w:val="20"/>
                <w:color w:val="auto"/>
              </w:rPr>
            </w:pPr>
            <w:r>
              <w:rPr>
                <w:rFonts w:ascii="Arial" w:cs="Arial" w:eastAsia="Arial" w:hAnsi="Arial"/>
                <w:sz w:val="14"/>
                <w:szCs w:val="14"/>
                <w:color w:val="auto"/>
              </w:rPr>
              <w:t>1.58x</w:t>
            </w:r>
          </w:p>
        </w:tc>
        <w:tc>
          <w:tcPr>
            <w:tcW w:w="80" w:type="dxa"/>
            <w:vAlign w:val="bottom"/>
          </w:tcPr>
          <w:p>
            <w:pPr>
              <w:spacing w:after="0"/>
              <w:rPr>
                <w:sz w:val="14"/>
                <w:szCs w:val="14"/>
                <w:color w:val="auto"/>
              </w:rPr>
            </w:pPr>
          </w:p>
        </w:tc>
      </w:tr>
    </w:tbl>
    <w:p>
      <w:pPr>
        <w:spacing w:after="0" w:line="215"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Total equity was $4.68 billion at December 31, 2017. At that date, the Company had an accumulated other comprehensive loss of $129.1 million, primarily resulting from unrecognized actuarial losses and prior service costs related to pension and postretirement benefits.</w:t>
      </w:r>
    </w:p>
    <w:p>
      <w:pPr>
        <w:spacing w:after="0" w:line="296"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Pursuant to authority granted by its Board of Directors, the Company can repurchase up to 20,000,000 shares of common stock. As of December 31, 2017, the Company had 14.7 million shares remaining under the repurchase authorization. The Company expects to allocate capital for additional share repurchases based on available excess free cash flow, defined as operating cash flow less capital expenditures and dividends, subject to a leverage target (net debt-to-consolidated EBITDA) of 2.0 to 2.5 times and with consideration of other capital needs. Future repurchases are expected to be carried out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through a variety of methods, which may include open market purchases, privately negotiated transactions, block trades, accelerated share purchase transactions, or any combination of such methods. Share repurchases will be executed based on then-current business and market factors so the actual return of capital in any single quarter may vary. The repurchase program may be modified, suspended or discontinued by the Board of Directors at any time without prior notice.</w:t>
      </w:r>
    </w:p>
    <w:p>
      <w:pPr>
        <w:spacing w:after="0" w:line="301"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At December 31, 2017, the Company had $1.45 billion in cash and short-term investments that are considered cash equivalents. A significant portion of the cash is attributable to the December 2017 debt issuance and will be used, in combination with borrowings under existing credit facilities, to repay $300 million of aggregate principal Senior Notes due in April 2018 and to finance, in part, the Bluegrass acquisition. The Company manages its cash and cash equivalents to ensure short-term operating cash needs are met and excess funds are managed efficiently. The Company subsidizes shortages in operating cash through credit facilities. The Company utilizes excess cash to either pay-down credit facility borrowings or invest in money market funds, money market demand deposit accounts or offshore time deposit accounts. Money market demand deposits and offshore time deposit accounts are exposed to bank solvency risk. Money market demand deposit accounts are FDIC insured up to $250,000. The Company’s investments in bank funds generally exceed the $250,000 FDIC insurance limit.</w:t>
      </w:r>
    </w:p>
    <w:p>
      <w:pPr>
        <w:spacing w:after="0" w:line="300"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Cash on hand, along with the Company’s projected internal cash flows and availability of financing resources, including its access to debt and equity capital markets, is expected to continue to be sufficient to provide the capital resources necessary to support anticipated operating needs, cover debt service requirements, meet capital expenditures and discretionary investment needs, fund certain acquisition opportunities that may arise and allow for payment of dividends for the foreseeable future. Borrowings under the Revolving Facility are unsecured and may be used for general corporate purposes. The Company’s ability to borrow or issue securities is dependent upon, among other things, prevailing economic, financial and market conditions. At December 31, 2017, the Company had $997.7 million of unused borrowing capacity under its Revolving Facility and Trade Receivable Facility. The Revolving Facility expires on December 5, 2022 and the Trade Receivable Facility matures on September 26, 2018.</w:t>
      </w:r>
    </w:p>
    <w:p>
      <w:pPr>
        <w:spacing w:after="0" w:line="1085" w:lineRule="exact"/>
        <w:rPr>
          <w:sz w:val="20"/>
          <w:szCs w:val="20"/>
          <w:color w:val="auto"/>
        </w:rPr>
      </w:pPr>
    </w:p>
    <w:p>
      <w:pPr>
        <w:sectPr>
          <w:pgSz w:w="11900" w:h="16838" w:orient="portrait"/>
          <w:cols w:equalWidth="0" w:num="2">
            <w:col w:w="5480" w:space="360"/>
            <w:col w:w="5580"/>
          </w:cols>
          <w:pgMar w:left="240" w:top="259" w:right="239" w:bottom="1440" w:gutter="0" w:footer="0" w:header="0"/>
          <w:type w:val="continuous"/>
        </w:sectPr>
      </w:pP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70</w:t>
      </w:r>
    </w:p>
    <w:p>
      <w:pPr>
        <w:sectPr>
          <w:pgSz w:w="11900" w:h="16838" w:orient="portrait"/>
          <w:cols w:equalWidth="0" w:num="1">
            <w:col w:w="11420"/>
          </w:cols>
          <w:pgMar w:left="240" w:top="259" w:right="239" w:bottom="1440" w:gutter="0" w:footer="0" w:header="0"/>
          <w:type w:val="continuous"/>
        </w:sectPr>
      </w:pPr>
    </w:p>
    <w:bookmarkStart w:id="123" w:name="page124"/>
    <w:bookmarkEnd w:id="123"/>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2">
                      <a:extLst>
                        <a:ext uri="{28A0092B-C50C-407E-A947-70E740481C1C}"/>
                      </a:extLst>
                    </a:blip>
                    <a:srcRect/>
                    <a:stretch>
                      <a:fillRect/>
                    </a:stretch>
                  </pic:blipFill>
                  <pic:spPr bwMode="auto">
                    <a:xfrm>
                      <a:off x="0" y="0"/>
                      <a:ext cx="7293610" cy="37465"/>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420"/>
          </w:cols>
          <w:pgMar w:left="240" w:top="2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The Company may be required to obtain additional financing in order to fund certain strategic acquisitions or to refinance outstanding debt. Any strategic acquisition of size would likely require an appropriate balance of newly-issued equity with debt in order to maintain a composite investment-grade credit rating. Furthermore, the Company is exposed to credit markets through the interest cost related to its variable-rate debt, which includes the 2019 Floating Rate Notes, the 2020 Floating Rate Notes and borrowings under its Revolving Facility and Trade Receivable Facility.</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color w:val="8D5D6C"/>
        </w:rPr>
        <w:t>Contractual and Off Balance Sheet Obligations</w:t>
      </w:r>
    </w:p>
    <w:p>
      <w:pPr>
        <w:spacing w:after="0" w:line="55"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Postretirement medical benefits will be paid from the Company’s assets. The obligation, if any, for retiree medical payments is subject to the terms of the plan. At December 31, 2017, the Company’s recorded benefit obligation related to these benefits totaled $15.3 million.</w:t>
      </w:r>
    </w:p>
    <w:p>
      <w:pPr>
        <w:spacing w:after="0" w:line="296"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The Company has other retirement benefits related to pension plans. At December 31, 2017, the qualified pension plans were underfunded by $133.3 million. Inclusive of required amounts, the Company estimates that it will make contributions of $25.0 million to qualified pension plans in 2018. Any contributions beyond 2018 are currently undeterminable and will depend on the investment return on the related pension assets. However, management’s practice is to fund at least the service cost annually. At December 31, 2017, the Company had a 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obligation of $107.8 million related to unfunded nonqualified pension plans and expects to make contributions of $12.4 million to these plans in 2018.</w:t>
      </w:r>
    </w:p>
    <w:p>
      <w:pPr>
        <w:spacing w:after="0" w:line="287"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At December 31, 2017, the Company had $22.4 million accrued for uncertain tax positions. Such liabilities may become payable if the tax positions are not sustained upon examination by a taxing authority.</w:t>
      </w:r>
    </w:p>
    <w:p>
      <w:pPr>
        <w:spacing w:after="0" w:line="293"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In connection with normal, ongoing operations, the Company enters into market-rate leases for property, plant and equipment and royalty commitments principally associated with leased land. Additionally, the Company enters into equipment rentals to meet shorter-term, nonrecurring and intermittent needs. At December 31, 2017, the Company had $13.2 million in capital lease obligations. Amounts due for operating leases and royalty agreements are expensed in the period incurred. Management anticipates that, in the ordinary course of business, the Company will enter into additional royalty agreements for land and mineral reserves during 2018.</w:t>
      </w:r>
    </w:p>
    <w:p>
      <w:pPr>
        <w:spacing w:after="0" w:line="298"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The Company has purchase commitments for property, plant and equipment of $191.6 million as of December 31, 2017. The Company also has other purchase obligations related to energy and service contracts which totaled $123.9 million as of December 31, 2017.</w:t>
      </w:r>
    </w:p>
    <w:p>
      <w:pPr>
        <w:spacing w:after="0" w:line="482" w:lineRule="exact"/>
        <w:rPr>
          <w:sz w:val="20"/>
          <w:szCs w:val="20"/>
          <w:color w:val="auto"/>
        </w:rPr>
      </w:pPr>
    </w:p>
    <w:p>
      <w:pPr>
        <w:sectPr>
          <w:pgSz w:w="11900" w:h="16838" w:orient="portrait"/>
          <w:cols w:equalWidth="0" w:num="2">
            <w:col w:w="5480" w:space="360"/>
            <w:col w:w="5580"/>
          </w:cols>
          <w:pgMar w:left="240" w:top="259" w:right="239" w:bottom="1440" w:gutter="0" w:footer="0" w:header="0"/>
          <w:type w:val="continuous"/>
        </w:sectPr>
      </w:pP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The Company’s contractual commitments as of December 31, 2017 are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(add 000)</w:t>
            </w:r>
          </w:p>
        </w:tc>
        <w:tc>
          <w:tcPr>
            <w:tcW w:w="208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Total</w:t>
            </w:r>
          </w:p>
        </w:tc>
        <w:tc>
          <w:tcPr>
            <w:tcW w:w="8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&lt; 1 Year</w:t>
            </w:r>
          </w:p>
        </w:tc>
        <w:tc>
          <w:tcPr>
            <w:tcW w:w="1040" w:type="dxa"/>
            <w:vAlign w:val="bottom"/>
            <w:tcBorders>
              <w:bottom w:val="single" w:sz="8" w:color="auto"/>
            </w:tcBorders>
            <w:gridSpan w:val="2"/>
          </w:tcPr>
          <w:p>
            <w:pPr>
              <w:jc w:val="right"/>
              <w:ind w:right="71"/>
              <w:spacing w:after="0"/>
              <w:rPr>
                <w:sz w:val="20"/>
                <w:szCs w:val="20"/>
                <w:color w:val="auto"/>
              </w:rPr>
            </w:pPr>
            <w:r>
              <w:rPr>
                <w:rFonts w:ascii="Arial" w:cs="Arial" w:eastAsia="Arial" w:hAnsi="Arial"/>
                <w:sz w:val="14"/>
                <w:szCs w:val="14"/>
                <w:b w:val="1"/>
                <w:bCs w:val="1"/>
                <w:color w:val="auto"/>
              </w:rPr>
              <w:t>1 to 3 Years</w:t>
            </w:r>
          </w:p>
        </w:tc>
        <w:tc>
          <w:tcPr>
            <w:tcW w:w="10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3 to 5 Years</w:t>
            </w: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&gt; 5 Years</w:t>
            </w:r>
          </w:p>
        </w:tc>
      </w:tr>
      <w:tr>
        <w:trPr>
          <w:trHeight w:val="149"/>
        </w:trPr>
        <w:tc>
          <w:tcPr>
            <w:tcW w:w="55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i w:val="1"/>
                <w:iCs w:val="1"/>
                <w:color w:val="auto"/>
              </w:rPr>
              <w:t>ON BALANCE SHEET:</w:t>
            </w:r>
          </w:p>
        </w:tc>
        <w:tc>
          <w:tcPr>
            <w:tcW w:w="20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56"/>
        </w:trPr>
        <w:tc>
          <w:tcPr>
            <w:tcW w:w="5560" w:type="dxa"/>
            <w:vAlign w:val="bottom"/>
          </w:tcPr>
          <w:p>
            <w:pPr>
              <w:spacing w:after="0" w:line="156" w:lineRule="exact"/>
              <w:rPr>
                <w:sz w:val="20"/>
                <w:szCs w:val="20"/>
                <w:color w:val="auto"/>
              </w:rPr>
            </w:pPr>
            <w:r>
              <w:rPr>
                <w:rFonts w:ascii="Arial" w:cs="Arial" w:eastAsia="Arial" w:hAnsi="Arial"/>
                <w:sz w:val="14"/>
                <w:szCs w:val="14"/>
                <w:color w:val="auto"/>
              </w:rPr>
              <w:t>Long-term debt</w:t>
            </w:r>
          </w:p>
        </w:tc>
        <w:tc>
          <w:tcPr>
            <w:tcW w:w="2080" w:type="dxa"/>
            <w:vAlign w:val="bottom"/>
          </w:tcPr>
          <w:p>
            <w:pPr>
              <w:jc w:val="right"/>
              <w:ind w:right="71"/>
              <w:spacing w:after="0" w:line="156" w:lineRule="exact"/>
              <w:rPr>
                <w:sz w:val="20"/>
                <w:szCs w:val="20"/>
                <w:color w:val="auto"/>
              </w:rPr>
            </w:pPr>
            <w:r>
              <w:rPr>
                <w:rFonts w:ascii="Arial" w:cs="Arial" w:eastAsia="Arial" w:hAnsi="Arial"/>
                <w:sz w:val="14"/>
                <w:szCs w:val="14"/>
                <w:color w:val="auto"/>
              </w:rPr>
              <w:t>$3,027,203</w:t>
            </w:r>
          </w:p>
        </w:tc>
        <w:tc>
          <w:tcPr>
            <w:tcW w:w="840" w:type="dxa"/>
            <w:vAlign w:val="bottom"/>
          </w:tcPr>
          <w:p>
            <w:pPr>
              <w:jc w:val="right"/>
              <w:ind w:right="71"/>
              <w:spacing w:after="0" w:line="156" w:lineRule="exact"/>
              <w:rPr>
                <w:sz w:val="20"/>
                <w:szCs w:val="20"/>
                <w:color w:val="auto"/>
              </w:rPr>
            </w:pPr>
            <w:r>
              <w:rPr>
                <w:rFonts w:ascii="Arial" w:cs="Arial" w:eastAsia="Arial" w:hAnsi="Arial"/>
                <w:sz w:val="14"/>
                <w:szCs w:val="14"/>
                <w:color w:val="auto"/>
              </w:rPr>
              <w:t>$299,909</w:t>
            </w:r>
          </w:p>
        </w:tc>
        <w:tc>
          <w:tcPr>
            <w:tcW w:w="340" w:type="dxa"/>
            <w:vAlign w:val="bottom"/>
          </w:tcPr>
          <w:p>
            <w:pPr>
              <w:jc w:val="right"/>
              <w:ind w:right="11"/>
              <w:spacing w:after="0" w:line="156"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71"/>
              <w:spacing w:after="0" w:line="156" w:lineRule="exact"/>
              <w:rPr>
                <w:sz w:val="20"/>
                <w:szCs w:val="20"/>
                <w:color w:val="auto"/>
              </w:rPr>
            </w:pPr>
            <w:r>
              <w:rPr>
                <w:rFonts w:ascii="Arial" w:cs="Arial" w:eastAsia="Arial" w:hAnsi="Arial"/>
                <w:sz w:val="14"/>
                <w:szCs w:val="14"/>
                <w:color w:val="auto"/>
              </w:rPr>
              <w:t>596,443</w:t>
            </w:r>
          </w:p>
        </w:tc>
        <w:tc>
          <w:tcPr>
            <w:tcW w:w="300" w:type="dxa"/>
            <w:vAlign w:val="bottom"/>
          </w:tcPr>
          <w:p>
            <w:pPr>
              <w:ind w:left="120"/>
              <w:spacing w:after="0" w:line="156"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71"/>
              <w:spacing w:after="0" w:line="156" w:lineRule="exact"/>
              <w:rPr>
                <w:sz w:val="20"/>
                <w:szCs w:val="20"/>
                <w:color w:val="auto"/>
              </w:rPr>
            </w:pPr>
            <w:r>
              <w:rPr>
                <w:rFonts w:ascii="Arial" w:cs="Arial" w:eastAsia="Arial" w:hAnsi="Arial"/>
                <w:sz w:val="14"/>
                <w:szCs w:val="14"/>
                <w:color w:val="auto"/>
              </w:rPr>
              <w:t>155</w:t>
            </w:r>
          </w:p>
        </w:tc>
        <w:tc>
          <w:tcPr>
            <w:tcW w:w="860" w:type="dxa"/>
            <w:vAlign w:val="bottom"/>
          </w:tcPr>
          <w:p>
            <w:pPr>
              <w:jc w:val="right"/>
              <w:spacing w:after="0" w:line="156" w:lineRule="exact"/>
              <w:rPr>
                <w:sz w:val="20"/>
                <w:szCs w:val="20"/>
                <w:color w:val="auto"/>
              </w:rPr>
            </w:pPr>
            <w:r>
              <w:rPr>
                <w:rFonts w:ascii="Arial" w:cs="Arial" w:eastAsia="Arial" w:hAnsi="Arial"/>
                <w:sz w:val="14"/>
                <w:szCs w:val="14"/>
                <w:color w:val="auto"/>
              </w:rPr>
              <w:t>$2,130,696</w:t>
            </w:r>
          </w:p>
        </w:tc>
      </w:tr>
      <w:tr>
        <w:trPr>
          <w:trHeight w:val="156"/>
        </w:trPr>
        <w:tc>
          <w:tcPr>
            <w:tcW w:w="556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Postretirement benefits</w:t>
            </w:r>
          </w:p>
        </w:tc>
        <w:tc>
          <w:tcPr>
            <w:tcW w:w="2080" w:type="dxa"/>
            <w:vAlign w:val="bottom"/>
            <w:shd w:val="clear" w:color="auto" w:fill="CCEEFF"/>
          </w:tcPr>
          <w:p>
            <w:pPr>
              <w:jc w:val="right"/>
              <w:ind w:right="71"/>
              <w:spacing w:after="0" w:line="156" w:lineRule="exact"/>
              <w:rPr>
                <w:sz w:val="20"/>
                <w:szCs w:val="20"/>
                <w:color w:val="auto"/>
              </w:rPr>
            </w:pPr>
            <w:r>
              <w:rPr>
                <w:rFonts w:ascii="Arial" w:cs="Arial" w:eastAsia="Arial" w:hAnsi="Arial"/>
                <w:sz w:val="14"/>
                <w:szCs w:val="14"/>
                <w:color w:val="auto"/>
              </w:rPr>
              <w:t>15,347</w:t>
            </w:r>
          </w:p>
        </w:tc>
        <w:tc>
          <w:tcPr>
            <w:tcW w:w="840" w:type="dxa"/>
            <w:vAlign w:val="bottom"/>
            <w:shd w:val="clear" w:color="auto" w:fill="CCEEFF"/>
          </w:tcPr>
          <w:p>
            <w:pPr>
              <w:jc w:val="right"/>
              <w:ind w:right="71"/>
              <w:spacing w:after="0" w:line="156" w:lineRule="exact"/>
              <w:rPr>
                <w:sz w:val="20"/>
                <w:szCs w:val="20"/>
                <w:color w:val="auto"/>
              </w:rPr>
            </w:pPr>
            <w:r>
              <w:rPr>
                <w:rFonts w:ascii="Arial" w:cs="Arial" w:eastAsia="Arial" w:hAnsi="Arial"/>
                <w:sz w:val="14"/>
                <w:szCs w:val="14"/>
                <w:color w:val="auto"/>
              </w:rPr>
              <w:t>2,560</w:t>
            </w:r>
          </w:p>
        </w:tc>
        <w:tc>
          <w:tcPr>
            <w:tcW w:w="34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71"/>
              <w:spacing w:after="0" w:line="156" w:lineRule="exact"/>
              <w:rPr>
                <w:sz w:val="20"/>
                <w:szCs w:val="20"/>
                <w:color w:val="auto"/>
              </w:rPr>
            </w:pPr>
            <w:r>
              <w:rPr>
                <w:rFonts w:ascii="Arial" w:cs="Arial" w:eastAsia="Arial" w:hAnsi="Arial"/>
                <w:sz w:val="14"/>
                <w:szCs w:val="14"/>
                <w:color w:val="auto"/>
              </w:rPr>
              <w:t>3,167</w:t>
            </w:r>
          </w:p>
        </w:tc>
        <w:tc>
          <w:tcPr>
            <w:tcW w:w="30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71"/>
              <w:spacing w:after="0" w:line="156" w:lineRule="exact"/>
              <w:rPr>
                <w:sz w:val="20"/>
                <w:szCs w:val="20"/>
                <w:color w:val="auto"/>
              </w:rPr>
            </w:pPr>
            <w:r>
              <w:rPr>
                <w:rFonts w:ascii="Arial" w:cs="Arial" w:eastAsia="Arial" w:hAnsi="Arial"/>
                <w:sz w:val="14"/>
                <w:szCs w:val="14"/>
                <w:color w:val="auto"/>
              </w:rPr>
              <w:t>2,863</w:t>
            </w:r>
          </w:p>
        </w:tc>
        <w:tc>
          <w:tcPr>
            <w:tcW w:w="86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6,757</w:t>
            </w:r>
          </w:p>
        </w:tc>
      </w:tr>
      <w:tr>
        <w:trPr>
          <w:trHeight w:val="156"/>
        </w:trPr>
        <w:tc>
          <w:tcPr>
            <w:tcW w:w="5560" w:type="dxa"/>
            <w:vAlign w:val="bottom"/>
          </w:tcPr>
          <w:p>
            <w:pPr>
              <w:spacing w:after="0" w:line="156" w:lineRule="exact"/>
              <w:rPr>
                <w:sz w:val="20"/>
                <w:szCs w:val="20"/>
                <w:color w:val="auto"/>
              </w:rPr>
            </w:pPr>
            <w:r>
              <w:rPr>
                <w:rFonts w:ascii="Arial" w:cs="Arial" w:eastAsia="Arial" w:hAnsi="Arial"/>
                <w:sz w:val="11"/>
                <w:szCs w:val="11"/>
                <w:color w:val="auto"/>
              </w:rPr>
              <w:t>Qualified pension plan contributions</w:t>
            </w:r>
            <w:r>
              <w:rPr>
                <w:rFonts w:ascii="Arial" w:cs="Arial" w:eastAsia="Arial" w:hAnsi="Arial"/>
                <w:sz w:val="18"/>
                <w:szCs w:val="18"/>
                <w:i w:val="1"/>
                <w:iCs w:val="1"/>
                <w:color w:val="auto"/>
                <w:vertAlign w:val="superscript"/>
              </w:rPr>
              <w:t>1</w:t>
            </w:r>
          </w:p>
        </w:tc>
        <w:tc>
          <w:tcPr>
            <w:tcW w:w="2080" w:type="dxa"/>
            <w:vAlign w:val="bottom"/>
          </w:tcPr>
          <w:p>
            <w:pPr>
              <w:jc w:val="right"/>
              <w:ind w:right="71"/>
              <w:spacing w:after="0" w:line="156" w:lineRule="exact"/>
              <w:rPr>
                <w:sz w:val="20"/>
                <w:szCs w:val="20"/>
                <w:color w:val="auto"/>
              </w:rPr>
            </w:pPr>
            <w:r>
              <w:rPr>
                <w:rFonts w:ascii="Arial" w:cs="Arial" w:eastAsia="Arial" w:hAnsi="Arial"/>
                <w:sz w:val="14"/>
                <w:szCs w:val="14"/>
                <w:color w:val="auto"/>
              </w:rPr>
              <w:t>25,023</w:t>
            </w:r>
          </w:p>
        </w:tc>
        <w:tc>
          <w:tcPr>
            <w:tcW w:w="840" w:type="dxa"/>
            <w:vAlign w:val="bottom"/>
          </w:tcPr>
          <w:p>
            <w:pPr>
              <w:jc w:val="right"/>
              <w:ind w:right="71"/>
              <w:spacing w:after="0" w:line="156" w:lineRule="exact"/>
              <w:rPr>
                <w:sz w:val="20"/>
                <w:szCs w:val="20"/>
                <w:color w:val="auto"/>
              </w:rPr>
            </w:pPr>
            <w:r>
              <w:rPr>
                <w:rFonts w:ascii="Arial" w:cs="Arial" w:eastAsia="Arial" w:hAnsi="Arial"/>
                <w:sz w:val="14"/>
                <w:szCs w:val="14"/>
                <w:color w:val="auto"/>
              </w:rPr>
              <w:t>25,023</w:t>
            </w:r>
          </w:p>
        </w:tc>
        <w:tc>
          <w:tcPr>
            <w:tcW w:w="340" w:type="dxa"/>
            <w:vAlign w:val="bottom"/>
          </w:tcPr>
          <w:p>
            <w:pPr>
              <w:spacing w:after="0"/>
              <w:rPr>
                <w:sz w:val="13"/>
                <w:szCs w:val="13"/>
                <w:color w:val="auto"/>
              </w:rPr>
            </w:pPr>
          </w:p>
        </w:tc>
        <w:tc>
          <w:tcPr>
            <w:tcW w:w="700" w:type="dxa"/>
            <w:vAlign w:val="bottom"/>
          </w:tcPr>
          <w:p>
            <w:pPr>
              <w:jc w:val="right"/>
              <w:ind w:right="71"/>
              <w:spacing w:after="0" w:line="156"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740" w:type="dxa"/>
            <w:vAlign w:val="bottom"/>
          </w:tcPr>
          <w:p>
            <w:pPr>
              <w:jc w:val="right"/>
              <w:ind w:right="71"/>
              <w:spacing w:after="0" w:line="156"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r>
      <w:tr>
        <w:trPr>
          <w:trHeight w:val="156"/>
        </w:trPr>
        <w:tc>
          <w:tcPr>
            <w:tcW w:w="556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Unfunded pension plan contributions</w:t>
            </w:r>
          </w:p>
        </w:tc>
        <w:tc>
          <w:tcPr>
            <w:tcW w:w="2080" w:type="dxa"/>
            <w:vAlign w:val="bottom"/>
            <w:shd w:val="clear" w:color="auto" w:fill="CCEEFF"/>
          </w:tcPr>
          <w:p>
            <w:pPr>
              <w:jc w:val="right"/>
              <w:ind w:right="71"/>
              <w:spacing w:after="0" w:line="156" w:lineRule="exact"/>
              <w:rPr>
                <w:sz w:val="20"/>
                <w:szCs w:val="20"/>
                <w:color w:val="auto"/>
              </w:rPr>
            </w:pPr>
            <w:r>
              <w:rPr>
                <w:rFonts w:ascii="Arial" w:cs="Arial" w:eastAsia="Arial" w:hAnsi="Arial"/>
                <w:sz w:val="14"/>
                <w:szCs w:val="14"/>
                <w:color w:val="auto"/>
              </w:rPr>
              <w:t>107,773</w:t>
            </w:r>
          </w:p>
        </w:tc>
        <w:tc>
          <w:tcPr>
            <w:tcW w:w="840" w:type="dxa"/>
            <w:vAlign w:val="bottom"/>
            <w:shd w:val="clear" w:color="auto" w:fill="CCEEFF"/>
          </w:tcPr>
          <w:p>
            <w:pPr>
              <w:jc w:val="right"/>
              <w:ind w:right="71"/>
              <w:spacing w:after="0" w:line="156" w:lineRule="exact"/>
              <w:rPr>
                <w:sz w:val="20"/>
                <w:szCs w:val="20"/>
                <w:color w:val="auto"/>
              </w:rPr>
            </w:pPr>
            <w:r>
              <w:rPr>
                <w:rFonts w:ascii="Arial" w:cs="Arial" w:eastAsia="Arial" w:hAnsi="Arial"/>
                <w:sz w:val="14"/>
                <w:szCs w:val="14"/>
                <w:color w:val="auto"/>
              </w:rPr>
              <w:t>12,366</w:t>
            </w:r>
          </w:p>
        </w:tc>
        <w:tc>
          <w:tcPr>
            <w:tcW w:w="34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71"/>
              <w:spacing w:after="0" w:line="156" w:lineRule="exact"/>
              <w:rPr>
                <w:sz w:val="20"/>
                <w:szCs w:val="20"/>
                <w:color w:val="auto"/>
              </w:rPr>
            </w:pPr>
            <w:r>
              <w:rPr>
                <w:rFonts w:ascii="Arial" w:cs="Arial" w:eastAsia="Arial" w:hAnsi="Arial"/>
                <w:sz w:val="14"/>
                <w:szCs w:val="14"/>
                <w:color w:val="auto"/>
              </w:rPr>
              <w:t>23,865</w:t>
            </w:r>
          </w:p>
        </w:tc>
        <w:tc>
          <w:tcPr>
            <w:tcW w:w="30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71"/>
              <w:spacing w:after="0" w:line="156" w:lineRule="exact"/>
              <w:rPr>
                <w:sz w:val="20"/>
                <w:szCs w:val="20"/>
                <w:color w:val="auto"/>
              </w:rPr>
            </w:pPr>
            <w:r>
              <w:rPr>
                <w:rFonts w:ascii="Arial" w:cs="Arial" w:eastAsia="Arial" w:hAnsi="Arial"/>
                <w:sz w:val="14"/>
                <w:szCs w:val="14"/>
                <w:color w:val="auto"/>
              </w:rPr>
              <w:t>22,674</w:t>
            </w:r>
          </w:p>
        </w:tc>
        <w:tc>
          <w:tcPr>
            <w:tcW w:w="86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48,868</w:t>
            </w:r>
          </w:p>
        </w:tc>
      </w:tr>
      <w:tr>
        <w:trPr>
          <w:trHeight w:val="156"/>
        </w:trPr>
        <w:tc>
          <w:tcPr>
            <w:tcW w:w="5560" w:type="dxa"/>
            <w:vAlign w:val="bottom"/>
          </w:tcPr>
          <w:p>
            <w:pPr>
              <w:spacing w:after="0" w:line="156" w:lineRule="exact"/>
              <w:rPr>
                <w:sz w:val="20"/>
                <w:szCs w:val="20"/>
                <w:color w:val="auto"/>
              </w:rPr>
            </w:pPr>
            <w:r>
              <w:rPr>
                <w:rFonts w:ascii="Arial" w:cs="Arial" w:eastAsia="Arial" w:hAnsi="Arial"/>
                <w:sz w:val="14"/>
                <w:szCs w:val="14"/>
                <w:color w:val="auto"/>
              </w:rPr>
              <w:t>Uncertain tax positions</w:t>
            </w:r>
          </w:p>
        </w:tc>
        <w:tc>
          <w:tcPr>
            <w:tcW w:w="2080" w:type="dxa"/>
            <w:vAlign w:val="bottom"/>
          </w:tcPr>
          <w:p>
            <w:pPr>
              <w:jc w:val="right"/>
              <w:ind w:right="71"/>
              <w:spacing w:after="0" w:line="156" w:lineRule="exact"/>
              <w:rPr>
                <w:sz w:val="20"/>
                <w:szCs w:val="20"/>
                <w:color w:val="auto"/>
              </w:rPr>
            </w:pPr>
            <w:r>
              <w:rPr>
                <w:rFonts w:ascii="Arial" w:cs="Arial" w:eastAsia="Arial" w:hAnsi="Arial"/>
                <w:sz w:val="14"/>
                <w:szCs w:val="14"/>
                <w:color w:val="auto"/>
              </w:rPr>
              <w:t>22,367</w:t>
            </w:r>
          </w:p>
        </w:tc>
        <w:tc>
          <w:tcPr>
            <w:tcW w:w="840" w:type="dxa"/>
            <w:vAlign w:val="bottom"/>
          </w:tcPr>
          <w:p>
            <w:pPr>
              <w:jc w:val="right"/>
              <w:ind w:right="71"/>
              <w:spacing w:after="0" w:line="156" w:lineRule="exact"/>
              <w:rPr>
                <w:sz w:val="20"/>
                <w:szCs w:val="20"/>
                <w:color w:val="auto"/>
              </w:rPr>
            </w:pPr>
            <w:r>
              <w:rPr>
                <w:rFonts w:ascii="Arial" w:cs="Arial" w:eastAsia="Arial" w:hAnsi="Arial"/>
                <w:sz w:val="14"/>
                <w:szCs w:val="14"/>
                <w:color w:val="auto"/>
              </w:rPr>
              <w:t>22,367</w:t>
            </w:r>
          </w:p>
        </w:tc>
        <w:tc>
          <w:tcPr>
            <w:tcW w:w="340" w:type="dxa"/>
            <w:vAlign w:val="bottom"/>
          </w:tcPr>
          <w:p>
            <w:pPr>
              <w:spacing w:after="0"/>
              <w:rPr>
                <w:sz w:val="13"/>
                <w:szCs w:val="13"/>
                <w:color w:val="auto"/>
              </w:rPr>
            </w:pPr>
          </w:p>
        </w:tc>
        <w:tc>
          <w:tcPr>
            <w:tcW w:w="700" w:type="dxa"/>
            <w:vAlign w:val="bottom"/>
          </w:tcPr>
          <w:p>
            <w:pPr>
              <w:jc w:val="right"/>
              <w:ind w:right="71"/>
              <w:spacing w:after="0" w:line="156"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740" w:type="dxa"/>
            <w:vAlign w:val="bottom"/>
          </w:tcPr>
          <w:p>
            <w:pPr>
              <w:jc w:val="right"/>
              <w:ind w:right="71"/>
              <w:spacing w:after="0" w:line="156"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r>
      <w:tr>
        <w:trPr>
          <w:trHeight w:val="156"/>
        </w:trPr>
        <w:tc>
          <w:tcPr>
            <w:tcW w:w="556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Capital leases - principal portion</w:t>
            </w:r>
          </w:p>
        </w:tc>
        <w:tc>
          <w:tcPr>
            <w:tcW w:w="2080" w:type="dxa"/>
            <w:vAlign w:val="bottom"/>
            <w:shd w:val="clear" w:color="auto" w:fill="CCEEFF"/>
          </w:tcPr>
          <w:p>
            <w:pPr>
              <w:jc w:val="right"/>
              <w:ind w:right="71"/>
              <w:spacing w:after="0" w:line="156" w:lineRule="exact"/>
              <w:rPr>
                <w:sz w:val="20"/>
                <w:szCs w:val="20"/>
                <w:color w:val="auto"/>
              </w:rPr>
            </w:pPr>
            <w:r>
              <w:rPr>
                <w:rFonts w:ascii="Arial" w:cs="Arial" w:eastAsia="Arial" w:hAnsi="Arial"/>
                <w:sz w:val="14"/>
                <w:szCs w:val="14"/>
                <w:color w:val="auto"/>
              </w:rPr>
              <w:t>13,248</w:t>
            </w:r>
          </w:p>
        </w:tc>
        <w:tc>
          <w:tcPr>
            <w:tcW w:w="840" w:type="dxa"/>
            <w:vAlign w:val="bottom"/>
            <w:shd w:val="clear" w:color="auto" w:fill="CCEEFF"/>
          </w:tcPr>
          <w:p>
            <w:pPr>
              <w:jc w:val="right"/>
              <w:ind w:right="71"/>
              <w:spacing w:after="0" w:line="156" w:lineRule="exact"/>
              <w:rPr>
                <w:sz w:val="20"/>
                <w:szCs w:val="20"/>
                <w:color w:val="auto"/>
              </w:rPr>
            </w:pPr>
            <w:r>
              <w:rPr>
                <w:rFonts w:ascii="Arial" w:cs="Arial" w:eastAsia="Arial" w:hAnsi="Arial"/>
                <w:sz w:val="14"/>
                <w:szCs w:val="14"/>
                <w:color w:val="auto"/>
              </w:rPr>
              <w:t>3,623</w:t>
            </w:r>
          </w:p>
        </w:tc>
        <w:tc>
          <w:tcPr>
            <w:tcW w:w="34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71"/>
              <w:spacing w:after="0" w:line="156" w:lineRule="exact"/>
              <w:rPr>
                <w:sz w:val="20"/>
                <w:szCs w:val="20"/>
                <w:color w:val="auto"/>
              </w:rPr>
            </w:pPr>
            <w:r>
              <w:rPr>
                <w:rFonts w:ascii="Arial" w:cs="Arial" w:eastAsia="Arial" w:hAnsi="Arial"/>
                <w:sz w:val="14"/>
                <w:szCs w:val="14"/>
                <w:color w:val="auto"/>
              </w:rPr>
              <w:t>5,313</w:t>
            </w:r>
          </w:p>
        </w:tc>
        <w:tc>
          <w:tcPr>
            <w:tcW w:w="30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71"/>
              <w:spacing w:after="0" w:line="156" w:lineRule="exact"/>
              <w:rPr>
                <w:sz w:val="20"/>
                <w:szCs w:val="20"/>
                <w:color w:val="auto"/>
              </w:rPr>
            </w:pPr>
            <w:r>
              <w:rPr>
                <w:rFonts w:ascii="Arial" w:cs="Arial" w:eastAsia="Arial" w:hAnsi="Arial"/>
                <w:sz w:val="14"/>
                <w:szCs w:val="14"/>
                <w:color w:val="auto"/>
              </w:rPr>
              <w:t>1,958</w:t>
            </w:r>
          </w:p>
        </w:tc>
        <w:tc>
          <w:tcPr>
            <w:tcW w:w="86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2,354</w:t>
            </w:r>
          </w:p>
        </w:tc>
      </w:tr>
      <w:tr>
        <w:trPr>
          <w:trHeight w:val="156"/>
        </w:trPr>
        <w:tc>
          <w:tcPr>
            <w:tcW w:w="5560" w:type="dxa"/>
            <w:vAlign w:val="bottom"/>
          </w:tcPr>
          <w:p>
            <w:pPr>
              <w:spacing w:after="0" w:line="156" w:lineRule="exact"/>
              <w:rPr>
                <w:sz w:val="20"/>
                <w:szCs w:val="20"/>
                <w:color w:val="auto"/>
              </w:rPr>
            </w:pPr>
            <w:r>
              <w:rPr>
                <w:rFonts w:ascii="Arial" w:cs="Arial" w:eastAsia="Arial" w:hAnsi="Arial"/>
                <w:sz w:val="14"/>
                <w:szCs w:val="14"/>
                <w:color w:val="auto"/>
              </w:rPr>
              <w:t>Other commitments</w:t>
            </w:r>
          </w:p>
        </w:tc>
        <w:tc>
          <w:tcPr>
            <w:tcW w:w="2080" w:type="dxa"/>
            <w:vAlign w:val="bottom"/>
          </w:tcPr>
          <w:p>
            <w:pPr>
              <w:jc w:val="right"/>
              <w:ind w:right="71"/>
              <w:spacing w:after="0" w:line="156" w:lineRule="exact"/>
              <w:rPr>
                <w:sz w:val="20"/>
                <w:szCs w:val="20"/>
                <w:color w:val="auto"/>
              </w:rPr>
            </w:pPr>
            <w:r>
              <w:rPr>
                <w:rFonts w:ascii="Arial" w:cs="Arial" w:eastAsia="Arial" w:hAnsi="Arial"/>
                <w:sz w:val="14"/>
                <w:szCs w:val="14"/>
                <w:color w:val="auto"/>
              </w:rPr>
              <w:t>433</w:t>
            </w:r>
          </w:p>
        </w:tc>
        <w:tc>
          <w:tcPr>
            <w:tcW w:w="840" w:type="dxa"/>
            <w:vAlign w:val="bottom"/>
          </w:tcPr>
          <w:p>
            <w:pPr>
              <w:jc w:val="right"/>
              <w:ind w:right="71"/>
              <w:spacing w:after="0" w:line="156" w:lineRule="exact"/>
              <w:rPr>
                <w:sz w:val="20"/>
                <w:szCs w:val="20"/>
                <w:color w:val="auto"/>
              </w:rPr>
            </w:pPr>
            <w:r>
              <w:rPr>
                <w:rFonts w:ascii="Arial" w:cs="Arial" w:eastAsia="Arial" w:hAnsi="Arial"/>
                <w:sz w:val="14"/>
                <w:szCs w:val="14"/>
                <w:color w:val="auto"/>
              </w:rPr>
              <w:t>64</w:t>
            </w:r>
          </w:p>
        </w:tc>
        <w:tc>
          <w:tcPr>
            <w:tcW w:w="340" w:type="dxa"/>
            <w:vAlign w:val="bottom"/>
          </w:tcPr>
          <w:p>
            <w:pPr>
              <w:spacing w:after="0"/>
              <w:rPr>
                <w:sz w:val="13"/>
                <w:szCs w:val="13"/>
                <w:color w:val="auto"/>
              </w:rPr>
            </w:pPr>
          </w:p>
        </w:tc>
        <w:tc>
          <w:tcPr>
            <w:tcW w:w="700" w:type="dxa"/>
            <w:vAlign w:val="bottom"/>
          </w:tcPr>
          <w:p>
            <w:pPr>
              <w:jc w:val="right"/>
              <w:ind w:right="71"/>
              <w:spacing w:after="0" w:line="156" w:lineRule="exact"/>
              <w:rPr>
                <w:sz w:val="20"/>
                <w:szCs w:val="20"/>
                <w:color w:val="auto"/>
              </w:rPr>
            </w:pPr>
            <w:r>
              <w:rPr>
                <w:rFonts w:ascii="Arial" w:cs="Arial" w:eastAsia="Arial" w:hAnsi="Arial"/>
                <w:sz w:val="14"/>
                <w:szCs w:val="14"/>
                <w:color w:val="auto"/>
              </w:rPr>
              <w:t>128</w:t>
            </w:r>
          </w:p>
        </w:tc>
        <w:tc>
          <w:tcPr>
            <w:tcW w:w="300" w:type="dxa"/>
            <w:vAlign w:val="bottom"/>
          </w:tcPr>
          <w:p>
            <w:pPr>
              <w:spacing w:after="0"/>
              <w:rPr>
                <w:sz w:val="13"/>
                <w:szCs w:val="13"/>
                <w:color w:val="auto"/>
              </w:rPr>
            </w:pPr>
          </w:p>
        </w:tc>
        <w:tc>
          <w:tcPr>
            <w:tcW w:w="740" w:type="dxa"/>
            <w:vAlign w:val="bottom"/>
          </w:tcPr>
          <w:p>
            <w:pPr>
              <w:jc w:val="right"/>
              <w:ind w:right="71"/>
              <w:spacing w:after="0" w:line="156" w:lineRule="exact"/>
              <w:rPr>
                <w:sz w:val="20"/>
                <w:szCs w:val="20"/>
                <w:color w:val="auto"/>
              </w:rPr>
            </w:pPr>
            <w:r>
              <w:rPr>
                <w:rFonts w:ascii="Arial" w:cs="Arial" w:eastAsia="Arial" w:hAnsi="Arial"/>
                <w:sz w:val="14"/>
                <w:szCs w:val="14"/>
                <w:color w:val="auto"/>
              </w:rPr>
              <w:t>128</w:t>
            </w:r>
          </w:p>
        </w:tc>
        <w:tc>
          <w:tcPr>
            <w:tcW w:w="860" w:type="dxa"/>
            <w:vAlign w:val="bottom"/>
          </w:tcPr>
          <w:p>
            <w:pPr>
              <w:jc w:val="right"/>
              <w:spacing w:after="0" w:line="156" w:lineRule="exact"/>
              <w:rPr>
                <w:sz w:val="20"/>
                <w:szCs w:val="20"/>
                <w:color w:val="auto"/>
              </w:rPr>
            </w:pPr>
            <w:r>
              <w:rPr>
                <w:rFonts w:ascii="Arial" w:cs="Arial" w:eastAsia="Arial" w:hAnsi="Arial"/>
                <w:sz w:val="14"/>
                <w:szCs w:val="14"/>
                <w:color w:val="auto"/>
              </w:rPr>
              <w:t>113</w:t>
            </w:r>
          </w:p>
        </w:tc>
      </w:tr>
      <w:tr>
        <w:trPr>
          <w:trHeight w:val="156"/>
        </w:trPr>
        <w:tc>
          <w:tcPr>
            <w:tcW w:w="5560" w:type="dxa"/>
            <w:vAlign w:val="bottom"/>
            <w:shd w:val="clear" w:color="auto" w:fill="CCEEFF"/>
          </w:tcPr>
          <w:p>
            <w:pPr>
              <w:spacing w:after="0" w:line="156" w:lineRule="exact"/>
              <w:rPr>
                <w:sz w:val="20"/>
                <w:szCs w:val="20"/>
                <w:color w:val="auto"/>
              </w:rPr>
            </w:pPr>
            <w:r>
              <w:rPr>
                <w:rFonts w:ascii="Arial" w:cs="Arial" w:eastAsia="Arial" w:hAnsi="Arial"/>
                <w:sz w:val="14"/>
                <w:szCs w:val="14"/>
                <w:b w:val="1"/>
                <w:bCs w:val="1"/>
                <w:i w:val="1"/>
                <w:iCs w:val="1"/>
                <w:color w:val="auto"/>
              </w:rPr>
              <w:t>OFF BALANCE SHEET:</w:t>
            </w:r>
          </w:p>
        </w:tc>
        <w:tc>
          <w:tcPr>
            <w:tcW w:w="20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156"/>
        </w:trPr>
        <w:tc>
          <w:tcPr>
            <w:tcW w:w="5560" w:type="dxa"/>
            <w:vAlign w:val="bottom"/>
          </w:tcPr>
          <w:p>
            <w:pPr>
              <w:spacing w:after="0" w:line="156" w:lineRule="exact"/>
              <w:rPr>
                <w:sz w:val="20"/>
                <w:szCs w:val="20"/>
                <w:color w:val="auto"/>
              </w:rPr>
            </w:pPr>
            <w:r>
              <w:rPr>
                <w:rFonts w:ascii="Arial" w:cs="Arial" w:eastAsia="Arial" w:hAnsi="Arial"/>
                <w:sz w:val="14"/>
                <w:szCs w:val="14"/>
                <w:color w:val="auto"/>
              </w:rPr>
              <w:t>Interest on publicly-traded long-term debt and capital lease obligations</w:t>
            </w:r>
          </w:p>
        </w:tc>
        <w:tc>
          <w:tcPr>
            <w:tcW w:w="2080" w:type="dxa"/>
            <w:vAlign w:val="bottom"/>
          </w:tcPr>
          <w:p>
            <w:pPr>
              <w:jc w:val="right"/>
              <w:ind w:right="71"/>
              <w:spacing w:after="0" w:line="156" w:lineRule="exact"/>
              <w:rPr>
                <w:sz w:val="20"/>
                <w:szCs w:val="20"/>
                <w:color w:val="auto"/>
              </w:rPr>
            </w:pPr>
            <w:r>
              <w:rPr>
                <w:rFonts w:ascii="Arial" w:cs="Arial" w:eastAsia="Arial" w:hAnsi="Arial"/>
                <w:sz w:val="14"/>
                <w:szCs w:val="14"/>
                <w:color w:val="auto"/>
              </w:rPr>
              <w:t>1,533,373</w:t>
            </w:r>
          </w:p>
        </w:tc>
        <w:tc>
          <w:tcPr>
            <w:tcW w:w="840" w:type="dxa"/>
            <w:vAlign w:val="bottom"/>
          </w:tcPr>
          <w:p>
            <w:pPr>
              <w:jc w:val="right"/>
              <w:ind w:right="71"/>
              <w:spacing w:after="0" w:line="156" w:lineRule="exact"/>
              <w:rPr>
                <w:sz w:val="20"/>
                <w:szCs w:val="20"/>
                <w:color w:val="auto"/>
              </w:rPr>
            </w:pPr>
            <w:r>
              <w:rPr>
                <w:rFonts w:ascii="Arial" w:cs="Arial" w:eastAsia="Arial" w:hAnsi="Arial"/>
                <w:sz w:val="14"/>
                <w:szCs w:val="14"/>
                <w:color w:val="auto"/>
              </w:rPr>
              <w:t>109,222</w:t>
            </w:r>
          </w:p>
        </w:tc>
        <w:tc>
          <w:tcPr>
            <w:tcW w:w="340" w:type="dxa"/>
            <w:vAlign w:val="bottom"/>
          </w:tcPr>
          <w:p>
            <w:pPr>
              <w:spacing w:after="0"/>
              <w:rPr>
                <w:sz w:val="13"/>
                <w:szCs w:val="13"/>
                <w:color w:val="auto"/>
              </w:rPr>
            </w:pPr>
          </w:p>
        </w:tc>
        <w:tc>
          <w:tcPr>
            <w:tcW w:w="700" w:type="dxa"/>
            <w:vAlign w:val="bottom"/>
          </w:tcPr>
          <w:p>
            <w:pPr>
              <w:jc w:val="right"/>
              <w:ind w:right="71"/>
              <w:spacing w:after="0" w:line="156" w:lineRule="exact"/>
              <w:rPr>
                <w:sz w:val="20"/>
                <w:szCs w:val="20"/>
                <w:color w:val="auto"/>
              </w:rPr>
            </w:pPr>
            <w:r>
              <w:rPr>
                <w:rFonts w:ascii="Arial" w:cs="Arial" w:eastAsia="Arial" w:hAnsi="Arial"/>
                <w:sz w:val="14"/>
                <w:szCs w:val="14"/>
                <w:color w:val="auto"/>
              </w:rPr>
              <w:t>203,473</w:t>
            </w:r>
          </w:p>
        </w:tc>
        <w:tc>
          <w:tcPr>
            <w:tcW w:w="300" w:type="dxa"/>
            <w:vAlign w:val="bottom"/>
          </w:tcPr>
          <w:p>
            <w:pPr>
              <w:spacing w:after="0"/>
              <w:rPr>
                <w:sz w:val="13"/>
                <w:szCs w:val="13"/>
                <w:color w:val="auto"/>
              </w:rPr>
            </w:pPr>
          </w:p>
        </w:tc>
        <w:tc>
          <w:tcPr>
            <w:tcW w:w="740" w:type="dxa"/>
            <w:vAlign w:val="bottom"/>
          </w:tcPr>
          <w:p>
            <w:pPr>
              <w:jc w:val="right"/>
              <w:ind w:right="71"/>
              <w:spacing w:after="0" w:line="156" w:lineRule="exact"/>
              <w:rPr>
                <w:sz w:val="20"/>
                <w:szCs w:val="20"/>
                <w:color w:val="auto"/>
              </w:rPr>
            </w:pPr>
            <w:r>
              <w:rPr>
                <w:rFonts w:ascii="Arial" w:cs="Arial" w:eastAsia="Arial" w:hAnsi="Arial"/>
                <w:sz w:val="14"/>
                <w:szCs w:val="14"/>
                <w:color w:val="auto"/>
              </w:rPr>
              <w:t>187,276</w:t>
            </w:r>
          </w:p>
        </w:tc>
        <w:tc>
          <w:tcPr>
            <w:tcW w:w="860" w:type="dxa"/>
            <w:vAlign w:val="bottom"/>
          </w:tcPr>
          <w:p>
            <w:pPr>
              <w:jc w:val="right"/>
              <w:spacing w:after="0" w:line="156" w:lineRule="exact"/>
              <w:rPr>
                <w:sz w:val="20"/>
                <w:szCs w:val="20"/>
                <w:color w:val="auto"/>
              </w:rPr>
            </w:pPr>
            <w:r>
              <w:rPr>
                <w:rFonts w:ascii="Arial" w:cs="Arial" w:eastAsia="Arial" w:hAnsi="Arial"/>
                <w:sz w:val="14"/>
                <w:szCs w:val="14"/>
                <w:color w:val="auto"/>
              </w:rPr>
              <w:t>1,033,402</w:t>
            </w:r>
          </w:p>
        </w:tc>
      </w:tr>
      <w:tr>
        <w:trPr>
          <w:trHeight w:val="156"/>
        </w:trPr>
        <w:tc>
          <w:tcPr>
            <w:tcW w:w="5560" w:type="dxa"/>
            <w:vAlign w:val="bottom"/>
            <w:shd w:val="clear" w:color="auto" w:fill="CCEEFF"/>
          </w:tcPr>
          <w:p>
            <w:pPr>
              <w:spacing w:after="0" w:line="156" w:lineRule="exact"/>
              <w:rPr>
                <w:sz w:val="20"/>
                <w:szCs w:val="20"/>
                <w:color w:val="auto"/>
              </w:rPr>
            </w:pPr>
            <w:r>
              <w:rPr>
                <w:rFonts w:ascii="Arial" w:cs="Arial" w:eastAsia="Arial" w:hAnsi="Arial"/>
                <w:sz w:val="11"/>
                <w:szCs w:val="11"/>
                <w:color w:val="auto"/>
              </w:rPr>
              <w:t>Operating leases</w:t>
            </w:r>
            <w:r>
              <w:rPr>
                <w:rFonts w:ascii="Arial" w:cs="Arial" w:eastAsia="Arial" w:hAnsi="Arial"/>
                <w:sz w:val="18"/>
                <w:szCs w:val="18"/>
                <w:i w:val="1"/>
                <w:iCs w:val="1"/>
                <w:color w:val="auto"/>
                <w:vertAlign w:val="superscript"/>
              </w:rPr>
              <w:t>2</w:t>
            </w:r>
          </w:p>
        </w:tc>
        <w:tc>
          <w:tcPr>
            <w:tcW w:w="2080" w:type="dxa"/>
            <w:vAlign w:val="bottom"/>
            <w:shd w:val="clear" w:color="auto" w:fill="CCEEFF"/>
          </w:tcPr>
          <w:p>
            <w:pPr>
              <w:jc w:val="right"/>
              <w:ind w:right="71"/>
              <w:spacing w:after="0" w:line="156" w:lineRule="exact"/>
              <w:rPr>
                <w:sz w:val="20"/>
                <w:szCs w:val="20"/>
                <w:color w:val="auto"/>
              </w:rPr>
            </w:pPr>
            <w:r>
              <w:rPr>
                <w:rFonts w:ascii="Arial" w:cs="Arial" w:eastAsia="Arial" w:hAnsi="Arial"/>
                <w:sz w:val="14"/>
                <w:szCs w:val="14"/>
                <w:color w:val="auto"/>
              </w:rPr>
              <w:t>616,499</w:t>
            </w:r>
          </w:p>
        </w:tc>
        <w:tc>
          <w:tcPr>
            <w:tcW w:w="840" w:type="dxa"/>
            <w:vAlign w:val="bottom"/>
            <w:shd w:val="clear" w:color="auto" w:fill="CCEEFF"/>
          </w:tcPr>
          <w:p>
            <w:pPr>
              <w:jc w:val="right"/>
              <w:ind w:right="71"/>
              <w:spacing w:after="0" w:line="156" w:lineRule="exact"/>
              <w:rPr>
                <w:sz w:val="20"/>
                <w:szCs w:val="20"/>
                <w:color w:val="auto"/>
              </w:rPr>
            </w:pPr>
            <w:r>
              <w:rPr>
                <w:rFonts w:ascii="Arial" w:cs="Arial" w:eastAsia="Arial" w:hAnsi="Arial"/>
                <w:sz w:val="14"/>
                <w:szCs w:val="14"/>
                <w:color w:val="auto"/>
              </w:rPr>
              <w:t>107,393</w:t>
            </w:r>
          </w:p>
        </w:tc>
        <w:tc>
          <w:tcPr>
            <w:tcW w:w="34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71"/>
              <w:spacing w:after="0" w:line="156" w:lineRule="exact"/>
              <w:rPr>
                <w:sz w:val="20"/>
                <w:szCs w:val="20"/>
                <w:color w:val="auto"/>
              </w:rPr>
            </w:pPr>
            <w:r>
              <w:rPr>
                <w:rFonts w:ascii="Arial" w:cs="Arial" w:eastAsia="Arial" w:hAnsi="Arial"/>
                <w:sz w:val="14"/>
                <w:szCs w:val="14"/>
                <w:color w:val="auto"/>
              </w:rPr>
              <w:t>105,940</w:t>
            </w:r>
          </w:p>
        </w:tc>
        <w:tc>
          <w:tcPr>
            <w:tcW w:w="30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71"/>
              <w:spacing w:after="0" w:line="156" w:lineRule="exact"/>
              <w:rPr>
                <w:sz w:val="20"/>
                <w:szCs w:val="20"/>
                <w:color w:val="auto"/>
              </w:rPr>
            </w:pPr>
            <w:r>
              <w:rPr>
                <w:rFonts w:ascii="Arial" w:cs="Arial" w:eastAsia="Arial" w:hAnsi="Arial"/>
                <w:sz w:val="14"/>
                <w:szCs w:val="14"/>
                <w:color w:val="auto"/>
              </w:rPr>
              <w:t>94,716</w:t>
            </w:r>
          </w:p>
        </w:tc>
        <w:tc>
          <w:tcPr>
            <w:tcW w:w="86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308,450</w:t>
            </w:r>
          </w:p>
        </w:tc>
      </w:tr>
      <w:tr>
        <w:trPr>
          <w:trHeight w:val="156"/>
        </w:trPr>
        <w:tc>
          <w:tcPr>
            <w:tcW w:w="5560" w:type="dxa"/>
            <w:vAlign w:val="bottom"/>
          </w:tcPr>
          <w:p>
            <w:pPr>
              <w:spacing w:after="0" w:line="156" w:lineRule="exact"/>
              <w:rPr>
                <w:sz w:val="20"/>
                <w:szCs w:val="20"/>
                <w:color w:val="auto"/>
              </w:rPr>
            </w:pPr>
            <w:r>
              <w:rPr>
                <w:rFonts w:ascii="Arial" w:cs="Arial" w:eastAsia="Arial" w:hAnsi="Arial"/>
                <w:sz w:val="11"/>
                <w:szCs w:val="11"/>
                <w:color w:val="auto"/>
              </w:rPr>
              <w:t>Royalty agreements</w:t>
            </w:r>
            <w:r>
              <w:rPr>
                <w:rFonts w:ascii="Arial" w:cs="Arial" w:eastAsia="Arial" w:hAnsi="Arial"/>
                <w:sz w:val="18"/>
                <w:szCs w:val="18"/>
                <w:i w:val="1"/>
                <w:iCs w:val="1"/>
                <w:color w:val="auto"/>
                <w:vertAlign w:val="superscript"/>
              </w:rPr>
              <w:t>2</w:t>
            </w:r>
          </w:p>
        </w:tc>
        <w:tc>
          <w:tcPr>
            <w:tcW w:w="2080" w:type="dxa"/>
            <w:vAlign w:val="bottom"/>
          </w:tcPr>
          <w:p>
            <w:pPr>
              <w:jc w:val="right"/>
              <w:ind w:right="71"/>
              <w:spacing w:after="0" w:line="156" w:lineRule="exact"/>
              <w:rPr>
                <w:sz w:val="20"/>
                <w:szCs w:val="20"/>
                <w:color w:val="auto"/>
              </w:rPr>
            </w:pPr>
            <w:r>
              <w:rPr>
                <w:rFonts w:ascii="Arial" w:cs="Arial" w:eastAsia="Arial" w:hAnsi="Arial"/>
                <w:sz w:val="14"/>
                <w:szCs w:val="14"/>
                <w:color w:val="auto"/>
              </w:rPr>
              <w:t>81,901</w:t>
            </w:r>
          </w:p>
        </w:tc>
        <w:tc>
          <w:tcPr>
            <w:tcW w:w="840" w:type="dxa"/>
            <w:vAlign w:val="bottom"/>
          </w:tcPr>
          <w:p>
            <w:pPr>
              <w:jc w:val="right"/>
              <w:ind w:right="71"/>
              <w:spacing w:after="0" w:line="156" w:lineRule="exact"/>
              <w:rPr>
                <w:sz w:val="20"/>
                <w:szCs w:val="20"/>
                <w:color w:val="auto"/>
              </w:rPr>
            </w:pPr>
            <w:r>
              <w:rPr>
                <w:rFonts w:ascii="Arial" w:cs="Arial" w:eastAsia="Arial" w:hAnsi="Arial"/>
                <w:sz w:val="14"/>
                <w:szCs w:val="14"/>
                <w:color w:val="auto"/>
              </w:rPr>
              <w:t>13,841</w:t>
            </w:r>
          </w:p>
        </w:tc>
        <w:tc>
          <w:tcPr>
            <w:tcW w:w="340" w:type="dxa"/>
            <w:vAlign w:val="bottom"/>
          </w:tcPr>
          <w:p>
            <w:pPr>
              <w:spacing w:after="0"/>
              <w:rPr>
                <w:sz w:val="13"/>
                <w:szCs w:val="13"/>
                <w:color w:val="auto"/>
              </w:rPr>
            </w:pPr>
          </w:p>
        </w:tc>
        <w:tc>
          <w:tcPr>
            <w:tcW w:w="700" w:type="dxa"/>
            <w:vAlign w:val="bottom"/>
          </w:tcPr>
          <w:p>
            <w:pPr>
              <w:jc w:val="right"/>
              <w:ind w:right="71"/>
              <w:spacing w:after="0" w:line="156" w:lineRule="exact"/>
              <w:rPr>
                <w:sz w:val="20"/>
                <w:szCs w:val="20"/>
                <w:color w:val="auto"/>
              </w:rPr>
            </w:pPr>
            <w:r>
              <w:rPr>
                <w:rFonts w:ascii="Arial" w:cs="Arial" w:eastAsia="Arial" w:hAnsi="Arial"/>
                <w:sz w:val="14"/>
                <w:szCs w:val="14"/>
                <w:color w:val="auto"/>
              </w:rPr>
              <w:t>17,295</w:t>
            </w:r>
          </w:p>
        </w:tc>
        <w:tc>
          <w:tcPr>
            <w:tcW w:w="300" w:type="dxa"/>
            <w:vAlign w:val="bottom"/>
          </w:tcPr>
          <w:p>
            <w:pPr>
              <w:spacing w:after="0"/>
              <w:rPr>
                <w:sz w:val="13"/>
                <w:szCs w:val="13"/>
                <w:color w:val="auto"/>
              </w:rPr>
            </w:pPr>
          </w:p>
        </w:tc>
        <w:tc>
          <w:tcPr>
            <w:tcW w:w="740" w:type="dxa"/>
            <w:vAlign w:val="bottom"/>
          </w:tcPr>
          <w:p>
            <w:pPr>
              <w:jc w:val="right"/>
              <w:ind w:right="71"/>
              <w:spacing w:after="0" w:line="156" w:lineRule="exact"/>
              <w:rPr>
                <w:sz w:val="20"/>
                <w:szCs w:val="20"/>
                <w:color w:val="auto"/>
              </w:rPr>
            </w:pPr>
            <w:r>
              <w:rPr>
                <w:rFonts w:ascii="Arial" w:cs="Arial" w:eastAsia="Arial" w:hAnsi="Arial"/>
                <w:sz w:val="14"/>
                <w:szCs w:val="14"/>
                <w:color w:val="auto"/>
              </w:rPr>
              <w:t>13,355</w:t>
            </w:r>
          </w:p>
        </w:tc>
        <w:tc>
          <w:tcPr>
            <w:tcW w:w="860" w:type="dxa"/>
            <w:vAlign w:val="bottom"/>
          </w:tcPr>
          <w:p>
            <w:pPr>
              <w:jc w:val="right"/>
              <w:spacing w:after="0" w:line="156" w:lineRule="exact"/>
              <w:rPr>
                <w:sz w:val="20"/>
                <w:szCs w:val="20"/>
                <w:color w:val="auto"/>
              </w:rPr>
            </w:pPr>
            <w:r>
              <w:rPr>
                <w:rFonts w:ascii="Arial" w:cs="Arial" w:eastAsia="Arial" w:hAnsi="Arial"/>
                <w:sz w:val="14"/>
                <w:szCs w:val="14"/>
                <w:color w:val="auto"/>
              </w:rPr>
              <w:t>37,410</w:t>
            </w:r>
          </w:p>
        </w:tc>
      </w:tr>
      <w:tr>
        <w:trPr>
          <w:trHeight w:val="156"/>
        </w:trPr>
        <w:tc>
          <w:tcPr>
            <w:tcW w:w="556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Purchase commitments - capital</w:t>
            </w:r>
          </w:p>
        </w:tc>
        <w:tc>
          <w:tcPr>
            <w:tcW w:w="2080" w:type="dxa"/>
            <w:vAlign w:val="bottom"/>
            <w:shd w:val="clear" w:color="auto" w:fill="CCEEFF"/>
          </w:tcPr>
          <w:p>
            <w:pPr>
              <w:jc w:val="right"/>
              <w:ind w:right="71"/>
              <w:spacing w:after="0" w:line="156" w:lineRule="exact"/>
              <w:rPr>
                <w:sz w:val="20"/>
                <w:szCs w:val="20"/>
                <w:color w:val="auto"/>
              </w:rPr>
            </w:pPr>
            <w:r>
              <w:rPr>
                <w:rFonts w:ascii="Arial" w:cs="Arial" w:eastAsia="Arial" w:hAnsi="Arial"/>
                <w:sz w:val="14"/>
                <w:szCs w:val="14"/>
                <w:color w:val="auto"/>
              </w:rPr>
              <w:t>191,582</w:t>
            </w:r>
          </w:p>
        </w:tc>
        <w:tc>
          <w:tcPr>
            <w:tcW w:w="840" w:type="dxa"/>
            <w:vAlign w:val="bottom"/>
            <w:shd w:val="clear" w:color="auto" w:fill="CCEEFF"/>
          </w:tcPr>
          <w:p>
            <w:pPr>
              <w:jc w:val="right"/>
              <w:ind w:right="71"/>
              <w:spacing w:after="0" w:line="156" w:lineRule="exact"/>
              <w:rPr>
                <w:sz w:val="20"/>
                <w:szCs w:val="20"/>
                <w:color w:val="auto"/>
              </w:rPr>
            </w:pPr>
            <w:r>
              <w:rPr>
                <w:rFonts w:ascii="Arial" w:cs="Arial" w:eastAsia="Arial" w:hAnsi="Arial"/>
                <w:sz w:val="14"/>
                <w:szCs w:val="14"/>
                <w:color w:val="auto"/>
              </w:rPr>
              <w:t>184,326</w:t>
            </w:r>
          </w:p>
        </w:tc>
        <w:tc>
          <w:tcPr>
            <w:tcW w:w="34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71"/>
              <w:spacing w:after="0" w:line="156" w:lineRule="exact"/>
              <w:rPr>
                <w:sz w:val="20"/>
                <w:szCs w:val="20"/>
                <w:color w:val="auto"/>
              </w:rPr>
            </w:pPr>
            <w:r>
              <w:rPr>
                <w:rFonts w:ascii="Arial" w:cs="Arial" w:eastAsia="Arial" w:hAnsi="Arial"/>
                <w:sz w:val="14"/>
                <w:szCs w:val="14"/>
                <w:color w:val="auto"/>
              </w:rPr>
              <w:t>7,256</w:t>
            </w:r>
          </w:p>
        </w:tc>
        <w:tc>
          <w:tcPr>
            <w:tcW w:w="30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71"/>
              <w:spacing w:after="0" w:line="156"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r>
      <w:tr>
        <w:trPr>
          <w:trHeight w:val="156"/>
        </w:trPr>
        <w:tc>
          <w:tcPr>
            <w:tcW w:w="5560" w:type="dxa"/>
            <w:vAlign w:val="bottom"/>
            <w:tcBorders>
              <w:bottom w:val="single" w:sz="8" w:color="auto"/>
            </w:tcBorders>
          </w:tcPr>
          <w:p>
            <w:pPr>
              <w:spacing w:after="0" w:line="156" w:lineRule="exact"/>
              <w:rPr>
                <w:sz w:val="20"/>
                <w:szCs w:val="20"/>
                <w:color w:val="auto"/>
              </w:rPr>
            </w:pPr>
            <w:r>
              <w:rPr>
                <w:rFonts w:ascii="Arial" w:cs="Arial" w:eastAsia="Arial" w:hAnsi="Arial"/>
                <w:sz w:val="14"/>
                <w:szCs w:val="14"/>
                <w:color w:val="auto"/>
              </w:rPr>
              <w:t>Other commitments - energy and services</w:t>
            </w:r>
          </w:p>
        </w:tc>
        <w:tc>
          <w:tcPr>
            <w:tcW w:w="2080" w:type="dxa"/>
            <w:vAlign w:val="bottom"/>
            <w:tcBorders>
              <w:bottom w:val="single" w:sz="8" w:color="auto"/>
            </w:tcBorders>
          </w:tcPr>
          <w:p>
            <w:pPr>
              <w:jc w:val="right"/>
              <w:ind w:right="71"/>
              <w:spacing w:after="0" w:line="156" w:lineRule="exact"/>
              <w:rPr>
                <w:sz w:val="20"/>
                <w:szCs w:val="20"/>
                <w:color w:val="auto"/>
              </w:rPr>
            </w:pPr>
            <w:r>
              <w:rPr>
                <w:rFonts w:ascii="Arial" w:cs="Arial" w:eastAsia="Arial" w:hAnsi="Arial"/>
                <w:sz w:val="14"/>
                <w:szCs w:val="14"/>
                <w:color w:val="auto"/>
              </w:rPr>
              <w:t>123,883</w:t>
            </w:r>
          </w:p>
        </w:tc>
        <w:tc>
          <w:tcPr>
            <w:tcW w:w="840" w:type="dxa"/>
            <w:vAlign w:val="bottom"/>
            <w:tcBorders>
              <w:bottom w:val="single" w:sz="8" w:color="auto"/>
            </w:tcBorders>
          </w:tcPr>
          <w:p>
            <w:pPr>
              <w:jc w:val="right"/>
              <w:ind w:right="71"/>
              <w:spacing w:after="0" w:line="156" w:lineRule="exact"/>
              <w:rPr>
                <w:sz w:val="20"/>
                <w:szCs w:val="20"/>
                <w:color w:val="auto"/>
              </w:rPr>
            </w:pPr>
            <w:r>
              <w:rPr>
                <w:rFonts w:ascii="Arial" w:cs="Arial" w:eastAsia="Arial" w:hAnsi="Arial"/>
                <w:sz w:val="14"/>
                <w:szCs w:val="14"/>
                <w:color w:val="auto"/>
              </w:rPr>
              <w:t>53,954</w:t>
            </w:r>
          </w:p>
        </w:tc>
        <w:tc>
          <w:tcPr>
            <w:tcW w:w="3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71"/>
              <w:spacing w:after="0" w:line="156" w:lineRule="exact"/>
              <w:rPr>
                <w:sz w:val="20"/>
                <w:szCs w:val="20"/>
                <w:color w:val="auto"/>
              </w:rPr>
            </w:pPr>
            <w:r>
              <w:rPr>
                <w:rFonts w:ascii="Arial" w:cs="Arial" w:eastAsia="Arial" w:hAnsi="Arial"/>
                <w:sz w:val="14"/>
                <w:szCs w:val="14"/>
                <w:color w:val="auto"/>
              </w:rPr>
              <w:t>41,002</w:t>
            </w:r>
          </w:p>
        </w:tc>
        <w:tc>
          <w:tcPr>
            <w:tcW w:w="3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71"/>
              <w:spacing w:after="0" w:line="156" w:lineRule="exact"/>
              <w:rPr>
                <w:sz w:val="20"/>
                <w:szCs w:val="20"/>
                <w:color w:val="auto"/>
              </w:rPr>
            </w:pPr>
            <w:r>
              <w:rPr>
                <w:rFonts w:ascii="Arial" w:cs="Arial" w:eastAsia="Arial" w:hAnsi="Arial"/>
                <w:sz w:val="14"/>
                <w:szCs w:val="14"/>
                <w:color w:val="auto"/>
              </w:rPr>
              <w:t>10,425</w:t>
            </w:r>
          </w:p>
        </w:tc>
        <w:tc>
          <w:tcPr>
            <w:tcW w:w="8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18,502</w:t>
            </w:r>
          </w:p>
        </w:tc>
      </w:tr>
      <w:tr>
        <w:trPr>
          <w:trHeight w:val="155"/>
        </w:trPr>
        <w:tc>
          <w:tcPr>
            <w:tcW w:w="556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2080" w:type="dxa"/>
            <w:vAlign w:val="bottom"/>
            <w:tcBorders>
              <w:bottom w:val="single" w:sz="8" w:color="auto"/>
            </w:tcBorders>
            <w:shd w:val="clear" w:color="auto" w:fill="CCEEFF"/>
          </w:tcPr>
          <w:p>
            <w:pPr>
              <w:jc w:val="right"/>
              <w:ind w:right="71"/>
              <w:spacing w:after="0" w:line="149" w:lineRule="exact"/>
              <w:rPr>
                <w:sz w:val="20"/>
                <w:szCs w:val="20"/>
                <w:color w:val="auto"/>
              </w:rPr>
            </w:pPr>
            <w:r>
              <w:rPr>
                <w:rFonts w:ascii="Arial" w:cs="Arial" w:eastAsia="Arial" w:hAnsi="Arial"/>
                <w:sz w:val="14"/>
                <w:szCs w:val="14"/>
                <w:color w:val="auto"/>
              </w:rPr>
              <w:t>$5,758,632</w:t>
            </w:r>
          </w:p>
        </w:tc>
        <w:tc>
          <w:tcPr>
            <w:tcW w:w="840" w:type="dxa"/>
            <w:vAlign w:val="bottom"/>
            <w:tcBorders>
              <w:bottom w:val="single" w:sz="8" w:color="auto"/>
            </w:tcBorders>
            <w:shd w:val="clear" w:color="auto" w:fill="CCEEFF"/>
          </w:tcPr>
          <w:p>
            <w:pPr>
              <w:jc w:val="right"/>
              <w:ind w:right="71"/>
              <w:spacing w:after="0" w:line="149" w:lineRule="exact"/>
              <w:rPr>
                <w:sz w:val="20"/>
                <w:szCs w:val="20"/>
                <w:color w:val="auto"/>
              </w:rPr>
            </w:pPr>
            <w:r>
              <w:rPr>
                <w:rFonts w:ascii="Arial" w:cs="Arial" w:eastAsia="Arial" w:hAnsi="Arial"/>
                <w:sz w:val="14"/>
                <w:szCs w:val="14"/>
                <w:color w:val="auto"/>
              </w:rPr>
              <w:t>$834,648</w:t>
            </w:r>
          </w:p>
        </w:tc>
        <w:tc>
          <w:tcPr>
            <w:tcW w:w="1040" w:type="dxa"/>
            <w:vAlign w:val="bottom"/>
            <w:tcBorders>
              <w:bottom w:val="single" w:sz="8" w:color="auto"/>
            </w:tcBorders>
            <w:gridSpan w:val="2"/>
            <w:shd w:val="clear" w:color="auto" w:fill="CCEEFF"/>
          </w:tcPr>
          <w:p>
            <w:pPr>
              <w:jc w:val="right"/>
              <w:ind w:right="71"/>
              <w:spacing w:after="0" w:line="149" w:lineRule="exact"/>
              <w:rPr>
                <w:sz w:val="20"/>
                <w:szCs w:val="20"/>
                <w:color w:val="auto"/>
              </w:rPr>
            </w:pPr>
            <w:r>
              <w:rPr>
                <w:rFonts w:ascii="Arial" w:cs="Arial" w:eastAsia="Arial" w:hAnsi="Arial"/>
                <w:sz w:val="14"/>
                <w:szCs w:val="14"/>
                <w:color w:val="auto"/>
              </w:rPr>
              <w:t>$1,003,882</w:t>
            </w:r>
          </w:p>
        </w:tc>
        <w:tc>
          <w:tcPr>
            <w:tcW w:w="300" w:type="dxa"/>
            <w:vAlign w:val="bottom"/>
            <w:tcBorders>
              <w:bottom w:val="single" w:sz="8" w:color="auto"/>
            </w:tcBorders>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71"/>
              <w:spacing w:after="0" w:line="149" w:lineRule="exact"/>
              <w:rPr>
                <w:sz w:val="20"/>
                <w:szCs w:val="20"/>
                <w:color w:val="auto"/>
              </w:rPr>
            </w:pPr>
            <w:r>
              <w:rPr>
                <w:rFonts w:ascii="Arial" w:cs="Arial" w:eastAsia="Arial" w:hAnsi="Arial"/>
                <w:sz w:val="14"/>
                <w:szCs w:val="14"/>
                <w:color w:val="auto"/>
              </w:rPr>
              <w:t>333,550</w:t>
            </w: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$3,586,552</w:t>
            </w:r>
          </w:p>
        </w:tc>
      </w:tr>
    </w:tbl>
    <w:p>
      <w:pPr>
        <w:spacing w:after="0"/>
        <w:rPr>
          <w:sz w:val="20"/>
          <w:szCs w:val="20"/>
          <w:color w:val="auto"/>
        </w:rPr>
      </w:pPr>
      <w:r>
        <w:rPr>
          <w:rFonts w:ascii="Arial" w:cs="Arial" w:eastAsia="Arial" w:hAnsi="Arial"/>
          <w:sz w:val="23"/>
          <w:szCs w:val="23"/>
          <w:i w:val="1"/>
          <w:iCs w:val="1"/>
          <w:color w:val="auto"/>
          <w:vertAlign w:val="superscript"/>
        </w:rPr>
        <w:t>1</w:t>
      </w:r>
      <w:r>
        <w:rPr>
          <w:rFonts w:ascii="Arial" w:cs="Arial" w:eastAsia="Arial" w:hAnsi="Arial"/>
          <w:sz w:val="14"/>
          <w:szCs w:val="14"/>
          <w:i w:val="1"/>
          <w:iCs w:val="1"/>
          <w:color w:val="auto"/>
        </w:rPr>
        <w:t xml:space="preserve"> Qualified pension plan contributions beyond 2018 are not determinable at this time</w:t>
      </w:r>
    </w:p>
    <w:p>
      <w:pPr>
        <w:spacing w:after="0"/>
        <w:rPr>
          <w:sz w:val="20"/>
          <w:szCs w:val="20"/>
          <w:color w:val="auto"/>
        </w:rPr>
      </w:pPr>
      <w:r>
        <w:rPr>
          <w:rFonts w:ascii="Arial" w:cs="Arial" w:eastAsia="Arial" w:hAnsi="Arial"/>
          <w:sz w:val="23"/>
          <w:szCs w:val="23"/>
          <w:i w:val="1"/>
          <w:iCs w:val="1"/>
          <w:color w:val="auto"/>
          <w:vertAlign w:val="superscript"/>
        </w:rPr>
        <w:t>2</w:t>
      </w:r>
      <w:r>
        <w:rPr>
          <w:rFonts w:ascii="Arial" w:cs="Arial" w:eastAsia="Arial" w:hAnsi="Arial"/>
          <w:sz w:val="14"/>
          <w:szCs w:val="14"/>
          <w:i w:val="1"/>
          <w:iCs w:val="1"/>
          <w:color w:val="auto"/>
        </w:rPr>
        <w:t xml:space="preserve"> Represents future minimum payments</w:t>
      </w:r>
    </w:p>
    <w:p>
      <w:pPr>
        <w:spacing w:after="0" w:line="88"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Notes A, G, I, J, L and N to the audited consolidated financial statements contain additional information regarding these commitments and should be read in conjunction with the above table.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71</w:t>
      </w:r>
    </w:p>
    <w:p>
      <w:pPr>
        <w:sectPr>
          <w:pgSz w:w="11900" w:h="16838" w:orient="portrait"/>
          <w:cols w:equalWidth="0" w:num="1">
            <w:col w:w="11420"/>
          </w:cols>
          <w:pgMar w:left="240" w:top="259" w:right="239" w:bottom="1440" w:gutter="0" w:footer="0" w:header="0"/>
          <w:type w:val="continuous"/>
        </w:sectPr>
      </w:pPr>
    </w:p>
    <w:bookmarkStart w:id="124" w:name="page125"/>
    <w:bookmarkEnd w:id="124"/>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3">
                      <a:extLst>
                        <a:ext uri="{28A0092B-C50C-407E-A947-70E740481C1C}"/>
                      </a:extLst>
                    </a:blip>
                    <a:srcRect/>
                    <a:stretch>
                      <a:fillRect/>
                    </a:stretch>
                  </pic:blipFill>
                  <pic:spPr bwMode="auto">
                    <a:xfrm>
                      <a:off x="0" y="0"/>
                      <a:ext cx="7293610" cy="37465"/>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420"/>
          </w:cols>
          <w:pgMar w:left="240" w:top="2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b w:val="1"/>
          <w:bCs w:val="1"/>
          <w:color w:val="8D5D6C"/>
        </w:rPr>
        <w:t>Contingent Liabilities and Commitments</w:t>
      </w:r>
    </w:p>
    <w:p>
      <w:pPr>
        <w:spacing w:after="0" w:line="5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Company has a $5 million short-term line of credit. No amounts were outstanding under this line of credit at December 31, 2017.</w:t>
      </w:r>
    </w:p>
    <w:p>
      <w:pPr>
        <w:spacing w:after="0" w:line="287"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The Company has entered into standby letter of credit agreements relating to certain insurance claims, contract performance and permit requirements. At December 31, 2017, the Company had contingent liabilities guaranteeing its own performance under these outstanding letters of credit of $45.0 million, of which $2.3 million were issued under the Company’s Revolving Facility. Certain of these underlying obligations are accrued on the Company’s consolidated balance sheets.</w:t>
      </w:r>
    </w:p>
    <w:p>
      <w:pPr>
        <w:spacing w:after="0" w:line="301"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In the normal course of business, at December 31, 2017, the Company was contingently liable for $348.3 million in surety bonds underwritten by Liberty Mutual and W. R. Berkley, which guarantee its own performance and are required by certain states and municipalities and their related agencies. Certain of the bonds guaranteeing performance of obligations, including those for asset retirement requirements and insurance claims, are accrued on the Company’s balance sheet. Five of these bonds are for certain construction contracts and reclamation obligations and total $90.6 million, or 26% of all outstanding surety bonds. The Company has indemnified the underwriting insurance companies against any exposure under the surety bonds. In the Company’s past experience, no material claims have been made against these financial instruments.</w:t>
      </w:r>
    </w:p>
    <w:p>
      <w:pPr>
        <w:spacing w:after="0" w:line="302"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The Company is a co-borrower with an unconsolidated affiliate for a revolving line of credit agreement with Branch Banking &amp; Trust. The line of credit was amended in January 2018 to extend the maturity to March 2020 and reduce the line of credit from $25.0 million to $15.5 million. The affiliate has agreed to reimburse and indemnify the Company for any payments and expenses the Company may incur from this agreement. The Company holds a lien on the affiliate’s membership interest in a joint venture as collateral for payment under the revolving line of credit.</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color w:val="0085CD"/>
        </w:rPr>
        <w:t>Quantitative and Qualitative Disclosures about Market Risk</w:t>
      </w:r>
    </w:p>
    <w:p>
      <w:pPr>
        <w:spacing w:after="0" w:line="42"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As discussed earlier, the Company’s operations are highly dependent upon the interest rate-sensitive construction and steelmaking industries. Consequently, these marketplaces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could experience lower levels of economic activity in an environment of rising interest rates or escalating costs (see</w:t>
      </w:r>
    </w:p>
    <w:p>
      <w:pPr>
        <w:spacing w:after="0"/>
        <w:rPr>
          <w:sz w:val="20"/>
          <w:szCs w:val="20"/>
          <w:color w:val="auto"/>
        </w:rPr>
      </w:pPr>
      <w:r>
        <w:rPr>
          <w:rFonts w:ascii="Arial" w:cs="Arial" w:eastAsia="Arial" w:hAnsi="Arial"/>
          <w:sz w:val="16"/>
          <w:szCs w:val="16"/>
          <w:i w:val="1"/>
          <w:iCs w:val="1"/>
          <w:color w:val="auto"/>
        </w:rPr>
        <w:t xml:space="preserve">Business Environment </w:t>
      </w:r>
      <w:r>
        <w:rPr>
          <w:rFonts w:ascii="Arial" w:cs="Arial" w:eastAsia="Arial" w:hAnsi="Arial"/>
          <w:sz w:val="16"/>
          <w:szCs w:val="16"/>
          <w:color w:val="auto"/>
        </w:rPr>
        <w:t>section).</w:t>
      </w:r>
    </w:p>
    <w:p>
      <w:pPr>
        <w:spacing w:after="0" w:line="309" w:lineRule="exact"/>
        <w:rPr>
          <w:sz w:val="20"/>
          <w:szCs w:val="20"/>
          <w:color w:val="auto"/>
        </w:rPr>
      </w:pPr>
    </w:p>
    <w:p>
      <w:pPr>
        <w:jc w:val="both"/>
        <w:spacing w:after="0"/>
        <w:rPr>
          <w:sz w:val="20"/>
          <w:szCs w:val="20"/>
          <w:color w:val="auto"/>
        </w:rPr>
      </w:pPr>
      <w:r>
        <w:rPr>
          <w:rFonts w:ascii="Arial" w:cs="Arial" w:eastAsia="Arial" w:hAnsi="Arial"/>
          <w:sz w:val="16"/>
          <w:szCs w:val="16"/>
          <w:color w:val="auto"/>
        </w:rPr>
        <w:t>Management has considered the current economic environment and its potential impact to the Company’s business. Demand for aggregates products, particularly in the infrastructure construction market, is affected by federal and state budget and deficit issues. Further, delays or cancellations of capital projects in the nonresidential and residential construction markets could occur if companies and consumers are unable to obtain financing for construction projects or if consumer confidence is eroded by economic uncertainty.</w:t>
      </w:r>
    </w:p>
    <w:p>
      <w:pPr>
        <w:spacing w:after="0" w:line="200" w:lineRule="exact"/>
        <w:rPr>
          <w:sz w:val="20"/>
          <w:szCs w:val="20"/>
          <w:color w:val="auto"/>
        </w:rPr>
      </w:pPr>
    </w:p>
    <w:p>
      <w:pPr>
        <w:spacing w:after="0" w:line="277"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Demand in the residential construction market is affected by interest rates. In 2017, the Federal Reserve raised the federal funds rate to over one percent for the first time in nearly a decade. The residential construction market accounted for approximately 21% of the Company’s aggregates product line shipments in 2017.</w:t>
      </w:r>
    </w:p>
    <w:p>
      <w:pPr>
        <w:spacing w:after="0" w:line="296" w:lineRule="exact"/>
        <w:rPr>
          <w:sz w:val="20"/>
          <w:szCs w:val="20"/>
          <w:color w:val="auto"/>
        </w:rPr>
      </w:pPr>
    </w:p>
    <w:p>
      <w:pPr>
        <w:jc w:val="both"/>
        <w:spacing w:after="0"/>
        <w:rPr>
          <w:sz w:val="20"/>
          <w:szCs w:val="20"/>
          <w:color w:val="auto"/>
        </w:rPr>
      </w:pPr>
      <w:r>
        <w:rPr>
          <w:rFonts w:ascii="Arial" w:cs="Arial" w:eastAsia="Arial" w:hAnsi="Arial"/>
          <w:sz w:val="16"/>
          <w:szCs w:val="16"/>
          <w:color w:val="auto"/>
        </w:rPr>
        <w:t>Aside from these inherent risks from within its operations, the Company’s earnings are also affected by changes in short-term interest rates. However, rising interest rates are not necessarily predictive of weaker operating results. Historically, the Company’s profitability has increased during periods of rising interest rates. In essence, the Company’s underlying business generally serves as a natural hedge to rising interest rates.</w:t>
      </w: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b w:val="1"/>
          <w:bCs w:val="1"/>
          <w:color w:val="8D5D6C"/>
        </w:rPr>
        <w:t>Variable-Rate Borrowing Facilities</w:t>
      </w:r>
    </w:p>
    <w:p>
      <w:pPr>
        <w:spacing w:after="0" w:line="57"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At December 31, 2017, the Company had a $700 million Revolving Facility and a $300 million Trade Receivable Facility. The Company also has $600 million variable-rate senior notes. Borrowings under these facilities bear interest at a variable interest rate. A hypothetical 100-basis-point increase in interest rates on borrowings of $600 million, which was the collective outstanding balance at December 31, 2017, would increase interest expense by $6.0 million on an annual basis.</w:t>
      </w: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b w:val="1"/>
          <w:bCs w:val="1"/>
          <w:color w:val="8D5D6C"/>
        </w:rPr>
        <w:t>Pension Expense</w:t>
      </w:r>
    </w:p>
    <w:p>
      <w:pPr>
        <w:spacing w:after="0" w:line="44"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The Company’s results of operations are affected by its pension expense. Assumptions that affect pension expense include the discount rate and, for the defined benefit pension plans only, the expected long-term rate of return on assets. Therefore, the Company has interest rate risk associated with</w:t>
      </w:r>
    </w:p>
    <w:p>
      <w:pPr>
        <w:spacing w:after="0" w:line="200" w:lineRule="exact"/>
        <w:rPr>
          <w:sz w:val="20"/>
          <w:szCs w:val="20"/>
          <w:color w:val="auto"/>
        </w:rPr>
      </w:pPr>
    </w:p>
    <w:p>
      <w:pPr>
        <w:sectPr>
          <w:pgSz w:w="11900" w:h="16838" w:orient="portrait"/>
          <w:cols w:equalWidth="0" w:num="2">
            <w:col w:w="5480" w:space="360"/>
            <w:col w:w="5580"/>
          </w:cols>
          <w:pgMar w:left="240" w:top="259" w:right="239" w:bottom="1440" w:gutter="0" w:footer="0" w:header="0"/>
          <w:type w:val="continuous"/>
        </w:sectPr>
      </w:pPr>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72</w:t>
      </w:r>
    </w:p>
    <w:p>
      <w:pPr>
        <w:sectPr>
          <w:pgSz w:w="11900" w:h="16838" w:orient="portrait"/>
          <w:cols w:equalWidth="0" w:num="1">
            <w:col w:w="11420"/>
          </w:cols>
          <w:pgMar w:left="240" w:top="259" w:right="239" w:bottom="1440" w:gutter="0" w:footer="0" w:header="0"/>
          <w:type w:val="continuous"/>
        </w:sectPr>
      </w:pPr>
    </w:p>
    <w:bookmarkStart w:id="125" w:name="page126"/>
    <w:bookmarkEnd w:id="125"/>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4">
                      <a:extLst>
                        <a:ext uri="{28A0092B-C50C-407E-A947-70E740481C1C}"/>
                      </a:extLst>
                    </a:blip>
                    <a:srcRect/>
                    <a:stretch>
                      <a:fillRect/>
                    </a:stretch>
                  </pic:blipFill>
                  <pic:spPr bwMode="auto">
                    <a:xfrm>
                      <a:off x="0" y="0"/>
                      <a:ext cx="7293610" cy="37465"/>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420"/>
          </w:cols>
          <w:pgMar w:left="240" w:top="2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 xml:space="preserve">these factors. The impact of hypothetical changes in these assumptions on the Company’s annual pension expense is discussed in the section </w:t>
      </w:r>
      <w:r>
        <w:rPr>
          <w:rFonts w:ascii="Arial" w:cs="Arial" w:eastAsia="Arial" w:hAnsi="Arial"/>
          <w:sz w:val="16"/>
          <w:szCs w:val="16"/>
          <w:i w:val="1"/>
          <w:iCs w:val="1"/>
          <w:color w:val="auto"/>
        </w:rPr>
        <w:t>Critical</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 Policies and Estimates – Pension Expense – Selection of Assumptions.</w:t>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8D5D6C"/>
        </w:rPr>
        <w:t>Energy Costs</w:t>
      </w:r>
    </w:p>
    <w:p>
      <w:pPr>
        <w:spacing w:after="0" w:line="57"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Energy costs, including diesel fuel, natural gas, coal and liquid asphalt, represent significant production costs of the Company. The cement product line and Magnesia Specialties business each have fixed-price agreements on their coal requirements. The cement product line’s contract covers 90% of the Midlothian plant’s needs while the Magnesia Specialties contract covers 100% of its coal requirements. A hypothetical 10% change in the Company’s energy prices in 2018 as compared with 2017, assuming constant volumes, would change 2018 energy expense by $25.0 million.</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color w:val="8D5D6C"/>
        </w:rPr>
        <w:t>Commodity Risk</w:t>
      </w:r>
    </w:p>
    <w:p>
      <w:pPr>
        <w:spacing w:after="0" w:line="44" w:lineRule="exact"/>
        <w:rPr>
          <w:sz w:val="20"/>
          <w:szCs w:val="20"/>
          <w:color w:val="auto"/>
        </w:rPr>
      </w:pPr>
    </w:p>
    <w:p>
      <w:pPr>
        <w:jc w:val="both"/>
        <w:spacing w:after="0"/>
        <w:rPr>
          <w:sz w:val="20"/>
          <w:szCs w:val="20"/>
          <w:color w:val="auto"/>
        </w:rPr>
      </w:pPr>
      <w:r>
        <w:rPr>
          <w:rFonts w:ascii="Arial" w:cs="Arial" w:eastAsia="Arial" w:hAnsi="Arial"/>
          <w:sz w:val="16"/>
          <w:szCs w:val="16"/>
          <w:color w:val="auto"/>
        </w:rPr>
        <w:t>Cement is a commodity and competition is based principally on price, which is highly sensitive to changes in supply and demand. Prices are often subject to material changes in response to relatively minor fluctuations in supply and demand, general economic conditions and other market conditions beyond the Company’s control. Increases in the production capacity of industry participants or increases in cement imports tend to create an oversupply of such products leading to an imbalance between supply and demand, which can have a negative impact on product prices. There can be no assurance that product prices will not decline in the future or that such declines will not have a material adverse effect on the Company’s business, financial condition and results of operations. A hypothetical 10% change in sales price of the cement product line would impact total revenues by $38.4 million.</w:t>
      </w:r>
    </w:p>
    <w:p>
      <w:pPr>
        <w:spacing w:after="0" w:line="200" w:lineRule="exact"/>
        <w:rPr>
          <w:sz w:val="20"/>
          <w:szCs w:val="20"/>
          <w:color w:val="auto"/>
        </w:rPr>
      </w:pPr>
    </w:p>
    <w:p>
      <w:pPr>
        <w:spacing w:after="0" w:line="266"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Cement is a key raw material in the production of ready mixed concrete. A hypothetical 10% change in cement costs in 2018 compared with 2017, assuming constant volumes, would change ready mixed concrete cost of sales by $23.6 million.</w:t>
      </w:r>
    </w:p>
    <w:p>
      <w:pPr>
        <w:spacing w:after="0" w:line="279" w:lineRule="exact"/>
        <w:rPr>
          <w:sz w:val="20"/>
          <w:szCs w:val="20"/>
          <w:color w:val="auto"/>
        </w:rPr>
      </w:pPr>
    </w:p>
    <w:p>
      <w:pPr>
        <w:ind w:right="1960"/>
        <w:spacing w:after="0" w:line="273" w:lineRule="auto"/>
        <w:rPr>
          <w:sz w:val="20"/>
          <w:szCs w:val="20"/>
          <w:color w:val="auto"/>
        </w:rPr>
      </w:pPr>
      <w:r>
        <w:rPr>
          <w:rFonts w:ascii="Arial" w:cs="Arial" w:eastAsia="Arial" w:hAnsi="Arial"/>
          <w:sz w:val="17"/>
          <w:szCs w:val="17"/>
          <w:b w:val="1"/>
          <w:bCs w:val="1"/>
          <w:color w:val="0085CD"/>
        </w:rPr>
        <w:t>OTHER FINANCIAL INFORMATION Critical Accounting Policies and Estimates</w:t>
      </w:r>
    </w:p>
    <w:p>
      <w:pPr>
        <w:jc w:val="both"/>
        <w:spacing w:after="0" w:line="241" w:lineRule="auto"/>
        <w:rPr>
          <w:sz w:val="20"/>
          <w:szCs w:val="20"/>
          <w:color w:val="auto"/>
        </w:rPr>
      </w:pPr>
      <w:r>
        <w:rPr>
          <w:rFonts w:ascii="Arial" w:cs="Arial" w:eastAsia="Arial" w:hAnsi="Arial"/>
          <w:sz w:val="16"/>
          <w:szCs w:val="16"/>
          <w:color w:val="auto"/>
        </w:rPr>
        <w:t>The Company’s audited consolidated financial statements include certain critical estimates regarding the effect of matters that are inherently uncertain. These estimates require management’s subjective and complex judgments. Amounts reported in the Company’s consolidated financial statements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could differ materially if management used different assumptions in making these estimates, resulting in actual results differing from those estimates. Methodologies used and assumptions selected by management in making these estimates, as well as the related disclosures, have been reviewed by and discussed with the Company’s Audit Committee. Management’s determination of the critical nature of accounting estimates and judgments may change from time to time depending on facts and circumstances that management cannot currently predict.</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color w:val="8D5D6C"/>
        </w:rPr>
        <w:t>Impairment Review of Goodwill</w:t>
      </w:r>
    </w:p>
    <w:p>
      <w:pPr>
        <w:spacing w:after="0" w:line="57"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Goodwill is required to be tested annually for impairment. An interim review is performed between annual tests if facts and circumstances indicate a potential impairment may exist. The impairment review of goodwill is a critical accounting estimate because goodwill represents 24% of the Company’s total assets at December 31, 2017. Further, the review requires management to apply judgment and make assumptions which may result in an impairment charge that could be material to the Company’s financial condition and results of operations. The Company performs its impairment evaluation as of October 1, which represents the annual evaluation date.</w:t>
      </w:r>
    </w:p>
    <w:p>
      <w:pPr>
        <w:spacing w:after="0" w:line="298"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The Company’s reporting units, which represent the level at which goodwill is tested for impairment, are based on the operating segments of the Building Materials business. There is no goodwill related to the Magnesia Specialties business. As of October 1, 2017, the reporting units for the Building Materials business were as follows:</w:t>
      </w:r>
    </w:p>
    <w:p>
      <w:pPr>
        <w:spacing w:after="0" w:line="8" w:lineRule="exact"/>
        <w:rPr>
          <w:sz w:val="20"/>
          <w:szCs w:val="20"/>
          <w:color w:val="auto"/>
        </w:rPr>
      </w:pPr>
    </w:p>
    <w:p>
      <w:pPr>
        <w:ind w:left="680" w:hanging="277"/>
        <w:spacing w:after="0" w:line="262" w:lineRule="auto"/>
        <w:tabs>
          <w:tab w:leader="none" w:pos="680"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 xml:space="preserve">Mid-Atlantic Division, </w:t>
      </w:r>
      <w:r>
        <w:rPr>
          <w:rFonts w:ascii="Arial" w:cs="Arial" w:eastAsia="Arial" w:hAnsi="Arial"/>
          <w:sz w:val="16"/>
          <w:szCs w:val="16"/>
          <w:color w:val="auto"/>
        </w:rPr>
        <w:t>which includes North Carolina, South</w:t>
      </w:r>
      <w:r>
        <w:rPr>
          <w:rFonts w:ascii="Arial" w:cs="Arial" w:eastAsia="Arial" w:hAnsi="Arial"/>
          <w:sz w:val="16"/>
          <w:szCs w:val="16"/>
          <w:i w:val="1"/>
          <w:iCs w:val="1"/>
          <w:color w:val="auto"/>
        </w:rPr>
        <w:t xml:space="preserve"> </w:t>
      </w:r>
      <w:r>
        <w:rPr>
          <w:rFonts w:ascii="Arial" w:cs="Arial" w:eastAsia="Arial" w:hAnsi="Arial"/>
          <w:sz w:val="16"/>
          <w:szCs w:val="16"/>
          <w:color w:val="auto"/>
        </w:rPr>
        <w:t>Carolina, Maryland and Virginia;</w:t>
      </w:r>
    </w:p>
    <w:p>
      <w:pPr>
        <w:ind w:left="680" w:hanging="277"/>
        <w:spacing w:after="0" w:line="262" w:lineRule="auto"/>
        <w:tabs>
          <w:tab w:leader="none" w:pos="680"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 xml:space="preserve">Mideast Division, </w:t>
      </w:r>
      <w:r>
        <w:rPr>
          <w:rFonts w:ascii="Arial" w:cs="Arial" w:eastAsia="Arial" w:hAnsi="Arial"/>
          <w:sz w:val="16"/>
          <w:szCs w:val="16"/>
          <w:color w:val="auto"/>
        </w:rPr>
        <w:t>which includes Indiana, Kentucky, Ohio and West</w:t>
      </w:r>
      <w:r>
        <w:rPr>
          <w:rFonts w:ascii="Arial" w:cs="Arial" w:eastAsia="Arial" w:hAnsi="Arial"/>
          <w:sz w:val="16"/>
          <w:szCs w:val="16"/>
          <w:i w:val="1"/>
          <w:iCs w:val="1"/>
          <w:color w:val="auto"/>
        </w:rPr>
        <w:t xml:space="preserve"> </w:t>
      </w:r>
      <w:r>
        <w:rPr>
          <w:rFonts w:ascii="Arial" w:cs="Arial" w:eastAsia="Arial" w:hAnsi="Arial"/>
          <w:sz w:val="16"/>
          <w:szCs w:val="16"/>
          <w:color w:val="auto"/>
        </w:rPr>
        <w:t>Virginia;</w:t>
      </w:r>
    </w:p>
    <w:p>
      <w:pPr>
        <w:ind w:left="680" w:hanging="277"/>
        <w:spacing w:after="0" w:line="262" w:lineRule="auto"/>
        <w:tabs>
          <w:tab w:leader="none" w:pos="680"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 xml:space="preserve">Midwest Division, </w:t>
      </w:r>
      <w:r>
        <w:rPr>
          <w:rFonts w:ascii="Arial" w:cs="Arial" w:eastAsia="Arial" w:hAnsi="Arial"/>
          <w:sz w:val="16"/>
          <w:szCs w:val="16"/>
          <w:color w:val="auto"/>
        </w:rPr>
        <w:t>which includes Iowa, northern Kansas,</w:t>
      </w:r>
      <w:r>
        <w:rPr>
          <w:rFonts w:ascii="Arial" w:cs="Arial" w:eastAsia="Arial" w:hAnsi="Arial"/>
          <w:sz w:val="16"/>
          <w:szCs w:val="16"/>
          <w:i w:val="1"/>
          <w:iCs w:val="1"/>
          <w:color w:val="auto"/>
        </w:rPr>
        <w:t xml:space="preserve"> </w:t>
      </w:r>
      <w:r>
        <w:rPr>
          <w:rFonts w:ascii="Arial" w:cs="Arial" w:eastAsia="Arial" w:hAnsi="Arial"/>
          <w:sz w:val="16"/>
          <w:szCs w:val="16"/>
          <w:color w:val="auto"/>
        </w:rPr>
        <w:t>Minnesota, Missouri, eastern Nebraska and Washington;</w:t>
      </w:r>
    </w:p>
    <w:p>
      <w:pPr>
        <w:jc w:val="both"/>
        <w:ind w:left="680" w:hanging="277"/>
        <w:spacing w:after="0" w:line="253" w:lineRule="auto"/>
        <w:tabs>
          <w:tab w:leader="none" w:pos="680"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 xml:space="preserve">Southeast Division, </w:t>
      </w:r>
      <w:r>
        <w:rPr>
          <w:rFonts w:ascii="Arial" w:cs="Arial" w:eastAsia="Arial" w:hAnsi="Arial"/>
          <w:sz w:val="16"/>
          <w:szCs w:val="16"/>
          <w:color w:val="auto"/>
        </w:rPr>
        <w:t>which includes Alabama, Florida, Georgia,</w:t>
      </w:r>
      <w:r>
        <w:rPr>
          <w:rFonts w:ascii="Arial" w:cs="Arial" w:eastAsia="Arial" w:hAnsi="Arial"/>
          <w:sz w:val="16"/>
          <w:szCs w:val="16"/>
          <w:i w:val="1"/>
          <w:iCs w:val="1"/>
          <w:color w:val="auto"/>
        </w:rPr>
        <w:t xml:space="preserve"> </w:t>
      </w:r>
      <w:r>
        <w:rPr>
          <w:rFonts w:ascii="Arial" w:cs="Arial" w:eastAsia="Arial" w:hAnsi="Arial"/>
          <w:sz w:val="16"/>
          <w:szCs w:val="16"/>
          <w:color w:val="auto"/>
        </w:rPr>
        <w:t>Tennessee and offshore operations in the Bahamas and Nova Scotia;</w:t>
      </w:r>
    </w:p>
    <w:p>
      <w:pPr>
        <w:spacing w:after="0" w:line="2" w:lineRule="exact"/>
        <w:rPr>
          <w:rFonts w:ascii="Arial" w:cs="Arial" w:eastAsia="Arial" w:hAnsi="Arial"/>
          <w:sz w:val="16"/>
          <w:szCs w:val="16"/>
          <w:color w:val="auto"/>
        </w:rPr>
      </w:pPr>
    </w:p>
    <w:p>
      <w:pPr>
        <w:jc w:val="both"/>
        <w:ind w:left="680" w:hanging="277"/>
        <w:spacing w:after="0" w:line="253" w:lineRule="auto"/>
        <w:tabs>
          <w:tab w:leader="none" w:pos="680"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 xml:space="preserve">Southwest Division, </w:t>
      </w:r>
      <w:r>
        <w:rPr>
          <w:rFonts w:ascii="Arial" w:cs="Arial" w:eastAsia="Arial" w:hAnsi="Arial"/>
          <w:sz w:val="16"/>
          <w:szCs w:val="16"/>
          <w:color w:val="auto"/>
        </w:rPr>
        <w:t>which includes the aggregates product line</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operations in Arkansas, southern Kansas, Louisiana, Oklahoma and Texas;</w:t>
      </w:r>
    </w:p>
    <w:p>
      <w:pPr>
        <w:spacing w:after="0" w:line="2" w:lineRule="exact"/>
        <w:rPr>
          <w:rFonts w:ascii="Arial" w:cs="Arial" w:eastAsia="Arial" w:hAnsi="Arial"/>
          <w:sz w:val="16"/>
          <w:szCs w:val="16"/>
          <w:color w:val="auto"/>
        </w:rPr>
      </w:pPr>
    </w:p>
    <w:p>
      <w:pPr>
        <w:jc w:val="both"/>
        <w:ind w:left="680" w:hanging="277"/>
        <w:spacing w:after="0" w:line="255" w:lineRule="auto"/>
        <w:tabs>
          <w:tab w:leader="none" w:pos="680"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 xml:space="preserve">Cement and Southwest Ready Mix Division, </w:t>
      </w:r>
      <w:r>
        <w:rPr>
          <w:rFonts w:ascii="Arial" w:cs="Arial" w:eastAsia="Arial" w:hAnsi="Arial"/>
          <w:sz w:val="16"/>
          <w:szCs w:val="16"/>
          <w:color w:val="auto"/>
        </w:rPr>
        <w:t>which includes the</w:t>
      </w:r>
      <w:r>
        <w:rPr>
          <w:rFonts w:ascii="Arial" w:cs="Arial" w:eastAsia="Arial" w:hAnsi="Arial"/>
          <w:sz w:val="16"/>
          <w:szCs w:val="16"/>
          <w:i w:val="1"/>
          <w:iCs w:val="1"/>
          <w:color w:val="auto"/>
        </w:rPr>
        <w:t xml:space="preserve"> </w:t>
      </w:r>
      <w:r>
        <w:rPr>
          <w:rFonts w:ascii="Arial" w:cs="Arial" w:eastAsia="Arial" w:hAnsi="Arial"/>
          <w:sz w:val="16"/>
          <w:szCs w:val="16"/>
          <w:color w:val="auto"/>
        </w:rPr>
        <w:t>cement operations in Texas and the ready mixed concrete operations in Arkansas, Louisiana and Texas;</w:t>
      </w:r>
    </w:p>
    <w:p>
      <w:pPr>
        <w:spacing w:after="0" w:line="485" w:lineRule="exact"/>
        <w:rPr>
          <w:sz w:val="20"/>
          <w:szCs w:val="20"/>
          <w:color w:val="auto"/>
        </w:rPr>
      </w:pPr>
    </w:p>
    <w:p>
      <w:pPr>
        <w:sectPr>
          <w:pgSz w:w="11900" w:h="16838" w:orient="portrait"/>
          <w:cols w:equalWidth="0" w:num="2">
            <w:col w:w="5480" w:space="360"/>
            <w:col w:w="5580"/>
          </w:cols>
          <w:pgMar w:left="240" w:top="259" w:right="239" w:bottom="1440" w:gutter="0" w:footer="0" w:header="0"/>
          <w:type w:val="continuous"/>
        </w:sect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73</w:t>
      </w:r>
    </w:p>
    <w:p>
      <w:pPr>
        <w:sectPr>
          <w:pgSz w:w="11900" w:h="16838" w:orient="portrait"/>
          <w:cols w:equalWidth="0" w:num="1">
            <w:col w:w="11420"/>
          </w:cols>
          <w:pgMar w:left="240" w:top="259" w:right="239" w:bottom="1440" w:gutter="0" w:footer="0" w:header="0"/>
          <w:type w:val="continuous"/>
        </w:sectPr>
      </w:pPr>
    </w:p>
    <w:bookmarkStart w:id="126" w:name="page127"/>
    <w:bookmarkEnd w:id="126"/>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5">
                      <a:extLst>
                        <a:ext uri="{28A0092B-C50C-407E-A947-70E740481C1C}"/>
                      </a:extLst>
                    </a:blip>
                    <a:srcRect/>
                    <a:stretch>
                      <a:fillRect/>
                    </a:stretch>
                  </pic:blipFill>
                  <pic:spPr bwMode="auto">
                    <a:xfrm>
                      <a:off x="0" y="0"/>
                      <a:ext cx="7293610" cy="37465"/>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420"/>
          </w:cols>
          <w:pgMar w:left="240" w:top="2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700" w:right="20" w:hanging="281"/>
        <w:spacing w:after="0" w:line="274" w:lineRule="auto"/>
        <w:tabs>
          <w:tab w:leader="none" w:pos="700"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 xml:space="preserve">Rocky Mountain Division, </w:t>
      </w:r>
      <w:r>
        <w:rPr>
          <w:rFonts w:ascii="Arial" w:cs="Arial" w:eastAsia="Arial" w:hAnsi="Arial"/>
          <w:sz w:val="16"/>
          <w:szCs w:val="16"/>
          <w:color w:val="auto"/>
        </w:rPr>
        <w:t>which includes Colorado, western</w:t>
      </w:r>
      <w:r>
        <w:rPr>
          <w:rFonts w:ascii="Arial" w:cs="Arial" w:eastAsia="Arial" w:hAnsi="Arial"/>
          <w:sz w:val="16"/>
          <w:szCs w:val="16"/>
          <w:i w:val="1"/>
          <w:iCs w:val="1"/>
          <w:color w:val="auto"/>
        </w:rPr>
        <w:t xml:space="preserve"> </w:t>
      </w:r>
      <w:r>
        <w:rPr>
          <w:rFonts w:ascii="Arial" w:cs="Arial" w:eastAsia="Arial" w:hAnsi="Arial"/>
          <w:sz w:val="16"/>
          <w:szCs w:val="16"/>
          <w:color w:val="auto"/>
        </w:rPr>
        <w:t>Nebraska, Nevada, Utah and Wyoming.</w:t>
      </w:r>
    </w:p>
    <w:p>
      <w:pPr>
        <w:spacing w:after="0" w:line="271"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Certain of the aforementioned reporting units within the Building Materials business meet the aggregation criteria and are consolidated as reportable segments for financial reporting purposes.</w:t>
      </w:r>
    </w:p>
    <w:p>
      <w:pPr>
        <w:spacing w:after="0" w:line="293" w:lineRule="exact"/>
        <w:rPr>
          <w:sz w:val="20"/>
          <w:szCs w:val="20"/>
          <w:color w:val="auto"/>
        </w:rPr>
      </w:pPr>
    </w:p>
    <w:p>
      <w:pPr>
        <w:jc w:val="both"/>
        <w:spacing w:after="0"/>
        <w:rPr>
          <w:sz w:val="20"/>
          <w:szCs w:val="20"/>
          <w:color w:val="auto"/>
        </w:rPr>
      </w:pPr>
      <w:r>
        <w:rPr>
          <w:rFonts w:ascii="Arial" w:cs="Arial" w:eastAsia="Arial" w:hAnsi="Arial"/>
          <w:sz w:val="16"/>
          <w:szCs w:val="16"/>
          <w:color w:val="auto"/>
        </w:rPr>
        <w:t>Goodwill is assigned to the respective reporting unit(s) based on the location of acquisitions at the time of consummation. Goodwill is tested for impairment by comparing the reporting unit’s fair value to its carrying value, which represents Step 1 of a two-step approach. However, prior to Step 1, the Company may perform an optional qualitative assessment. As part of the qualitative assessment, the Company considers, among other things, the following events and circumstances: macroeconomic conditions, industry and market conditions, cost factors, overall financial performance and other business or reporting unit-specific events. If the Company concludes it is more-likely-than-not (i.e., a likelihood of more than 50%) that a reporting unit’s fair value is higher than its carrying value, the Company does not perform any further goodwill impairment testing for that reporting unit. Otherwise, it proceeds to Step 1 of its goodwill impairment analysis. The Company may bypass the qualitative assessment for any reporting unit in any period and proceed directly with the quantitative calculation in Step 1. When the Company validates its conclusion by measuring fair value, it may resume performing a qualitative assessment for a reporting unit in any subsequent period. If the reporting unit’s fair value exceeds its carrying value, no further calculation is necessary. A reporting unit with a carrying value in excess of its fair value constitutes a Step 1 failure and leads to an impairment charge. The Financial Accounting Standards Board (FASB) issued an accounting standards update simplifying the calculation of the impairment charge. Under the updated guidance, Step 2 of the analysis, which is used to determine the amount of impairment, would be removed and the impairment charge would be calculated as the excess of the carrying value over fair value. The accounting standards update is effective for impairment tests performed after December 15, 2019, with early adoption permitted.</w:t>
      </w:r>
    </w:p>
    <w:p>
      <w:pPr>
        <w:spacing w:after="0" w:line="200" w:lineRule="exact"/>
        <w:rPr>
          <w:sz w:val="20"/>
          <w:szCs w:val="20"/>
          <w:color w:val="auto"/>
        </w:rPr>
      </w:pPr>
    </w:p>
    <w:p>
      <w:pPr>
        <w:spacing w:after="0" w:line="231"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In 2017, the Company performed a Step-1 analysis for the Cement and Southwest Ready Mix Division. The fair value was calculated using a discounted cash flow model. Key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assumptions included management’s estimates of future profitability, capital requirements, a discount rate of 10.0% and a terminal growth rate of 2.5%. The fair value of the Cement and Southwest Ready Mix Division reporting unit exceeded its carrying value by 24%, or $450 million. For sensitivity purposes, a 100-basis-point increase in the discount rate, holding all other assumptions constant, would result in the Cement and Southwest Ready Mix Division reporting unit passing the Step-1 analysis by $136 million, or 7%. The Cement and Southwest Ready Mix Division reporting unit had $941 million of goodwill at December 31, 2017.</w:t>
      </w:r>
    </w:p>
    <w:p>
      <w:pPr>
        <w:spacing w:after="0" w:line="298"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Price, cost and volume changes, profitability, efficiency improvements, the discount rate and the terminal growth rate are significant assumptions in performing a Step-1 analysis. These assumptions are interdependent and have a significant impact on the results of the test.</w:t>
      </w:r>
    </w:p>
    <w:p>
      <w:pPr>
        <w:spacing w:after="0" w:line="296"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Future profitability and capital requirements are, by their nature, estimates. Price, cost and volume assumptions were based on current forecasts, including the use of external sources, and market conditions. Capital requirements included maintenance-level needs, efficiency projects and known capacity-increasing initiatives.</w:t>
      </w:r>
    </w:p>
    <w:p>
      <w:pPr>
        <w:spacing w:after="0" w:line="296" w:lineRule="exact"/>
        <w:rPr>
          <w:sz w:val="20"/>
          <w:szCs w:val="20"/>
          <w:color w:val="auto"/>
        </w:rPr>
      </w:pPr>
    </w:p>
    <w:p>
      <w:pPr>
        <w:jc w:val="both"/>
        <w:spacing w:after="0"/>
        <w:rPr>
          <w:sz w:val="20"/>
          <w:szCs w:val="20"/>
          <w:color w:val="auto"/>
        </w:rPr>
      </w:pPr>
      <w:r>
        <w:rPr>
          <w:rFonts w:ascii="Arial" w:cs="Arial" w:eastAsia="Arial" w:hAnsi="Arial"/>
          <w:sz w:val="16"/>
          <w:szCs w:val="16"/>
          <w:color w:val="auto"/>
        </w:rPr>
        <w:t>A discount rate is calculated for each reporting unit that requires a Step-1 analysis and represents its weighted average cost of capital. The calculation of the discount rate includes the following components, which are primarily based on published sources: equity risk premium, historical beta, risk-free interest rate, small-stock premium, company-specific premium and borrowing rate.</w:t>
      </w:r>
    </w:p>
    <w:p>
      <w:pPr>
        <w:spacing w:after="0" w:line="200" w:lineRule="exact"/>
        <w:rPr>
          <w:sz w:val="20"/>
          <w:szCs w:val="20"/>
          <w:color w:val="auto"/>
        </w:rPr>
      </w:pPr>
    </w:p>
    <w:p>
      <w:pPr>
        <w:spacing w:after="0" w:line="282"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The terminal growth rate was based on the projected annual increase in GDP.</w:t>
      </w:r>
    </w:p>
    <w:p>
      <w:pPr>
        <w:spacing w:after="0" w:line="200" w:lineRule="exact"/>
        <w:rPr>
          <w:sz w:val="20"/>
          <w:szCs w:val="20"/>
          <w:color w:val="auto"/>
        </w:rPr>
      </w:pPr>
    </w:p>
    <w:p>
      <w:pPr>
        <w:spacing w:after="0" w:line="286"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Management believes that all assumptions used were reasonable based on historical operating results and expected future trends. However, if future operating results are unfavorable as compared with forecasts, the results of future goodwill impairment evaluations could be negatively affected. Further, mineral reserves, which represent underlying assets producing the reporting units’ cash flows for the aggregates product line, are depleting assets by their nature. The potential write off of goodwill from future evaluations represents a risk to the Company.</w:t>
      </w:r>
    </w:p>
    <w:p>
      <w:pPr>
        <w:spacing w:after="0" w:line="200" w:lineRule="exact"/>
        <w:rPr>
          <w:sz w:val="20"/>
          <w:szCs w:val="20"/>
          <w:color w:val="auto"/>
        </w:rPr>
      </w:pPr>
    </w:p>
    <w:p>
      <w:pPr>
        <w:sectPr>
          <w:pgSz w:w="11900" w:h="16838" w:orient="portrait"/>
          <w:cols w:equalWidth="0" w:num="2">
            <w:col w:w="5480" w:space="360"/>
            <w:col w:w="5580"/>
          </w:cols>
          <w:pgMar w:left="240" w:top="259" w:right="239" w:bottom="1440" w:gutter="0" w:footer="0" w:header="0"/>
          <w:type w:val="continuous"/>
        </w:sectPr>
      </w:pP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74</w:t>
      </w:r>
    </w:p>
    <w:p>
      <w:pPr>
        <w:sectPr>
          <w:pgSz w:w="11900" w:h="16838" w:orient="portrait"/>
          <w:cols w:equalWidth="0" w:num="1">
            <w:col w:w="11420"/>
          </w:cols>
          <w:pgMar w:left="240" w:top="259" w:right="239" w:bottom="1440" w:gutter="0" w:footer="0" w:header="0"/>
          <w:type w:val="continuous"/>
        </w:sectPr>
      </w:pPr>
    </w:p>
    <w:bookmarkStart w:id="127" w:name="page128"/>
    <w:bookmarkEnd w:id="127"/>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6">
                      <a:extLst>
                        <a:ext uri="{28A0092B-C50C-407E-A947-70E740481C1C}"/>
                      </a:extLst>
                    </a:blip>
                    <a:srcRect/>
                    <a:stretch>
                      <a:fillRect/>
                    </a:stretch>
                  </pic:blipFill>
                  <pic:spPr bwMode="auto">
                    <a:xfrm>
                      <a:off x="0" y="0"/>
                      <a:ext cx="7293610" cy="37465"/>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420"/>
          </w:cols>
          <w:pgMar w:left="240" w:top="2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b w:val="1"/>
          <w:bCs w:val="1"/>
          <w:color w:val="8D5D6C"/>
        </w:rPr>
        <w:t>Pension Expense-Selection of Assumptions</w:t>
      </w:r>
    </w:p>
    <w:p>
      <w:pPr>
        <w:spacing w:after="0" w:line="57"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The Company sponsors noncontributory defined benefit pension plans that cover substantially all employees and a Supplemental Excess Retirement Plan (SERP) for certain retirees (see Note J to the audited consolidated financial statements). Annual pension expense (inclusive of SERP expense) consists of several components:</w:t>
      </w:r>
    </w:p>
    <w:p>
      <w:pPr>
        <w:spacing w:after="0" w:line="8" w:lineRule="exact"/>
        <w:rPr>
          <w:sz w:val="20"/>
          <w:szCs w:val="20"/>
          <w:color w:val="auto"/>
        </w:rPr>
      </w:pPr>
    </w:p>
    <w:p>
      <w:pPr>
        <w:jc w:val="both"/>
        <w:ind w:left="700" w:hanging="281"/>
        <w:spacing w:after="0" w:line="253" w:lineRule="auto"/>
        <w:tabs>
          <w:tab w:leader="none" w:pos="700"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 xml:space="preserve">Service Cost, </w:t>
      </w:r>
      <w:r>
        <w:rPr>
          <w:rFonts w:ascii="Arial" w:cs="Arial" w:eastAsia="Arial" w:hAnsi="Arial"/>
          <w:sz w:val="16"/>
          <w:szCs w:val="16"/>
          <w:color w:val="auto"/>
        </w:rPr>
        <w:t>which represents the present value of benefits</w:t>
      </w:r>
      <w:r>
        <w:rPr>
          <w:rFonts w:ascii="Arial" w:cs="Arial" w:eastAsia="Arial" w:hAnsi="Arial"/>
          <w:sz w:val="16"/>
          <w:szCs w:val="16"/>
          <w:i w:val="1"/>
          <w:iCs w:val="1"/>
          <w:color w:val="auto"/>
        </w:rPr>
        <w:t xml:space="preserve"> </w:t>
      </w:r>
      <w:r>
        <w:rPr>
          <w:rFonts w:ascii="Arial" w:cs="Arial" w:eastAsia="Arial" w:hAnsi="Arial"/>
          <w:sz w:val="16"/>
          <w:szCs w:val="16"/>
          <w:color w:val="auto"/>
        </w:rPr>
        <w:t>attributed to services rendered in the current year, measured by expected future salary levels.</w:t>
      </w:r>
    </w:p>
    <w:p>
      <w:pPr>
        <w:spacing w:after="0" w:line="2" w:lineRule="exact"/>
        <w:rPr>
          <w:rFonts w:ascii="Arial" w:cs="Arial" w:eastAsia="Arial" w:hAnsi="Arial"/>
          <w:sz w:val="16"/>
          <w:szCs w:val="16"/>
          <w:color w:val="auto"/>
        </w:rPr>
      </w:pPr>
    </w:p>
    <w:p>
      <w:pPr>
        <w:ind w:left="700" w:hanging="281"/>
        <w:spacing w:after="0" w:line="262" w:lineRule="auto"/>
        <w:tabs>
          <w:tab w:leader="none" w:pos="700"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 xml:space="preserve">Interest Cost, </w:t>
      </w:r>
      <w:r>
        <w:rPr>
          <w:rFonts w:ascii="Arial" w:cs="Arial" w:eastAsia="Arial" w:hAnsi="Arial"/>
          <w:sz w:val="16"/>
          <w:szCs w:val="16"/>
          <w:color w:val="auto"/>
        </w:rPr>
        <w:t>which represents one year’s additional interest on</w:t>
      </w:r>
      <w:r>
        <w:rPr>
          <w:rFonts w:ascii="Arial" w:cs="Arial" w:eastAsia="Arial" w:hAnsi="Arial"/>
          <w:sz w:val="16"/>
          <w:szCs w:val="16"/>
          <w:i w:val="1"/>
          <w:iCs w:val="1"/>
          <w:color w:val="auto"/>
        </w:rPr>
        <w:t xml:space="preserve"> </w:t>
      </w:r>
      <w:r>
        <w:rPr>
          <w:rFonts w:ascii="Arial" w:cs="Arial" w:eastAsia="Arial" w:hAnsi="Arial"/>
          <w:sz w:val="16"/>
          <w:szCs w:val="16"/>
          <w:color w:val="auto"/>
        </w:rPr>
        <w:t>the outstanding liability.</w:t>
      </w:r>
    </w:p>
    <w:p>
      <w:pPr>
        <w:ind w:left="700" w:right="20" w:hanging="281"/>
        <w:spacing w:after="0" w:line="262" w:lineRule="auto"/>
        <w:tabs>
          <w:tab w:leader="none" w:pos="700"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 xml:space="preserve">Expected Return on Assets, </w:t>
      </w:r>
      <w:r>
        <w:rPr>
          <w:rFonts w:ascii="Arial" w:cs="Arial" w:eastAsia="Arial" w:hAnsi="Arial"/>
          <w:sz w:val="16"/>
          <w:szCs w:val="16"/>
          <w:color w:val="auto"/>
        </w:rPr>
        <w:t>which represents the expected</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 return on pension plan assets.</w:t>
      </w:r>
    </w:p>
    <w:p>
      <w:pPr>
        <w:jc w:val="both"/>
        <w:ind w:left="700" w:hanging="281"/>
        <w:spacing w:after="0"/>
        <w:tabs>
          <w:tab w:leader="none" w:pos="700"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 xml:space="preserve">Amortization of Prior Service Cost and Actuarial Gains and Losses, </w:t>
      </w:r>
      <w:r>
        <w:rPr>
          <w:rFonts w:ascii="Arial" w:cs="Arial" w:eastAsia="Arial" w:hAnsi="Arial"/>
          <w:sz w:val="16"/>
          <w:szCs w:val="16"/>
          <w:color w:val="auto"/>
        </w:rPr>
        <w:t>which represents components that are recognized over</w:t>
      </w:r>
      <w:r>
        <w:rPr>
          <w:rFonts w:ascii="Arial" w:cs="Arial" w:eastAsia="Arial" w:hAnsi="Arial"/>
          <w:sz w:val="16"/>
          <w:szCs w:val="16"/>
          <w:i w:val="1"/>
          <w:iCs w:val="1"/>
          <w:color w:val="auto"/>
        </w:rPr>
        <w:t xml:space="preserve"> </w:t>
      </w:r>
      <w:r>
        <w:rPr>
          <w:rFonts w:ascii="Arial" w:cs="Arial" w:eastAsia="Arial" w:hAnsi="Arial"/>
          <w:sz w:val="16"/>
          <w:szCs w:val="16"/>
          <w:color w:val="auto"/>
        </w:rPr>
        <w:t>time rather than immediately. Prior service cost represents credit given to employees for years of service prior to plan inception. Actuarial gains and losses arise from changes in assumptions regarding future events or when actual returns on pension assets differ from expected returns. At December 31, 2017, unrecognized actuarial loss and unrecognized prior service cost were $217.2 million and $0.1 million, respectively. Pension accounting rules currently allow companies to amortize the portion of the unrecognized actuarial loss that represents more than 10% of the greater of the projected benefit obligation or pension plan assets, using the average remaining service life for the amortization period. Therefore, the $217.2 million unrecognized actuarial loss consists of $129.3 million currently subject to amortization in 2018 and $87.9 million not subject to amortization in 2018. $13.2 million of amortization of the actuarial loss is estimated to be a component of 2018 annual pension expense.</w:t>
      </w:r>
    </w:p>
    <w:p>
      <w:pPr>
        <w:spacing w:after="0" w:line="200" w:lineRule="exact"/>
        <w:rPr>
          <w:sz w:val="20"/>
          <w:szCs w:val="20"/>
          <w:color w:val="auto"/>
        </w:rPr>
      </w:pPr>
    </w:p>
    <w:p>
      <w:pPr>
        <w:spacing w:after="0" w:line="26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These components are calculated annually to determine the pension expense reflected in the Company’s results of operations.</w:t>
      </w:r>
    </w:p>
    <w:p>
      <w:pPr>
        <w:spacing w:after="0" w:line="287"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Management believes the selection of assumptions related to the annual pension expense is a critical accounting estimate due to the high degree of volatility in the expense dependent on selected assumptions. The key assumptions are as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left="680" w:hanging="277"/>
        <w:spacing w:after="0" w:line="253" w:lineRule="auto"/>
        <w:tabs>
          <w:tab w:leader="none" w:pos="680"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 xml:space="preserve">The discount rate </w:t>
      </w:r>
      <w:r>
        <w:rPr>
          <w:rFonts w:ascii="Arial" w:cs="Arial" w:eastAsia="Arial" w:hAnsi="Arial"/>
          <w:sz w:val="16"/>
          <w:szCs w:val="16"/>
          <w:color w:val="auto"/>
        </w:rPr>
        <w:t>is used to present value the pension obligation</w:t>
      </w:r>
      <w:r>
        <w:rPr>
          <w:rFonts w:ascii="Arial" w:cs="Arial" w:eastAsia="Arial" w:hAnsi="Arial"/>
          <w:sz w:val="16"/>
          <w:szCs w:val="16"/>
          <w:i w:val="1"/>
          <w:iCs w:val="1"/>
          <w:color w:val="auto"/>
        </w:rPr>
        <w:t xml:space="preserve"> </w:t>
      </w:r>
      <w:r>
        <w:rPr>
          <w:rFonts w:ascii="Arial" w:cs="Arial" w:eastAsia="Arial" w:hAnsi="Arial"/>
          <w:sz w:val="16"/>
          <w:szCs w:val="16"/>
          <w:color w:val="auto"/>
        </w:rPr>
        <w:t>and represents the current rate at which the pension obligations could be effectively settled.</w:t>
      </w:r>
    </w:p>
    <w:p>
      <w:pPr>
        <w:spacing w:after="0" w:line="2" w:lineRule="exact"/>
        <w:rPr>
          <w:rFonts w:ascii="Arial" w:cs="Arial" w:eastAsia="Arial" w:hAnsi="Arial"/>
          <w:sz w:val="16"/>
          <w:szCs w:val="16"/>
          <w:color w:val="auto"/>
        </w:rPr>
      </w:pPr>
    </w:p>
    <w:p>
      <w:pPr>
        <w:jc w:val="both"/>
        <w:ind w:left="680" w:hanging="277"/>
        <w:spacing w:after="0" w:line="249" w:lineRule="auto"/>
        <w:tabs>
          <w:tab w:leader="none" w:pos="6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expected long-term rate of return on pension plan assets</w:t>
      </w:r>
      <w:r>
        <w:rPr>
          <w:rFonts w:ascii="Arial" w:cs="Arial" w:eastAsia="Arial" w:hAnsi="Arial"/>
          <w:sz w:val="16"/>
          <w:szCs w:val="16"/>
          <w:color w:val="auto"/>
        </w:rPr>
        <w:t xml:space="preserve"> is used to estimate future asset returns and should reflect the average rate of long-term earnings on assets invested to provide for the benefits included in the projected benefit obligation.</w:t>
      </w:r>
    </w:p>
    <w:p>
      <w:pPr>
        <w:spacing w:after="0" w:line="2" w:lineRule="exact"/>
        <w:rPr>
          <w:rFonts w:ascii="Arial" w:cs="Arial" w:eastAsia="Arial" w:hAnsi="Arial"/>
          <w:sz w:val="16"/>
          <w:szCs w:val="16"/>
          <w:color w:val="auto"/>
        </w:rPr>
      </w:pPr>
    </w:p>
    <w:p>
      <w:pPr>
        <w:ind w:left="680" w:hanging="277"/>
        <w:spacing w:after="0" w:line="262" w:lineRule="auto"/>
        <w:tabs>
          <w:tab w:leader="none" w:pos="6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mortality table</w:t>
      </w:r>
      <w:r>
        <w:rPr>
          <w:rFonts w:ascii="Arial" w:cs="Arial" w:eastAsia="Arial" w:hAnsi="Arial"/>
          <w:sz w:val="16"/>
          <w:szCs w:val="16"/>
          <w:color w:val="auto"/>
        </w:rPr>
        <w:t xml:space="preserve"> represents published statistics on the expected lives of people.</w:t>
      </w:r>
    </w:p>
    <w:p>
      <w:pPr>
        <w:jc w:val="both"/>
        <w:ind w:left="680" w:hanging="277"/>
        <w:spacing w:after="0" w:line="255" w:lineRule="auto"/>
        <w:tabs>
          <w:tab w:leader="none" w:pos="6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rate of increase in future compensation levels</w:t>
      </w:r>
      <w:r>
        <w:rPr>
          <w:rFonts w:ascii="Arial" w:cs="Arial" w:eastAsia="Arial" w:hAnsi="Arial"/>
          <w:sz w:val="16"/>
          <w:szCs w:val="16"/>
          <w:color w:val="auto"/>
        </w:rPr>
        <w:t xml:space="preserve"> is used to project the pay-related pension benefit formula and should estimate actual future compensation levels.</w:t>
      </w:r>
    </w:p>
    <w:p>
      <w:pPr>
        <w:spacing w:after="0" w:line="286"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Management’s selection of the discount rate is based on an analysis that estimates the current rate of return for high-quality, fixed-income investments with maturities matching the payment of pension benefits that could be purchased to settle the obligations. The Company selected a hypothetical portfolio of Moody’s Aa bonds, with maturities that mirror the benefit obligations, to determine the discount rate. At December 31, 2017, the Company selected a discount rate assumption of 3.76%, a 53-basis-point decrease from the prior-year assumption. Of the four key assumptions, the discount rate is generally the most volatile and sensitive estimate. Accordingly, a change in this assumption has the most significant impact on the annual pension expense.</w:t>
      </w:r>
    </w:p>
    <w:p>
      <w:pPr>
        <w:spacing w:after="0" w:line="303" w:lineRule="exact"/>
        <w:rPr>
          <w:sz w:val="20"/>
          <w:szCs w:val="20"/>
          <w:color w:val="auto"/>
        </w:rPr>
      </w:pPr>
    </w:p>
    <w:p>
      <w:pPr>
        <w:jc w:val="both"/>
        <w:spacing w:after="0"/>
        <w:rPr>
          <w:sz w:val="20"/>
          <w:szCs w:val="20"/>
          <w:color w:val="auto"/>
        </w:rPr>
      </w:pPr>
      <w:r>
        <w:rPr>
          <w:rFonts w:ascii="Arial" w:cs="Arial" w:eastAsia="Arial" w:hAnsi="Arial"/>
          <w:sz w:val="16"/>
          <w:szCs w:val="16"/>
          <w:color w:val="auto"/>
        </w:rPr>
        <w:t>Management’s selection of the rate of increase in future compensation levels is generally based on the Company’s historical salary increases, including cost of living adjustments and merit and promotion increases, giving consideration to any known future trends. A higher rate of increase results in higher pension expense. The assumed long-term rate of increase of 4.5% is consistent with the prior year’s assumption.</w:t>
      </w:r>
    </w:p>
    <w:p>
      <w:pPr>
        <w:spacing w:after="0" w:line="298"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Management’s selection of the expected long-term rate of return on pension fund assets is based on a building-block approach, whereby the components are weighted based on the allocation of pension plan assets. Given that these returns are long term, there are generally not significant fluctuations in the expected rate of return from year to year. Based on the currently projected returns on these assets and related expenses, the Company selected an expected return</w:t>
      </w:r>
    </w:p>
    <w:p>
      <w:pPr>
        <w:spacing w:after="0" w:line="334" w:lineRule="exact"/>
        <w:rPr>
          <w:sz w:val="20"/>
          <w:szCs w:val="20"/>
          <w:color w:val="auto"/>
        </w:rPr>
      </w:pPr>
    </w:p>
    <w:p>
      <w:pPr>
        <w:sectPr>
          <w:pgSz w:w="11900" w:h="16838" w:orient="portrait"/>
          <w:cols w:equalWidth="0" w:num="2">
            <w:col w:w="5480" w:space="360"/>
            <w:col w:w="5580"/>
          </w:cols>
          <w:pgMar w:left="240" w:top="259" w:right="239" w:bottom="1440" w:gutter="0" w:footer="0" w:header="0"/>
          <w:type w:val="continuous"/>
        </w:sectPr>
      </w:pP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75</w:t>
      </w:r>
    </w:p>
    <w:p>
      <w:pPr>
        <w:sectPr>
          <w:pgSz w:w="11900" w:h="16838" w:orient="portrait"/>
          <w:cols w:equalWidth="0" w:num="1">
            <w:col w:w="11420"/>
          </w:cols>
          <w:pgMar w:left="240" w:top="259" w:right="239" w:bottom="1440" w:gutter="0" w:footer="0" w:header="0"/>
          <w:type w:val="continuous"/>
        </w:sectPr>
      </w:pPr>
    </w:p>
    <w:bookmarkStart w:id="128" w:name="page129"/>
    <w:bookmarkEnd w:id="128"/>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7">
                      <a:extLst>
                        <a:ext uri="{28A0092B-C50C-407E-A947-70E740481C1C}"/>
                      </a:extLst>
                    </a:blip>
                    <a:srcRect/>
                    <a:stretch>
                      <a:fillRect/>
                    </a:stretch>
                  </pic:blipFill>
                  <pic:spPr bwMode="auto">
                    <a:xfrm>
                      <a:off x="0" y="0"/>
                      <a:ext cx="7293610" cy="37465"/>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420"/>
          </w:cols>
          <w:pgMar w:left="240" w:top="2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on assets of 6.75%, the same as the prior-year rate. The following table presents the expected return on pension assets as compared with the actual return on pension assets: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500" w:type="dxa"/>
            <w:vAlign w:val="bottom"/>
          </w:tcPr>
          <w:p>
            <w:pPr>
              <w:spacing w:after="0"/>
              <w:rPr>
                <w:sz w:val="14"/>
                <w:szCs w:val="14"/>
                <w:color w:val="auto"/>
              </w:rPr>
            </w:pPr>
          </w:p>
        </w:tc>
        <w:tc>
          <w:tcPr>
            <w:tcW w:w="2400" w:type="dxa"/>
            <w:vAlign w:val="bottom"/>
          </w:tcPr>
          <w:p>
            <w:pPr>
              <w:jc w:val="right"/>
              <w:ind w:right="301"/>
              <w:spacing w:after="0"/>
              <w:rPr>
                <w:sz w:val="20"/>
                <w:szCs w:val="20"/>
                <w:color w:val="auto"/>
              </w:rPr>
            </w:pPr>
            <w:r>
              <w:rPr>
                <w:rFonts w:ascii="Arial" w:cs="Arial" w:eastAsia="Arial" w:hAnsi="Arial"/>
                <w:sz w:val="15"/>
                <w:szCs w:val="15"/>
                <w:color w:val="auto"/>
              </w:rPr>
              <w:t>Expected Return</w:t>
            </w:r>
          </w:p>
        </w:tc>
        <w:tc>
          <w:tcPr>
            <w:tcW w:w="1580" w:type="dxa"/>
            <w:vAlign w:val="bottom"/>
            <w:gridSpan w:val="2"/>
          </w:tcPr>
          <w:p>
            <w:pPr>
              <w:jc w:val="center"/>
              <w:ind w:left="181"/>
              <w:spacing w:after="0"/>
              <w:rPr>
                <w:sz w:val="20"/>
                <w:szCs w:val="20"/>
                <w:color w:val="auto"/>
              </w:rPr>
            </w:pPr>
            <w:r>
              <w:rPr>
                <w:rFonts w:ascii="Arial" w:cs="Arial" w:eastAsia="Arial" w:hAnsi="Arial"/>
                <w:sz w:val="15"/>
                <w:szCs w:val="15"/>
                <w:color w:val="auto"/>
                <w:w w:val="96"/>
              </w:rPr>
              <w:t>Actual Return</w:t>
            </w:r>
          </w:p>
        </w:tc>
      </w:tr>
      <w:tr>
        <w:trPr>
          <w:trHeight w:val="159"/>
        </w:trPr>
        <w:tc>
          <w:tcPr>
            <w:tcW w:w="1500" w:type="dxa"/>
            <w:vAlign w:val="bottom"/>
            <w:tcBorders>
              <w:bottom w:val="single" w:sz="8" w:color="auto"/>
            </w:tcBorders>
          </w:tcPr>
          <w:p>
            <w:pPr>
              <w:spacing w:after="0" w:line="159" w:lineRule="exact"/>
              <w:rPr>
                <w:sz w:val="20"/>
                <w:szCs w:val="20"/>
                <w:color w:val="auto"/>
              </w:rPr>
            </w:pPr>
            <w:r>
              <w:rPr>
                <w:rFonts w:ascii="Arial" w:cs="Arial" w:eastAsia="Arial" w:hAnsi="Arial"/>
                <w:sz w:val="15"/>
                <w:szCs w:val="15"/>
                <w:color w:val="auto"/>
              </w:rPr>
              <w:t>(add 000)</w:t>
            </w:r>
          </w:p>
        </w:tc>
        <w:tc>
          <w:tcPr>
            <w:tcW w:w="2400" w:type="dxa"/>
            <w:vAlign w:val="bottom"/>
            <w:tcBorders>
              <w:bottom w:val="single" w:sz="8" w:color="auto"/>
            </w:tcBorders>
          </w:tcPr>
          <w:p>
            <w:pPr>
              <w:jc w:val="right"/>
              <w:ind w:right="241"/>
              <w:spacing w:after="0" w:line="159" w:lineRule="exact"/>
              <w:rPr>
                <w:sz w:val="20"/>
                <w:szCs w:val="20"/>
                <w:color w:val="auto"/>
              </w:rPr>
            </w:pPr>
            <w:r>
              <w:rPr>
                <w:rFonts w:ascii="Arial" w:cs="Arial" w:eastAsia="Arial" w:hAnsi="Arial"/>
                <w:sz w:val="15"/>
                <w:szCs w:val="15"/>
                <w:color w:val="auto"/>
              </w:rPr>
              <w:t>on Pension Assets</w:t>
            </w:r>
          </w:p>
        </w:tc>
        <w:tc>
          <w:tcPr>
            <w:tcW w:w="1580" w:type="dxa"/>
            <w:vAlign w:val="bottom"/>
            <w:tcBorders>
              <w:bottom w:val="single" w:sz="8" w:color="auto"/>
            </w:tcBorders>
            <w:gridSpan w:val="2"/>
          </w:tcPr>
          <w:p>
            <w:pPr>
              <w:jc w:val="center"/>
              <w:ind w:left="181"/>
              <w:spacing w:after="0" w:line="159" w:lineRule="exact"/>
              <w:rPr>
                <w:sz w:val="20"/>
                <w:szCs w:val="20"/>
                <w:color w:val="auto"/>
              </w:rPr>
            </w:pPr>
            <w:r>
              <w:rPr>
                <w:rFonts w:ascii="Arial" w:cs="Arial" w:eastAsia="Arial" w:hAnsi="Arial"/>
                <w:sz w:val="15"/>
                <w:szCs w:val="15"/>
                <w:color w:val="auto"/>
                <w:w w:val="96"/>
              </w:rPr>
              <w:t>on Pension Assets</w:t>
            </w:r>
          </w:p>
        </w:tc>
      </w:tr>
      <w:tr>
        <w:trPr>
          <w:trHeight w:val="175"/>
        </w:trPr>
        <w:tc>
          <w:tcPr>
            <w:tcW w:w="1500" w:type="dxa"/>
            <w:vAlign w:val="bottom"/>
            <w:shd w:val="clear" w:color="auto" w:fill="CCEEFF"/>
          </w:tcPr>
          <w:p>
            <w:pPr>
              <w:spacing w:after="0" w:line="175" w:lineRule="exact"/>
              <w:rPr>
                <w:sz w:val="20"/>
                <w:szCs w:val="20"/>
                <w:color w:val="auto"/>
              </w:rPr>
            </w:pPr>
            <w:r>
              <w:rPr>
                <w:rFonts w:ascii="Arial" w:cs="Arial" w:eastAsia="Arial" w:hAnsi="Arial"/>
                <w:sz w:val="16"/>
                <w:szCs w:val="16"/>
                <w:b w:val="1"/>
                <w:bCs w:val="1"/>
                <w:color w:val="0085CD"/>
              </w:rPr>
              <w:t>2017</w:t>
            </w:r>
          </w:p>
        </w:tc>
        <w:tc>
          <w:tcPr>
            <w:tcW w:w="2400" w:type="dxa"/>
            <w:vAlign w:val="bottom"/>
            <w:shd w:val="clear" w:color="auto" w:fill="CCEEFF"/>
          </w:tcPr>
          <w:p>
            <w:pPr>
              <w:jc w:val="right"/>
              <w:ind w:right="321"/>
              <w:spacing w:after="0" w:line="175" w:lineRule="exact"/>
              <w:rPr>
                <w:sz w:val="20"/>
                <w:szCs w:val="20"/>
                <w:color w:val="auto"/>
              </w:rPr>
            </w:pPr>
            <w:r>
              <w:rPr>
                <w:rFonts w:ascii="Arial" w:cs="Arial" w:eastAsia="Arial" w:hAnsi="Arial"/>
                <w:sz w:val="16"/>
                <w:szCs w:val="16"/>
                <w:b w:val="1"/>
                <w:bCs w:val="1"/>
                <w:color w:val="auto"/>
              </w:rPr>
              <w:t>$39,759</w:t>
            </w:r>
          </w:p>
        </w:tc>
        <w:tc>
          <w:tcPr>
            <w:tcW w:w="1580" w:type="dxa"/>
            <w:vAlign w:val="bottom"/>
            <w:gridSpan w:val="2"/>
            <w:shd w:val="clear" w:color="auto" w:fill="CCEEFF"/>
          </w:tcPr>
          <w:p>
            <w:pPr>
              <w:ind w:left="840"/>
              <w:spacing w:after="0" w:line="175" w:lineRule="exact"/>
              <w:rPr>
                <w:sz w:val="20"/>
                <w:szCs w:val="20"/>
                <w:color w:val="auto"/>
              </w:rPr>
            </w:pPr>
            <w:r>
              <w:rPr>
                <w:rFonts w:ascii="Arial" w:cs="Arial" w:eastAsia="Arial" w:hAnsi="Arial"/>
                <w:sz w:val="16"/>
                <w:szCs w:val="16"/>
                <w:b w:val="1"/>
                <w:bCs w:val="1"/>
                <w:color w:val="auto"/>
              </w:rPr>
              <w:t>$83,091</w:t>
            </w:r>
          </w:p>
        </w:tc>
      </w:tr>
      <w:tr>
        <w:trPr>
          <w:trHeight w:val="182"/>
        </w:trPr>
        <w:tc>
          <w:tcPr>
            <w:tcW w:w="1500" w:type="dxa"/>
            <w:vAlign w:val="bottom"/>
          </w:tcPr>
          <w:p>
            <w:pPr>
              <w:spacing w:after="0" w:line="182" w:lineRule="exact"/>
              <w:rPr>
                <w:sz w:val="20"/>
                <w:szCs w:val="20"/>
                <w:color w:val="auto"/>
              </w:rPr>
            </w:pPr>
            <w:r>
              <w:rPr>
                <w:rFonts w:ascii="Arial" w:cs="Arial" w:eastAsia="Arial" w:hAnsi="Arial"/>
                <w:sz w:val="16"/>
                <w:szCs w:val="16"/>
                <w:color w:val="auto"/>
              </w:rPr>
              <w:t>2016</w:t>
            </w:r>
          </w:p>
        </w:tc>
        <w:tc>
          <w:tcPr>
            <w:tcW w:w="2400" w:type="dxa"/>
            <w:vAlign w:val="bottom"/>
          </w:tcPr>
          <w:p>
            <w:pPr>
              <w:jc w:val="right"/>
              <w:ind w:right="321"/>
              <w:spacing w:after="0" w:line="182" w:lineRule="exact"/>
              <w:rPr>
                <w:sz w:val="20"/>
                <w:szCs w:val="20"/>
                <w:color w:val="auto"/>
              </w:rPr>
            </w:pPr>
            <w:r>
              <w:rPr>
                <w:rFonts w:ascii="Arial" w:cs="Arial" w:eastAsia="Arial" w:hAnsi="Arial"/>
                <w:sz w:val="16"/>
                <w:szCs w:val="16"/>
                <w:color w:val="auto"/>
              </w:rPr>
              <w:t>$37,699</w:t>
            </w:r>
          </w:p>
        </w:tc>
        <w:tc>
          <w:tcPr>
            <w:tcW w:w="1580" w:type="dxa"/>
            <w:vAlign w:val="bottom"/>
            <w:gridSpan w:val="2"/>
          </w:tcPr>
          <w:p>
            <w:pPr>
              <w:ind w:left="840"/>
              <w:spacing w:after="0" w:line="182" w:lineRule="exact"/>
              <w:rPr>
                <w:sz w:val="20"/>
                <w:szCs w:val="20"/>
                <w:color w:val="auto"/>
              </w:rPr>
            </w:pPr>
            <w:r>
              <w:rPr>
                <w:rFonts w:ascii="Arial" w:cs="Arial" w:eastAsia="Arial" w:hAnsi="Arial"/>
                <w:sz w:val="16"/>
                <w:szCs w:val="16"/>
                <w:color w:val="auto"/>
              </w:rPr>
              <w:t>$35,432</w:t>
            </w:r>
          </w:p>
        </w:tc>
      </w:tr>
      <w:tr>
        <w:trPr>
          <w:trHeight w:val="182"/>
        </w:trPr>
        <w:tc>
          <w:tcPr>
            <w:tcW w:w="150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2015</w:t>
            </w:r>
          </w:p>
        </w:tc>
        <w:tc>
          <w:tcPr>
            <w:tcW w:w="2400" w:type="dxa"/>
            <w:vAlign w:val="bottom"/>
            <w:shd w:val="clear" w:color="auto" w:fill="CCEEFF"/>
          </w:tcPr>
          <w:p>
            <w:pPr>
              <w:jc w:val="right"/>
              <w:ind w:right="321"/>
              <w:spacing w:after="0" w:line="182" w:lineRule="exact"/>
              <w:rPr>
                <w:sz w:val="20"/>
                <w:szCs w:val="20"/>
                <w:color w:val="auto"/>
              </w:rPr>
            </w:pPr>
            <w:r>
              <w:rPr>
                <w:rFonts w:ascii="Arial" w:cs="Arial" w:eastAsia="Arial" w:hAnsi="Arial"/>
                <w:sz w:val="16"/>
                <w:szCs w:val="16"/>
                <w:color w:val="auto"/>
              </w:rPr>
              <w:t>$36,385</w:t>
            </w:r>
          </w:p>
        </w:tc>
        <w:tc>
          <w:tcPr>
            <w:tcW w:w="1020" w:type="dxa"/>
            <w:vAlign w:val="bottom"/>
            <w:shd w:val="clear" w:color="auto" w:fill="CCEEFF"/>
          </w:tcPr>
          <w:p>
            <w:pPr>
              <w:ind w:left="840"/>
              <w:spacing w:after="0" w:line="182" w:lineRule="exact"/>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18"/>
              <w:spacing w:after="0" w:line="182" w:lineRule="exact"/>
              <w:rPr>
                <w:sz w:val="20"/>
                <w:szCs w:val="20"/>
                <w:color w:val="auto"/>
              </w:rPr>
            </w:pPr>
            <w:r>
              <w:rPr>
                <w:rFonts w:ascii="Arial" w:cs="Arial" w:eastAsia="Arial" w:hAnsi="Arial"/>
                <w:sz w:val="16"/>
                <w:szCs w:val="16"/>
                <w:color w:val="auto"/>
              </w:rPr>
              <w:t>(651)</w:t>
            </w:r>
          </w:p>
        </w:tc>
      </w:tr>
    </w:tbl>
    <w:p>
      <w:pPr>
        <w:spacing w:after="0" w:line="306"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The difference between expected return on pension assets and the actual return on pension assets is not immediately recognized in the consolidated statements of earnings. Rather, pension accounting rules require the difference to be included in actuarial gains and losses, which are amortized into annual pension expense as previously described.</w:t>
      </w:r>
    </w:p>
    <w:p>
      <w:pPr>
        <w:spacing w:after="0" w:line="296"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The Company estimates the remaining lives of participants in the pension plans using the Society of Actuaries’ RP-2014 Base Mortality Table. The no-collar table was used for salaried participants and the blue-collar table, reflecting the experience of the Company’s participants, was used for hourly participants. The Company selected the MP-2017 scale for mortality improvement.</w:t>
      </w:r>
    </w:p>
    <w:p>
      <w:pPr>
        <w:spacing w:after="0" w:line="298"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Assumptions are selected on December 31 to calculate the succeeding year’s expense. For the 2017 pension expense, assumptions selected at December 31, 2016 were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020" w:type="dxa"/>
            <w:vAlign w:val="bottom"/>
            <w:tcBorders>
              <w:top w:val="single" w:sz="8" w:color="auto"/>
            </w:tcBorders>
            <w:shd w:val="clear" w:color="auto" w:fill="CCEEFF"/>
          </w:tcPr>
          <w:p>
            <w:pPr>
              <w:spacing w:after="0" w:line="169" w:lineRule="exact"/>
              <w:rPr>
                <w:sz w:val="20"/>
                <w:szCs w:val="20"/>
                <w:color w:val="auto"/>
              </w:rPr>
            </w:pPr>
            <w:r>
              <w:rPr>
                <w:rFonts w:ascii="Arial" w:cs="Arial" w:eastAsia="Arial" w:hAnsi="Arial"/>
                <w:sz w:val="15"/>
                <w:szCs w:val="15"/>
                <w:color w:val="auto"/>
              </w:rPr>
              <w:t>Discount rate</w:t>
            </w:r>
          </w:p>
        </w:tc>
        <w:tc>
          <w:tcPr>
            <w:tcW w:w="146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4.29%</w:t>
            </w:r>
          </w:p>
        </w:tc>
      </w:tr>
      <w:tr>
        <w:trPr>
          <w:trHeight w:val="156"/>
        </w:trPr>
        <w:tc>
          <w:tcPr>
            <w:tcW w:w="4020" w:type="dxa"/>
            <w:vAlign w:val="bottom"/>
          </w:tcPr>
          <w:p>
            <w:pPr>
              <w:spacing w:after="0" w:line="156" w:lineRule="exact"/>
              <w:rPr>
                <w:sz w:val="20"/>
                <w:szCs w:val="20"/>
                <w:color w:val="auto"/>
              </w:rPr>
            </w:pPr>
            <w:r>
              <w:rPr>
                <w:rFonts w:ascii="Arial" w:cs="Arial" w:eastAsia="Arial" w:hAnsi="Arial"/>
                <w:sz w:val="15"/>
                <w:szCs w:val="15"/>
                <w:color w:val="auto"/>
              </w:rPr>
              <w:t>Rate of increase in future compensation levels</w:t>
            </w:r>
          </w:p>
        </w:tc>
        <w:tc>
          <w:tcPr>
            <w:tcW w:w="1460" w:type="dxa"/>
            <w:vAlign w:val="bottom"/>
          </w:tcPr>
          <w:p>
            <w:pPr>
              <w:jc w:val="right"/>
              <w:spacing w:after="0" w:line="156" w:lineRule="exact"/>
              <w:rPr>
                <w:sz w:val="20"/>
                <w:szCs w:val="20"/>
                <w:color w:val="auto"/>
              </w:rPr>
            </w:pPr>
            <w:r>
              <w:rPr>
                <w:rFonts w:ascii="Arial" w:cs="Arial" w:eastAsia="Arial" w:hAnsi="Arial"/>
                <w:sz w:val="15"/>
                <w:szCs w:val="15"/>
                <w:color w:val="auto"/>
              </w:rPr>
              <w:t>4.50%</w:t>
            </w:r>
          </w:p>
        </w:tc>
      </w:tr>
      <w:tr>
        <w:trPr>
          <w:trHeight w:val="156"/>
        </w:trPr>
        <w:tc>
          <w:tcPr>
            <w:tcW w:w="402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Expected long-term rate of return on assets</w:t>
            </w:r>
          </w:p>
        </w:tc>
        <w:tc>
          <w:tcPr>
            <w:tcW w:w="146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6.75%</w:t>
            </w:r>
          </w:p>
        </w:tc>
      </w:tr>
      <w:tr>
        <w:trPr>
          <w:trHeight w:val="156"/>
        </w:trPr>
        <w:tc>
          <w:tcPr>
            <w:tcW w:w="4020" w:type="dxa"/>
            <w:vAlign w:val="bottom"/>
          </w:tcPr>
          <w:p>
            <w:pPr>
              <w:spacing w:after="0" w:line="156" w:lineRule="exact"/>
              <w:rPr>
                <w:sz w:val="20"/>
                <w:szCs w:val="20"/>
                <w:color w:val="auto"/>
              </w:rPr>
            </w:pPr>
            <w:r>
              <w:rPr>
                <w:rFonts w:ascii="Arial" w:cs="Arial" w:eastAsia="Arial" w:hAnsi="Arial"/>
                <w:sz w:val="15"/>
                <w:szCs w:val="15"/>
                <w:color w:val="auto"/>
              </w:rPr>
              <w:t>Average remaining service period for participants</w:t>
            </w:r>
          </w:p>
        </w:tc>
        <w:tc>
          <w:tcPr>
            <w:tcW w:w="1460" w:type="dxa"/>
            <w:vAlign w:val="bottom"/>
          </w:tcPr>
          <w:p>
            <w:pPr>
              <w:jc w:val="right"/>
              <w:spacing w:after="0" w:line="156" w:lineRule="exact"/>
              <w:rPr>
                <w:sz w:val="20"/>
                <w:szCs w:val="20"/>
                <w:color w:val="auto"/>
              </w:rPr>
            </w:pPr>
            <w:r>
              <w:rPr>
                <w:rFonts w:ascii="Arial" w:cs="Arial" w:eastAsia="Arial" w:hAnsi="Arial"/>
                <w:sz w:val="15"/>
                <w:szCs w:val="15"/>
                <w:color w:val="auto"/>
              </w:rPr>
              <w:t>10 years</w:t>
            </w:r>
          </w:p>
        </w:tc>
      </w:tr>
      <w:tr>
        <w:trPr>
          <w:trHeight w:val="156"/>
        </w:trPr>
        <w:tc>
          <w:tcPr>
            <w:tcW w:w="402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Mortality Tables:</w:t>
            </w:r>
          </w:p>
        </w:tc>
        <w:tc>
          <w:tcPr>
            <w:tcW w:w="1460" w:type="dxa"/>
            <w:vAlign w:val="bottom"/>
            <w:shd w:val="clear" w:color="auto" w:fill="CCEEFF"/>
          </w:tcPr>
          <w:p>
            <w:pPr>
              <w:spacing w:after="0"/>
              <w:rPr>
                <w:sz w:val="13"/>
                <w:szCs w:val="13"/>
                <w:color w:val="auto"/>
              </w:rPr>
            </w:pPr>
          </w:p>
        </w:tc>
      </w:tr>
      <w:tr>
        <w:trPr>
          <w:trHeight w:val="156"/>
        </w:trPr>
        <w:tc>
          <w:tcPr>
            <w:tcW w:w="4020" w:type="dxa"/>
            <w:vAlign w:val="bottom"/>
          </w:tcPr>
          <w:p>
            <w:pPr>
              <w:ind w:left="160"/>
              <w:spacing w:after="0" w:line="156" w:lineRule="exact"/>
              <w:rPr>
                <w:sz w:val="20"/>
                <w:szCs w:val="20"/>
                <w:color w:val="auto"/>
              </w:rPr>
            </w:pPr>
            <w:r>
              <w:rPr>
                <w:rFonts w:ascii="Arial" w:cs="Arial" w:eastAsia="Arial" w:hAnsi="Arial"/>
                <w:sz w:val="15"/>
                <w:szCs w:val="15"/>
                <w:color w:val="auto"/>
              </w:rPr>
              <w:t>Base Table</w:t>
            </w:r>
          </w:p>
        </w:tc>
        <w:tc>
          <w:tcPr>
            <w:tcW w:w="1460" w:type="dxa"/>
            <w:vAlign w:val="bottom"/>
          </w:tcPr>
          <w:p>
            <w:pPr>
              <w:jc w:val="right"/>
              <w:spacing w:after="0" w:line="156" w:lineRule="exact"/>
              <w:rPr>
                <w:sz w:val="20"/>
                <w:szCs w:val="20"/>
                <w:color w:val="auto"/>
              </w:rPr>
            </w:pPr>
            <w:r>
              <w:rPr>
                <w:rFonts w:ascii="Arial" w:cs="Arial" w:eastAsia="Arial" w:hAnsi="Arial"/>
                <w:sz w:val="15"/>
                <w:szCs w:val="15"/>
                <w:color w:val="auto"/>
              </w:rPr>
              <w:t>RP-2014</w:t>
            </w:r>
          </w:p>
        </w:tc>
      </w:tr>
      <w:tr>
        <w:trPr>
          <w:trHeight w:val="156"/>
        </w:trPr>
        <w:tc>
          <w:tcPr>
            <w:tcW w:w="4020" w:type="dxa"/>
            <w:vAlign w:val="bottom"/>
            <w:shd w:val="clear" w:color="auto" w:fill="CCEEFF"/>
          </w:tcPr>
          <w:p>
            <w:pPr>
              <w:ind w:left="160"/>
              <w:spacing w:after="0" w:line="156" w:lineRule="exact"/>
              <w:rPr>
                <w:sz w:val="20"/>
                <w:szCs w:val="20"/>
                <w:color w:val="auto"/>
              </w:rPr>
            </w:pPr>
            <w:r>
              <w:rPr>
                <w:rFonts w:ascii="Arial" w:cs="Arial" w:eastAsia="Arial" w:hAnsi="Arial"/>
                <w:sz w:val="15"/>
                <w:szCs w:val="15"/>
                <w:color w:val="auto"/>
              </w:rPr>
              <w:t>Mortality Improvement Scale</w:t>
            </w:r>
          </w:p>
        </w:tc>
        <w:tc>
          <w:tcPr>
            <w:tcW w:w="146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MP-2016</w:t>
            </w:r>
          </w:p>
        </w:tc>
      </w:tr>
    </w:tbl>
    <w:p>
      <w:pPr>
        <w:spacing w:after="0" w:line="306"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Using these assumptions, 2017 pension expense was $37.6 million. A change in the assumptions would have had the following impact on 2017 expense:</w:t>
      </w:r>
    </w:p>
    <w:p>
      <w:pPr>
        <w:spacing w:after="0" w:line="215" w:lineRule="exact"/>
        <w:rPr>
          <w:sz w:val="20"/>
          <w:szCs w:val="20"/>
          <w:color w:val="auto"/>
        </w:rPr>
      </w:pPr>
    </w:p>
    <w:p>
      <w:pPr>
        <w:ind w:left="700" w:hanging="281"/>
        <w:spacing w:after="0" w:line="253" w:lineRule="auto"/>
        <w:tabs>
          <w:tab w:leader="none" w:pos="7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 25-basis-point change in the discount rate would have changed 2017 expense by approximately $3.0 million.</w:t>
      </w:r>
    </w:p>
    <w:p>
      <w:pPr>
        <w:spacing w:after="0" w:line="14" w:lineRule="exact"/>
        <w:rPr>
          <w:rFonts w:ascii="Arial" w:cs="Arial" w:eastAsia="Arial" w:hAnsi="Arial"/>
          <w:sz w:val="16"/>
          <w:szCs w:val="16"/>
          <w:color w:val="auto"/>
        </w:rPr>
      </w:pPr>
    </w:p>
    <w:p>
      <w:pPr>
        <w:jc w:val="both"/>
        <w:ind w:left="700" w:hanging="281"/>
        <w:spacing w:after="0" w:line="245" w:lineRule="auto"/>
        <w:tabs>
          <w:tab w:leader="none" w:pos="7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 25-basis-point change in the expected long-term rate of return on assets would have changed the 2017 expense by approximately $1.5 million.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For 2018 pension expense, assumptions selected at December 31, 2017 were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060" w:type="dxa"/>
            <w:vAlign w:val="bottom"/>
            <w:tcBorders>
              <w:top w:val="single" w:sz="8" w:color="auto"/>
            </w:tcBorders>
            <w:shd w:val="clear" w:color="auto" w:fill="CCEEFF"/>
          </w:tcPr>
          <w:p>
            <w:pPr>
              <w:spacing w:after="0" w:line="169" w:lineRule="exact"/>
              <w:rPr>
                <w:sz w:val="20"/>
                <w:szCs w:val="20"/>
                <w:color w:val="auto"/>
              </w:rPr>
            </w:pPr>
            <w:r>
              <w:rPr>
                <w:rFonts w:ascii="Arial" w:cs="Arial" w:eastAsia="Arial" w:hAnsi="Arial"/>
                <w:sz w:val="15"/>
                <w:szCs w:val="15"/>
                <w:color w:val="auto"/>
              </w:rPr>
              <w:t>Discount rate</w:t>
            </w:r>
          </w:p>
        </w:tc>
        <w:tc>
          <w:tcPr>
            <w:tcW w:w="152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3.76%</w:t>
            </w:r>
          </w:p>
        </w:tc>
      </w:tr>
      <w:tr>
        <w:trPr>
          <w:trHeight w:val="156"/>
        </w:trPr>
        <w:tc>
          <w:tcPr>
            <w:tcW w:w="4060" w:type="dxa"/>
            <w:vAlign w:val="bottom"/>
          </w:tcPr>
          <w:p>
            <w:pPr>
              <w:spacing w:after="0" w:line="156" w:lineRule="exact"/>
              <w:rPr>
                <w:sz w:val="20"/>
                <w:szCs w:val="20"/>
                <w:color w:val="auto"/>
              </w:rPr>
            </w:pPr>
            <w:r>
              <w:rPr>
                <w:rFonts w:ascii="Arial" w:cs="Arial" w:eastAsia="Arial" w:hAnsi="Arial"/>
                <w:sz w:val="15"/>
                <w:szCs w:val="15"/>
                <w:color w:val="auto"/>
              </w:rPr>
              <w:t>Rate of increase in future compensation levels</w:t>
            </w:r>
          </w:p>
        </w:tc>
        <w:tc>
          <w:tcPr>
            <w:tcW w:w="1520" w:type="dxa"/>
            <w:vAlign w:val="bottom"/>
          </w:tcPr>
          <w:p>
            <w:pPr>
              <w:jc w:val="right"/>
              <w:spacing w:after="0" w:line="156" w:lineRule="exact"/>
              <w:rPr>
                <w:sz w:val="20"/>
                <w:szCs w:val="20"/>
                <w:color w:val="auto"/>
              </w:rPr>
            </w:pPr>
            <w:r>
              <w:rPr>
                <w:rFonts w:ascii="Arial" w:cs="Arial" w:eastAsia="Arial" w:hAnsi="Arial"/>
                <w:sz w:val="15"/>
                <w:szCs w:val="15"/>
                <w:color w:val="auto"/>
              </w:rPr>
              <w:t>4.50%</w:t>
            </w:r>
          </w:p>
        </w:tc>
      </w:tr>
      <w:tr>
        <w:trPr>
          <w:trHeight w:val="156"/>
        </w:trPr>
        <w:tc>
          <w:tcPr>
            <w:tcW w:w="406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Expected long-term rate of return on assets</w:t>
            </w:r>
          </w:p>
        </w:tc>
        <w:tc>
          <w:tcPr>
            <w:tcW w:w="152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6.75%</w:t>
            </w:r>
          </w:p>
        </w:tc>
      </w:tr>
      <w:tr>
        <w:trPr>
          <w:trHeight w:val="156"/>
        </w:trPr>
        <w:tc>
          <w:tcPr>
            <w:tcW w:w="4060" w:type="dxa"/>
            <w:vAlign w:val="bottom"/>
          </w:tcPr>
          <w:p>
            <w:pPr>
              <w:spacing w:after="0" w:line="156" w:lineRule="exact"/>
              <w:rPr>
                <w:sz w:val="20"/>
                <w:szCs w:val="20"/>
                <w:color w:val="auto"/>
              </w:rPr>
            </w:pPr>
            <w:r>
              <w:rPr>
                <w:rFonts w:ascii="Arial" w:cs="Arial" w:eastAsia="Arial" w:hAnsi="Arial"/>
                <w:sz w:val="15"/>
                <w:szCs w:val="15"/>
                <w:color w:val="auto"/>
              </w:rPr>
              <w:t>Average remaining service period for participants</w:t>
            </w:r>
          </w:p>
        </w:tc>
        <w:tc>
          <w:tcPr>
            <w:tcW w:w="1520" w:type="dxa"/>
            <w:vAlign w:val="bottom"/>
          </w:tcPr>
          <w:p>
            <w:pPr>
              <w:jc w:val="right"/>
              <w:spacing w:after="0" w:line="156" w:lineRule="exact"/>
              <w:rPr>
                <w:sz w:val="20"/>
                <w:szCs w:val="20"/>
                <w:color w:val="auto"/>
              </w:rPr>
            </w:pPr>
            <w:r>
              <w:rPr>
                <w:rFonts w:ascii="Arial" w:cs="Arial" w:eastAsia="Arial" w:hAnsi="Arial"/>
                <w:sz w:val="15"/>
                <w:szCs w:val="15"/>
                <w:color w:val="auto"/>
              </w:rPr>
              <w:t>10 years</w:t>
            </w:r>
          </w:p>
        </w:tc>
      </w:tr>
      <w:tr>
        <w:trPr>
          <w:trHeight w:val="156"/>
        </w:trPr>
        <w:tc>
          <w:tcPr>
            <w:tcW w:w="406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Mortality Tables:</w:t>
            </w:r>
          </w:p>
        </w:tc>
        <w:tc>
          <w:tcPr>
            <w:tcW w:w="1520" w:type="dxa"/>
            <w:vAlign w:val="bottom"/>
            <w:shd w:val="clear" w:color="auto" w:fill="CCEEFF"/>
          </w:tcPr>
          <w:p>
            <w:pPr>
              <w:spacing w:after="0"/>
              <w:rPr>
                <w:sz w:val="13"/>
                <w:szCs w:val="13"/>
                <w:color w:val="auto"/>
              </w:rPr>
            </w:pPr>
          </w:p>
        </w:tc>
      </w:tr>
      <w:tr>
        <w:trPr>
          <w:trHeight w:val="156"/>
        </w:trPr>
        <w:tc>
          <w:tcPr>
            <w:tcW w:w="4060" w:type="dxa"/>
            <w:vAlign w:val="bottom"/>
          </w:tcPr>
          <w:p>
            <w:pPr>
              <w:ind w:left="140"/>
              <w:spacing w:after="0" w:line="156" w:lineRule="exact"/>
              <w:rPr>
                <w:sz w:val="20"/>
                <w:szCs w:val="20"/>
                <w:color w:val="auto"/>
              </w:rPr>
            </w:pPr>
            <w:r>
              <w:rPr>
                <w:rFonts w:ascii="Arial" w:cs="Arial" w:eastAsia="Arial" w:hAnsi="Arial"/>
                <w:sz w:val="15"/>
                <w:szCs w:val="15"/>
                <w:color w:val="auto"/>
              </w:rPr>
              <w:t>Base Table</w:t>
            </w:r>
          </w:p>
        </w:tc>
        <w:tc>
          <w:tcPr>
            <w:tcW w:w="1520" w:type="dxa"/>
            <w:vAlign w:val="bottom"/>
          </w:tcPr>
          <w:p>
            <w:pPr>
              <w:jc w:val="right"/>
              <w:spacing w:after="0" w:line="156" w:lineRule="exact"/>
              <w:rPr>
                <w:sz w:val="20"/>
                <w:szCs w:val="20"/>
                <w:color w:val="auto"/>
              </w:rPr>
            </w:pPr>
            <w:r>
              <w:rPr>
                <w:rFonts w:ascii="Arial" w:cs="Arial" w:eastAsia="Arial" w:hAnsi="Arial"/>
                <w:sz w:val="15"/>
                <w:szCs w:val="15"/>
                <w:color w:val="auto"/>
              </w:rPr>
              <w:t>RP-2014</w:t>
            </w:r>
          </w:p>
        </w:tc>
      </w:tr>
      <w:tr>
        <w:trPr>
          <w:trHeight w:val="156"/>
        </w:trPr>
        <w:tc>
          <w:tcPr>
            <w:tcW w:w="4060" w:type="dxa"/>
            <w:vAlign w:val="bottom"/>
            <w:shd w:val="clear" w:color="auto" w:fill="CCEEFF"/>
          </w:tcPr>
          <w:p>
            <w:pPr>
              <w:ind w:left="140"/>
              <w:spacing w:after="0" w:line="156" w:lineRule="exact"/>
              <w:rPr>
                <w:sz w:val="20"/>
                <w:szCs w:val="20"/>
                <w:color w:val="auto"/>
              </w:rPr>
            </w:pPr>
            <w:r>
              <w:rPr>
                <w:rFonts w:ascii="Arial" w:cs="Arial" w:eastAsia="Arial" w:hAnsi="Arial"/>
                <w:sz w:val="15"/>
                <w:szCs w:val="15"/>
                <w:color w:val="auto"/>
              </w:rPr>
              <w:t>Mortality Improvement Scale</w:t>
            </w:r>
          </w:p>
        </w:tc>
        <w:tc>
          <w:tcPr>
            <w:tcW w:w="152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MP-2017</w:t>
            </w:r>
          </w:p>
        </w:tc>
      </w:tr>
    </w:tbl>
    <w:p>
      <w:pPr>
        <w:spacing w:after="0" w:line="306"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Using these assumptions, 2018 pension expense is expected to be approximately $41.3 million based on current demographics and structure of the plans. Changes in the underlying assumptions would have the following estimated impact on the 2018 expected expense:</w:t>
      </w:r>
    </w:p>
    <w:p>
      <w:pPr>
        <w:spacing w:after="0" w:line="101" w:lineRule="exact"/>
        <w:rPr>
          <w:sz w:val="20"/>
          <w:szCs w:val="20"/>
          <w:color w:val="auto"/>
        </w:rPr>
      </w:pPr>
    </w:p>
    <w:p>
      <w:pPr>
        <w:ind w:left="680" w:hanging="277"/>
        <w:spacing w:after="0" w:line="253" w:lineRule="auto"/>
        <w:tabs>
          <w:tab w:leader="none" w:pos="6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 25-basis-point change in the discount rate would change the 2018 expected expense by approximately $3.3 million.</w:t>
      </w:r>
    </w:p>
    <w:p>
      <w:pPr>
        <w:spacing w:after="0" w:line="14" w:lineRule="exact"/>
        <w:rPr>
          <w:rFonts w:ascii="Arial" w:cs="Arial" w:eastAsia="Arial" w:hAnsi="Arial"/>
          <w:sz w:val="16"/>
          <w:szCs w:val="16"/>
          <w:color w:val="auto"/>
        </w:rPr>
      </w:pPr>
    </w:p>
    <w:p>
      <w:pPr>
        <w:jc w:val="both"/>
        <w:ind w:left="680" w:hanging="277"/>
        <w:spacing w:after="0" w:line="245" w:lineRule="auto"/>
        <w:tabs>
          <w:tab w:leader="none" w:pos="6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 25-basis-point change in the expected long-term rate of return on assets would change the 2018 expected expense by approximately $1.6 million.</w:t>
      </w:r>
    </w:p>
    <w:p>
      <w:pPr>
        <w:spacing w:after="0" w:line="293"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The Company made pension plan contributions of $30.9 million in 2017 and $184.2 million during the five-year period ended December 31, 2017. Despite these contributions, the Company’s pension plans are underfunded (projected benefit obligation exceeds the fair value of plan assets) by $241.2 million at December 31, 2017. The Company’s projected benefit obligation was $879.3 million at December 31, 2017, an increase of $47.5 million over the prior year, driven by the lower discount rate. The Company expects to make pension plan and SERP contributions of $37.4 million in 2018.</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b w:val="1"/>
          <w:bCs w:val="1"/>
          <w:color w:val="8D5D6C"/>
        </w:rPr>
        <w:t>Estimated Effective Income Tax Rate</w:t>
      </w:r>
    </w:p>
    <w:p>
      <w:pPr>
        <w:spacing w:after="0" w:line="57"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The Company uses the liability method to determine its provision for income taxes. Accordingly, the annual provision for income taxes reflects estimates of the current liability for income taxes, estimates of the tax effect of financial reporting versus tax basis differences using statutory income tax rates and management’s judgment with respect to any valuation allowances on deferred tax assets. The result is management’s estimate of the annual effective tax rate (the “ETR”).</w:t>
      </w:r>
    </w:p>
    <w:p>
      <w:pPr>
        <w:spacing w:after="0" w:line="301"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Income for tax purposes is determined through the application of the rules and regulations under the United States Internal Revenue Code and the statutes of various foreign,</w:t>
      </w:r>
    </w:p>
    <w:p>
      <w:pPr>
        <w:spacing w:after="0" w:line="290" w:lineRule="exact"/>
        <w:rPr>
          <w:sz w:val="20"/>
          <w:szCs w:val="20"/>
          <w:color w:val="auto"/>
        </w:rPr>
      </w:pPr>
    </w:p>
    <w:p>
      <w:pPr>
        <w:sectPr>
          <w:pgSz w:w="11900" w:h="16838" w:orient="portrait"/>
          <w:cols w:equalWidth="0" w:num="2">
            <w:col w:w="5480" w:space="360"/>
            <w:col w:w="5580"/>
          </w:cols>
          <w:pgMar w:left="240" w:top="259" w:right="239" w:bottom="1440" w:gutter="0" w:footer="0" w:header="0"/>
          <w:type w:val="continuous"/>
        </w:sectPr>
      </w:pP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76</w:t>
      </w:r>
    </w:p>
    <w:p>
      <w:pPr>
        <w:sectPr>
          <w:pgSz w:w="11900" w:h="16838" w:orient="portrait"/>
          <w:cols w:equalWidth="0" w:num="1">
            <w:col w:w="11420"/>
          </w:cols>
          <w:pgMar w:left="240" w:top="259" w:right="239" w:bottom="1440" w:gutter="0" w:footer="0" w:header="0"/>
          <w:type w:val="continuous"/>
        </w:sectPr>
      </w:pPr>
    </w:p>
    <w:bookmarkStart w:id="129" w:name="page130"/>
    <w:bookmarkEnd w:id="129"/>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8">
                      <a:extLst>
                        <a:ext uri="{28A0092B-C50C-407E-A947-70E740481C1C}"/>
                      </a:extLst>
                    </a:blip>
                    <a:srcRect/>
                    <a:stretch>
                      <a:fillRect/>
                    </a:stretch>
                  </pic:blipFill>
                  <pic:spPr bwMode="auto">
                    <a:xfrm>
                      <a:off x="0" y="0"/>
                      <a:ext cx="7293610" cy="37465"/>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420"/>
          </w:cols>
          <w:pgMar w:left="240" w:top="2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state and local tax jurisdictions in which the Company conducts business. Changes in the statutory tax rates and/or tax laws in these jurisdictions can have a material effect on the ETR. The effect of these changes, if any, is recognized when the change is enacted.</w:t>
      </w:r>
    </w:p>
    <w:p>
      <w:pPr>
        <w:spacing w:after="0" w:line="296"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As prescribed by these tax regulations, as well as generally accepted accounting principles, the manner in which revenues and expenses are recognized for financial reporting and income tax purposes is not always the same. Therefore, these differences between the Company’s pretax income for financial reporting purposes and the amount of taxable income for income tax purposes are treated as either temporary or permanent, depending on their nature.</w:t>
      </w:r>
    </w:p>
    <w:p>
      <w:pPr>
        <w:spacing w:after="0" w:line="301"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Temporary differences reflect revenues or expenses that are recognized in financial reporting in one period and taxable income in a different period. An example of a temporary difference is the use of the straight-line method of depreciation of machinery and equipment for financial reporting purposes and the use of an accelerated method for income tax purposes. Temporary differences result from differences between the financial reporting basis and tax basis of assets or liabilities and give rise to deferred tax assets or liabilities (i.e., future tax deductions or future taxable income). Therefore, when temporary differences occur, they are offset by a corresponding change in a deferred tax account. As such, total income tax expense as reported in the Company’s consolidated statements of earnings is not changed by temporary differences.</w:t>
      </w:r>
    </w:p>
    <w:p>
      <w:pPr>
        <w:spacing w:after="0" w:line="302"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The Company has deferred tax liabilities, primarily for property, plant and equipment and goodwill. The deferred tax liabilities attributable to property, plant and equipment relate to accelerated depreciation and depletion methods used for income tax purposes as compared with the straight-line and units of production methods used for financial reporting purposes. These temporary differences will reverse over the remaining useful lives of the related assets. The deferred tax liabilities attributable to goodwill arise as a result of amortizing goodwill for income tax purposes but not for financial reporting purposes. This temporary difference reverses when goodwill is written off for financial reporting purposes, either through divestitures or an impairment charge. The timing of such events cannot be estimated.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The Company has deferred tax assets, primarily for unvested stock-based compensation awards, employee pension and postretirement benefits, valuation reserves, inventories, net operating loss carryforwards and tax credit carryforwards. The deferred tax assets attributable to unvested stock-based compensation awards relate to differences in the timing of deductibility for financial reporting purposes versus income tax purposes. For financial reporting purposes, the fair value of the awards is deducted ratably over the requisite service period. For income tax purposes, no deduction is allowed until the award is vested or no longer subject to substantial risk of forfeiture. The Company records all excess tax benefits and tax deficiencies as income tax expense or benefit as a discrete event in the period the award vests or settles, increasing volatility in the income tax rate from period to period. The deferred tax assets attributable to employee pension and postretirement benefits relate to deductions as plans are funded for income tax purposes compared with deductions for financial reporting purposes based on accounting standards. The reversal of these differences depends on the timing of the Company’s contributions to the related benefit plans as compared to the annual expense for financial reporting purposes. The deferred tax assets attributable to valuation reserves and inventories relate to the deduction of estimated cost reserves and various period expenses for financial reporting purposes that are deductible in a later period for income tax purposes. The reversal of these differences depends on facts and circumstances, including the timing of deduction for income tax purposes for reserves previously established and the establishment of additional reserves for financial reporting purposes.</w:t>
      </w:r>
    </w:p>
    <w:p>
      <w:pPr>
        <w:spacing w:after="0" w:line="312"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In connection with the 2017 Tax Act, the Company preliminarily remeasured its deferred tax assets and liabilities using the newly enacted corporate income tax rate effective January 1, 2018. The provisional revaluation resulted in an income tax benefit of $258.1 million for the year ended December 31, 2017.</w:t>
      </w:r>
    </w:p>
    <w:p>
      <w:pPr>
        <w:spacing w:after="0" w:line="200" w:lineRule="exact"/>
        <w:rPr>
          <w:sz w:val="20"/>
          <w:szCs w:val="20"/>
          <w:color w:val="auto"/>
        </w:rPr>
      </w:pPr>
    </w:p>
    <w:p>
      <w:pPr>
        <w:spacing w:after="0" w:line="281" w:lineRule="exact"/>
        <w:rPr>
          <w:sz w:val="20"/>
          <w:szCs w:val="20"/>
          <w:color w:val="auto"/>
        </w:rPr>
      </w:pPr>
    </w:p>
    <w:p>
      <w:pPr>
        <w:jc w:val="both"/>
        <w:spacing w:after="0"/>
        <w:rPr>
          <w:sz w:val="20"/>
          <w:szCs w:val="20"/>
          <w:color w:val="auto"/>
        </w:rPr>
      </w:pPr>
      <w:r>
        <w:rPr>
          <w:rFonts w:ascii="Arial" w:cs="Arial" w:eastAsia="Arial" w:hAnsi="Arial"/>
          <w:sz w:val="16"/>
          <w:szCs w:val="16"/>
          <w:color w:val="auto"/>
        </w:rPr>
        <w:t>At December 31, 2017, the Company had state net operating loss carryforwards of $197.9 million with varying expiration dates through 2036 and related state deferred tax assets of $11.8 million. The Company recorded a valuation allowance of $10.1 million for these deferred tax assets based on the uncertainty of generating future taxable income in the respective jurisdictions during the limited period that the</w:t>
      </w:r>
    </w:p>
    <w:p>
      <w:pPr>
        <w:spacing w:after="0" w:line="200" w:lineRule="exact"/>
        <w:rPr>
          <w:sz w:val="20"/>
          <w:szCs w:val="20"/>
          <w:color w:val="auto"/>
        </w:rPr>
      </w:pPr>
    </w:p>
    <w:p>
      <w:pPr>
        <w:sectPr>
          <w:pgSz w:w="11900" w:h="16838" w:orient="portrait"/>
          <w:cols w:equalWidth="0" w:num="2">
            <w:col w:w="5480" w:space="360"/>
            <w:col w:w="5580"/>
          </w:cols>
          <w:pgMar w:left="240" w:top="259" w:right="239" w:bottom="1440" w:gutter="0" w:footer="0" w:header="0"/>
          <w:type w:val="continuous"/>
        </w:sectPr>
      </w:pP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77</w:t>
      </w:r>
    </w:p>
    <w:p>
      <w:pPr>
        <w:sectPr>
          <w:pgSz w:w="11900" w:h="16838" w:orient="portrait"/>
          <w:cols w:equalWidth="0" w:num="1">
            <w:col w:w="11420"/>
          </w:cols>
          <w:pgMar w:left="240" w:top="259" w:right="239" w:bottom="1440" w:gutter="0" w:footer="0" w:header="0"/>
          <w:type w:val="continuous"/>
        </w:sectPr>
      </w:pPr>
    </w:p>
    <w:bookmarkStart w:id="130" w:name="page131"/>
    <w:bookmarkEnd w:id="130"/>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9">
                      <a:extLst>
                        <a:ext uri="{28A0092B-C50C-407E-A947-70E740481C1C}"/>
                      </a:extLst>
                    </a:blip>
                    <a:srcRect/>
                    <a:stretch>
                      <a:fillRect/>
                    </a:stretch>
                  </pic:blipFill>
                  <pic:spPr bwMode="auto">
                    <a:xfrm>
                      <a:off x="0" y="0"/>
                      <a:ext cx="7293610" cy="37465"/>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420"/>
          </w:cols>
          <w:pgMar w:left="240" w:top="2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net operating loss carryforwards can be utilized under state statutes. The Company had domestic state tax credit carry-forwards of $1.3 million, for which a valuation allowance of $0.3 million was recorded at December 31, 2017.</w:t>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8D5D6C"/>
        </w:rPr>
        <w:t>Business Combinations – Allocation of Purchase Price</w:t>
      </w:r>
    </w:p>
    <w:p>
      <w:pPr>
        <w:spacing w:after="0" w:line="57"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The Company’s Board of Directors and management regularly review strategic long-term plans, including potential investments in value-added acquisitions of related or similar businesses, which would increase the Company’s market share and/or are related to the Company’s existing markets. When an acquisition is completed, the Company’s consolidated statements of earnings include the operating results of the acquired business starting from the date of acquisition, which is the date control is obtained. The purchase price is determined based on the fair value of assets and equity interests given to the seller and any future obligations to the seller as of the date of acquisition. Additionally, conversion of the seller’s equity awards into equity awards of the Company can affect the purchase price. The Company allocates the purchase price to the fair values of the tangible and intangible assets acquired and liabilities assumed as valued at the date of acquisition. Goodwill is recorded for the excess of the purchase price over the net of the fair value of the identifiable assets acquired and liabilities assumed as of the acquisition date. The purchase price allocation is a critical accounting policy because the estimation of fair values of acquired assets and assumed liabilities is judgmental and requires various assumptions. Further, the amounts and useful lives assigned to depreciable and amortizable assets versus amounts assigned to goodwill and indefinite-lived intangible assets, which are not amortized, can significantly affect the results of operations in the period of and for periods subsequent to a business combination.</w:t>
      </w:r>
    </w:p>
    <w:p>
      <w:pPr>
        <w:spacing w:after="0" w:line="339"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Fair value is the price that would be received to sell an asset or paid to transfer a liability in an orderly transaction, and, therefore, represents an exit price. A fair-value measurement assumes the highest and best use of the asset by market participants, considering the use of the asset that is physically possible, legally permissible, and financially feasible at the measurement date. The Company assigns the highest level of fair value available to assets acquired and liabilities assumed based on the following options: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680" w:right="20" w:hanging="277"/>
        <w:spacing w:after="0" w:line="253" w:lineRule="auto"/>
        <w:tabs>
          <w:tab w:leader="none" w:pos="6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Level 1 – Quoted prices in active markets for identical assets and liabilities</w:t>
      </w:r>
    </w:p>
    <w:p>
      <w:pPr>
        <w:spacing w:after="0" w:line="14" w:lineRule="exact"/>
        <w:rPr>
          <w:rFonts w:ascii="Arial" w:cs="Arial" w:eastAsia="Arial" w:hAnsi="Arial"/>
          <w:sz w:val="16"/>
          <w:szCs w:val="16"/>
          <w:color w:val="auto"/>
        </w:rPr>
      </w:pPr>
    </w:p>
    <w:p>
      <w:pPr>
        <w:ind w:left="680" w:hanging="277"/>
        <w:spacing w:after="0" w:line="253" w:lineRule="auto"/>
        <w:tabs>
          <w:tab w:leader="none" w:pos="6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Level 2 – Observable inputs, other than quoted prices, for similar assets or liabilities in active markets</w:t>
      </w:r>
    </w:p>
    <w:p>
      <w:pPr>
        <w:spacing w:after="0" w:line="14" w:lineRule="exact"/>
        <w:rPr>
          <w:rFonts w:ascii="Arial" w:cs="Arial" w:eastAsia="Arial" w:hAnsi="Arial"/>
          <w:sz w:val="16"/>
          <w:szCs w:val="16"/>
          <w:color w:val="auto"/>
        </w:rPr>
      </w:pPr>
    </w:p>
    <w:p>
      <w:pPr>
        <w:ind w:left="680" w:hanging="277"/>
        <w:spacing w:after="0" w:line="253" w:lineRule="auto"/>
        <w:tabs>
          <w:tab w:leader="none" w:pos="6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Level 3 – Unobservable inputs are used to value the asset or liability which includes the use of valuation models</w:t>
      </w:r>
    </w:p>
    <w:p>
      <w:pPr>
        <w:spacing w:after="0" w:line="267" w:lineRule="exact"/>
        <w:rPr>
          <w:sz w:val="20"/>
          <w:szCs w:val="20"/>
          <w:color w:val="auto"/>
        </w:rPr>
      </w:pPr>
    </w:p>
    <w:p>
      <w:pPr>
        <w:jc w:val="both"/>
        <w:spacing w:after="0" w:line="279" w:lineRule="auto"/>
        <w:rPr>
          <w:sz w:val="20"/>
          <w:szCs w:val="20"/>
          <w:color w:val="auto"/>
        </w:rPr>
      </w:pPr>
      <w:r>
        <w:rPr>
          <w:rFonts w:ascii="Arial" w:cs="Arial" w:eastAsia="Arial" w:hAnsi="Arial"/>
          <w:sz w:val="16"/>
          <w:szCs w:val="16"/>
          <w:b w:val="1"/>
          <w:bCs w:val="1"/>
          <w:color w:val="auto"/>
        </w:rPr>
        <w:t xml:space="preserve">Level 1 </w:t>
      </w:r>
      <w:r>
        <w:rPr>
          <w:rFonts w:ascii="Arial" w:cs="Arial" w:eastAsia="Arial" w:hAnsi="Arial"/>
          <w:sz w:val="16"/>
          <w:szCs w:val="16"/>
          <w:color w:val="auto"/>
        </w:rPr>
        <w:t>fair values are used to value investments in publicly-traded entities</w:t>
      </w:r>
      <w:r>
        <w:rPr>
          <w:rFonts w:ascii="Arial" w:cs="Arial" w:eastAsia="Arial" w:hAnsi="Arial"/>
          <w:sz w:val="16"/>
          <w:szCs w:val="16"/>
          <w:b w:val="1"/>
          <w:bCs w:val="1"/>
          <w:color w:val="auto"/>
        </w:rPr>
        <w:t xml:space="preserve"> </w:t>
      </w:r>
      <w:r>
        <w:rPr>
          <w:rFonts w:ascii="Arial" w:cs="Arial" w:eastAsia="Arial" w:hAnsi="Arial"/>
          <w:sz w:val="16"/>
          <w:szCs w:val="16"/>
          <w:color w:val="auto"/>
        </w:rPr>
        <w:t>and assumed obligations for publicly-traded long-term debt.</w:t>
      </w:r>
    </w:p>
    <w:p>
      <w:pPr>
        <w:spacing w:after="0" w:line="247" w:lineRule="exact"/>
        <w:rPr>
          <w:sz w:val="20"/>
          <w:szCs w:val="20"/>
          <w:color w:val="auto"/>
        </w:rPr>
      </w:pPr>
    </w:p>
    <w:p>
      <w:pPr>
        <w:jc w:val="both"/>
        <w:spacing w:after="0" w:line="245" w:lineRule="auto"/>
        <w:rPr>
          <w:sz w:val="20"/>
          <w:szCs w:val="20"/>
          <w:color w:val="auto"/>
        </w:rPr>
      </w:pPr>
      <w:r>
        <w:rPr>
          <w:rFonts w:ascii="Arial" w:cs="Arial" w:eastAsia="Arial" w:hAnsi="Arial"/>
          <w:sz w:val="16"/>
          <w:szCs w:val="16"/>
          <w:b w:val="1"/>
          <w:bCs w:val="1"/>
          <w:color w:val="auto"/>
        </w:rPr>
        <w:t xml:space="preserve">Level 2 </w:t>
      </w:r>
      <w:r>
        <w:rPr>
          <w:rFonts w:ascii="Arial" w:cs="Arial" w:eastAsia="Arial" w:hAnsi="Arial"/>
          <w:sz w:val="16"/>
          <w:szCs w:val="16"/>
          <w:color w:val="auto"/>
        </w:rPr>
        <w:t>fair values are typically used to value acquired receivables,</w:t>
      </w:r>
      <w:r>
        <w:rPr>
          <w:rFonts w:ascii="Arial" w:cs="Arial" w:eastAsia="Arial" w:hAnsi="Arial"/>
          <w:sz w:val="16"/>
          <w:szCs w:val="16"/>
          <w:b w:val="1"/>
          <w:bCs w:val="1"/>
          <w:color w:val="auto"/>
        </w:rPr>
        <w:t xml:space="preserve"> </w:t>
      </w:r>
      <w:r>
        <w:rPr>
          <w:rFonts w:ascii="Arial" w:cs="Arial" w:eastAsia="Arial" w:hAnsi="Arial"/>
          <w:sz w:val="16"/>
          <w:szCs w:val="16"/>
          <w:color w:val="auto"/>
        </w:rPr>
        <w:t>inventories, machinery and equipment, land, buildings, deferred income tax assets and liabilities, and accruals for payables, asset retirement obligations, environmental remediation and compliance obligations, and contingencies. Additionally, Level 2 fair values are typically used to value assumed contracts at other-than-market rates.</w:t>
      </w:r>
    </w:p>
    <w:p>
      <w:pPr>
        <w:spacing w:after="0" w:line="275" w:lineRule="exact"/>
        <w:rPr>
          <w:sz w:val="20"/>
          <w:szCs w:val="20"/>
          <w:color w:val="auto"/>
        </w:rPr>
      </w:pPr>
    </w:p>
    <w:p>
      <w:pPr>
        <w:jc w:val="both"/>
        <w:spacing w:after="0"/>
        <w:rPr>
          <w:sz w:val="20"/>
          <w:szCs w:val="20"/>
          <w:color w:val="auto"/>
        </w:rPr>
      </w:pPr>
      <w:r>
        <w:rPr>
          <w:rFonts w:ascii="Arial" w:cs="Arial" w:eastAsia="Arial" w:hAnsi="Arial"/>
          <w:sz w:val="16"/>
          <w:szCs w:val="16"/>
          <w:b w:val="1"/>
          <w:bCs w:val="1"/>
          <w:color w:val="auto"/>
        </w:rPr>
        <w:t xml:space="preserve">Level 3 </w:t>
      </w:r>
      <w:r>
        <w:rPr>
          <w:rFonts w:ascii="Arial" w:cs="Arial" w:eastAsia="Arial" w:hAnsi="Arial"/>
          <w:sz w:val="16"/>
          <w:szCs w:val="16"/>
          <w:color w:val="auto"/>
        </w:rPr>
        <w:t>fair values are used to value acquired mineral reserves and mineral</w:t>
      </w:r>
      <w:r>
        <w:rPr>
          <w:rFonts w:ascii="Arial" w:cs="Arial" w:eastAsia="Arial" w:hAnsi="Arial"/>
          <w:sz w:val="16"/>
          <w:szCs w:val="16"/>
          <w:b w:val="1"/>
          <w:bCs w:val="1"/>
          <w:color w:val="auto"/>
        </w:rPr>
        <w:t xml:space="preserve"> </w:t>
      </w:r>
      <w:r>
        <w:rPr>
          <w:rFonts w:ascii="Arial" w:cs="Arial" w:eastAsia="Arial" w:hAnsi="Arial"/>
          <w:sz w:val="16"/>
          <w:szCs w:val="16"/>
          <w:color w:val="auto"/>
        </w:rPr>
        <w:t>interests produced and sold as final products, and separately-identifiable intangible assets. The fair values of mineral reserves and mineral interests are determined using an excess earnings approach, which requires management to estimate future cash flows, net of capital investments in the specific operation and contributory asset charges. The estimate of future cash flows is based on available historical information and future expectations and assumptions determined by management, but is inherently uncertain. Key assumptions in estimating future cash flows include sales price, shipment volumes, production costs and capital needs. The present value of the projected net cash flows represents the fair value assigned to mineral reserves and mineral interests. The discount rate is a significant assumption used in the valuation model and is based on the required rate of return that a hypothetical market participant would require if purchasing the acquired business, with an adjustment for the risk of these assets not generating the projected cash flows.</w:t>
      </w:r>
    </w:p>
    <w:p>
      <w:pPr>
        <w:spacing w:after="0" w:line="200" w:lineRule="exact"/>
        <w:rPr>
          <w:sz w:val="20"/>
          <w:szCs w:val="20"/>
          <w:color w:val="auto"/>
        </w:rPr>
      </w:pPr>
    </w:p>
    <w:p>
      <w:pPr>
        <w:spacing w:after="0" w:line="279"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The Company values separately-identifiable acquired intangible assets which may include, but are not limited to, permits, customer relationships, water rights and non-competition agreements. The fair values of these assets are typically determined by an excess earnings method, a</w:t>
      </w:r>
    </w:p>
    <w:p>
      <w:pPr>
        <w:spacing w:after="0" w:line="200" w:lineRule="exact"/>
        <w:rPr>
          <w:sz w:val="20"/>
          <w:szCs w:val="20"/>
          <w:color w:val="auto"/>
        </w:rPr>
      </w:pPr>
    </w:p>
    <w:p>
      <w:pPr>
        <w:sectPr>
          <w:pgSz w:w="11900" w:h="16838" w:orient="portrait"/>
          <w:cols w:equalWidth="0" w:num="2">
            <w:col w:w="5480" w:space="360"/>
            <w:col w:w="5580"/>
          </w:cols>
          <w:pgMar w:left="240" w:top="259" w:right="239" w:bottom="1440" w:gutter="0" w:footer="0" w:header="0"/>
          <w:type w:val="continuous"/>
        </w:sectPr>
      </w:pPr>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78</w:t>
      </w:r>
    </w:p>
    <w:p>
      <w:pPr>
        <w:sectPr>
          <w:pgSz w:w="11900" w:h="16838" w:orient="portrait"/>
          <w:cols w:equalWidth="0" w:num="1">
            <w:col w:w="11420"/>
          </w:cols>
          <w:pgMar w:left="240" w:top="259" w:right="239" w:bottom="1440" w:gutter="0" w:footer="0" w:header="0"/>
          <w:type w:val="continuous"/>
        </w:sectPr>
      </w:pPr>
    </w:p>
    <w:bookmarkStart w:id="131" w:name="page132"/>
    <w:bookmarkEnd w:id="131"/>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0">
                      <a:extLst>
                        <a:ext uri="{28A0092B-C50C-407E-A947-70E740481C1C}"/>
                      </a:extLst>
                    </a:blip>
                    <a:srcRect/>
                    <a:stretch>
                      <a:fillRect/>
                    </a:stretch>
                  </pic:blipFill>
                  <pic:spPr bwMode="auto">
                    <a:xfrm>
                      <a:off x="0" y="0"/>
                      <a:ext cx="7293610" cy="37465"/>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420"/>
          </w:cols>
          <w:pgMar w:left="240" w:top="2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replacement cost method or, in the case of water rights, a market approach.</w:t>
      </w:r>
    </w:p>
    <w:p>
      <w:pPr>
        <w:spacing w:after="0" w:line="200" w:lineRule="exact"/>
        <w:rPr>
          <w:sz w:val="20"/>
          <w:szCs w:val="20"/>
          <w:color w:val="auto"/>
        </w:rPr>
      </w:pPr>
    </w:p>
    <w:p>
      <w:pPr>
        <w:spacing w:after="0" w:line="286"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The useful lives of amortizable intangible assets and the remaining useful lives for acquired machinery and equipment have a significant impact on earnings. The selected lives are based on the expected periods that the assets will provide value to the Company subsequent to the business combination.</w:t>
      </w:r>
    </w:p>
    <w:p>
      <w:pPr>
        <w:spacing w:after="0" w:line="296"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The Company may adjust the amounts recognized for a business combination during a measurement period after the acquisition date. Any such adjustments are based on the Company obtaining additional information that existed at the acquisition date regarding the assets acquired or the liabilities assumed. Measurement-period adjustments are generally recorded as increases or decreases to the goodwill recognized in the transaction. The measurement period ends once the Company has obtained all necessary information that existed as of the acquisition date, but does not extend beyond one year from the date of acquisition. Any adjustments to assets acquired or liabilities assumed beyond the measurement period are recorded through earnings.</w:t>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color w:val="8D5D6C"/>
        </w:rPr>
        <w:t>Property, Plant and Equipment</w:t>
      </w:r>
    </w:p>
    <w:p>
      <w:pPr>
        <w:spacing w:after="0" w:line="55"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Net property, plant and equipment represent 40% of total assets at December 31, 2017. Accordingly, accounting for these assets represents a critical accounting policy. Useful lives of the assets can vary depending on factors, including production levels, geographic location, portability and maintenance practices. Additionally, climate and inclement weather can reduce the useful life of an asset. Historically, the Company has not recognized significant losses on the disposal or retirement of fixed assets.</w:t>
      </w:r>
    </w:p>
    <w:p>
      <w:pPr>
        <w:spacing w:after="0" w:line="301"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 xml:space="preserve">The Company evaluates aggregates reserves, including those used in the cement manufacturing process, in several ways, depending on the geology at a particular location and whether the location is a potential new site (greensite), an acquisition or an existing operation. Greensites require an extensive drilling program before any significant investment is made in terms of time, site development or efforts to obtain appropriate zoning and permitting (see </w:t>
      </w:r>
      <w:r>
        <w:rPr>
          <w:rFonts w:ascii="Arial" w:cs="Arial" w:eastAsia="Arial" w:hAnsi="Arial"/>
          <w:sz w:val="16"/>
          <w:szCs w:val="16"/>
          <w:i w:val="1"/>
          <w:iCs w:val="1"/>
          <w:color w:val="auto"/>
        </w:rPr>
        <w:t>Environmental Regulation and Litigation</w:t>
      </w:r>
      <w:r>
        <w:rPr>
          <w:rFonts w:ascii="Arial" w:cs="Arial" w:eastAsia="Arial" w:hAnsi="Arial"/>
          <w:sz w:val="16"/>
          <w:szCs w:val="16"/>
          <w:color w:val="auto"/>
        </w:rPr>
        <w:t xml:space="preserve"> section). The depth of overburden and the quality and quantity of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rPr>
          <w:sz w:val="20"/>
          <w:szCs w:val="20"/>
          <w:color w:val="auto"/>
        </w:rPr>
      </w:pPr>
      <w:r>
        <w:rPr>
          <w:rFonts w:ascii="Arial" w:cs="Arial" w:eastAsia="Arial" w:hAnsi="Arial"/>
          <w:sz w:val="16"/>
          <w:szCs w:val="16"/>
          <w:color w:val="auto"/>
        </w:rPr>
        <w:t>aggregates reserves are significant factors in determining whether to pursue opening the site. Further, the estimated average selling price for products in a market is also a significant factor in concluding that reserves are economically mineable. If the Company’s analysis based on these factors is satisfactory, the total aggregates reserves available are calculated and a determination is made whether to open the location. Reserve evaluation at existing locations is typically performed to evaluate purchasing adjoining properties, for quality control, calculating overburden volumes and for mine planning. Reserve evaluation of acquisitions may require a higher degree of sampling to locate any problem areas that may exist and to verify the total reserves.</w:t>
      </w:r>
    </w:p>
    <w:p>
      <w:pPr>
        <w:spacing w:after="0" w:line="200" w:lineRule="exact"/>
        <w:rPr>
          <w:sz w:val="20"/>
          <w:szCs w:val="20"/>
          <w:color w:val="auto"/>
        </w:rPr>
      </w:pPr>
    </w:p>
    <w:p>
      <w:pPr>
        <w:spacing w:after="0" w:line="270" w:lineRule="exact"/>
        <w:rPr>
          <w:sz w:val="20"/>
          <w:szCs w:val="20"/>
          <w:color w:val="auto"/>
        </w:rPr>
      </w:pPr>
    </w:p>
    <w:p>
      <w:pPr>
        <w:jc w:val="both"/>
        <w:spacing w:after="0"/>
        <w:rPr>
          <w:sz w:val="20"/>
          <w:szCs w:val="20"/>
          <w:color w:val="auto"/>
        </w:rPr>
      </w:pPr>
      <w:r>
        <w:rPr>
          <w:rFonts w:ascii="Arial" w:cs="Arial" w:eastAsia="Arial" w:hAnsi="Arial"/>
          <w:sz w:val="16"/>
          <w:szCs w:val="16"/>
          <w:color w:val="auto"/>
        </w:rPr>
        <w:t>Well-ordered subsurface sampling of the underlying deposit is basic to determining reserves at any location. This subsurface sampling usually involves one or more types of drilling, determined by the nature of the material to be sampled and the particular objective of the sampling. The Company’s objectives are to ensure that the underlying deposit meets aggregates specifications and the total reserves on site are sufficient for mining and economically recoverable. Locations underlain with hard rock deposits, such as granite and limestone, are drilled using the diamond core method, which provides the most useful and accurate samples of the deposit. Selected core samples are tested for soundness, abrasion resistance and other physical properties relevant to the aggregates industry and depending on its use. The number and depth of the holes are determined by the size of the site and the complexity of the site-specific geology. Some geological factors that may affect the number and depth of holes include faults, folds, chemical irregularities, clay pockets, thickness of formations and weathering. A typical spacing of core holes on the area to be tested is one hole for every four acres, but wider spacing may be justified if the deposit is homogeneous.</w:t>
      </w:r>
    </w:p>
    <w:p>
      <w:pPr>
        <w:spacing w:after="0" w:line="200" w:lineRule="exact"/>
        <w:rPr>
          <w:sz w:val="20"/>
          <w:szCs w:val="20"/>
          <w:color w:val="auto"/>
        </w:rPr>
      </w:pPr>
    </w:p>
    <w:p>
      <w:pPr>
        <w:spacing w:after="0" w:line="254"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Despite previous drilling and sampling, once accessed, the quality of reserves within a deposit can vary. Construction contracts, for the infrastructure market in particular, include specifications related to the aggregates material. If a flaw in the deposit is discovered, the aggregates material may not meet the required specifications. Although it is possible that the aggregates material can still be used for non-specification uses, this can have an adverse effect on the Company’s</w:t>
      </w:r>
    </w:p>
    <w:p>
      <w:pPr>
        <w:spacing w:after="0" w:line="512" w:lineRule="exact"/>
        <w:rPr>
          <w:sz w:val="20"/>
          <w:szCs w:val="20"/>
          <w:color w:val="auto"/>
        </w:rPr>
      </w:pPr>
    </w:p>
    <w:p>
      <w:pPr>
        <w:sectPr>
          <w:pgSz w:w="11900" w:h="16838" w:orient="portrait"/>
          <w:cols w:equalWidth="0" w:num="2">
            <w:col w:w="5480" w:space="360"/>
            <w:col w:w="5580"/>
          </w:cols>
          <w:pgMar w:left="240" w:top="259" w:right="239" w:bottom="1440" w:gutter="0" w:footer="0" w:header="0"/>
          <w:type w:val="continuous"/>
        </w:sectPr>
      </w:pPr>
    </w:p>
    <w:p>
      <w:pPr>
        <w:spacing w:after="0" w:line="4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79</w:t>
      </w:r>
    </w:p>
    <w:p>
      <w:pPr>
        <w:sectPr>
          <w:pgSz w:w="11900" w:h="16838" w:orient="portrait"/>
          <w:cols w:equalWidth="0" w:num="1">
            <w:col w:w="11420"/>
          </w:cols>
          <w:pgMar w:left="240" w:top="259" w:right="239" w:bottom="1440" w:gutter="0" w:footer="0" w:header="0"/>
          <w:type w:val="continuous"/>
        </w:sectPr>
      </w:pPr>
    </w:p>
    <w:bookmarkStart w:id="132" w:name="page133"/>
    <w:bookmarkEnd w:id="132"/>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1">
                      <a:extLst>
                        <a:ext uri="{28A0092B-C50C-407E-A947-70E740481C1C}"/>
                      </a:extLst>
                    </a:blip>
                    <a:srcRect/>
                    <a:stretch>
                      <a:fillRect/>
                    </a:stretch>
                  </pic:blipFill>
                  <pic:spPr bwMode="auto">
                    <a:xfrm>
                      <a:off x="0" y="0"/>
                      <a:ext cx="7293610" cy="37465"/>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420"/>
          </w:cols>
          <w:pgMar w:left="240" w:top="2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ability to serve certain customers or on the Company’s profitability. In addition, other issues can arise that limit the Company’s ability to access reserves in a particular quarry, including geological occurrences, blasting practices and zoning issues.</w:t>
      </w:r>
    </w:p>
    <w:p>
      <w:pPr>
        <w:spacing w:after="0" w:line="296" w:lineRule="exact"/>
        <w:rPr>
          <w:sz w:val="20"/>
          <w:szCs w:val="20"/>
          <w:color w:val="auto"/>
        </w:rPr>
      </w:pPr>
    </w:p>
    <w:p>
      <w:pPr>
        <w:jc w:val="both"/>
        <w:spacing w:after="0"/>
        <w:rPr>
          <w:sz w:val="20"/>
          <w:szCs w:val="20"/>
          <w:color w:val="auto"/>
        </w:rPr>
      </w:pPr>
      <w:r>
        <w:rPr>
          <w:rFonts w:ascii="Arial" w:cs="Arial" w:eastAsia="Arial" w:hAnsi="Arial"/>
          <w:sz w:val="16"/>
          <w:szCs w:val="16"/>
          <w:color w:val="auto"/>
        </w:rPr>
        <w:t>Locations underlain with sand and gravel are typically drilled using the auger method, whereby a 6-inch corkscrew brings up material from below the ground which is then sampled. Deposits in these locations are typically limited in thickness, and the quality and sand-to-gravel ratio of the deposit can vary both horizontally and vertically. Hole spacing at these locations is approximately one hole for every acre to ensure a representative sampling.</w:t>
      </w:r>
    </w:p>
    <w:p>
      <w:pPr>
        <w:spacing w:after="0" w:line="298"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The geologist conducting the reserve evaluation makes the decision as to the number of holes and the spacing in accordance with standards and procedures established by the Company. Further, the anticipated heterogeneity of the deposit, based on U.S. geological maps, also dictates the number of holes drilled.</w:t>
      </w:r>
    </w:p>
    <w:p>
      <w:pPr>
        <w:spacing w:after="0" w:line="296"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The generally accepted reserve categories for the aggregates industry and the designations the Company uses for reserve categories are summarized as follows:</w:t>
      </w:r>
    </w:p>
    <w:p>
      <w:pPr>
        <w:spacing w:after="0" w:line="34" w:lineRule="exact"/>
        <w:rPr>
          <w:sz w:val="20"/>
          <w:szCs w:val="20"/>
          <w:color w:val="auto"/>
        </w:rPr>
      </w:pPr>
    </w:p>
    <w:p>
      <w:pPr>
        <w:jc w:val="both"/>
        <w:ind w:left="220"/>
        <w:spacing w:after="0" w:line="241" w:lineRule="auto"/>
        <w:rPr>
          <w:sz w:val="20"/>
          <w:szCs w:val="20"/>
          <w:color w:val="auto"/>
        </w:rPr>
      </w:pPr>
      <w:r>
        <w:rPr>
          <w:rFonts w:ascii="Arial" w:cs="Arial" w:eastAsia="Arial" w:hAnsi="Arial"/>
          <w:sz w:val="17"/>
          <w:szCs w:val="17"/>
          <w:i w:val="1"/>
          <w:iCs w:val="1"/>
          <w:color w:val="auto"/>
        </w:rPr>
        <w:t xml:space="preserve">Proven Reserves </w:t>
      </w:r>
      <w:r>
        <w:rPr>
          <w:rFonts w:ascii="Arial" w:cs="Arial" w:eastAsia="Arial" w:hAnsi="Arial"/>
          <w:sz w:val="17"/>
          <w:szCs w:val="17"/>
          <w:color w:val="auto"/>
        </w:rPr>
        <w:t>– These reserves are designated using closely</w:t>
      </w:r>
      <w:r>
        <w:rPr>
          <w:rFonts w:ascii="Arial" w:cs="Arial" w:eastAsia="Arial" w:hAnsi="Arial"/>
          <w:sz w:val="17"/>
          <w:szCs w:val="17"/>
          <w:i w:val="1"/>
          <w:iCs w:val="1"/>
          <w:color w:val="auto"/>
        </w:rPr>
        <w:t xml:space="preserve"> </w:t>
      </w:r>
      <w:r>
        <w:rPr>
          <w:rFonts w:ascii="Arial" w:cs="Arial" w:eastAsia="Arial" w:hAnsi="Arial"/>
          <w:sz w:val="17"/>
          <w:szCs w:val="17"/>
          <w:color w:val="auto"/>
        </w:rPr>
        <w:t>spaced drill data as described above and a determination by a professional geologist that the deposit is relatively homogeneous based on the drilling results and exploration data provided in U.S. geologic maps, the U.S. Department of Agriculture soil maps, aerial photographs and/or electromagnetic, seismic or other surveys conducted by independent geotechnical engineering firms. The proven reserves that are recorded reflect reductions incurred as a result of quarrying that result from leaving ramps, safety benches, pillars (underground) and the fines (small particles) that will be generated during processing. Proven reserves are further reduced by reserves that are under the plant and stockpile areas, as well as setbacks from neighboring property lines. The Company typically assumes a loss factor of 25%. However, the assumed loss factor at coastal operations is approximately 40% due to the nature of the material. The assumed loss factor for underground operations is 35% primarily due to pillars.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left="220"/>
        <w:spacing w:after="0" w:line="253" w:lineRule="auto"/>
        <w:rPr>
          <w:sz w:val="20"/>
          <w:szCs w:val="20"/>
          <w:color w:val="auto"/>
        </w:rPr>
      </w:pPr>
      <w:r>
        <w:rPr>
          <w:rFonts w:ascii="Arial" w:cs="Arial" w:eastAsia="Arial" w:hAnsi="Arial"/>
          <w:sz w:val="17"/>
          <w:szCs w:val="17"/>
          <w:i w:val="1"/>
          <w:iCs w:val="1"/>
          <w:color w:val="auto"/>
        </w:rPr>
        <w:t xml:space="preserve">Probable Reserves </w:t>
      </w:r>
      <w:r>
        <w:rPr>
          <w:rFonts w:ascii="Arial" w:cs="Arial" w:eastAsia="Arial" w:hAnsi="Arial"/>
          <w:sz w:val="17"/>
          <w:szCs w:val="17"/>
          <w:color w:val="auto"/>
        </w:rPr>
        <w:t>– These reserves are inferred utilizing fewer drill</w:t>
      </w:r>
      <w:r>
        <w:rPr>
          <w:rFonts w:ascii="Arial" w:cs="Arial" w:eastAsia="Arial" w:hAnsi="Arial"/>
          <w:sz w:val="17"/>
          <w:szCs w:val="17"/>
          <w:i w:val="1"/>
          <w:iCs w:val="1"/>
          <w:color w:val="auto"/>
        </w:rPr>
        <w:t xml:space="preserve"> </w:t>
      </w:r>
      <w:r>
        <w:rPr>
          <w:rFonts w:ascii="Arial" w:cs="Arial" w:eastAsia="Arial" w:hAnsi="Arial"/>
          <w:sz w:val="17"/>
          <w:szCs w:val="17"/>
          <w:color w:val="auto"/>
        </w:rPr>
        <w:t>holes and/or assumptions about the economically recoverable reserves based on local geology or drill results from adjacent properties.</w:t>
      </w:r>
    </w:p>
    <w:p>
      <w:pPr>
        <w:spacing w:after="0" w:line="200" w:lineRule="exact"/>
        <w:rPr>
          <w:sz w:val="20"/>
          <w:szCs w:val="20"/>
          <w:color w:val="auto"/>
        </w:rPr>
      </w:pPr>
    </w:p>
    <w:p>
      <w:pPr>
        <w:spacing w:after="0" w:line="285"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 xml:space="preserve">The Company’s proven and probable reserves reflect reasonable economic and operating constraints as to maximum depth of overburden and stone excavation, and also include reserves at the Company’s inactive and undeveloped sites, including some sites where permitting and zoning applications will not be filed until warranted by expected future growth. The Company has historically been successful in obtaining and maintaining appropriate zoning and permitting (see </w:t>
      </w:r>
      <w:r>
        <w:rPr>
          <w:rFonts w:ascii="Arial" w:cs="Arial" w:eastAsia="Arial" w:hAnsi="Arial"/>
          <w:sz w:val="16"/>
          <w:szCs w:val="16"/>
          <w:i w:val="1"/>
          <w:iCs w:val="1"/>
          <w:color w:val="auto"/>
        </w:rPr>
        <w:t>Environmental Regulation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Litigation </w:t>
      </w:r>
      <w:r>
        <w:rPr>
          <w:rFonts w:ascii="Arial" w:cs="Arial" w:eastAsia="Arial" w:hAnsi="Arial"/>
          <w:sz w:val="16"/>
          <w:szCs w:val="16"/>
          <w:color w:val="auto"/>
        </w:rPr>
        <w:t>section).</w:t>
      </w:r>
    </w:p>
    <w:p>
      <w:pPr>
        <w:spacing w:after="0" w:line="299"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Mineral reserves and mineral interests, when acquired in connection with a business combination, are valued using an excess earnings approach for the life of the proven and probable reserves.</w:t>
      </w:r>
    </w:p>
    <w:p>
      <w:pPr>
        <w:spacing w:after="0" w:line="293"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The Company uses proven and probable reserves as the denominator in its units-of-production calculation to record depletion expense for its mineral reserves and mineral interests. For 2017, depletion expense was $17.4 million.</w:t>
      </w:r>
    </w:p>
    <w:p>
      <w:pPr>
        <w:spacing w:after="0" w:line="200" w:lineRule="exact"/>
        <w:rPr>
          <w:sz w:val="20"/>
          <w:szCs w:val="20"/>
          <w:color w:val="auto"/>
        </w:rPr>
      </w:pPr>
    </w:p>
    <w:p>
      <w:pPr>
        <w:spacing w:after="0" w:line="282"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The Company begins capitalizing quarry development costs at a point when reserves are determined to be proven or probable, economically mineable and when demand supports investment in the market. Capitalization of these costs ceases when production commences. Capitalized quarry development costs are classified as land improvements.</w:t>
      </w:r>
    </w:p>
    <w:p>
      <w:pPr>
        <w:spacing w:after="0" w:line="296"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New mining areas may be developed at existing quarries in order to access additional reserves. When this occurs, management reviews the facts and circumstances of each situation in making a determination as to the appropriateness of capitalizing or expensing the related pre-production development costs. If the additional mining location operates in a separate and distinct area of a quarry, the costs are capitalized as quarry development costs and depreciated over the life of the uncovered reserves. Further, a separate asset retirement obligation is created for additional mining areas when the liability is incurred. Once a new mining area enters the production phase, all post-production stripping costs are expensed as incurred as periodic inventory production costs.</w:t>
      </w:r>
    </w:p>
    <w:p>
      <w:pPr>
        <w:spacing w:after="0" w:line="200" w:lineRule="exact"/>
        <w:rPr>
          <w:sz w:val="20"/>
          <w:szCs w:val="20"/>
          <w:color w:val="auto"/>
        </w:rPr>
      </w:pPr>
    </w:p>
    <w:p>
      <w:pPr>
        <w:sectPr>
          <w:pgSz w:w="11900" w:h="16838" w:orient="portrait"/>
          <w:cols w:equalWidth="0" w:num="2">
            <w:col w:w="5480" w:space="360"/>
            <w:col w:w="5580"/>
          </w:cols>
          <w:pgMar w:left="240" w:top="259" w:right="239" w:bottom="1440" w:gutter="0" w:footer="0" w:header="0"/>
          <w:type w:val="continuous"/>
        </w:sectPr>
      </w:pP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80</w:t>
      </w:r>
    </w:p>
    <w:p>
      <w:pPr>
        <w:sectPr>
          <w:pgSz w:w="11900" w:h="16838" w:orient="portrait"/>
          <w:cols w:equalWidth="0" w:num="1">
            <w:col w:w="11420"/>
          </w:cols>
          <w:pgMar w:left="240" w:top="259" w:right="239" w:bottom="1440" w:gutter="0" w:footer="0" w:header="0"/>
          <w:type w:val="continuous"/>
        </w:sectPr>
      </w:pPr>
    </w:p>
    <w:bookmarkStart w:id="133" w:name="page134"/>
    <w:bookmarkEnd w:id="133"/>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2">
                      <a:extLst>
                        <a:ext uri="{28A0092B-C50C-407E-A947-70E740481C1C}"/>
                      </a:extLst>
                    </a:blip>
                    <a:srcRect/>
                    <a:stretch>
                      <a:fillRect/>
                    </a:stretch>
                  </pic:blipFill>
                  <pic:spPr bwMode="auto">
                    <a:xfrm>
                      <a:off x="0" y="0"/>
                      <a:ext cx="7293610" cy="37465"/>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420"/>
          </w:cols>
          <w:pgMar w:left="240" w:top="2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color w:val="8D5D6C"/>
        </w:rPr>
        <w:t>Inventory Standards</w:t>
      </w:r>
    </w:p>
    <w:p>
      <w:pPr>
        <w:spacing w:after="0" w:line="55"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 xml:space="preserve">The Company values its finished goods inventories under the first-in, first-out methodology using standard costs. For quarries, standards are developed using production costs for a twelve-month period, in addition to complying with the principle of lower of cost or net realizable value, and adjusting, if necessary, for normal capacity levels and abnormal costs. In addition to production costs, standards for distribution yards include a freight component for the cost of transporting the inventory from a quarry to the distribution yard and materials handling costs. Pre-operating start-up costs are expensed as incurred and not capitalized as part of inventory costs. In periods in which production costs, in particular, energy costs, and/or production volumes have changed significantly from the prior period, the revision of standards can have a significant impact on the Company’s operating results (see section </w:t>
      </w:r>
      <w:r>
        <w:rPr>
          <w:rFonts w:ascii="Arial" w:cs="Arial" w:eastAsia="Arial" w:hAnsi="Arial"/>
          <w:sz w:val="16"/>
          <w:szCs w:val="16"/>
          <w:i w:val="1"/>
          <w:iCs w:val="1"/>
          <w:color w:val="auto"/>
        </w:rPr>
        <w:t>Cost Structure)</w:t>
      </w:r>
      <w:r>
        <w:rPr>
          <w:rFonts w:ascii="Arial" w:cs="Arial" w:eastAsia="Arial" w:hAnsi="Arial"/>
          <w:sz w:val="16"/>
          <w:szCs w:val="16"/>
          <w:color w:val="auto"/>
        </w:rPr>
        <w:t>.</w:t>
      </w:r>
    </w:p>
    <w:p>
      <w:pPr>
        <w:spacing w:after="0" w:line="302"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Standard costs for the aggregates product lines are recalculated on a quarterly basis to match finished goods inventory values with changes in production costs and production volumes.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140335</wp:posOffset>
            </wp:positionV>
            <wp:extent cx="3057525" cy="3130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3">
                      <a:extLst>
                        <a:ext uri="{28A0092B-C50C-407E-A947-70E740481C1C}"/>
                      </a:extLst>
                    </a:blip>
                    <a:srcRect/>
                    <a:stretch>
                      <a:fillRect/>
                    </a:stretch>
                  </pic:blipFill>
                  <pic:spPr bwMode="auto">
                    <a:xfrm>
                      <a:off x="0" y="0"/>
                      <a:ext cx="3057525" cy="313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spacing w:after="0"/>
        <w:rPr>
          <w:sz w:val="20"/>
          <w:szCs w:val="20"/>
          <w:color w:val="auto"/>
        </w:rPr>
      </w:pPr>
      <w:r>
        <w:rPr>
          <w:rFonts w:ascii="Arial" w:cs="Arial" w:eastAsia="Arial" w:hAnsi="Arial"/>
          <w:sz w:val="16"/>
          <w:szCs w:val="16"/>
          <w:color w:val="auto"/>
        </w:rPr>
        <w:t>Martin Marietta remains optimistic about its near-term and long-term outlook given its continued ability to successfully execute its strategic business plan and the largely positive trends in the markets it serves. The fundamental drivers for the Company’s expected growth remain intact as the current broad-based recovery continues on a steady and extended basis. Notably:</w:t>
      </w:r>
    </w:p>
    <w:p>
      <w:pPr>
        <w:spacing w:after="0" w:line="287" w:lineRule="exact"/>
        <w:rPr>
          <w:sz w:val="20"/>
          <w:szCs w:val="20"/>
          <w:color w:val="auto"/>
        </w:rPr>
      </w:pPr>
    </w:p>
    <w:p>
      <w:pPr>
        <w:jc w:val="both"/>
        <w:ind w:left="460" w:hanging="300"/>
        <w:spacing w:after="0"/>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Infrastructure construction activity should see benefits from the funding provided by the FAST Act as state DOTs and contractors address labor constraints and further regulatory reform emerges. Additionally, state and local initiatives that support infrastructure funding, including gas tax increases and other ballot initiatives passed over the previous 24 months, continue to gain overwhelming voter support and will play an expanded role in public-sector activity. Third-party forecasts support increased infrastructure spending in 2018, particularly spending for aggregates-intensive highways and streets.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ind w:left="440" w:hanging="296"/>
        <w:spacing w:after="0" w:line="237" w:lineRule="auto"/>
        <w:tabs>
          <w:tab w:leader="none" w:pos="4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Nonresidential construction is expected to modestly increase in both the heavy industrial and commercial sectors for the next several years as supported by third-party forecasts. Management expects new energy-related projects will bid in 2018 with construction activity in 2019 and beyond as permitting and final investment decisions are either made and/or approved.</w:t>
      </w:r>
    </w:p>
    <w:p>
      <w:pPr>
        <w:jc w:val="both"/>
        <w:ind w:left="440" w:hanging="296"/>
        <w:spacing w:after="0"/>
        <w:tabs>
          <w:tab w:leader="none" w:pos="4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Residential construction is expected to continue growing, particularly in key Martin Marietta markets, driven by employment gains, historically low levels of construction activity over the previous years, low mortgage rates and higher lot development. Notably, six of Martin Marietta’s key states rank in the top ten for single-family housing unit permits.</w:t>
      </w:r>
    </w:p>
    <w:p>
      <w:pPr>
        <w:spacing w:after="0" w:line="200" w:lineRule="exact"/>
        <w:rPr>
          <w:sz w:val="20"/>
          <w:szCs w:val="20"/>
          <w:color w:val="auto"/>
        </w:rPr>
      </w:pPr>
    </w:p>
    <w:p>
      <w:pPr>
        <w:spacing w:after="0" w:line="282"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Management’s 2018 outlook anticipates growth in all three primary construction end-use markets and faster expansion in the West and Southeast Groups and comparatively slower growth in the Mid-America Group, which historically has generated the Company’s highest margins. Specifically:</w:t>
      </w:r>
    </w:p>
    <w:p>
      <w:pPr>
        <w:spacing w:after="0" w:line="200" w:lineRule="exact"/>
        <w:rPr>
          <w:sz w:val="20"/>
          <w:szCs w:val="20"/>
          <w:color w:val="auto"/>
        </w:rPr>
      </w:pPr>
    </w:p>
    <w:p>
      <w:pPr>
        <w:spacing w:after="0" w:line="203" w:lineRule="exact"/>
        <w:rPr>
          <w:sz w:val="20"/>
          <w:szCs w:val="20"/>
          <w:color w:val="auto"/>
        </w:rPr>
      </w:pPr>
    </w:p>
    <w:p>
      <w:pPr>
        <w:ind w:left="440" w:hanging="296"/>
        <w:spacing w:after="0"/>
        <w:tabs>
          <w:tab w:leader="none" w:pos="4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Aggregates product line end-use markets compared with 2017 levels are as follows:</w:t>
      </w:r>
    </w:p>
    <w:p>
      <w:pPr>
        <w:ind w:left="680" w:hanging="251"/>
        <w:spacing w:after="0"/>
        <w:tabs>
          <w:tab w:leader="none" w:pos="680" w:val="left"/>
        </w:tabs>
        <w:numPr>
          <w:ilvl w:val="1"/>
          <w:numId w:val="37"/>
        </w:numPr>
        <w:rPr>
          <w:rFonts w:ascii="Arial" w:cs="Arial" w:eastAsia="Arial" w:hAnsi="Arial"/>
          <w:sz w:val="17"/>
          <w:szCs w:val="17"/>
          <w:color w:val="auto"/>
        </w:rPr>
      </w:pPr>
      <w:r>
        <w:rPr>
          <w:rFonts w:ascii="Arial" w:cs="Arial" w:eastAsia="Arial" w:hAnsi="Arial"/>
          <w:sz w:val="17"/>
          <w:szCs w:val="17"/>
          <w:color w:val="auto"/>
        </w:rPr>
        <w:t>Infrastructure market to increase in the mid-single digits.</w:t>
      </w:r>
    </w:p>
    <w:p>
      <w:pPr>
        <w:ind w:left="680" w:hanging="251"/>
        <w:spacing w:after="0"/>
        <w:tabs>
          <w:tab w:leader="none" w:pos="680" w:val="left"/>
        </w:tabs>
        <w:numPr>
          <w:ilvl w:val="1"/>
          <w:numId w:val="37"/>
        </w:numPr>
        <w:rPr>
          <w:rFonts w:ascii="Arial" w:cs="Arial" w:eastAsia="Arial" w:hAnsi="Arial"/>
          <w:sz w:val="17"/>
          <w:szCs w:val="17"/>
          <w:color w:val="auto"/>
        </w:rPr>
      </w:pPr>
      <w:r>
        <w:rPr>
          <w:rFonts w:ascii="Arial" w:cs="Arial" w:eastAsia="Arial" w:hAnsi="Arial"/>
          <w:sz w:val="17"/>
          <w:szCs w:val="17"/>
          <w:color w:val="auto"/>
        </w:rPr>
        <w:t>Nonresidential market to increase in the low- to mid-single digits.</w:t>
      </w:r>
    </w:p>
    <w:p>
      <w:pPr>
        <w:spacing w:after="0" w:line="193" w:lineRule="exact"/>
        <w:rPr>
          <w:rFonts w:ascii="Arial" w:cs="Arial" w:eastAsia="Arial" w:hAnsi="Arial"/>
          <w:sz w:val="17"/>
          <w:szCs w:val="17"/>
          <w:color w:val="auto"/>
        </w:rPr>
      </w:pPr>
    </w:p>
    <w:p>
      <w:pPr>
        <w:ind w:left="680" w:hanging="251"/>
        <w:spacing w:after="0"/>
        <w:tabs>
          <w:tab w:leader="none" w:pos="680" w:val="left"/>
        </w:tabs>
        <w:numPr>
          <w:ilvl w:val="1"/>
          <w:numId w:val="37"/>
        </w:numPr>
        <w:rPr>
          <w:rFonts w:ascii="Arial" w:cs="Arial" w:eastAsia="Arial" w:hAnsi="Arial"/>
          <w:sz w:val="17"/>
          <w:szCs w:val="17"/>
          <w:color w:val="auto"/>
        </w:rPr>
      </w:pPr>
      <w:r>
        <w:rPr>
          <w:rFonts w:ascii="Arial" w:cs="Arial" w:eastAsia="Arial" w:hAnsi="Arial"/>
          <w:sz w:val="17"/>
          <w:szCs w:val="17"/>
          <w:color w:val="auto"/>
        </w:rPr>
        <w:t>Residential market to increase in the high-single digits.</w:t>
      </w:r>
    </w:p>
    <w:p>
      <w:pPr>
        <w:ind w:left="680" w:hanging="251"/>
        <w:spacing w:after="0"/>
        <w:tabs>
          <w:tab w:leader="none" w:pos="680" w:val="left"/>
        </w:tabs>
        <w:numPr>
          <w:ilvl w:val="1"/>
          <w:numId w:val="37"/>
        </w:numPr>
        <w:rPr>
          <w:rFonts w:ascii="Arial" w:cs="Arial" w:eastAsia="Arial" w:hAnsi="Arial"/>
          <w:sz w:val="17"/>
          <w:szCs w:val="17"/>
          <w:color w:val="auto"/>
        </w:rPr>
      </w:pPr>
      <w:r>
        <w:rPr>
          <w:rFonts w:ascii="Arial" w:cs="Arial" w:eastAsia="Arial" w:hAnsi="Arial"/>
          <w:sz w:val="17"/>
          <w:szCs w:val="17"/>
          <w:color w:val="auto"/>
        </w:rPr>
        <w:t>ChemRock/Rail market to remain stable.</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As a result of the recent 2017 Tax Act, management expects the Company’s effective tax rate, excluding discrete events, to range from 20% to 22%.</w:t>
      </w:r>
    </w:p>
    <w:p>
      <w:pPr>
        <w:spacing w:after="0" w:line="287"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Martin Marietta’s 2018 guidance excludes any benefit from a potential increase in federal infrastructure funding as well as any impact from the pending acquisition of Bluegrass Materials which is expected to be accretive to earnings per share and cash flow in the first full year of Martin Marietta’s ownership.</w:t>
      </w:r>
    </w:p>
    <w:p>
      <w:pPr>
        <w:spacing w:after="0" w:line="568" w:lineRule="exact"/>
        <w:rPr>
          <w:sz w:val="20"/>
          <w:szCs w:val="20"/>
          <w:color w:val="auto"/>
        </w:rPr>
      </w:pPr>
    </w:p>
    <w:p>
      <w:pPr>
        <w:sectPr>
          <w:pgSz w:w="11900" w:h="16838" w:orient="portrait"/>
          <w:cols w:equalWidth="0" w:num="2">
            <w:col w:w="5480" w:space="360"/>
            <w:col w:w="5580"/>
          </w:cols>
          <w:pgMar w:left="240" w:top="259" w:right="239" w:bottom="1440" w:gutter="0" w:footer="0" w:header="0"/>
          <w:type w:val="continuous"/>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81</w:t>
      </w:r>
    </w:p>
    <w:p>
      <w:pPr>
        <w:sectPr>
          <w:pgSz w:w="11900" w:h="16838" w:orient="portrait"/>
          <w:cols w:equalWidth="0" w:num="1">
            <w:col w:w="11420"/>
          </w:cols>
          <w:pgMar w:left="240" w:top="259" w:right="239" w:bottom="1440" w:gutter="0" w:footer="0" w:header="0"/>
          <w:type w:val="continuous"/>
        </w:sectPr>
      </w:pPr>
    </w:p>
    <w:bookmarkStart w:id="134" w:name="page135"/>
    <w:bookmarkEnd w:id="134"/>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4">
                      <a:extLst>
                        <a:ext uri="{28A0092B-C50C-407E-A947-70E740481C1C}"/>
                      </a:extLst>
                    </a:blip>
                    <a:srcRect/>
                    <a:stretch>
                      <a:fillRect/>
                    </a:stretch>
                  </pic:blipFill>
                  <pic:spPr bwMode="auto">
                    <a:xfrm>
                      <a:off x="0" y="0"/>
                      <a:ext cx="7293610" cy="37465"/>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420"/>
          </w:cols>
          <w:pgMar w:left="240" w:top="2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color w:val="0085CD"/>
        </w:rPr>
        <w:t>2018 GUIDANCE</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color w:val="auto"/>
        </w:rPr>
        <w:t>(dollars and tons in millions, except per ton)</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4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w w:val="99"/>
              </w:rPr>
              <w:t>Low</w:t>
            </w:r>
          </w:p>
        </w:tc>
        <w:tc>
          <w:tcPr>
            <w:tcW w:w="2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w w:val="96"/>
              </w:rPr>
              <w:t>High</w:t>
            </w:r>
          </w:p>
        </w:tc>
      </w:tr>
      <w:tr>
        <w:trPr>
          <w:trHeight w:val="149"/>
        </w:trPr>
        <w:tc>
          <w:tcPr>
            <w:tcW w:w="344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Consolidated Results</w:t>
            </w:r>
          </w:p>
        </w:tc>
        <w:tc>
          <w:tcPr>
            <w:tcW w:w="74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r>
      <w:tr>
        <w:trPr>
          <w:trHeight w:val="149"/>
        </w:trPr>
        <w:tc>
          <w:tcPr>
            <w:tcW w:w="3440" w:type="dxa"/>
            <w:vAlign w:val="bottom"/>
          </w:tcPr>
          <w:p>
            <w:pPr>
              <w:spacing w:after="0" w:line="149" w:lineRule="exact"/>
              <w:rPr>
                <w:sz w:val="20"/>
                <w:szCs w:val="20"/>
                <w:color w:val="auto"/>
              </w:rPr>
            </w:pPr>
            <w:r>
              <w:rPr>
                <w:rFonts w:ascii="Arial" w:cs="Arial" w:eastAsia="Arial" w:hAnsi="Arial"/>
                <w:sz w:val="11"/>
                <w:szCs w:val="11"/>
                <w:color w:val="auto"/>
              </w:rPr>
              <w:t>Consolidated total revenues</w:t>
            </w:r>
            <w:r>
              <w:rPr>
                <w:rFonts w:ascii="Arial" w:cs="Arial" w:eastAsia="Arial" w:hAnsi="Arial"/>
                <w:sz w:val="17"/>
                <w:szCs w:val="17"/>
                <w:color w:val="auto"/>
                <w:vertAlign w:val="superscript"/>
              </w:rPr>
              <w:t>1</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111"/>
              <w:spacing w:after="0" w:line="149" w:lineRule="exact"/>
              <w:rPr>
                <w:sz w:val="20"/>
                <w:szCs w:val="20"/>
                <w:color w:val="auto"/>
              </w:rPr>
            </w:pPr>
            <w:r>
              <w:rPr>
                <w:rFonts w:ascii="Arial" w:cs="Arial" w:eastAsia="Arial" w:hAnsi="Arial"/>
                <w:sz w:val="14"/>
                <w:szCs w:val="14"/>
                <w:color w:val="auto"/>
              </w:rPr>
              <w:t>4,160</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4,355</w:t>
            </w:r>
          </w:p>
        </w:tc>
      </w:tr>
      <w:tr>
        <w:trPr>
          <w:trHeight w:val="156"/>
        </w:trPr>
        <w:tc>
          <w:tcPr>
            <w:tcW w:w="344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Consolidated gross profit</w:t>
            </w:r>
          </w:p>
        </w:tc>
        <w:tc>
          <w:tcPr>
            <w:tcW w:w="74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111"/>
              <w:spacing w:after="0" w:line="156" w:lineRule="exact"/>
              <w:rPr>
                <w:sz w:val="20"/>
                <w:szCs w:val="20"/>
                <w:color w:val="auto"/>
              </w:rPr>
            </w:pPr>
            <w:r>
              <w:rPr>
                <w:rFonts w:ascii="Arial" w:cs="Arial" w:eastAsia="Arial" w:hAnsi="Arial"/>
                <w:sz w:val="14"/>
                <w:szCs w:val="14"/>
                <w:color w:val="auto"/>
              </w:rPr>
              <w:t>1,040</w:t>
            </w:r>
          </w:p>
        </w:tc>
        <w:tc>
          <w:tcPr>
            <w:tcW w:w="26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1,140</w:t>
            </w:r>
          </w:p>
        </w:tc>
      </w:tr>
      <w:tr>
        <w:trPr>
          <w:trHeight w:val="363"/>
        </w:trPr>
        <w:tc>
          <w:tcPr>
            <w:tcW w:w="3440" w:type="dxa"/>
            <w:vAlign w:val="bottom"/>
          </w:tcPr>
          <w:p>
            <w:pPr>
              <w:spacing w:after="0"/>
              <w:rPr>
                <w:sz w:val="20"/>
                <w:szCs w:val="20"/>
                <w:color w:val="auto"/>
              </w:rPr>
            </w:pPr>
            <w:r>
              <w:rPr>
                <w:rFonts w:ascii="Arial" w:cs="Arial" w:eastAsia="Arial" w:hAnsi="Arial"/>
                <w:sz w:val="14"/>
                <w:szCs w:val="14"/>
                <w:color w:val="auto"/>
              </w:rPr>
              <w:t>SG&amp;A</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111"/>
              <w:spacing w:after="0"/>
              <w:rPr>
                <w:sz w:val="20"/>
                <w:szCs w:val="20"/>
                <w:color w:val="auto"/>
              </w:rPr>
            </w:pPr>
            <w:r>
              <w:rPr>
                <w:rFonts w:ascii="Arial" w:cs="Arial" w:eastAsia="Arial" w:hAnsi="Arial"/>
                <w:sz w:val="14"/>
                <w:szCs w:val="14"/>
                <w:color w:val="auto"/>
              </w:rPr>
              <w:t>275</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285</w:t>
            </w:r>
          </w:p>
        </w:tc>
      </w:tr>
      <w:tr>
        <w:trPr>
          <w:trHeight w:val="156"/>
        </w:trPr>
        <w:tc>
          <w:tcPr>
            <w:tcW w:w="344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Interest expense</w:t>
            </w:r>
          </w:p>
        </w:tc>
        <w:tc>
          <w:tcPr>
            <w:tcW w:w="74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111"/>
              <w:spacing w:after="0" w:line="156" w:lineRule="exact"/>
              <w:rPr>
                <w:sz w:val="20"/>
                <w:szCs w:val="20"/>
                <w:color w:val="auto"/>
              </w:rPr>
            </w:pPr>
            <w:r>
              <w:rPr>
                <w:rFonts w:ascii="Arial" w:cs="Arial" w:eastAsia="Arial" w:hAnsi="Arial"/>
                <w:sz w:val="14"/>
                <w:szCs w:val="14"/>
                <w:color w:val="auto"/>
              </w:rPr>
              <w:t>125</w:t>
            </w:r>
          </w:p>
        </w:tc>
        <w:tc>
          <w:tcPr>
            <w:tcW w:w="26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130</w:t>
            </w:r>
          </w:p>
        </w:tc>
      </w:tr>
      <w:tr>
        <w:trPr>
          <w:trHeight w:val="156"/>
        </w:trPr>
        <w:tc>
          <w:tcPr>
            <w:tcW w:w="3440" w:type="dxa"/>
            <w:vAlign w:val="bottom"/>
          </w:tcPr>
          <w:p>
            <w:pPr>
              <w:spacing w:after="0" w:line="156" w:lineRule="exact"/>
              <w:rPr>
                <w:sz w:val="20"/>
                <w:szCs w:val="20"/>
                <w:color w:val="auto"/>
              </w:rPr>
            </w:pPr>
            <w:r>
              <w:rPr>
                <w:rFonts w:ascii="Arial" w:cs="Arial" w:eastAsia="Arial" w:hAnsi="Arial"/>
                <w:sz w:val="14"/>
                <w:szCs w:val="14"/>
                <w:color w:val="auto"/>
              </w:rPr>
              <w:t>Estimated tax rate (excluding discrete events)</w:t>
            </w:r>
          </w:p>
        </w:tc>
        <w:tc>
          <w:tcPr>
            <w:tcW w:w="740" w:type="dxa"/>
            <w:vAlign w:val="bottom"/>
          </w:tcPr>
          <w:p>
            <w:pPr>
              <w:spacing w:after="0"/>
              <w:rPr>
                <w:sz w:val="13"/>
                <w:szCs w:val="13"/>
                <w:color w:val="auto"/>
              </w:rPr>
            </w:pPr>
          </w:p>
        </w:tc>
        <w:tc>
          <w:tcPr>
            <w:tcW w:w="580" w:type="dxa"/>
            <w:vAlign w:val="bottom"/>
          </w:tcPr>
          <w:p>
            <w:pPr>
              <w:jc w:val="right"/>
              <w:ind w:right="111"/>
              <w:spacing w:after="0" w:line="156" w:lineRule="exact"/>
              <w:rPr>
                <w:sz w:val="20"/>
                <w:szCs w:val="20"/>
                <w:color w:val="auto"/>
              </w:rPr>
            </w:pPr>
            <w:r>
              <w:rPr>
                <w:rFonts w:ascii="Arial" w:cs="Arial" w:eastAsia="Arial" w:hAnsi="Arial"/>
                <w:sz w:val="14"/>
                <w:szCs w:val="14"/>
                <w:color w:val="auto"/>
              </w:rPr>
              <w:t>20%</w:t>
            </w:r>
          </w:p>
        </w:tc>
        <w:tc>
          <w:tcPr>
            <w:tcW w:w="260" w:type="dxa"/>
            <w:vAlign w:val="bottom"/>
          </w:tcPr>
          <w:p>
            <w:pPr>
              <w:spacing w:after="0"/>
              <w:rPr>
                <w:sz w:val="13"/>
                <w:szCs w:val="13"/>
                <w:color w:val="auto"/>
              </w:rPr>
            </w:pPr>
          </w:p>
        </w:tc>
        <w:tc>
          <w:tcPr>
            <w:tcW w:w="460" w:type="dxa"/>
            <w:vAlign w:val="bottom"/>
          </w:tcPr>
          <w:p>
            <w:pPr>
              <w:jc w:val="right"/>
              <w:spacing w:after="0" w:line="156" w:lineRule="exact"/>
              <w:rPr>
                <w:sz w:val="20"/>
                <w:szCs w:val="20"/>
                <w:color w:val="auto"/>
              </w:rPr>
            </w:pPr>
            <w:r>
              <w:rPr>
                <w:rFonts w:ascii="Arial" w:cs="Arial" w:eastAsia="Arial" w:hAnsi="Arial"/>
                <w:sz w:val="14"/>
                <w:szCs w:val="14"/>
                <w:color w:val="auto"/>
              </w:rPr>
              <w:t>22%</w:t>
            </w:r>
          </w:p>
        </w:tc>
      </w:tr>
      <w:tr>
        <w:trPr>
          <w:trHeight w:val="156"/>
        </w:trPr>
        <w:tc>
          <w:tcPr>
            <w:tcW w:w="344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Net earnings attributable to Martin Marietta</w:t>
            </w:r>
          </w:p>
        </w:tc>
        <w:tc>
          <w:tcPr>
            <w:tcW w:w="74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111"/>
              <w:spacing w:after="0" w:line="156" w:lineRule="exact"/>
              <w:rPr>
                <w:sz w:val="20"/>
                <w:szCs w:val="20"/>
                <w:color w:val="auto"/>
              </w:rPr>
            </w:pPr>
            <w:r>
              <w:rPr>
                <w:rFonts w:ascii="Arial" w:cs="Arial" w:eastAsia="Arial" w:hAnsi="Arial"/>
                <w:sz w:val="14"/>
                <w:szCs w:val="14"/>
                <w:color w:val="auto"/>
              </w:rPr>
              <w:t>490</w:t>
            </w:r>
          </w:p>
        </w:tc>
        <w:tc>
          <w:tcPr>
            <w:tcW w:w="26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595</w:t>
            </w:r>
          </w:p>
        </w:tc>
      </w:tr>
      <w:tr>
        <w:trPr>
          <w:trHeight w:val="156"/>
        </w:trPr>
        <w:tc>
          <w:tcPr>
            <w:tcW w:w="3440" w:type="dxa"/>
            <w:vAlign w:val="bottom"/>
          </w:tcPr>
          <w:p>
            <w:pPr>
              <w:spacing w:after="0" w:line="156" w:lineRule="exact"/>
              <w:rPr>
                <w:sz w:val="20"/>
                <w:szCs w:val="20"/>
                <w:color w:val="auto"/>
              </w:rPr>
            </w:pPr>
            <w:r>
              <w:rPr>
                <w:rFonts w:ascii="Arial" w:cs="Arial" w:eastAsia="Arial" w:hAnsi="Arial"/>
                <w:sz w:val="11"/>
                <w:szCs w:val="11"/>
                <w:color w:val="auto"/>
              </w:rPr>
              <w:t>EBITDA</w:t>
            </w:r>
            <w:r>
              <w:rPr>
                <w:rFonts w:ascii="Arial" w:cs="Arial" w:eastAsia="Arial" w:hAnsi="Arial"/>
                <w:sz w:val="18"/>
                <w:szCs w:val="18"/>
                <w:color w:val="auto"/>
                <w:vertAlign w:val="superscript"/>
              </w:rPr>
              <w:t>2</w:t>
            </w:r>
          </w:p>
        </w:tc>
        <w:tc>
          <w:tcPr>
            <w:tcW w:w="74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111"/>
              <w:spacing w:after="0" w:line="156" w:lineRule="exact"/>
              <w:rPr>
                <w:sz w:val="20"/>
                <w:szCs w:val="20"/>
                <w:color w:val="auto"/>
              </w:rPr>
            </w:pPr>
            <w:r>
              <w:rPr>
                <w:rFonts w:ascii="Arial" w:cs="Arial" w:eastAsia="Arial" w:hAnsi="Arial"/>
                <w:sz w:val="14"/>
                <w:szCs w:val="14"/>
                <w:color w:val="auto"/>
              </w:rPr>
              <w:t>1,075</w:t>
            </w:r>
          </w:p>
        </w:tc>
        <w:tc>
          <w:tcPr>
            <w:tcW w:w="26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56" w:lineRule="exact"/>
              <w:rPr>
                <w:sz w:val="20"/>
                <w:szCs w:val="20"/>
                <w:color w:val="auto"/>
              </w:rPr>
            </w:pPr>
            <w:r>
              <w:rPr>
                <w:rFonts w:ascii="Arial" w:cs="Arial" w:eastAsia="Arial" w:hAnsi="Arial"/>
                <w:sz w:val="14"/>
                <w:szCs w:val="14"/>
                <w:color w:val="auto"/>
              </w:rPr>
              <w:t>1,185</w:t>
            </w:r>
          </w:p>
        </w:tc>
      </w:tr>
      <w:tr>
        <w:trPr>
          <w:trHeight w:val="156"/>
        </w:trPr>
        <w:tc>
          <w:tcPr>
            <w:tcW w:w="344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Capital Expenditures</w:t>
            </w:r>
          </w:p>
        </w:tc>
        <w:tc>
          <w:tcPr>
            <w:tcW w:w="74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111"/>
              <w:spacing w:after="0" w:line="156" w:lineRule="exact"/>
              <w:rPr>
                <w:sz w:val="20"/>
                <w:szCs w:val="20"/>
                <w:color w:val="auto"/>
              </w:rPr>
            </w:pPr>
            <w:r>
              <w:rPr>
                <w:rFonts w:ascii="Arial" w:cs="Arial" w:eastAsia="Arial" w:hAnsi="Arial"/>
                <w:sz w:val="14"/>
                <w:szCs w:val="14"/>
                <w:color w:val="auto"/>
              </w:rPr>
              <w:t>450</w:t>
            </w:r>
          </w:p>
        </w:tc>
        <w:tc>
          <w:tcPr>
            <w:tcW w:w="26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500</w:t>
            </w:r>
          </w:p>
        </w:tc>
      </w:tr>
      <w:tr>
        <w:trPr>
          <w:trHeight w:val="363"/>
        </w:trPr>
        <w:tc>
          <w:tcPr>
            <w:tcW w:w="3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Building Materials Business</w:t>
            </w:r>
          </w:p>
        </w:tc>
        <w:tc>
          <w:tcPr>
            <w:tcW w:w="7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r>
      <w:tr>
        <w:trPr>
          <w:trHeight w:val="146"/>
        </w:trPr>
        <w:tc>
          <w:tcPr>
            <w:tcW w:w="3440" w:type="dxa"/>
            <w:vAlign w:val="bottom"/>
            <w:shd w:val="clear" w:color="auto" w:fill="CCEEFF"/>
          </w:tcPr>
          <w:p>
            <w:pPr>
              <w:spacing w:after="0" w:line="146" w:lineRule="exact"/>
              <w:rPr>
                <w:sz w:val="20"/>
                <w:szCs w:val="20"/>
                <w:color w:val="auto"/>
              </w:rPr>
            </w:pPr>
            <w:r>
              <w:rPr>
                <w:rFonts w:ascii="Arial" w:cs="Arial" w:eastAsia="Arial" w:hAnsi="Arial"/>
                <w:sz w:val="14"/>
                <w:szCs w:val="14"/>
                <w:i w:val="1"/>
                <w:iCs w:val="1"/>
                <w:color w:val="auto"/>
              </w:rPr>
              <w:t>Aggregates Product Line</w:t>
            </w:r>
          </w:p>
        </w:tc>
        <w:tc>
          <w:tcPr>
            <w:tcW w:w="7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r>
      <w:tr>
        <w:trPr>
          <w:trHeight w:val="158"/>
        </w:trPr>
        <w:tc>
          <w:tcPr>
            <w:tcW w:w="3440" w:type="dxa"/>
            <w:vAlign w:val="bottom"/>
            <w:shd w:val="clear" w:color="auto" w:fill="CCEEFF"/>
          </w:tcPr>
          <w:p>
            <w:pPr>
              <w:ind w:left="140"/>
              <w:spacing w:after="0" w:line="158" w:lineRule="exact"/>
              <w:rPr>
                <w:sz w:val="20"/>
                <w:szCs w:val="20"/>
                <w:color w:val="auto"/>
              </w:rPr>
            </w:pPr>
            <w:r>
              <w:rPr>
                <w:rFonts w:ascii="Arial" w:cs="Arial" w:eastAsia="Arial" w:hAnsi="Arial"/>
                <w:sz w:val="11"/>
                <w:szCs w:val="11"/>
                <w:color w:val="auto"/>
              </w:rPr>
              <w:t>Volume (total tons)</w:t>
            </w:r>
            <w:r>
              <w:rPr>
                <w:rFonts w:ascii="Arial" w:cs="Arial" w:eastAsia="Arial" w:hAnsi="Arial"/>
                <w:sz w:val="18"/>
                <w:szCs w:val="18"/>
                <w:color w:val="auto"/>
                <w:vertAlign w:val="superscript"/>
              </w:rPr>
              <w:t>3</w:t>
            </w:r>
          </w:p>
        </w:tc>
        <w:tc>
          <w:tcPr>
            <w:tcW w:w="74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111"/>
              <w:spacing w:after="0" w:line="159" w:lineRule="exact"/>
              <w:rPr>
                <w:sz w:val="20"/>
                <w:szCs w:val="20"/>
                <w:color w:val="auto"/>
              </w:rPr>
            </w:pPr>
            <w:r>
              <w:rPr>
                <w:rFonts w:ascii="Arial" w:cs="Arial" w:eastAsia="Arial" w:hAnsi="Arial"/>
                <w:sz w:val="14"/>
                <w:szCs w:val="14"/>
                <w:color w:val="auto"/>
              </w:rPr>
              <w:t>164</w:t>
            </w:r>
          </w:p>
        </w:tc>
        <w:tc>
          <w:tcPr>
            <w:tcW w:w="2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167</w:t>
            </w:r>
          </w:p>
        </w:tc>
      </w:tr>
      <w:tr>
        <w:trPr>
          <w:trHeight w:val="156"/>
        </w:trPr>
        <w:tc>
          <w:tcPr>
            <w:tcW w:w="3440" w:type="dxa"/>
            <w:vAlign w:val="bottom"/>
          </w:tcPr>
          <w:p>
            <w:pPr>
              <w:ind w:left="140"/>
              <w:spacing w:after="0" w:line="156" w:lineRule="exact"/>
              <w:rPr>
                <w:sz w:val="20"/>
                <w:szCs w:val="20"/>
                <w:color w:val="auto"/>
              </w:rPr>
            </w:pPr>
            <w:r>
              <w:rPr>
                <w:rFonts w:ascii="Arial" w:cs="Arial" w:eastAsia="Arial" w:hAnsi="Arial"/>
                <w:sz w:val="11"/>
                <w:szCs w:val="11"/>
                <w:i w:val="1"/>
                <w:iCs w:val="1"/>
                <w:color w:val="auto"/>
              </w:rPr>
              <w:t>% growth</w:t>
            </w:r>
            <w:r>
              <w:rPr>
                <w:rFonts w:ascii="Arial" w:cs="Arial" w:eastAsia="Arial" w:hAnsi="Arial"/>
                <w:sz w:val="18"/>
                <w:szCs w:val="18"/>
                <w:color w:val="auto"/>
                <w:vertAlign w:val="superscript"/>
              </w:rPr>
              <w:t>3</w:t>
            </w:r>
          </w:p>
        </w:tc>
        <w:tc>
          <w:tcPr>
            <w:tcW w:w="740" w:type="dxa"/>
            <w:vAlign w:val="bottom"/>
          </w:tcPr>
          <w:p>
            <w:pPr>
              <w:spacing w:after="0"/>
              <w:rPr>
                <w:sz w:val="13"/>
                <w:szCs w:val="13"/>
                <w:color w:val="auto"/>
              </w:rPr>
            </w:pPr>
          </w:p>
        </w:tc>
        <w:tc>
          <w:tcPr>
            <w:tcW w:w="580" w:type="dxa"/>
            <w:vAlign w:val="bottom"/>
          </w:tcPr>
          <w:p>
            <w:pPr>
              <w:jc w:val="right"/>
              <w:ind w:right="111"/>
              <w:spacing w:after="0" w:line="156" w:lineRule="exact"/>
              <w:rPr>
                <w:sz w:val="20"/>
                <w:szCs w:val="20"/>
                <w:color w:val="auto"/>
              </w:rPr>
            </w:pPr>
            <w:r>
              <w:rPr>
                <w:rFonts w:ascii="Arial" w:cs="Arial" w:eastAsia="Arial" w:hAnsi="Arial"/>
                <w:sz w:val="14"/>
                <w:szCs w:val="14"/>
                <w:i w:val="1"/>
                <w:iCs w:val="1"/>
                <w:color w:val="auto"/>
              </w:rPr>
              <w:t>4%</w:t>
            </w:r>
          </w:p>
        </w:tc>
        <w:tc>
          <w:tcPr>
            <w:tcW w:w="260" w:type="dxa"/>
            <w:vAlign w:val="bottom"/>
          </w:tcPr>
          <w:p>
            <w:pPr>
              <w:spacing w:after="0"/>
              <w:rPr>
                <w:sz w:val="13"/>
                <w:szCs w:val="13"/>
                <w:color w:val="auto"/>
              </w:rPr>
            </w:pPr>
          </w:p>
        </w:tc>
        <w:tc>
          <w:tcPr>
            <w:tcW w:w="460" w:type="dxa"/>
            <w:vAlign w:val="bottom"/>
          </w:tcPr>
          <w:p>
            <w:pPr>
              <w:jc w:val="right"/>
              <w:spacing w:after="0" w:line="156" w:lineRule="exact"/>
              <w:rPr>
                <w:sz w:val="20"/>
                <w:szCs w:val="20"/>
                <w:color w:val="auto"/>
              </w:rPr>
            </w:pPr>
            <w:r>
              <w:rPr>
                <w:rFonts w:ascii="Arial" w:cs="Arial" w:eastAsia="Arial" w:hAnsi="Arial"/>
                <w:sz w:val="14"/>
                <w:szCs w:val="14"/>
                <w:i w:val="1"/>
                <w:iCs w:val="1"/>
                <w:color w:val="auto"/>
              </w:rPr>
              <w:t>6%</w:t>
            </w:r>
          </w:p>
        </w:tc>
      </w:tr>
      <w:tr>
        <w:trPr>
          <w:trHeight w:val="156"/>
        </w:trPr>
        <w:tc>
          <w:tcPr>
            <w:tcW w:w="344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Average selling price per ton</w:t>
            </w:r>
          </w:p>
        </w:tc>
        <w:tc>
          <w:tcPr>
            <w:tcW w:w="74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111"/>
              <w:spacing w:after="0" w:line="156" w:lineRule="exact"/>
              <w:rPr>
                <w:sz w:val="20"/>
                <w:szCs w:val="20"/>
                <w:color w:val="auto"/>
              </w:rPr>
            </w:pPr>
            <w:r>
              <w:rPr>
                <w:rFonts w:ascii="Arial" w:cs="Arial" w:eastAsia="Arial" w:hAnsi="Arial"/>
                <w:sz w:val="14"/>
                <w:szCs w:val="14"/>
                <w:color w:val="auto"/>
              </w:rPr>
              <w:t>13.85</w:t>
            </w:r>
          </w:p>
        </w:tc>
        <w:tc>
          <w:tcPr>
            <w:tcW w:w="26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14.10</w:t>
            </w:r>
          </w:p>
        </w:tc>
      </w:tr>
      <w:tr>
        <w:trPr>
          <w:trHeight w:val="156"/>
        </w:trPr>
        <w:tc>
          <w:tcPr>
            <w:tcW w:w="3440" w:type="dxa"/>
            <w:vAlign w:val="bottom"/>
          </w:tcPr>
          <w:p>
            <w:pPr>
              <w:ind w:left="140"/>
              <w:spacing w:after="0" w:line="156" w:lineRule="exact"/>
              <w:rPr>
                <w:sz w:val="20"/>
                <w:szCs w:val="20"/>
                <w:color w:val="auto"/>
              </w:rPr>
            </w:pPr>
            <w:r>
              <w:rPr>
                <w:rFonts w:ascii="Arial" w:cs="Arial" w:eastAsia="Arial" w:hAnsi="Arial"/>
                <w:sz w:val="11"/>
                <w:szCs w:val="11"/>
                <w:i w:val="1"/>
                <w:iCs w:val="1"/>
                <w:color w:val="auto"/>
              </w:rPr>
              <w:t>% growth</w:t>
            </w:r>
            <w:r>
              <w:rPr>
                <w:rFonts w:ascii="Arial" w:cs="Arial" w:eastAsia="Arial" w:hAnsi="Arial"/>
                <w:sz w:val="18"/>
                <w:szCs w:val="18"/>
                <w:color w:val="auto"/>
                <w:vertAlign w:val="superscript"/>
              </w:rPr>
              <w:t>4</w:t>
            </w:r>
          </w:p>
        </w:tc>
        <w:tc>
          <w:tcPr>
            <w:tcW w:w="740" w:type="dxa"/>
            <w:vAlign w:val="bottom"/>
          </w:tcPr>
          <w:p>
            <w:pPr>
              <w:spacing w:after="0"/>
              <w:rPr>
                <w:sz w:val="13"/>
                <w:szCs w:val="13"/>
                <w:color w:val="auto"/>
              </w:rPr>
            </w:pPr>
          </w:p>
        </w:tc>
        <w:tc>
          <w:tcPr>
            <w:tcW w:w="580" w:type="dxa"/>
            <w:vAlign w:val="bottom"/>
          </w:tcPr>
          <w:p>
            <w:pPr>
              <w:jc w:val="right"/>
              <w:ind w:right="111"/>
              <w:spacing w:after="0" w:line="156" w:lineRule="exact"/>
              <w:rPr>
                <w:sz w:val="20"/>
                <w:szCs w:val="20"/>
                <w:color w:val="auto"/>
              </w:rPr>
            </w:pPr>
            <w:r>
              <w:rPr>
                <w:rFonts w:ascii="Arial" w:cs="Arial" w:eastAsia="Arial" w:hAnsi="Arial"/>
                <w:sz w:val="14"/>
                <w:szCs w:val="14"/>
                <w:i w:val="1"/>
                <w:iCs w:val="1"/>
                <w:color w:val="auto"/>
              </w:rPr>
              <w:t>3%</w:t>
            </w:r>
          </w:p>
        </w:tc>
        <w:tc>
          <w:tcPr>
            <w:tcW w:w="260" w:type="dxa"/>
            <w:vAlign w:val="bottom"/>
          </w:tcPr>
          <w:p>
            <w:pPr>
              <w:spacing w:after="0"/>
              <w:rPr>
                <w:sz w:val="13"/>
                <w:szCs w:val="13"/>
                <w:color w:val="auto"/>
              </w:rPr>
            </w:pPr>
          </w:p>
        </w:tc>
        <w:tc>
          <w:tcPr>
            <w:tcW w:w="460" w:type="dxa"/>
            <w:vAlign w:val="bottom"/>
          </w:tcPr>
          <w:p>
            <w:pPr>
              <w:jc w:val="right"/>
              <w:spacing w:after="0" w:line="156" w:lineRule="exact"/>
              <w:rPr>
                <w:sz w:val="20"/>
                <w:szCs w:val="20"/>
                <w:color w:val="auto"/>
              </w:rPr>
            </w:pPr>
            <w:r>
              <w:rPr>
                <w:rFonts w:ascii="Arial" w:cs="Arial" w:eastAsia="Arial" w:hAnsi="Arial"/>
                <w:sz w:val="14"/>
                <w:szCs w:val="14"/>
                <w:i w:val="1"/>
                <w:iCs w:val="1"/>
                <w:color w:val="auto"/>
              </w:rPr>
              <w:t>5%</w:t>
            </w:r>
          </w:p>
        </w:tc>
      </w:tr>
      <w:tr>
        <w:trPr>
          <w:trHeight w:val="156"/>
        </w:trPr>
        <w:tc>
          <w:tcPr>
            <w:tcW w:w="344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Total revenues</w:t>
            </w:r>
          </w:p>
        </w:tc>
        <w:tc>
          <w:tcPr>
            <w:tcW w:w="74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111"/>
              <w:spacing w:after="0" w:line="156" w:lineRule="exact"/>
              <w:rPr>
                <w:sz w:val="20"/>
                <w:szCs w:val="20"/>
                <w:color w:val="auto"/>
              </w:rPr>
            </w:pPr>
            <w:r>
              <w:rPr>
                <w:rFonts w:ascii="Arial" w:cs="Arial" w:eastAsia="Arial" w:hAnsi="Arial"/>
                <w:sz w:val="14"/>
                <w:szCs w:val="14"/>
                <w:color w:val="auto"/>
              </w:rPr>
              <w:t>2,490</w:t>
            </w:r>
          </w:p>
        </w:tc>
        <w:tc>
          <w:tcPr>
            <w:tcW w:w="26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2,595</w:t>
            </w:r>
          </w:p>
        </w:tc>
      </w:tr>
      <w:tr>
        <w:trPr>
          <w:trHeight w:val="170"/>
        </w:trPr>
        <w:tc>
          <w:tcPr>
            <w:tcW w:w="3440" w:type="dxa"/>
            <w:vAlign w:val="bottom"/>
          </w:tcPr>
          <w:p>
            <w:pPr>
              <w:spacing w:after="0"/>
              <w:rPr>
                <w:sz w:val="20"/>
                <w:szCs w:val="20"/>
                <w:color w:val="auto"/>
              </w:rPr>
            </w:pPr>
            <w:r>
              <w:rPr>
                <w:rFonts w:ascii="Arial" w:cs="Arial" w:eastAsia="Arial" w:hAnsi="Arial"/>
                <w:sz w:val="14"/>
                <w:szCs w:val="14"/>
                <w:color w:val="auto"/>
              </w:rPr>
              <w:t>Gross profit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111"/>
              <w:spacing w:after="0"/>
              <w:rPr>
                <w:sz w:val="20"/>
                <w:szCs w:val="20"/>
                <w:color w:val="auto"/>
              </w:rPr>
            </w:pPr>
            <w:r>
              <w:rPr>
                <w:rFonts w:ascii="Arial" w:cs="Arial" w:eastAsia="Arial" w:hAnsi="Arial"/>
                <w:sz w:val="14"/>
                <w:szCs w:val="14"/>
                <w:color w:val="auto"/>
              </w:rPr>
              <w:t>655</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715</w:t>
            </w:r>
          </w:p>
        </w:tc>
      </w:tr>
      <w:tr>
        <w:trPr>
          <w:trHeight w:val="194"/>
        </w:trPr>
        <w:tc>
          <w:tcPr>
            <w:tcW w:w="3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156"/>
        </w:trPr>
        <w:tc>
          <w:tcPr>
            <w:tcW w:w="3440" w:type="dxa"/>
            <w:vAlign w:val="bottom"/>
            <w:shd w:val="clear" w:color="auto" w:fill="CCEEFF"/>
          </w:tcPr>
          <w:p>
            <w:pPr>
              <w:spacing w:after="0" w:line="156" w:lineRule="exact"/>
              <w:rPr>
                <w:sz w:val="20"/>
                <w:szCs w:val="20"/>
                <w:color w:val="auto"/>
              </w:rPr>
            </w:pPr>
            <w:r>
              <w:rPr>
                <w:rFonts w:ascii="Arial" w:cs="Arial" w:eastAsia="Arial" w:hAnsi="Arial"/>
                <w:sz w:val="14"/>
                <w:szCs w:val="14"/>
                <w:i w:val="1"/>
                <w:iCs w:val="1"/>
                <w:color w:val="auto"/>
              </w:rPr>
              <w:t>Cement Product Line</w:t>
            </w:r>
          </w:p>
        </w:tc>
        <w:tc>
          <w:tcPr>
            <w:tcW w:w="7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r>
      <w:tr>
        <w:trPr>
          <w:trHeight w:val="156"/>
        </w:trPr>
        <w:tc>
          <w:tcPr>
            <w:tcW w:w="3440" w:type="dxa"/>
            <w:vAlign w:val="bottom"/>
          </w:tcPr>
          <w:p>
            <w:pPr>
              <w:ind w:left="140"/>
              <w:spacing w:after="0" w:line="156" w:lineRule="exact"/>
              <w:rPr>
                <w:sz w:val="20"/>
                <w:szCs w:val="20"/>
                <w:color w:val="auto"/>
              </w:rPr>
            </w:pPr>
            <w:r>
              <w:rPr>
                <w:rFonts w:ascii="Arial" w:cs="Arial" w:eastAsia="Arial" w:hAnsi="Arial"/>
                <w:sz w:val="14"/>
                <w:szCs w:val="14"/>
                <w:color w:val="auto"/>
              </w:rPr>
              <w:t>Total revenues</w:t>
            </w:r>
          </w:p>
        </w:tc>
        <w:tc>
          <w:tcPr>
            <w:tcW w:w="74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111"/>
              <w:spacing w:after="0" w:line="156" w:lineRule="exact"/>
              <w:rPr>
                <w:sz w:val="20"/>
                <w:szCs w:val="20"/>
                <w:color w:val="auto"/>
              </w:rPr>
            </w:pPr>
            <w:r>
              <w:rPr>
                <w:rFonts w:ascii="Arial" w:cs="Arial" w:eastAsia="Arial" w:hAnsi="Arial"/>
                <w:sz w:val="14"/>
                <w:szCs w:val="14"/>
                <w:color w:val="auto"/>
              </w:rPr>
              <w:t>415</w:t>
            </w:r>
          </w:p>
        </w:tc>
        <w:tc>
          <w:tcPr>
            <w:tcW w:w="26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56" w:lineRule="exact"/>
              <w:rPr>
                <w:sz w:val="20"/>
                <w:szCs w:val="20"/>
                <w:color w:val="auto"/>
              </w:rPr>
            </w:pPr>
            <w:r>
              <w:rPr>
                <w:rFonts w:ascii="Arial" w:cs="Arial" w:eastAsia="Arial" w:hAnsi="Arial"/>
                <w:sz w:val="14"/>
                <w:szCs w:val="14"/>
                <w:color w:val="auto"/>
              </w:rPr>
              <w:t>445</w:t>
            </w:r>
          </w:p>
        </w:tc>
      </w:tr>
      <w:tr>
        <w:trPr>
          <w:trHeight w:val="156"/>
        </w:trPr>
        <w:tc>
          <w:tcPr>
            <w:tcW w:w="3440" w:type="dxa"/>
            <w:vAlign w:val="bottom"/>
            <w:shd w:val="clear" w:color="auto" w:fill="CCEEFF"/>
          </w:tcPr>
          <w:p>
            <w:pPr>
              <w:ind w:left="140"/>
              <w:spacing w:after="0" w:line="156" w:lineRule="exact"/>
              <w:rPr>
                <w:sz w:val="20"/>
                <w:szCs w:val="20"/>
                <w:color w:val="auto"/>
              </w:rPr>
            </w:pPr>
            <w:r>
              <w:rPr>
                <w:rFonts w:ascii="Arial" w:cs="Arial" w:eastAsia="Arial" w:hAnsi="Arial"/>
                <w:sz w:val="14"/>
                <w:szCs w:val="14"/>
                <w:color w:val="auto"/>
              </w:rPr>
              <w:t>Gross profit</w:t>
            </w:r>
          </w:p>
        </w:tc>
        <w:tc>
          <w:tcPr>
            <w:tcW w:w="74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111"/>
              <w:spacing w:after="0" w:line="156" w:lineRule="exact"/>
              <w:rPr>
                <w:sz w:val="20"/>
                <w:szCs w:val="20"/>
                <w:color w:val="auto"/>
              </w:rPr>
            </w:pPr>
            <w:r>
              <w:rPr>
                <w:rFonts w:ascii="Arial" w:cs="Arial" w:eastAsia="Arial" w:hAnsi="Arial"/>
                <w:sz w:val="14"/>
                <w:szCs w:val="14"/>
                <w:color w:val="auto"/>
              </w:rPr>
              <w:t>140</w:t>
            </w:r>
          </w:p>
        </w:tc>
        <w:tc>
          <w:tcPr>
            <w:tcW w:w="26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160</w:t>
            </w:r>
          </w:p>
        </w:tc>
      </w:tr>
      <w:tr>
        <w:trPr>
          <w:trHeight w:val="354"/>
        </w:trPr>
        <w:tc>
          <w:tcPr>
            <w:tcW w:w="3440" w:type="dxa"/>
            <w:vAlign w:val="bottom"/>
          </w:tcPr>
          <w:p>
            <w:pPr>
              <w:spacing w:after="0"/>
              <w:rPr>
                <w:sz w:val="20"/>
                <w:szCs w:val="20"/>
                <w:color w:val="auto"/>
              </w:rPr>
            </w:pPr>
            <w:r>
              <w:rPr>
                <w:rFonts w:ascii="Arial" w:cs="Arial" w:eastAsia="Arial" w:hAnsi="Arial"/>
                <w:sz w:val="14"/>
                <w:szCs w:val="14"/>
                <w:i w:val="1"/>
                <w:iCs w:val="1"/>
                <w:color w:val="auto"/>
              </w:rPr>
              <w:t>Ready Mixed Concrete and</w:t>
            </w: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65"/>
        </w:trPr>
        <w:tc>
          <w:tcPr>
            <w:tcW w:w="3440" w:type="dxa"/>
            <w:vAlign w:val="bottom"/>
          </w:tcPr>
          <w:p>
            <w:pPr>
              <w:ind w:left="140"/>
              <w:spacing w:after="0"/>
              <w:rPr>
                <w:sz w:val="20"/>
                <w:szCs w:val="20"/>
                <w:color w:val="auto"/>
              </w:rPr>
            </w:pPr>
            <w:r>
              <w:rPr>
                <w:rFonts w:ascii="Arial" w:cs="Arial" w:eastAsia="Arial" w:hAnsi="Arial"/>
                <w:sz w:val="14"/>
                <w:szCs w:val="14"/>
                <w:i w:val="1"/>
                <w:iCs w:val="1"/>
                <w:color w:val="auto"/>
              </w:rPr>
              <w:t>Asphalt and Paving Services</w:t>
            </w: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56"/>
        </w:trPr>
        <w:tc>
          <w:tcPr>
            <w:tcW w:w="3440" w:type="dxa"/>
            <w:vAlign w:val="bottom"/>
            <w:shd w:val="clear" w:color="auto" w:fill="CCEEFF"/>
          </w:tcPr>
          <w:p>
            <w:pPr>
              <w:ind w:left="280"/>
              <w:spacing w:after="0" w:line="156" w:lineRule="exact"/>
              <w:rPr>
                <w:sz w:val="20"/>
                <w:szCs w:val="20"/>
                <w:color w:val="auto"/>
              </w:rPr>
            </w:pPr>
            <w:r>
              <w:rPr>
                <w:rFonts w:ascii="Arial" w:cs="Arial" w:eastAsia="Arial" w:hAnsi="Arial"/>
                <w:sz w:val="14"/>
                <w:szCs w:val="14"/>
                <w:color w:val="auto"/>
              </w:rPr>
              <w:t>Total revenues</w:t>
            </w:r>
          </w:p>
        </w:tc>
        <w:tc>
          <w:tcPr>
            <w:tcW w:w="74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111"/>
              <w:spacing w:after="0" w:line="156" w:lineRule="exact"/>
              <w:rPr>
                <w:sz w:val="20"/>
                <w:szCs w:val="20"/>
                <w:color w:val="auto"/>
              </w:rPr>
            </w:pPr>
            <w:r>
              <w:rPr>
                <w:rFonts w:ascii="Arial" w:cs="Arial" w:eastAsia="Arial" w:hAnsi="Arial"/>
                <w:sz w:val="14"/>
                <w:szCs w:val="14"/>
                <w:color w:val="auto"/>
              </w:rPr>
              <w:t>1,370</w:t>
            </w:r>
          </w:p>
        </w:tc>
        <w:tc>
          <w:tcPr>
            <w:tcW w:w="26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1,445</w:t>
            </w:r>
          </w:p>
        </w:tc>
      </w:tr>
      <w:tr>
        <w:trPr>
          <w:trHeight w:val="170"/>
        </w:trPr>
        <w:tc>
          <w:tcPr>
            <w:tcW w:w="3440" w:type="dxa"/>
            <w:vAlign w:val="bottom"/>
          </w:tcPr>
          <w:p>
            <w:pPr>
              <w:ind w:left="280"/>
              <w:spacing w:after="0"/>
              <w:rPr>
                <w:sz w:val="20"/>
                <w:szCs w:val="20"/>
                <w:color w:val="auto"/>
              </w:rPr>
            </w:pPr>
            <w:r>
              <w:rPr>
                <w:rFonts w:ascii="Arial" w:cs="Arial" w:eastAsia="Arial" w:hAnsi="Arial"/>
                <w:sz w:val="14"/>
                <w:szCs w:val="14"/>
                <w:color w:val="auto"/>
              </w:rPr>
              <w:t>Gross profit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111"/>
              <w:spacing w:after="0"/>
              <w:rPr>
                <w:sz w:val="20"/>
                <w:szCs w:val="20"/>
                <w:color w:val="auto"/>
              </w:rPr>
            </w:pPr>
            <w:r>
              <w:rPr>
                <w:rFonts w:ascii="Arial" w:cs="Arial" w:eastAsia="Arial" w:hAnsi="Arial"/>
                <w:sz w:val="14"/>
                <w:szCs w:val="14"/>
                <w:color w:val="auto"/>
              </w:rPr>
              <w:t>160</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175</w:t>
            </w:r>
          </w:p>
        </w:tc>
      </w:tr>
      <w:tr>
        <w:trPr>
          <w:trHeight w:val="194"/>
        </w:trPr>
        <w:tc>
          <w:tcPr>
            <w:tcW w:w="3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156"/>
        </w:trPr>
        <w:tc>
          <w:tcPr>
            <w:tcW w:w="344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4"/>
                <w:szCs w:val="14"/>
                <w:b w:val="1"/>
                <w:bCs w:val="1"/>
                <w:color w:val="auto"/>
              </w:rPr>
              <w:t>Magnesia Specialties</w:t>
            </w:r>
          </w:p>
        </w:tc>
        <w:tc>
          <w:tcPr>
            <w:tcW w:w="74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r>
      <w:tr>
        <w:trPr>
          <w:trHeight w:val="149"/>
        </w:trPr>
        <w:tc>
          <w:tcPr>
            <w:tcW w:w="3440" w:type="dxa"/>
            <w:vAlign w:val="bottom"/>
          </w:tcPr>
          <w:p>
            <w:pPr>
              <w:ind w:left="140"/>
              <w:spacing w:after="0" w:line="149" w:lineRule="exact"/>
              <w:rPr>
                <w:sz w:val="20"/>
                <w:szCs w:val="20"/>
                <w:color w:val="auto"/>
              </w:rPr>
            </w:pPr>
            <w:r>
              <w:rPr>
                <w:rFonts w:ascii="Arial" w:cs="Arial" w:eastAsia="Arial" w:hAnsi="Arial"/>
                <w:sz w:val="14"/>
                <w:szCs w:val="14"/>
                <w:color w:val="auto"/>
              </w:rPr>
              <w:t>Total revenues</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111"/>
              <w:spacing w:after="0" w:line="149" w:lineRule="exact"/>
              <w:rPr>
                <w:sz w:val="20"/>
                <w:szCs w:val="20"/>
                <w:color w:val="auto"/>
              </w:rPr>
            </w:pPr>
            <w:r>
              <w:rPr>
                <w:rFonts w:ascii="Arial" w:cs="Arial" w:eastAsia="Arial" w:hAnsi="Arial"/>
                <w:sz w:val="14"/>
                <w:szCs w:val="14"/>
                <w:color w:val="auto"/>
              </w:rPr>
              <w:t>265</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270</w:t>
            </w:r>
          </w:p>
        </w:tc>
      </w:tr>
      <w:tr>
        <w:trPr>
          <w:trHeight w:val="156"/>
        </w:trPr>
        <w:tc>
          <w:tcPr>
            <w:tcW w:w="3440" w:type="dxa"/>
            <w:vAlign w:val="bottom"/>
            <w:shd w:val="clear" w:color="auto" w:fill="CCEEFF"/>
          </w:tcPr>
          <w:p>
            <w:pPr>
              <w:ind w:left="140"/>
              <w:spacing w:after="0" w:line="156" w:lineRule="exact"/>
              <w:rPr>
                <w:sz w:val="20"/>
                <w:szCs w:val="20"/>
                <w:color w:val="auto"/>
              </w:rPr>
            </w:pPr>
            <w:r>
              <w:rPr>
                <w:rFonts w:ascii="Arial" w:cs="Arial" w:eastAsia="Arial" w:hAnsi="Arial"/>
                <w:sz w:val="14"/>
                <w:szCs w:val="14"/>
                <w:color w:val="auto"/>
              </w:rPr>
              <w:t>Gross profit</w:t>
            </w:r>
          </w:p>
        </w:tc>
        <w:tc>
          <w:tcPr>
            <w:tcW w:w="74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111"/>
              <w:spacing w:after="0" w:line="156" w:lineRule="exact"/>
              <w:rPr>
                <w:sz w:val="20"/>
                <w:szCs w:val="20"/>
                <w:color w:val="auto"/>
              </w:rPr>
            </w:pPr>
            <w:r>
              <w:rPr>
                <w:rFonts w:ascii="Arial" w:cs="Arial" w:eastAsia="Arial" w:hAnsi="Arial"/>
                <w:sz w:val="14"/>
                <w:szCs w:val="14"/>
                <w:color w:val="auto"/>
              </w:rPr>
              <w:t>85</w:t>
            </w:r>
          </w:p>
        </w:tc>
        <w:tc>
          <w:tcPr>
            <w:tcW w:w="26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90</w:t>
            </w:r>
          </w:p>
        </w:tc>
      </w:tr>
    </w:tbl>
    <w:p>
      <w:pPr>
        <w:spacing w:after="0" w:line="214" w:lineRule="exact"/>
        <w:rPr>
          <w:sz w:val="20"/>
          <w:szCs w:val="20"/>
          <w:color w:val="auto"/>
        </w:rPr>
      </w:pPr>
    </w:p>
    <w:p>
      <w:pPr>
        <w:jc w:val="both"/>
        <w:ind w:left="120" w:hanging="116"/>
        <w:spacing w:after="0" w:line="279" w:lineRule="auto"/>
        <w:rPr>
          <w:sz w:val="20"/>
          <w:szCs w:val="20"/>
          <w:color w:val="auto"/>
        </w:rPr>
      </w:pPr>
      <w:r>
        <w:rPr>
          <w:rFonts w:ascii="Arial" w:cs="Arial" w:eastAsia="Arial" w:hAnsi="Arial"/>
          <w:sz w:val="12"/>
          <w:szCs w:val="12"/>
          <w:i w:val="1"/>
          <w:iCs w:val="1"/>
          <w:color w:val="auto"/>
        </w:rPr>
        <w:t xml:space="preserve">1 </w:t>
      </w:r>
      <w:r>
        <w:rPr>
          <w:rFonts w:ascii="Arial" w:cs="Arial" w:eastAsia="Arial" w:hAnsi="Arial"/>
          <w:sz w:val="14"/>
          <w:szCs w:val="14"/>
          <w:i w:val="1"/>
          <w:iCs w:val="1"/>
          <w:color w:val="auto"/>
        </w:rPr>
        <w:t>2018 consolidated total revenues exclude $380 million to $400 million related to</w:t>
      </w:r>
      <w:r>
        <w:rPr>
          <w:rFonts w:ascii="Arial" w:cs="Arial" w:eastAsia="Arial" w:hAnsi="Arial"/>
          <w:sz w:val="12"/>
          <w:szCs w:val="12"/>
          <w:i w:val="1"/>
          <w:iCs w:val="1"/>
          <w:color w:val="auto"/>
        </w:rPr>
        <w:t xml:space="preserve"> </w:t>
      </w:r>
      <w:r>
        <w:rPr>
          <w:rFonts w:ascii="Arial" w:cs="Arial" w:eastAsia="Arial" w:hAnsi="Arial"/>
          <w:sz w:val="14"/>
          <w:szCs w:val="14"/>
          <w:i w:val="1"/>
          <w:iCs w:val="1"/>
          <w:color w:val="auto"/>
        </w:rPr>
        <w:t>estimated interproduct revenues.</w:t>
      </w:r>
    </w:p>
    <w:p>
      <w:pPr>
        <w:spacing w:after="0" w:line="54" w:lineRule="exact"/>
        <w:rPr>
          <w:sz w:val="20"/>
          <w:szCs w:val="20"/>
          <w:color w:val="auto"/>
        </w:rPr>
      </w:pPr>
    </w:p>
    <w:p>
      <w:pPr>
        <w:jc w:val="both"/>
        <w:ind w:left="120" w:hanging="116"/>
        <w:spacing w:after="0" w:line="279" w:lineRule="auto"/>
        <w:rPr>
          <w:sz w:val="20"/>
          <w:szCs w:val="20"/>
          <w:color w:val="auto"/>
        </w:rPr>
      </w:pPr>
      <w:r>
        <w:rPr>
          <w:rFonts w:ascii="Arial" w:cs="Arial" w:eastAsia="Arial" w:hAnsi="Arial"/>
          <w:sz w:val="12"/>
          <w:szCs w:val="12"/>
          <w:i w:val="1"/>
          <w:iCs w:val="1"/>
          <w:color w:val="auto"/>
        </w:rPr>
        <w:t xml:space="preserve">2 </w:t>
      </w:r>
      <w:r>
        <w:rPr>
          <w:rFonts w:ascii="Arial" w:cs="Arial" w:eastAsia="Arial" w:hAnsi="Arial"/>
          <w:sz w:val="14"/>
          <w:szCs w:val="14"/>
          <w:i w:val="1"/>
          <w:iCs w:val="1"/>
          <w:color w:val="auto"/>
        </w:rPr>
        <w:t>The 2018 guidance range for EBITDA is calculated in a manner consistent with</w:t>
      </w:r>
      <w:r>
        <w:rPr>
          <w:rFonts w:ascii="Arial" w:cs="Arial" w:eastAsia="Arial" w:hAnsi="Arial"/>
          <w:sz w:val="12"/>
          <w:szCs w:val="12"/>
          <w:i w:val="1"/>
          <w:iCs w:val="1"/>
          <w:color w:val="auto"/>
        </w:rPr>
        <w:t xml:space="preserve"> </w:t>
      </w:r>
      <w:r>
        <w:rPr>
          <w:rFonts w:ascii="Arial" w:cs="Arial" w:eastAsia="Arial" w:hAnsi="Arial"/>
          <w:sz w:val="14"/>
          <w:szCs w:val="14"/>
          <w:i w:val="1"/>
          <w:iCs w:val="1"/>
          <w:color w:val="auto"/>
        </w:rPr>
        <w:t>the presentation of EBITDA.</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b w:val="1"/>
          <w:bCs w:val="1"/>
          <w:color w:val="8D5D6C"/>
        </w:rPr>
        <w:t>Reconciliation of 2018 EBITDA to net earnings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(dollars in millions)</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2018E</w:t>
            </w:r>
          </w:p>
        </w:tc>
      </w:tr>
      <w:tr>
        <w:trPr>
          <w:trHeight w:val="149"/>
        </w:trPr>
        <w:tc>
          <w:tcPr>
            <w:tcW w:w="4080" w:type="dxa"/>
            <w:vAlign w:val="bottom"/>
          </w:tcPr>
          <w:p>
            <w:pPr>
              <w:spacing w:after="0" w:line="149" w:lineRule="exact"/>
              <w:rPr>
                <w:sz w:val="20"/>
                <w:szCs w:val="20"/>
                <w:color w:val="auto"/>
              </w:rPr>
            </w:pPr>
            <w:r>
              <w:rPr>
                <w:rFonts w:ascii="Arial" w:cs="Arial" w:eastAsia="Arial" w:hAnsi="Arial"/>
                <w:sz w:val="14"/>
                <w:szCs w:val="14"/>
                <w:color w:val="auto"/>
              </w:rPr>
              <w:t>Net earnings attributable to Martin Marietta</w:t>
            </w:r>
          </w:p>
        </w:tc>
        <w:tc>
          <w:tcPr>
            <w:tcW w:w="1400" w:type="dxa"/>
            <w:vAlign w:val="bottom"/>
          </w:tcPr>
          <w:p>
            <w:pPr>
              <w:jc w:val="right"/>
              <w:spacing w:after="0" w:line="149" w:lineRule="exact"/>
              <w:rPr>
                <w:sz w:val="20"/>
                <w:szCs w:val="20"/>
                <w:color w:val="auto"/>
              </w:rPr>
            </w:pPr>
            <w:r>
              <w:rPr>
                <w:rFonts w:ascii="Arial" w:cs="Arial" w:eastAsia="Arial" w:hAnsi="Arial"/>
                <w:sz w:val="14"/>
                <w:szCs w:val="14"/>
                <w:color w:val="auto"/>
              </w:rPr>
              <w:t>542.5</w:t>
            </w:r>
          </w:p>
        </w:tc>
      </w:tr>
      <w:tr>
        <w:trPr>
          <w:trHeight w:val="156"/>
        </w:trPr>
        <w:tc>
          <w:tcPr>
            <w:tcW w:w="408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Add back:</w:t>
            </w:r>
          </w:p>
        </w:tc>
        <w:tc>
          <w:tcPr>
            <w:tcW w:w="1400" w:type="dxa"/>
            <w:vAlign w:val="bottom"/>
            <w:shd w:val="clear" w:color="auto" w:fill="CCEEFF"/>
          </w:tcPr>
          <w:p>
            <w:pPr>
              <w:spacing w:after="0"/>
              <w:rPr>
                <w:sz w:val="13"/>
                <w:szCs w:val="13"/>
                <w:color w:val="auto"/>
              </w:rPr>
            </w:pPr>
          </w:p>
        </w:tc>
      </w:tr>
      <w:tr>
        <w:trPr>
          <w:trHeight w:val="156"/>
        </w:trPr>
        <w:tc>
          <w:tcPr>
            <w:tcW w:w="4080" w:type="dxa"/>
            <w:vAlign w:val="bottom"/>
          </w:tcPr>
          <w:p>
            <w:pPr>
              <w:ind w:left="140"/>
              <w:spacing w:after="0" w:line="156" w:lineRule="exact"/>
              <w:rPr>
                <w:sz w:val="20"/>
                <w:szCs w:val="20"/>
                <w:color w:val="auto"/>
              </w:rPr>
            </w:pPr>
            <w:r>
              <w:rPr>
                <w:rFonts w:ascii="Arial" w:cs="Arial" w:eastAsia="Arial" w:hAnsi="Arial"/>
                <w:sz w:val="14"/>
                <w:szCs w:val="14"/>
                <w:color w:val="auto"/>
              </w:rPr>
              <w:t>Interest expense</w:t>
            </w:r>
          </w:p>
        </w:tc>
        <w:tc>
          <w:tcPr>
            <w:tcW w:w="1400" w:type="dxa"/>
            <w:vAlign w:val="bottom"/>
          </w:tcPr>
          <w:p>
            <w:pPr>
              <w:jc w:val="right"/>
              <w:spacing w:after="0" w:line="156" w:lineRule="exact"/>
              <w:rPr>
                <w:sz w:val="20"/>
                <w:szCs w:val="20"/>
                <w:color w:val="auto"/>
              </w:rPr>
            </w:pPr>
            <w:r>
              <w:rPr>
                <w:rFonts w:ascii="Arial" w:cs="Arial" w:eastAsia="Arial" w:hAnsi="Arial"/>
                <w:sz w:val="14"/>
                <w:szCs w:val="14"/>
                <w:color w:val="auto"/>
              </w:rPr>
              <w:t>127.5</w:t>
            </w:r>
          </w:p>
        </w:tc>
      </w:tr>
      <w:tr>
        <w:trPr>
          <w:trHeight w:val="156"/>
        </w:trPr>
        <w:tc>
          <w:tcPr>
            <w:tcW w:w="4080" w:type="dxa"/>
            <w:vAlign w:val="bottom"/>
            <w:shd w:val="clear" w:color="auto" w:fill="CCEEFF"/>
          </w:tcPr>
          <w:p>
            <w:pPr>
              <w:ind w:left="140"/>
              <w:spacing w:after="0" w:line="156" w:lineRule="exact"/>
              <w:rPr>
                <w:sz w:val="20"/>
                <w:szCs w:val="20"/>
                <w:color w:val="auto"/>
              </w:rPr>
            </w:pPr>
            <w:r>
              <w:rPr>
                <w:rFonts w:ascii="Arial" w:cs="Arial" w:eastAsia="Arial" w:hAnsi="Arial"/>
                <w:sz w:val="14"/>
                <w:szCs w:val="14"/>
                <w:color w:val="auto"/>
              </w:rPr>
              <w:t>Income tax expense for controlling interests</w:t>
            </w:r>
          </w:p>
        </w:tc>
        <w:tc>
          <w:tcPr>
            <w:tcW w:w="140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145.0</w:t>
            </w:r>
          </w:p>
        </w:tc>
      </w:tr>
      <w:tr>
        <w:trPr>
          <w:trHeight w:val="156"/>
        </w:trPr>
        <w:tc>
          <w:tcPr>
            <w:tcW w:w="4080" w:type="dxa"/>
            <w:vAlign w:val="bottom"/>
            <w:tcBorders>
              <w:bottom w:val="single" w:sz="8" w:color="auto"/>
            </w:tcBorders>
          </w:tcPr>
          <w:p>
            <w:pPr>
              <w:ind w:left="140"/>
              <w:spacing w:after="0" w:line="156" w:lineRule="exact"/>
              <w:rPr>
                <w:sz w:val="20"/>
                <w:szCs w:val="20"/>
                <w:color w:val="auto"/>
              </w:rPr>
            </w:pPr>
            <w:r>
              <w:rPr>
                <w:rFonts w:ascii="Arial" w:cs="Arial" w:eastAsia="Arial" w:hAnsi="Arial"/>
                <w:sz w:val="14"/>
                <w:szCs w:val="14"/>
                <w:color w:val="auto"/>
              </w:rPr>
              <w:t>Depreciation, depletion and amortization expense</w:t>
            </w:r>
          </w:p>
        </w:tc>
        <w:tc>
          <w:tcPr>
            <w:tcW w:w="14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315.0</w:t>
            </w:r>
          </w:p>
        </w:tc>
      </w:tr>
      <w:tr>
        <w:trPr>
          <w:trHeight w:val="155"/>
        </w:trPr>
        <w:tc>
          <w:tcPr>
            <w:tcW w:w="408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EBITDA</w:t>
            </w:r>
          </w:p>
        </w:tc>
        <w:tc>
          <w:tcPr>
            <w:tcW w:w="14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1,130.0</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b w:val="1"/>
          <w:bCs w:val="1"/>
          <w:color w:val="0085CD"/>
        </w:rPr>
        <w:t>Risks To Outlook</w:t>
      </w:r>
    </w:p>
    <w:p>
      <w:pPr>
        <w:spacing w:after="0" w:line="55"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The outlook includes management’s assessment of the likelihood of certain risks and uncertainties that may affect performance, including but not limited to: both price and volume, and a widespread decline in aggregates volume negatively affecting aggregates price; the termination, capping and/ or reduction of the federal and/or state gasoline tax(es) or other revenue related to infrastructure construction; a significant change in the funding patterns for traditional federal, state and/or local infrastructure projects; the United States Congress’ inability to reach agreement among themselves or with the current Administration on policy issues that impact the federal budget; the volatility in the commencement of infrastructure projects; a reduction in defense spending, and the subsequent impact on construction activity on or near military bases; a decline in nonresidential construction; a further decline in energy-related construction activity resulting from a sustained period of low global oil prices or changes in oil production patterns in response to this decline and certain regulatory or other economic factors; a slowdown in the residential construction recovery; a sustained reduction in capital investment by the railroads; an increase in the cost of compliance with governmental laws, rules and regulations; construction labor shortages and/or supply-chain challenges; and unexpected equipment failures, unscheduled maintenance, industrial accident or other prolonged and/or significant disruption to its cement and/or its Magnesia Specialties production facilities. Further, increased highway construction funding pressures resulting from either federal or state issues can affect profitability. If these negatively affect transportation budgets more than in the past, construction spending could be reduced. Cement is subject to cyclical supply and demand and price fluctuations. The Magnesia Specialties business essentially runs at capacity; therefore, any unplanned changes in costs or realignment of customers introduce volatility to the earnings of this segment.</w:t>
      </w:r>
    </w:p>
    <w:p>
      <w:pPr>
        <w:spacing w:after="0" w:line="312"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The Company’s principal business serves customers in construction markets. This concentration could increase the risk of potential losses on customer receivables; however, payment bonds normally posted on public projects, together with lien rights on private projects, mitigate the risk of uncollectible receivables. The level of demand in the Company’s end-use markets, production levels and the</w:t>
      </w:r>
    </w:p>
    <w:p>
      <w:pPr>
        <w:spacing w:after="0" w:line="1659" w:lineRule="exact"/>
        <w:rPr>
          <w:sz w:val="20"/>
          <w:szCs w:val="20"/>
          <w:color w:val="auto"/>
        </w:rPr>
      </w:pPr>
    </w:p>
    <w:p>
      <w:pPr>
        <w:sectPr>
          <w:pgSz w:w="11900" w:h="16838" w:orient="portrait"/>
          <w:cols w:equalWidth="0" w:num="2">
            <w:col w:w="5480" w:space="360"/>
            <w:col w:w="5580"/>
          </w:cols>
          <w:pgMar w:left="240" w:top="259" w:right="239" w:bottom="1440" w:gutter="0" w:footer="0" w:header="0"/>
          <w:type w:val="continuous"/>
        </w:sectPr>
      </w:pPr>
    </w:p>
    <w:p>
      <w:pPr>
        <w:spacing w:after="0"/>
        <w:tabs>
          <w:tab w:leader="none" w:pos="980" w:val="left"/>
          <w:tab w:leader="none" w:pos="1440" w:val="left"/>
          <w:tab w:leader="none" w:pos="1860" w:val="left"/>
          <w:tab w:leader="none" w:pos="2720" w:val="left"/>
          <w:tab w:leader="none" w:pos="3440" w:val="left"/>
          <w:tab w:leader="none" w:pos="3940" w:val="left"/>
          <w:tab w:leader="none" w:pos="4540" w:val="left"/>
        </w:tabs>
        <w:rPr>
          <w:sz w:val="20"/>
          <w:szCs w:val="20"/>
          <w:color w:val="auto"/>
        </w:rPr>
      </w:pPr>
      <w:r>
        <w:rPr>
          <w:rFonts w:ascii="Arial" w:cs="Arial" w:eastAsia="Arial" w:hAnsi="Arial"/>
          <w:sz w:val="12"/>
          <w:szCs w:val="12"/>
          <w:i w:val="1"/>
          <w:iCs w:val="1"/>
          <w:color w:val="auto"/>
        </w:rPr>
        <w:t xml:space="preserve">3 </w:t>
      </w:r>
      <w:r>
        <w:rPr>
          <w:rFonts w:ascii="Arial" w:cs="Arial" w:eastAsia="Arial" w:hAnsi="Arial"/>
          <w:sz w:val="14"/>
          <w:szCs w:val="14"/>
          <w:i w:val="1"/>
          <w:iCs w:val="1"/>
          <w:color w:val="auto"/>
        </w:rPr>
        <w:t>Represents</w:t>
      </w:r>
      <w:r>
        <w:rPr>
          <w:sz w:val="20"/>
          <w:szCs w:val="20"/>
          <w:color w:val="auto"/>
        </w:rPr>
        <w:tab/>
      </w:r>
      <w:r>
        <w:rPr>
          <w:rFonts w:ascii="Arial" w:cs="Arial" w:eastAsia="Arial" w:hAnsi="Arial"/>
          <w:sz w:val="15"/>
          <w:szCs w:val="15"/>
          <w:i w:val="1"/>
          <w:iCs w:val="1"/>
          <w:color w:val="auto"/>
        </w:rPr>
        <w:t>2018</w:t>
        <w:tab/>
        <w:t>total</w:t>
        <w:tab/>
        <w:t>aggregates</w:t>
        <w:tab/>
        <w:t>volumes,</w:t>
        <w:tab/>
        <w:t>which</w:t>
        <w:tab/>
        <w:t>include</w:t>
      </w:r>
      <w:r>
        <w:rPr>
          <w:sz w:val="20"/>
          <w:szCs w:val="20"/>
          <w:color w:val="auto"/>
        </w:rPr>
        <w:tab/>
      </w:r>
      <w:r>
        <w:rPr>
          <w:rFonts w:ascii="Arial" w:cs="Arial" w:eastAsia="Arial" w:hAnsi="Arial"/>
          <w:sz w:val="14"/>
          <w:szCs w:val="14"/>
          <w:i w:val="1"/>
          <w:iCs w:val="1"/>
          <w:color w:val="auto"/>
        </w:rPr>
        <w:t>approximately</w:t>
      </w:r>
    </w:p>
    <w:p>
      <w:pPr>
        <w:ind w:left="120"/>
        <w:spacing w:after="0" w:line="216" w:lineRule="auto"/>
        <w:rPr>
          <w:sz w:val="20"/>
          <w:szCs w:val="20"/>
          <w:color w:val="auto"/>
        </w:rPr>
      </w:pPr>
      <w:r>
        <w:rPr>
          <w:rFonts w:ascii="Arial" w:cs="Arial" w:eastAsia="Arial" w:hAnsi="Arial"/>
          <w:sz w:val="15"/>
          <w:szCs w:val="15"/>
          <w:i w:val="1"/>
          <w:iCs w:val="1"/>
          <w:color w:val="auto"/>
        </w:rPr>
        <w:t>11.2 million internal tons. Volume growth ranges are in comparison to total</w:t>
      </w:r>
    </w:p>
    <w:p>
      <w:pPr>
        <w:ind w:left="120"/>
        <w:spacing w:after="0" w:line="217" w:lineRule="auto"/>
        <w:rPr>
          <w:sz w:val="20"/>
          <w:szCs w:val="20"/>
          <w:color w:val="auto"/>
        </w:rPr>
      </w:pPr>
      <w:r>
        <w:rPr>
          <w:rFonts w:ascii="Arial" w:cs="Arial" w:eastAsia="Arial" w:hAnsi="Arial"/>
          <w:sz w:val="15"/>
          <w:szCs w:val="15"/>
          <w:i w:val="1"/>
          <w:iCs w:val="1"/>
          <w:color w:val="auto"/>
        </w:rPr>
        <w:t>volumes of 157.7 million tons for the full year 2017, which includes 10.9 million</w:t>
      </w:r>
    </w:p>
    <w:p>
      <w:pPr>
        <w:ind w:left="120"/>
        <w:spacing w:after="0"/>
        <w:rPr>
          <w:sz w:val="20"/>
          <w:szCs w:val="20"/>
          <w:color w:val="auto"/>
        </w:rPr>
      </w:pPr>
      <w:r>
        <w:rPr>
          <w:rFonts w:ascii="Arial" w:cs="Arial" w:eastAsia="Arial" w:hAnsi="Arial"/>
          <w:sz w:val="15"/>
          <w:szCs w:val="15"/>
          <w:i w:val="1"/>
          <w:iCs w:val="1"/>
          <w:color w:val="auto"/>
        </w:rPr>
        <w:t>internal tons.</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 xml:space="preserve">4 </w:t>
      </w:r>
      <w:r>
        <w:rPr>
          <w:rFonts w:ascii="Arial" w:cs="Arial" w:eastAsia="Arial" w:hAnsi="Arial"/>
          <w:sz w:val="14"/>
          <w:szCs w:val="14"/>
          <w:i w:val="1"/>
          <w:iCs w:val="1"/>
          <w:color w:val="auto"/>
        </w:rPr>
        <w:t>ASP growth ranges are in comparison to ASP of $13.46 per ton for the full year</w:t>
      </w:r>
    </w:p>
    <w:p>
      <w:pPr>
        <w:spacing w:after="0" w:line="11" w:lineRule="exact"/>
        <w:rPr>
          <w:sz w:val="20"/>
          <w:szCs w:val="20"/>
          <w:color w:val="auto"/>
        </w:rPr>
      </w:pPr>
    </w:p>
    <w:p>
      <w:pPr>
        <w:ind w:left="120"/>
        <w:spacing w:after="0"/>
        <w:rPr>
          <w:sz w:val="20"/>
          <w:szCs w:val="20"/>
          <w:color w:val="auto"/>
        </w:rPr>
      </w:pPr>
      <w:r>
        <w:rPr>
          <w:rFonts w:ascii="Arial" w:cs="Arial" w:eastAsia="Arial" w:hAnsi="Arial"/>
          <w:sz w:val="15"/>
          <w:szCs w:val="15"/>
          <w:i w:val="1"/>
          <w:iCs w:val="1"/>
          <w:color w:val="auto"/>
        </w:rPr>
        <w:t>2017.</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82</w:t>
      </w:r>
    </w:p>
    <w:p>
      <w:pPr>
        <w:sectPr>
          <w:pgSz w:w="11900" w:h="16838" w:orient="portrait"/>
          <w:cols w:equalWidth="0" w:num="1">
            <w:col w:w="11420"/>
          </w:cols>
          <w:pgMar w:left="240" w:top="259" w:right="239" w:bottom="1440" w:gutter="0" w:footer="0" w:header="0"/>
          <w:type w:val="continuous"/>
        </w:sectPr>
      </w:pPr>
    </w:p>
    <w:bookmarkStart w:id="135" w:name="page136"/>
    <w:bookmarkEnd w:id="135"/>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5">
                      <a:extLst>
                        <a:ext uri="{28A0092B-C50C-407E-A947-70E740481C1C}"/>
                      </a:extLst>
                    </a:blip>
                    <a:srcRect/>
                    <a:stretch>
                      <a:fillRect/>
                    </a:stretch>
                  </pic:blipFill>
                  <pic:spPr bwMode="auto">
                    <a:xfrm>
                      <a:off x="0" y="0"/>
                      <a:ext cx="7293610" cy="37465"/>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ind w:right="4739"/>
        <w:spacing w:after="0" w:line="238" w:lineRule="auto"/>
        <w:rPr>
          <w:sz w:val="20"/>
          <w:szCs w:val="20"/>
          <w:color w:val="auto"/>
        </w:rPr>
      </w:pPr>
      <w:r>
        <w:rPr>
          <w:rFonts w:ascii="Arial" w:cs="Arial" w:eastAsia="Arial" w:hAnsi="Arial"/>
          <w:sz w:val="16"/>
          <w:szCs w:val="16"/>
          <w:color w:val="auto"/>
        </w:rPr>
        <w:t>management of production costs will affect the operating leverage of the Building Materials business and, therefore, profitability. Production costs in the Building Materials business are also sensitive to energy and raw material prices, both directly and indirectly. Diesel fuel, coal and other consumables change production costs directly through consumption or indirectly by increased energy-related input costs, such as steel, explosives, tires and conveyor belts. Fluctuating diesel fuel pricing also affects transportation costs, primarily through fuel surcharges in the Company’s long-haul distribution network. The Magnesia Specialties business is sensitive to changes in domestic steel capacity utilization as well as the absolute price and fluctuation in the cost of natural gas.</w:t>
      </w:r>
    </w:p>
    <w:p>
      <w:pPr>
        <w:spacing w:after="0" w:line="303" w:lineRule="exact"/>
        <w:rPr>
          <w:sz w:val="20"/>
          <w:szCs w:val="20"/>
          <w:color w:val="auto"/>
        </w:rPr>
      </w:pPr>
    </w:p>
    <w:p>
      <w:pPr>
        <w:jc w:val="both"/>
        <w:ind w:right="4739"/>
        <w:spacing w:after="0"/>
        <w:rPr>
          <w:sz w:val="20"/>
          <w:szCs w:val="20"/>
          <w:color w:val="auto"/>
        </w:rPr>
      </w:pPr>
      <w:r>
        <w:rPr>
          <w:rFonts w:ascii="Arial" w:cs="Arial" w:eastAsia="Arial" w:hAnsi="Arial"/>
          <w:sz w:val="16"/>
          <w:szCs w:val="16"/>
          <w:color w:val="auto"/>
        </w:rPr>
        <w:t>Transportation in the Company’s long-haul network, particularly the supply of rail cars and locomotive power and condition of rail infrastructure to move trains, affects the Company’s efficient transportation of aggregates products in certain markets, most notably Texas, Colorado, Florida, North Carolina and the Gulf Coast. In addition, availability of rail cars and locomotives affects the Company’s movement of essential dolomitic lime for magnesia chemicals, to both the Company’s plant in Manistee, Michigan, and its customers. The availability of trucks, drivers and railcars to transport the Company’s products, particularly in markets experiencing high growth and increased demand, is also a risk and pressures the associated costs.</w:t>
      </w:r>
    </w:p>
    <w:p>
      <w:pPr>
        <w:spacing w:after="0" w:line="200" w:lineRule="exact"/>
        <w:rPr>
          <w:sz w:val="20"/>
          <w:szCs w:val="20"/>
          <w:color w:val="auto"/>
        </w:rPr>
      </w:pPr>
    </w:p>
    <w:p>
      <w:pPr>
        <w:spacing w:after="0" w:line="270" w:lineRule="exact"/>
        <w:rPr>
          <w:sz w:val="20"/>
          <w:szCs w:val="20"/>
          <w:color w:val="auto"/>
        </w:rPr>
      </w:pPr>
    </w:p>
    <w:p>
      <w:pPr>
        <w:jc w:val="both"/>
        <w:ind w:right="4739"/>
        <w:spacing w:after="0" w:line="238" w:lineRule="auto"/>
        <w:rPr>
          <w:sz w:val="20"/>
          <w:szCs w:val="20"/>
          <w:color w:val="auto"/>
        </w:rPr>
      </w:pPr>
      <w:r>
        <w:rPr>
          <w:rFonts w:ascii="Arial" w:cs="Arial" w:eastAsia="Arial" w:hAnsi="Arial"/>
          <w:sz w:val="16"/>
          <w:szCs w:val="16"/>
          <w:color w:val="auto"/>
        </w:rPr>
        <w:t>All of the Company’s businesses are also subject to weather-related risks that can significantly affect production schedules and profitability. The first and fourth quarters are most adversely affected by winter weather. Hurricane activity in the Atlantic Ocean and Gulf Coast generally is most active during the third and fourth quarters. In fact, in August and September 2017, respectively, Hurricanes Harvey and Irma generated winds, rainfall and flooding which disrupted operations in Texas, Louisiana, Florida, Georgia and the Carolinas. However, after flood waters recede, management typically expects an increase in construction activity as roads, homes and businesses are repaired.</w:t>
      </w:r>
    </w:p>
    <w:p>
      <w:pPr>
        <w:spacing w:after="0" w:line="304" w:lineRule="exact"/>
        <w:rPr>
          <w:sz w:val="20"/>
          <w:szCs w:val="20"/>
          <w:color w:val="auto"/>
        </w:rPr>
      </w:pPr>
    </w:p>
    <w:p>
      <w:pPr>
        <w:jc w:val="both"/>
        <w:ind w:right="4739"/>
        <w:spacing w:after="0" w:line="253" w:lineRule="auto"/>
        <w:rPr>
          <w:sz w:val="20"/>
          <w:szCs w:val="20"/>
          <w:color w:val="auto"/>
        </w:rPr>
      </w:pPr>
      <w:r>
        <w:rPr>
          <w:rFonts w:ascii="Arial" w:cs="Arial" w:eastAsia="Arial" w:hAnsi="Arial"/>
          <w:sz w:val="16"/>
          <w:szCs w:val="16"/>
          <w:color w:val="auto"/>
        </w:rPr>
        <w:t>Risks to the outlook also include shipment declines resulting from economic events beyond the Company’s control.</w:t>
      </w:r>
    </w:p>
    <w:p>
      <w:pPr>
        <w:spacing w:after="0" w:line="246" w:lineRule="exact"/>
        <w:rPr>
          <w:sz w:val="20"/>
          <w:szCs w:val="20"/>
          <w:color w:val="auto"/>
        </w:rPr>
      </w:pPr>
    </w:p>
    <w:p>
      <w:pPr>
        <w:ind w:left="4820"/>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83</w:t>
      </w:r>
    </w:p>
    <w:p>
      <w:pPr>
        <w:sectPr>
          <w:pgSz w:w="11900" w:h="16838" w:orient="portrait"/>
          <w:cols w:equalWidth="0" w:num="1">
            <w:col w:w="10219"/>
          </w:cols>
          <w:pgMar w:left="240" w:top="259" w:right="1440" w:bottom="1440" w:gutter="0" w:footer="0" w:header="0"/>
        </w:sectPr>
      </w:pPr>
    </w:p>
    <w:bookmarkStart w:id="136" w:name="page137"/>
    <w:bookmarkEnd w:id="136"/>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6">
                      <a:extLst>
                        <a:ext uri="{28A0092B-C50C-407E-A947-70E740481C1C}"/>
                      </a:extLst>
                    </a:blip>
                    <a:srcRect/>
                    <a:stretch>
                      <a:fillRect/>
                    </a:stretch>
                  </pic:blipFill>
                  <pic:spPr bwMode="auto">
                    <a:xfrm>
                      <a:off x="0" y="0"/>
                      <a:ext cx="7293610" cy="37465"/>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467360</wp:posOffset>
            </wp:positionV>
            <wp:extent cx="7251700" cy="2800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7">
                      <a:extLst>
                        <a:ext uri="{28A0092B-C50C-407E-A947-70E740481C1C}"/>
                      </a:extLst>
                    </a:blip>
                    <a:srcRect/>
                    <a:stretch>
                      <a:fillRect/>
                    </a:stretch>
                  </pic:blipFill>
                  <pic:spPr bwMode="auto">
                    <a:xfrm>
                      <a:off x="0" y="0"/>
                      <a:ext cx="7251700" cy="280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FFFFFF"/>
        </w:rPr>
        <w:t>Forward-Looking Statements – Safe Harbor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96520</wp:posOffset>
            </wp:positionV>
            <wp:extent cx="7251700" cy="43014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8">
                      <a:extLst>
                        <a:ext uri="{28A0092B-C50C-407E-A947-70E740481C1C}"/>
                      </a:extLst>
                    </a:blip>
                    <a:srcRect/>
                    <a:stretch>
                      <a:fillRect/>
                    </a:stretch>
                  </pic:blipFill>
                  <pic:spPr bwMode="auto">
                    <a:xfrm>
                      <a:off x="0" y="0"/>
                      <a:ext cx="7251700" cy="43014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both"/>
        <w:ind w:left="340"/>
        <w:spacing w:after="0" w:line="241" w:lineRule="auto"/>
        <w:rPr>
          <w:sz w:val="20"/>
          <w:szCs w:val="20"/>
          <w:color w:val="auto"/>
        </w:rPr>
      </w:pPr>
      <w:r>
        <w:rPr>
          <w:rFonts w:ascii="Arial" w:cs="Arial" w:eastAsia="Arial" w:hAnsi="Arial"/>
          <w:sz w:val="16"/>
          <w:szCs w:val="16"/>
          <w:color w:val="auto"/>
        </w:rPr>
        <w:t xml:space="preserve">If you are interested in Martin Marietta Materials, Inc. stock, management recommends that, at a minimum, you read the Company’s Forms 10-K, 10-Q and 8-K reports to the Securities and Exchange Commission (SEC) over the past year, in addition to the Annual Report. The Company’s recent proxy statement for the annual meeting of shareholders also contains important information. These and other materials that have been filed with the SEC are accessible through the Company’s website at </w:t>
      </w:r>
      <w:r>
        <w:rPr>
          <w:rFonts w:ascii="Arial" w:cs="Arial" w:eastAsia="Arial" w:hAnsi="Arial"/>
          <w:sz w:val="16"/>
          <w:szCs w:val="16"/>
          <w:u w:val="single" w:color="auto"/>
          <w:color w:val="0085CD"/>
        </w:rPr>
        <w:t>www.martinmarietta.com</w:t>
      </w:r>
      <w:r>
        <w:rPr>
          <w:rFonts w:ascii="Arial" w:cs="Arial" w:eastAsia="Arial" w:hAnsi="Arial"/>
          <w:sz w:val="16"/>
          <w:szCs w:val="16"/>
          <w:color w:val="auto"/>
        </w:rPr>
        <w:t xml:space="preserve"> and are also available at the SEC’s website at </w:t>
      </w:r>
      <w:r>
        <w:rPr>
          <w:rFonts w:ascii="Arial" w:cs="Arial" w:eastAsia="Arial" w:hAnsi="Arial"/>
          <w:sz w:val="16"/>
          <w:szCs w:val="16"/>
          <w:u w:val="single" w:color="auto"/>
          <w:color w:val="0085CD"/>
        </w:rPr>
        <w:t>www.sec.gov</w:t>
      </w:r>
      <w:r>
        <w:rPr>
          <w:rFonts w:ascii="Arial" w:cs="Arial" w:eastAsia="Arial" w:hAnsi="Arial"/>
          <w:sz w:val="16"/>
          <w:szCs w:val="16"/>
          <w:color w:val="000000"/>
        </w:rPr>
        <w:t>. You may also write or call the Company’s Corporate Secretary, who will provide copies of such reports.</w:t>
      </w:r>
    </w:p>
    <w:p>
      <w:pPr>
        <w:spacing w:after="0" w:line="218" w:lineRule="exact"/>
        <w:rPr>
          <w:sz w:val="20"/>
          <w:szCs w:val="20"/>
          <w:color w:val="auto"/>
        </w:rPr>
      </w:pPr>
    </w:p>
    <w:p>
      <w:pPr>
        <w:jc w:val="both"/>
        <w:ind w:left="340"/>
        <w:spacing w:after="0"/>
        <w:rPr>
          <w:sz w:val="20"/>
          <w:szCs w:val="20"/>
          <w:color w:val="auto"/>
        </w:rPr>
      </w:pPr>
      <w:r>
        <w:rPr>
          <w:rFonts w:ascii="Arial" w:cs="Arial" w:eastAsia="Arial" w:hAnsi="Arial"/>
          <w:sz w:val="16"/>
          <w:szCs w:val="16"/>
          <w:color w:val="auto"/>
        </w:rPr>
        <w:t>Investors are cautioned that all statements in this Annual Report that relate to the future involve risks and uncertainties, and are based on assumptions that the Company believes in good faith are reasonable but which may be materially different from actual results. Forward-looking statements give the investor the Company’s expectations or forecasts of future events. These statements can be identified by the fact that they do not relate only to historical or current facts. They may use words such as “anticipate,” “expect,” “should be,” “believe,” “will,” and other words of similar meaning in connection with future events or future operating or financial performance. Any or all of the Company’s forward-looking statements here and in other publications may turn out to be wrong.</w:t>
      </w:r>
    </w:p>
    <w:p>
      <w:pPr>
        <w:spacing w:after="0" w:line="220" w:lineRule="exact"/>
        <w:rPr>
          <w:sz w:val="20"/>
          <w:szCs w:val="20"/>
          <w:color w:val="auto"/>
        </w:rPr>
      </w:pPr>
    </w:p>
    <w:p>
      <w:pPr>
        <w:jc w:val="both"/>
        <w:ind w:left="340"/>
        <w:spacing w:after="0" w:line="238" w:lineRule="auto"/>
        <w:rPr>
          <w:sz w:val="20"/>
          <w:szCs w:val="20"/>
          <w:color w:val="auto"/>
        </w:rPr>
      </w:pPr>
      <w:r>
        <w:rPr>
          <w:rFonts w:ascii="Arial" w:cs="Arial" w:eastAsia="Arial" w:hAnsi="Arial"/>
          <w:sz w:val="16"/>
          <w:szCs w:val="16"/>
          <w:color w:val="auto"/>
        </w:rPr>
        <w:t>Factors that the Company currently believes could cause actual results to differ materially from the forward-looking statements in this Annual Report include the performance of the United States economy and the resolution and impact of the United States Congress’ inability to reach agreement among themselves or with the current Administration on policy issues, including the nature, extent and/or timing of infrastructure funding, that impact the federal budget; widespread decline in aggregates pricing; the history of both cement and ready mixed concrete being subject to significant changes in supply, demand and price; the termination, capping and/ or reduction or suspension of the federal and/or state gasoline tax(es) or other revenue related to infrastructure construction; the level and timing of federal and state transportation funding, most particularly in Texas, North Carolina, Iowa, Colorado and Georgia; the ability of states and/or other entities to finance approved projects either with tax revenues or alternative financing structures; levels of construction spending in the markets the Company serves; a reduction in defense spending, and the subsequent impact on construction activity on or near military bases; a decline in the commercial component of the nonresidential construction market, notably office and retail space; a further slowdown in energy-related construction activity, particularly in Texas; a slowdown in residential construction recovery; a reduction in construction activity and related shipments due to a decline in funding under the domestic farm bill; unfavorable weather conditions, particularly Atlantic Ocean hurricane activity, the late start to spring or the early onset of winter and the impact of a drought or excessive rainfall in the markets served by the Company; the volatility of fuel costs, particularly diesel fuel, and the impact on the cost of other consumables, namely steel, explosives, tires and conveyor belts, and with respect to the Magnesia Specialties business, natural gas; continued increases in the cost of other repair and supply parts; unexpected equipment failures, unscheduled maintenance, industrial accident or other prolonged and/or significant disruption to cement production facilities; increasing governmental regulation, including environmental laws; transportation availability, notably the availability of railcars and locomotive power to move trains to supply the Company’s Texas, Florida and Gulf Coast markets; increased transportation costs, including increases from higher passed-through energy and other costs to comply with tightening regulations as well as higher volumes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820"/>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84</w:t>
      </w:r>
    </w:p>
    <w:p>
      <w:pPr>
        <w:sectPr>
          <w:pgSz w:w="11900" w:h="16838" w:orient="portrait"/>
          <w:cols w:equalWidth="0" w:num="1">
            <w:col w:w="10860"/>
          </w:cols>
          <w:pgMar w:left="240" w:top="259" w:right="799" w:bottom="1440" w:gutter="0" w:footer="0" w:header="0"/>
        </w:sectPr>
      </w:pPr>
    </w:p>
    <w:bookmarkStart w:id="137" w:name="page138"/>
    <w:bookmarkEnd w:id="137"/>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9">
                      <a:extLst>
                        <a:ext uri="{28A0092B-C50C-407E-A947-70E740481C1C}"/>
                      </a:extLst>
                    </a:blip>
                    <a:srcRect/>
                    <a:stretch>
                      <a:fillRect/>
                    </a:stretch>
                  </pic:blipFill>
                  <pic:spPr bwMode="auto">
                    <a:xfrm>
                      <a:off x="0" y="0"/>
                      <a:ext cx="7293610" cy="37465"/>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467360</wp:posOffset>
            </wp:positionV>
            <wp:extent cx="7251700" cy="2800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0">
                      <a:extLst>
                        <a:ext uri="{28A0092B-C50C-407E-A947-70E740481C1C}"/>
                      </a:extLst>
                    </a:blip>
                    <a:srcRect/>
                    <a:stretch>
                      <a:fillRect/>
                    </a:stretch>
                  </pic:blipFill>
                  <pic:spPr bwMode="auto">
                    <a:xfrm>
                      <a:off x="0" y="0"/>
                      <a:ext cx="7251700" cy="280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FFFFFF"/>
        </w:rPr>
        <w:t>Forward-Looking Statements – Safe Harbor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96520</wp:posOffset>
            </wp:positionV>
            <wp:extent cx="7251700" cy="253809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1">
                      <a:extLst>
                        <a:ext uri="{28A0092B-C50C-407E-A947-70E740481C1C}"/>
                      </a:extLst>
                    </a:blip>
                    <a:srcRect/>
                    <a:stretch>
                      <a:fillRect/>
                    </a:stretch>
                  </pic:blipFill>
                  <pic:spPr bwMode="auto">
                    <a:xfrm>
                      <a:off x="0" y="0"/>
                      <a:ext cx="7251700" cy="253809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both"/>
        <w:ind w:left="340"/>
        <w:spacing w:after="0" w:line="238" w:lineRule="auto"/>
        <w:rPr>
          <w:sz w:val="20"/>
          <w:szCs w:val="20"/>
          <w:color w:val="auto"/>
        </w:rPr>
      </w:pPr>
      <w:r>
        <w:rPr>
          <w:rFonts w:ascii="Arial" w:cs="Arial" w:eastAsia="Arial" w:hAnsi="Arial"/>
          <w:sz w:val="16"/>
          <w:szCs w:val="16"/>
          <w:color w:val="auto"/>
        </w:rPr>
        <w:t>of rail and water shipments; availability of trucks and licensed drivers for transport of the Company’s materials, particularly in areas with significant energy-related activity, such as Texas and Colorado; availability and cost of construction equipment in the United States; weakening in the steel industry markets served by the Company’s dolomitic lime products; proper functioning of information technology and automated operating systems to manage or support operations; inflation and its effect on both production and interest costs; ability to successfully integrate acquisitions quickly and in a cost-effective manner and achieve anticipated profitability to maintain compliance with the Company’s leverage ratio debt covenant; changes in tax laws, the interpretation of such laws and/or administrative practices that would increase the Company’s tax rate; violation of the Company’s debt covenant if price and/or volumes return to previous levels of instability; downward pressure on the Company’s common stock price and its impact on goodwill impairment evaluations; reduction of the Company’s credit rating to non-investment grade resulting from strategic acquisitions or other events; and other risk factors listed from time to time found in the Company’s filings with the SEC. Other factors besides those listed here may also adversely affect the Company, and may be material to the Company. The Company assumes no obligation to update any such forward-looking statements.</w:t>
      </w:r>
    </w:p>
    <w:p>
      <w:pPr>
        <w:spacing w:after="0" w:line="225" w:lineRule="exact"/>
        <w:rPr>
          <w:sz w:val="20"/>
          <w:szCs w:val="20"/>
          <w:color w:val="auto"/>
        </w:rPr>
      </w:pPr>
    </w:p>
    <w:p>
      <w:pPr>
        <w:jc w:val="both"/>
        <w:ind w:left="340"/>
        <w:spacing w:after="0" w:line="241" w:lineRule="auto"/>
        <w:rPr>
          <w:sz w:val="20"/>
          <w:szCs w:val="20"/>
          <w:color w:val="auto"/>
        </w:rPr>
      </w:pPr>
      <w:r>
        <w:rPr>
          <w:rFonts w:ascii="Arial" w:cs="Arial" w:eastAsia="Arial" w:hAnsi="Arial"/>
          <w:sz w:val="16"/>
          <w:szCs w:val="16"/>
          <w:color w:val="auto"/>
        </w:rPr>
        <w:t>For a discussion identifying some important factors that could cause actual results to vary materially from those anticipated in the forward-looking statements, see the Company’s SEC filings including, but not limited to, the discussion of “Competition” in the Company’s Annual Report on Form 10-K, “Management’s Discussion and Analysis of Financial Condition and Results of Operations” of this Annual Report and “Note A: Accounting Policies” and “Note N: Commitments and Contingencies” of the “Notes to Financial Statements” of the audited consolidated financial statements included in this Annual Report.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820"/>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85</w:t>
      </w:r>
    </w:p>
    <w:p>
      <w:pPr>
        <w:sectPr>
          <w:pgSz w:w="11900" w:h="16838" w:orient="portrait"/>
          <w:cols w:equalWidth="0" w:num="1">
            <w:col w:w="10860"/>
          </w:cols>
          <w:pgMar w:left="240" w:top="259" w:right="799" w:bottom="1440" w:gutter="0" w:footer="0" w:header="0"/>
        </w:sectPr>
      </w:pPr>
    </w:p>
    <w:bookmarkStart w:id="138" w:name="page139"/>
    <w:bookmarkEnd w:id="138"/>
    <w:p>
      <w:pPr>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2">
                      <a:extLst>
                        <a:ext uri="{28A0092B-C50C-407E-A947-70E740481C1C}"/>
                      </a:extLst>
                    </a:blip>
                    <a:srcRect/>
                    <a:stretch>
                      <a:fillRect/>
                    </a:stretch>
                  </pic:blipFill>
                  <pic:spPr bwMode="auto">
                    <a:xfrm>
                      <a:off x="0" y="0"/>
                      <a:ext cx="7293610" cy="37465"/>
                    </a:xfrm>
                    <a:prstGeom prst="rect">
                      <a:avLst/>
                    </a:prstGeom>
                    <a:noFill/>
                  </pic:spPr>
                </pic:pic>
              </a:graphicData>
            </a:graphic>
          </wp:anchor>
        </w:drawing>
        <w:drawing>
          <wp:anchor simplePos="0" relativeHeight="251657728" behindDoc="1" locked="0" layoutInCell="0" allowOverlap="1">
            <wp:simplePos x="0" y="0"/>
            <wp:positionH relativeFrom="page">
              <wp:posOffset>154940</wp:posOffset>
            </wp:positionH>
            <wp:positionV relativeFrom="page">
              <wp:posOffset>179705</wp:posOffset>
            </wp:positionV>
            <wp:extent cx="3691890" cy="3956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3">
                      <a:extLst>
                        <a:ext uri="{28A0092B-C50C-407E-A947-70E740481C1C}"/>
                      </a:extLst>
                    </a:blip>
                    <a:srcRect/>
                    <a:stretch>
                      <a:fillRect/>
                    </a:stretch>
                  </pic:blipFill>
                  <pic:spPr bwMode="auto">
                    <a:xfrm>
                      <a:off x="0" y="0"/>
                      <a:ext cx="3691890" cy="395605"/>
                    </a:xfrm>
                    <a:prstGeom prst="rect">
                      <a:avLst/>
                    </a:prstGeom>
                    <a:noFill/>
                  </pic:spPr>
                </pic:pic>
              </a:graphicData>
            </a:graphic>
          </wp:anchor>
        </w:drawing>
        <w:t xml:space="preserve">QUARTERLY PERFORMANCE </w:t>
      </w:r>
      <w:r>
        <w:rPr>
          <w:rFonts w:ascii="Arial" w:cs="Arial" w:eastAsia="Arial" w:hAnsi="Arial"/>
          <w:sz w:val="12"/>
          <w:szCs w:val="12"/>
          <w:color w:val="FFFFFF"/>
        </w:rPr>
        <w:t>(UNAUDITED)</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FFFFFF"/>
        </w:rPr>
        <w:t>(add 000, except per share and stock prices)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60" w:type="dxa"/>
            <w:vAlign w:val="bottom"/>
            <w:gridSpan w:val="3"/>
          </w:tcPr>
          <w:p>
            <w:pPr>
              <w:jc w:val="center"/>
              <w:ind w:right="102"/>
              <w:spacing w:after="0"/>
              <w:rPr>
                <w:sz w:val="20"/>
                <w:szCs w:val="20"/>
                <w:color w:val="auto"/>
              </w:rPr>
            </w:pPr>
            <w:r>
              <w:rPr>
                <w:rFonts w:ascii="Arial" w:cs="Arial" w:eastAsia="Arial" w:hAnsi="Arial"/>
                <w:sz w:val="16"/>
                <w:szCs w:val="16"/>
                <w:b w:val="1"/>
                <w:bCs w:val="1"/>
                <w:color w:val="auto"/>
                <w:w w:val="97"/>
              </w:rPr>
              <w:t>Net Earnings</w:t>
            </w:r>
          </w:p>
        </w:tc>
      </w:tr>
      <w:tr>
        <w:trPr>
          <w:trHeight w:val="182"/>
        </w:trPr>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20" w:type="dxa"/>
            <w:vAlign w:val="bottom"/>
            <w:gridSpan w:val="3"/>
          </w:tcPr>
          <w:p>
            <w:pPr>
              <w:jc w:val="right"/>
              <w:ind w:right="282"/>
              <w:spacing w:after="0" w:line="182" w:lineRule="exact"/>
              <w:rPr>
                <w:sz w:val="20"/>
                <w:szCs w:val="20"/>
                <w:color w:val="auto"/>
              </w:rPr>
            </w:pPr>
            <w:r>
              <w:rPr>
                <w:rFonts w:ascii="Arial" w:cs="Arial" w:eastAsia="Arial" w:hAnsi="Arial"/>
                <w:sz w:val="16"/>
                <w:szCs w:val="16"/>
                <w:b w:val="1"/>
                <w:bCs w:val="1"/>
                <w:color w:val="auto"/>
              </w:rPr>
              <w:t>Consolidated Net</w:t>
            </w:r>
          </w:p>
        </w:tc>
        <w:tc>
          <w:tcPr>
            <w:tcW w:w="220" w:type="dxa"/>
            <w:vAlign w:val="bottom"/>
          </w:tcPr>
          <w:p>
            <w:pPr>
              <w:spacing w:after="0"/>
              <w:rPr>
                <w:sz w:val="15"/>
                <w:szCs w:val="15"/>
                <w:color w:val="auto"/>
              </w:rPr>
            </w:pPr>
          </w:p>
        </w:tc>
        <w:tc>
          <w:tcPr>
            <w:tcW w:w="1860" w:type="dxa"/>
            <w:vAlign w:val="bottom"/>
            <w:gridSpan w:val="3"/>
          </w:tcPr>
          <w:p>
            <w:pPr>
              <w:jc w:val="center"/>
              <w:ind w:right="102"/>
              <w:spacing w:after="0" w:line="182" w:lineRule="exact"/>
              <w:rPr>
                <w:sz w:val="20"/>
                <w:szCs w:val="20"/>
                <w:color w:val="auto"/>
              </w:rPr>
            </w:pPr>
            <w:r>
              <w:rPr>
                <w:rFonts w:ascii="Arial" w:cs="Arial" w:eastAsia="Arial" w:hAnsi="Arial"/>
                <w:sz w:val="16"/>
                <w:szCs w:val="16"/>
                <w:b w:val="1"/>
                <w:bCs w:val="1"/>
                <w:color w:val="auto"/>
                <w:w w:val="98"/>
              </w:rPr>
              <w:t>Attributable to</w:t>
            </w:r>
          </w:p>
        </w:tc>
      </w:tr>
      <w:tr>
        <w:trPr>
          <w:trHeight w:val="198"/>
        </w:trPr>
        <w:tc>
          <w:tcPr>
            <w:tcW w:w="7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3"/>
          </w:tcPr>
          <w:p>
            <w:pPr>
              <w:jc w:val="right"/>
              <w:ind w:right="462"/>
              <w:spacing w:after="0"/>
              <w:rPr>
                <w:sz w:val="20"/>
                <w:szCs w:val="20"/>
                <w:color w:val="auto"/>
              </w:rPr>
            </w:pPr>
            <w:r>
              <w:rPr>
                <w:rFonts w:ascii="Arial" w:cs="Arial" w:eastAsia="Arial" w:hAnsi="Arial"/>
                <w:sz w:val="16"/>
                <w:szCs w:val="16"/>
                <w:b w:val="1"/>
                <w:bCs w:val="1"/>
                <w:color w:val="auto"/>
              </w:rPr>
              <w:t>Total Revenues</w:t>
            </w: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Net Sales</w:t>
            </w:r>
          </w:p>
        </w:tc>
        <w:tc>
          <w:tcPr>
            <w:tcW w:w="7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right"/>
              <w:ind w:right="462"/>
              <w:spacing w:after="0"/>
              <w:rPr>
                <w:sz w:val="20"/>
                <w:szCs w:val="20"/>
                <w:color w:val="auto"/>
              </w:rPr>
            </w:pPr>
            <w:r>
              <w:rPr>
                <w:rFonts w:ascii="Arial" w:cs="Arial" w:eastAsia="Arial" w:hAnsi="Arial"/>
                <w:sz w:val="16"/>
                <w:szCs w:val="16"/>
                <w:b w:val="1"/>
                <w:bCs w:val="1"/>
                <w:color w:val="auto"/>
              </w:rPr>
              <w:t>Gross Profit</w:t>
            </w:r>
          </w:p>
        </w:tc>
        <w:tc>
          <w:tcPr>
            <w:tcW w:w="22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right"/>
              <w:ind w:right="582"/>
              <w:spacing w:after="0"/>
              <w:rPr>
                <w:sz w:val="20"/>
                <w:szCs w:val="20"/>
                <w:color w:val="auto"/>
              </w:rPr>
            </w:pPr>
            <w:r>
              <w:rPr>
                <w:rFonts w:ascii="Arial" w:cs="Arial" w:eastAsia="Arial" w:hAnsi="Arial"/>
                <w:sz w:val="16"/>
                <w:szCs w:val="16"/>
                <w:b w:val="1"/>
                <w:bCs w:val="1"/>
                <w:color w:val="auto"/>
              </w:rPr>
              <w:t>Earnings</w:t>
            </w:r>
          </w:p>
        </w:tc>
        <w:tc>
          <w:tcPr>
            <w:tcW w:w="22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3"/>
          </w:tcPr>
          <w:p>
            <w:pPr>
              <w:jc w:val="center"/>
              <w:ind w:right="102"/>
              <w:spacing w:after="0"/>
              <w:rPr>
                <w:sz w:val="20"/>
                <w:szCs w:val="20"/>
                <w:color w:val="auto"/>
              </w:rPr>
            </w:pPr>
            <w:r>
              <w:rPr>
                <w:rFonts w:ascii="Arial" w:cs="Arial" w:eastAsia="Arial" w:hAnsi="Arial"/>
                <w:sz w:val="16"/>
                <w:szCs w:val="16"/>
                <w:b w:val="1"/>
                <w:bCs w:val="1"/>
                <w:color w:val="auto"/>
                <w:w w:val="98"/>
              </w:rPr>
              <w:t>Martin Marietta</w:t>
            </w:r>
          </w:p>
        </w:tc>
      </w:tr>
      <w:tr>
        <w:trPr>
          <w:trHeight w:val="227"/>
        </w:trPr>
        <w:tc>
          <w:tcPr>
            <w:tcW w:w="7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Quarter</w:t>
            </w:r>
          </w:p>
        </w:tc>
        <w:tc>
          <w:tcPr>
            <w:tcW w:w="300" w:type="dxa"/>
            <w:vAlign w:val="bottom"/>
            <w:tcBorders>
              <w:bottom w:val="single" w:sz="8" w:color="auto"/>
            </w:tcBorders>
            <w:shd w:val="clear" w:color="auto" w:fill="0085CD"/>
          </w:tcPr>
          <w:p>
            <w:pPr>
              <w:spacing w:after="0"/>
              <w:rPr>
                <w:sz w:val="19"/>
                <w:szCs w:val="19"/>
                <w:color w:val="auto"/>
              </w:rPr>
            </w:pPr>
          </w:p>
        </w:tc>
        <w:tc>
          <w:tcPr>
            <w:tcW w:w="840" w:type="dxa"/>
            <w:vAlign w:val="bottom"/>
            <w:tcBorders>
              <w:bottom w:val="single" w:sz="8" w:color="auto"/>
            </w:tcBorders>
            <w:shd w:val="clear" w:color="auto" w:fill="0085CD"/>
          </w:tcPr>
          <w:p>
            <w:pPr>
              <w:jc w:val="right"/>
              <w:ind w:right="282"/>
              <w:spacing w:after="0"/>
              <w:rPr>
                <w:sz w:val="20"/>
                <w:szCs w:val="20"/>
                <w:color w:val="auto"/>
              </w:rPr>
            </w:pPr>
            <w:r>
              <w:rPr>
                <w:rFonts w:ascii="Arial" w:cs="Arial" w:eastAsia="Arial" w:hAnsi="Arial"/>
                <w:sz w:val="16"/>
                <w:szCs w:val="16"/>
                <w:b w:val="1"/>
                <w:bCs w:val="1"/>
                <w:color w:val="FFFFFF"/>
              </w:rPr>
              <w:t>2017</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color w:val="auto"/>
              </w:rPr>
              <w:t>2016</w:t>
            </w:r>
          </w:p>
        </w:tc>
        <w:tc>
          <w:tcPr>
            <w:tcW w:w="300" w:type="dxa"/>
            <w:vAlign w:val="bottom"/>
            <w:tcBorders>
              <w:bottom w:val="single" w:sz="8" w:color="auto"/>
            </w:tcBorders>
            <w:shd w:val="clear" w:color="auto" w:fill="0085CD"/>
          </w:tcPr>
          <w:p>
            <w:pPr>
              <w:spacing w:after="0"/>
              <w:rPr>
                <w:sz w:val="19"/>
                <w:szCs w:val="19"/>
                <w:color w:val="auto"/>
              </w:rPr>
            </w:pPr>
          </w:p>
        </w:tc>
        <w:tc>
          <w:tcPr>
            <w:tcW w:w="860" w:type="dxa"/>
            <w:vAlign w:val="bottom"/>
            <w:tcBorders>
              <w:bottom w:val="single" w:sz="8" w:color="auto"/>
            </w:tcBorders>
            <w:shd w:val="clear" w:color="auto" w:fill="0085CD"/>
          </w:tcPr>
          <w:p>
            <w:pPr>
              <w:jc w:val="right"/>
              <w:ind w:right="302"/>
              <w:spacing w:after="0"/>
              <w:rPr>
                <w:sz w:val="20"/>
                <w:szCs w:val="20"/>
                <w:color w:val="auto"/>
              </w:rPr>
            </w:pPr>
            <w:r>
              <w:rPr>
                <w:rFonts w:ascii="Arial" w:cs="Arial" w:eastAsia="Arial" w:hAnsi="Arial"/>
                <w:sz w:val="16"/>
                <w:szCs w:val="16"/>
                <w:b w:val="1"/>
                <w:bCs w:val="1"/>
                <w:color w:val="FFFFFF"/>
              </w:rPr>
              <w:t>2017</w:t>
            </w: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color w:val="auto"/>
              </w:rPr>
              <w:t>2016</w:t>
            </w:r>
          </w:p>
        </w:tc>
        <w:tc>
          <w:tcPr>
            <w:tcW w:w="260" w:type="dxa"/>
            <w:vAlign w:val="bottom"/>
            <w:tcBorders>
              <w:bottom w:val="single" w:sz="8" w:color="auto"/>
            </w:tcBorders>
            <w:shd w:val="clear" w:color="auto" w:fill="0085CD"/>
          </w:tcPr>
          <w:p>
            <w:pPr>
              <w:spacing w:after="0"/>
              <w:rPr>
                <w:sz w:val="19"/>
                <w:szCs w:val="19"/>
                <w:color w:val="auto"/>
              </w:rPr>
            </w:pPr>
          </w:p>
        </w:tc>
        <w:tc>
          <w:tcPr>
            <w:tcW w:w="740" w:type="dxa"/>
            <w:vAlign w:val="bottom"/>
            <w:tcBorders>
              <w:bottom w:val="single" w:sz="8" w:color="auto"/>
            </w:tcBorders>
            <w:shd w:val="clear" w:color="auto" w:fill="0085CD"/>
          </w:tcPr>
          <w:p>
            <w:pPr>
              <w:jc w:val="right"/>
              <w:ind w:right="222"/>
              <w:spacing w:after="0"/>
              <w:rPr>
                <w:sz w:val="20"/>
                <w:szCs w:val="20"/>
                <w:color w:val="auto"/>
              </w:rPr>
            </w:pPr>
            <w:r>
              <w:rPr>
                <w:rFonts w:ascii="Arial" w:cs="Arial" w:eastAsia="Arial" w:hAnsi="Arial"/>
                <w:sz w:val="16"/>
                <w:szCs w:val="16"/>
                <w:b w:val="1"/>
                <w:bCs w:val="1"/>
                <w:color w:val="FFFFFF"/>
              </w:rPr>
              <w:t>2017</w:t>
            </w: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rPr>
              <w:t>2016</w:t>
            </w:r>
          </w:p>
        </w:tc>
        <w:tc>
          <w:tcPr>
            <w:tcW w:w="220" w:type="dxa"/>
            <w:vAlign w:val="bottom"/>
            <w:tcBorders>
              <w:bottom w:val="single" w:sz="8" w:color="auto"/>
            </w:tcBorders>
            <w:shd w:val="clear" w:color="auto" w:fill="0085CD"/>
          </w:tcPr>
          <w:p>
            <w:pPr>
              <w:spacing w:after="0"/>
              <w:rPr>
                <w:sz w:val="19"/>
                <w:szCs w:val="19"/>
                <w:color w:val="auto"/>
              </w:rPr>
            </w:pPr>
          </w:p>
        </w:tc>
        <w:tc>
          <w:tcPr>
            <w:tcW w:w="780" w:type="dxa"/>
            <w:vAlign w:val="bottom"/>
            <w:tcBorders>
              <w:bottom w:val="single" w:sz="8" w:color="auto"/>
            </w:tcBorders>
            <w:shd w:val="clear" w:color="auto" w:fill="0085CD"/>
          </w:tcPr>
          <w:p>
            <w:pPr>
              <w:jc w:val="right"/>
              <w:ind w:right="107"/>
              <w:spacing w:after="0" w:line="226" w:lineRule="exact"/>
              <w:rPr>
                <w:sz w:val="20"/>
                <w:szCs w:val="20"/>
                <w:color w:val="auto"/>
              </w:rPr>
            </w:pPr>
            <w:r>
              <w:rPr>
                <w:rFonts w:ascii="Arial" w:cs="Arial" w:eastAsia="Arial" w:hAnsi="Arial"/>
                <w:sz w:val="26"/>
                <w:szCs w:val="26"/>
                <w:b w:val="1"/>
                <w:bCs w:val="1"/>
                <w:color w:val="FFFFFF"/>
                <w:w w:val="98"/>
                <w:vertAlign w:val="subscript"/>
                <w:shd w:val="clear" w:color="auto" w:fill="0085CD"/>
              </w:rPr>
              <w:t>2017</w:t>
            </w:r>
            <w:r>
              <w:rPr>
                <w:rFonts w:ascii="Arial" w:cs="Arial" w:eastAsia="Arial" w:hAnsi="Arial"/>
                <w:sz w:val="8"/>
                <w:szCs w:val="8"/>
                <w:color w:val="FFFFFF"/>
                <w:w w:val="98"/>
                <w:shd w:val="clear" w:color="auto" w:fill="0085CD"/>
              </w:rPr>
              <w:t xml:space="preserve"> 2,3,4</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42"/>
              <w:spacing w:after="0" w:line="226" w:lineRule="exact"/>
              <w:rPr>
                <w:sz w:val="20"/>
                <w:szCs w:val="20"/>
                <w:color w:val="auto"/>
              </w:rPr>
            </w:pPr>
            <w:r>
              <w:rPr>
                <w:rFonts w:ascii="Arial" w:cs="Arial" w:eastAsia="Arial" w:hAnsi="Arial"/>
                <w:sz w:val="16"/>
                <w:szCs w:val="16"/>
                <w:color w:val="auto"/>
                <w:w w:val="93"/>
              </w:rPr>
              <w:t>2016</w:t>
            </w:r>
            <w:r>
              <w:rPr>
                <w:rFonts w:ascii="Arial" w:cs="Arial" w:eastAsia="Arial" w:hAnsi="Arial"/>
                <w:sz w:val="26"/>
                <w:szCs w:val="26"/>
                <w:color w:val="auto"/>
                <w:w w:val="93"/>
                <w:vertAlign w:val="superscript"/>
              </w:rPr>
              <w:t>5,6</w:t>
            </w:r>
          </w:p>
        </w:tc>
        <w:tc>
          <w:tcPr>
            <w:tcW w:w="220" w:type="dxa"/>
            <w:vAlign w:val="bottom"/>
            <w:tcBorders>
              <w:bottom w:val="single" w:sz="8" w:color="auto"/>
            </w:tcBorders>
            <w:shd w:val="clear" w:color="auto" w:fill="0085CD"/>
          </w:tcPr>
          <w:p>
            <w:pPr>
              <w:spacing w:after="0"/>
              <w:rPr>
                <w:sz w:val="19"/>
                <w:szCs w:val="19"/>
                <w:color w:val="auto"/>
              </w:rPr>
            </w:pPr>
          </w:p>
        </w:tc>
        <w:tc>
          <w:tcPr>
            <w:tcW w:w="800" w:type="dxa"/>
            <w:vAlign w:val="bottom"/>
            <w:tcBorders>
              <w:bottom w:val="single" w:sz="8" w:color="auto"/>
            </w:tcBorders>
            <w:shd w:val="clear" w:color="auto" w:fill="0085CD"/>
          </w:tcPr>
          <w:p>
            <w:pPr>
              <w:jc w:val="right"/>
              <w:ind w:right="126"/>
              <w:spacing w:after="0" w:line="226" w:lineRule="exact"/>
              <w:rPr>
                <w:sz w:val="20"/>
                <w:szCs w:val="20"/>
                <w:color w:val="auto"/>
              </w:rPr>
            </w:pPr>
            <w:r>
              <w:rPr>
                <w:rFonts w:ascii="Arial" w:cs="Arial" w:eastAsia="Arial" w:hAnsi="Arial"/>
                <w:sz w:val="26"/>
                <w:szCs w:val="26"/>
                <w:b w:val="1"/>
                <w:bCs w:val="1"/>
                <w:color w:val="FFFFFF"/>
                <w:w w:val="98"/>
                <w:vertAlign w:val="subscript"/>
                <w:shd w:val="clear" w:color="auto" w:fill="0085CD"/>
              </w:rPr>
              <w:t>2017</w:t>
            </w:r>
            <w:r>
              <w:rPr>
                <w:rFonts w:ascii="Arial" w:cs="Arial" w:eastAsia="Arial" w:hAnsi="Arial"/>
                <w:sz w:val="8"/>
                <w:szCs w:val="8"/>
                <w:color w:val="FFFFFF"/>
                <w:w w:val="98"/>
                <w:shd w:val="clear" w:color="auto" w:fill="0085CD"/>
              </w:rPr>
              <w:t xml:space="preserve"> 2,3,4</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62"/>
              <w:spacing w:after="0" w:line="226" w:lineRule="exact"/>
              <w:rPr>
                <w:sz w:val="20"/>
                <w:szCs w:val="20"/>
                <w:color w:val="auto"/>
              </w:rPr>
            </w:pPr>
            <w:r>
              <w:rPr>
                <w:rFonts w:ascii="Arial" w:cs="Arial" w:eastAsia="Arial" w:hAnsi="Arial"/>
                <w:sz w:val="16"/>
                <w:szCs w:val="16"/>
                <w:color w:val="auto"/>
                <w:w w:val="93"/>
              </w:rPr>
              <w:t>2016</w:t>
            </w:r>
            <w:r>
              <w:rPr>
                <w:rFonts w:ascii="Arial" w:cs="Arial" w:eastAsia="Arial" w:hAnsi="Arial"/>
                <w:sz w:val="26"/>
                <w:szCs w:val="26"/>
                <w:color w:val="auto"/>
                <w:w w:val="93"/>
                <w:vertAlign w:val="superscript"/>
              </w:rPr>
              <w:t>5,6</w:t>
            </w:r>
          </w:p>
        </w:tc>
      </w:tr>
      <w:tr>
        <w:trPr>
          <w:trHeight w:val="234"/>
        </w:trPr>
        <w:tc>
          <w:tcPr>
            <w:tcW w:w="700" w:type="dxa"/>
            <w:vAlign w:val="bottom"/>
          </w:tcPr>
          <w:p>
            <w:pPr>
              <w:spacing w:after="0"/>
              <w:rPr>
                <w:sz w:val="20"/>
                <w:szCs w:val="20"/>
                <w:color w:val="auto"/>
              </w:rPr>
            </w:pPr>
            <w:r>
              <w:rPr>
                <w:rFonts w:ascii="Arial" w:cs="Arial" w:eastAsia="Arial" w:hAnsi="Arial"/>
                <w:sz w:val="16"/>
                <w:szCs w:val="16"/>
                <w:color w:val="auto"/>
              </w:rPr>
              <w:t>First</w:t>
            </w:r>
          </w:p>
        </w:tc>
        <w:tc>
          <w:tcPr>
            <w:tcW w:w="300" w:type="dxa"/>
            <w:vAlign w:val="bottom"/>
            <w:shd w:val="clear" w:color="auto" w:fill="CDDEE7"/>
          </w:tcPr>
          <w:p>
            <w:pPr>
              <w:jc w:val="right"/>
              <w:ind w:right="22"/>
              <w:spacing w:after="0"/>
              <w:rPr>
                <w:sz w:val="20"/>
                <w:szCs w:val="20"/>
                <w:color w:val="auto"/>
              </w:rPr>
            </w:pPr>
            <w:r>
              <w:rPr>
                <w:rFonts w:ascii="Arial" w:cs="Arial" w:eastAsia="Arial" w:hAnsi="Arial"/>
                <w:sz w:val="16"/>
                <w:szCs w:val="16"/>
                <w:b w:val="1"/>
                <w:bCs w:val="1"/>
                <w:color w:val="auto"/>
              </w:rPr>
              <w:t>$</w:t>
            </w:r>
          </w:p>
        </w:tc>
        <w:tc>
          <w:tcPr>
            <w:tcW w:w="840" w:type="dxa"/>
            <w:vAlign w:val="bottom"/>
            <w:shd w:val="clear" w:color="auto" w:fill="CDDEE7"/>
          </w:tcPr>
          <w:p>
            <w:pPr>
              <w:jc w:val="right"/>
              <w:spacing w:after="0"/>
              <w:rPr>
                <w:sz w:val="20"/>
                <w:szCs w:val="20"/>
                <w:color w:val="auto"/>
              </w:rPr>
            </w:pPr>
            <w:r>
              <w:rPr>
                <w:rFonts w:ascii="Arial" w:cs="Arial" w:eastAsia="Arial" w:hAnsi="Arial"/>
                <w:sz w:val="16"/>
                <w:szCs w:val="16"/>
                <w:b w:val="1"/>
                <w:bCs w:val="1"/>
                <w:color w:val="auto"/>
              </w:rPr>
              <w:t>843,859</w:t>
            </w:r>
          </w:p>
        </w:tc>
        <w:tc>
          <w:tcPr>
            <w:tcW w:w="30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788,734</w:t>
            </w:r>
          </w:p>
        </w:tc>
        <w:tc>
          <w:tcPr>
            <w:tcW w:w="300" w:type="dxa"/>
            <w:vAlign w:val="bottom"/>
            <w:shd w:val="clear" w:color="auto" w:fill="CDDEE7"/>
          </w:tcPr>
          <w:p>
            <w:pPr>
              <w:jc w:val="right"/>
              <w:ind w:right="22"/>
              <w:spacing w:after="0"/>
              <w:rPr>
                <w:sz w:val="20"/>
                <w:szCs w:val="20"/>
                <w:color w:val="auto"/>
              </w:rPr>
            </w:pPr>
            <w:r>
              <w:rPr>
                <w:rFonts w:ascii="Arial" w:cs="Arial" w:eastAsia="Arial" w:hAnsi="Arial"/>
                <w:sz w:val="16"/>
                <w:szCs w:val="16"/>
                <w:b w:val="1"/>
                <w:bCs w:val="1"/>
                <w:color w:val="auto"/>
              </w:rPr>
              <w:t>$</w:t>
            </w:r>
          </w:p>
        </w:tc>
        <w:tc>
          <w:tcPr>
            <w:tcW w:w="860" w:type="dxa"/>
            <w:vAlign w:val="bottom"/>
            <w:shd w:val="clear" w:color="auto" w:fill="CDDEE7"/>
          </w:tcPr>
          <w:p>
            <w:pPr>
              <w:jc w:val="right"/>
              <w:spacing w:after="0"/>
              <w:rPr>
                <w:sz w:val="20"/>
                <w:szCs w:val="20"/>
                <w:color w:val="auto"/>
              </w:rPr>
            </w:pPr>
            <w:r>
              <w:rPr>
                <w:rFonts w:ascii="Arial" w:cs="Arial" w:eastAsia="Arial" w:hAnsi="Arial"/>
                <w:sz w:val="16"/>
                <w:szCs w:val="16"/>
                <w:b w:val="1"/>
                <w:bCs w:val="1"/>
                <w:color w:val="auto"/>
              </w:rPr>
              <w:t>791,684</w:t>
            </w:r>
          </w:p>
        </w:tc>
        <w:tc>
          <w:tcPr>
            <w:tcW w:w="38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733,960</w:t>
            </w:r>
          </w:p>
        </w:tc>
        <w:tc>
          <w:tcPr>
            <w:tcW w:w="260" w:type="dxa"/>
            <w:vAlign w:val="bottom"/>
            <w:shd w:val="clear" w:color="auto" w:fill="CDDEE7"/>
          </w:tcPr>
          <w:p>
            <w:pPr>
              <w:jc w:val="right"/>
              <w:ind w:right="2"/>
              <w:spacing w:after="0"/>
              <w:rPr>
                <w:sz w:val="20"/>
                <w:szCs w:val="20"/>
                <w:color w:val="auto"/>
              </w:rPr>
            </w:pPr>
            <w:r>
              <w:rPr>
                <w:rFonts w:ascii="Arial" w:cs="Arial" w:eastAsia="Arial" w:hAnsi="Arial"/>
                <w:sz w:val="16"/>
                <w:szCs w:val="16"/>
                <w:b w:val="1"/>
                <w:bCs w:val="1"/>
                <w:color w:val="auto"/>
              </w:rPr>
              <w:t>$</w:t>
            </w:r>
          </w:p>
        </w:tc>
        <w:tc>
          <w:tcPr>
            <w:tcW w:w="740" w:type="dxa"/>
            <w:vAlign w:val="bottom"/>
            <w:shd w:val="clear" w:color="auto" w:fill="CDDEE7"/>
          </w:tcPr>
          <w:p>
            <w:pPr>
              <w:jc w:val="right"/>
              <w:spacing w:after="0"/>
              <w:rPr>
                <w:sz w:val="20"/>
                <w:szCs w:val="20"/>
                <w:color w:val="auto"/>
              </w:rPr>
            </w:pPr>
            <w:r>
              <w:rPr>
                <w:rFonts w:ascii="Arial" w:cs="Arial" w:eastAsia="Arial" w:hAnsi="Arial"/>
                <w:sz w:val="16"/>
                <w:szCs w:val="16"/>
                <w:b w:val="1"/>
                <w:bCs w:val="1"/>
                <w:color w:val="auto"/>
              </w:rPr>
              <w:t>147,067</w:t>
            </w:r>
          </w:p>
        </w:tc>
        <w:tc>
          <w:tcPr>
            <w:tcW w:w="2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145,250</w:t>
            </w:r>
          </w:p>
        </w:tc>
        <w:tc>
          <w:tcPr>
            <w:tcW w:w="220" w:type="dxa"/>
            <w:vAlign w:val="bottom"/>
            <w:shd w:val="clear" w:color="auto" w:fill="CDDEE7"/>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shd w:val="clear" w:color="auto" w:fill="CDDEE7"/>
          </w:tcPr>
          <w:p>
            <w:pPr>
              <w:jc w:val="right"/>
              <w:spacing w:after="0"/>
              <w:rPr>
                <w:sz w:val="20"/>
                <w:szCs w:val="20"/>
                <w:color w:val="auto"/>
              </w:rPr>
            </w:pPr>
            <w:r>
              <w:rPr>
                <w:rFonts w:ascii="Arial" w:cs="Arial" w:eastAsia="Arial" w:hAnsi="Arial"/>
                <w:sz w:val="16"/>
                <w:szCs w:val="16"/>
                <w:b w:val="1"/>
                <w:bCs w:val="1"/>
                <w:color w:val="auto"/>
              </w:rPr>
              <w:t>42,307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45,055</w:t>
            </w:r>
          </w:p>
        </w:tc>
        <w:tc>
          <w:tcPr>
            <w:tcW w:w="220" w:type="dxa"/>
            <w:vAlign w:val="bottom"/>
            <w:shd w:val="clear" w:color="auto" w:fill="CDDEE7"/>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shd w:val="clear" w:color="auto" w:fill="CDDEE7"/>
          </w:tcPr>
          <w:p>
            <w:pPr>
              <w:jc w:val="right"/>
              <w:spacing w:after="0"/>
              <w:rPr>
                <w:sz w:val="20"/>
                <w:szCs w:val="20"/>
                <w:color w:val="auto"/>
              </w:rPr>
            </w:pPr>
            <w:r>
              <w:rPr>
                <w:rFonts w:ascii="Arial" w:cs="Arial" w:eastAsia="Arial" w:hAnsi="Arial"/>
                <w:sz w:val="16"/>
                <w:szCs w:val="16"/>
                <w:b w:val="1"/>
                <w:bCs w:val="1"/>
                <w:color w:val="auto"/>
              </w:rPr>
              <w:t>42,334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44,994</w:t>
            </w:r>
          </w:p>
        </w:tc>
      </w:tr>
      <w:tr>
        <w:trPr>
          <w:trHeight w:val="247"/>
        </w:trPr>
        <w:tc>
          <w:tcPr>
            <w:tcW w:w="700" w:type="dxa"/>
            <w:vAlign w:val="bottom"/>
          </w:tcPr>
          <w:p>
            <w:pPr>
              <w:spacing w:after="0"/>
              <w:rPr>
                <w:sz w:val="20"/>
                <w:szCs w:val="20"/>
                <w:color w:val="auto"/>
              </w:rPr>
            </w:pPr>
            <w:r>
              <w:rPr>
                <w:rFonts w:ascii="Arial" w:cs="Arial" w:eastAsia="Arial" w:hAnsi="Arial"/>
                <w:sz w:val="16"/>
                <w:szCs w:val="16"/>
                <w:color w:val="auto"/>
              </w:rPr>
              <w:t>Second</w:t>
            </w:r>
          </w:p>
        </w:tc>
        <w:tc>
          <w:tcPr>
            <w:tcW w:w="300" w:type="dxa"/>
            <w:vAlign w:val="bottom"/>
            <w:shd w:val="clear" w:color="auto" w:fill="CDDEE7"/>
          </w:tcPr>
          <w:p>
            <w:pPr>
              <w:spacing w:after="0"/>
              <w:rPr>
                <w:sz w:val="21"/>
                <w:szCs w:val="21"/>
                <w:color w:val="auto"/>
              </w:rPr>
            </w:pPr>
          </w:p>
        </w:tc>
        <w:tc>
          <w:tcPr>
            <w:tcW w:w="840" w:type="dxa"/>
            <w:vAlign w:val="bottom"/>
            <w:shd w:val="clear" w:color="auto" w:fill="CDDEE7"/>
          </w:tcPr>
          <w:p>
            <w:pPr>
              <w:jc w:val="right"/>
              <w:spacing w:after="0"/>
              <w:rPr>
                <w:sz w:val="20"/>
                <w:szCs w:val="20"/>
                <w:color w:val="auto"/>
              </w:rPr>
            </w:pPr>
            <w:r>
              <w:rPr>
                <w:rFonts w:ascii="Arial" w:cs="Arial" w:eastAsia="Arial" w:hAnsi="Arial"/>
                <w:sz w:val="16"/>
                <w:szCs w:val="16"/>
                <w:b w:val="1"/>
                <w:bCs w:val="1"/>
                <w:color w:val="auto"/>
              </w:rPr>
              <w:t>1,063,524</w:t>
            </w: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977,298</w:t>
            </w:r>
          </w:p>
        </w:tc>
        <w:tc>
          <w:tcPr>
            <w:tcW w:w="300" w:type="dxa"/>
            <w:vAlign w:val="bottom"/>
            <w:shd w:val="clear" w:color="auto" w:fill="CDDEE7"/>
          </w:tcPr>
          <w:p>
            <w:pPr>
              <w:spacing w:after="0"/>
              <w:rPr>
                <w:sz w:val="21"/>
                <w:szCs w:val="21"/>
                <w:color w:val="auto"/>
              </w:rPr>
            </w:pPr>
          </w:p>
        </w:tc>
        <w:tc>
          <w:tcPr>
            <w:tcW w:w="860" w:type="dxa"/>
            <w:vAlign w:val="bottom"/>
            <w:shd w:val="clear" w:color="auto" w:fill="CDDEE7"/>
          </w:tcPr>
          <w:p>
            <w:pPr>
              <w:jc w:val="right"/>
              <w:spacing w:after="0"/>
              <w:rPr>
                <w:sz w:val="20"/>
                <w:szCs w:val="20"/>
                <w:color w:val="auto"/>
              </w:rPr>
            </w:pPr>
            <w:r>
              <w:rPr>
                <w:rFonts w:ascii="Arial" w:cs="Arial" w:eastAsia="Arial" w:hAnsi="Arial"/>
                <w:sz w:val="16"/>
                <w:szCs w:val="16"/>
                <w:b w:val="1"/>
                <w:bCs w:val="1"/>
                <w:color w:val="auto"/>
              </w:rPr>
              <w:t>996,289</w:t>
            </w: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915,436</w:t>
            </w:r>
          </w:p>
        </w:tc>
        <w:tc>
          <w:tcPr>
            <w:tcW w:w="260" w:type="dxa"/>
            <w:vAlign w:val="bottom"/>
            <w:shd w:val="clear" w:color="auto" w:fill="CDDEE7"/>
          </w:tcPr>
          <w:p>
            <w:pPr>
              <w:spacing w:after="0"/>
              <w:rPr>
                <w:sz w:val="21"/>
                <w:szCs w:val="21"/>
                <w:color w:val="auto"/>
              </w:rPr>
            </w:pPr>
          </w:p>
        </w:tc>
        <w:tc>
          <w:tcPr>
            <w:tcW w:w="740" w:type="dxa"/>
            <w:vAlign w:val="bottom"/>
            <w:shd w:val="clear" w:color="auto" w:fill="CDDEE7"/>
          </w:tcPr>
          <w:p>
            <w:pPr>
              <w:jc w:val="right"/>
              <w:spacing w:after="0"/>
              <w:rPr>
                <w:sz w:val="20"/>
                <w:szCs w:val="20"/>
                <w:color w:val="auto"/>
              </w:rPr>
            </w:pPr>
            <w:r>
              <w:rPr>
                <w:rFonts w:ascii="Arial" w:cs="Arial" w:eastAsia="Arial" w:hAnsi="Arial"/>
                <w:sz w:val="16"/>
                <w:szCs w:val="16"/>
                <w:b w:val="1"/>
                <w:bCs w:val="1"/>
                <w:color w:val="auto"/>
              </w:rPr>
              <w:t>274,094</w:t>
            </w: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247,431</w:t>
            </w:r>
          </w:p>
        </w:tc>
        <w:tc>
          <w:tcPr>
            <w:tcW w:w="220" w:type="dxa"/>
            <w:vAlign w:val="bottom"/>
            <w:shd w:val="clear" w:color="auto" w:fill="CDDEE7"/>
          </w:tcPr>
          <w:p>
            <w:pPr>
              <w:spacing w:after="0"/>
              <w:rPr>
                <w:sz w:val="21"/>
                <w:szCs w:val="21"/>
                <w:color w:val="auto"/>
              </w:rPr>
            </w:pPr>
          </w:p>
        </w:tc>
        <w:tc>
          <w:tcPr>
            <w:tcW w:w="780" w:type="dxa"/>
            <w:vAlign w:val="bottom"/>
            <w:shd w:val="clear" w:color="auto" w:fill="CDDEE7"/>
          </w:tcPr>
          <w:p>
            <w:pPr>
              <w:jc w:val="right"/>
              <w:spacing w:after="0"/>
              <w:rPr>
                <w:sz w:val="20"/>
                <w:szCs w:val="20"/>
                <w:color w:val="auto"/>
              </w:rPr>
            </w:pPr>
            <w:r>
              <w:rPr>
                <w:rFonts w:ascii="Arial" w:cs="Arial" w:eastAsia="Arial" w:hAnsi="Arial"/>
                <w:sz w:val="16"/>
                <w:szCs w:val="16"/>
                <w:b w:val="1"/>
                <w:bCs w:val="1"/>
                <w:color w:val="auto"/>
              </w:rPr>
              <w:t>142,241</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122,113</w:t>
            </w:r>
          </w:p>
        </w:tc>
        <w:tc>
          <w:tcPr>
            <w:tcW w:w="220" w:type="dxa"/>
            <w:vAlign w:val="bottom"/>
            <w:shd w:val="clear" w:color="auto" w:fill="CDDEE7"/>
          </w:tcPr>
          <w:p>
            <w:pPr>
              <w:spacing w:after="0"/>
              <w:rPr>
                <w:sz w:val="21"/>
                <w:szCs w:val="21"/>
                <w:color w:val="auto"/>
              </w:rPr>
            </w:pPr>
          </w:p>
        </w:tc>
        <w:tc>
          <w:tcPr>
            <w:tcW w:w="800" w:type="dxa"/>
            <w:vAlign w:val="bottom"/>
            <w:shd w:val="clear" w:color="auto" w:fill="CDDEE7"/>
          </w:tcPr>
          <w:p>
            <w:pPr>
              <w:jc w:val="right"/>
              <w:spacing w:after="0"/>
              <w:rPr>
                <w:sz w:val="20"/>
                <w:szCs w:val="20"/>
                <w:color w:val="auto"/>
              </w:rPr>
            </w:pPr>
            <w:r>
              <w:rPr>
                <w:rFonts w:ascii="Arial" w:cs="Arial" w:eastAsia="Arial" w:hAnsi="Arial"/>
                <w:sz w:val="16"/>
                <w:szCs w:val="16"/>
                <w:b w:val="1"/>
                <w:bCs w:val="1"/>
                <w:color w:val="auto"/>
              </w:rPr>
              <w:t>142,279</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122,052</w:t>
            </w:r>
          </w:p>
        </w:tc>
      </w:tr>
      <w:tr>
        <w:trPr>
          <w:trHeight w:val="247"/>
        </w:trPr>
        <w:tc>
          <w:tcPr>
            <w:tcW w:w="700" w:type="dxa"/>
            <w:vAlign w:val="bottom"/>
          </w:tcPr>
          <w:p>
            <w:pPr>
              <w:spacing w:after="0"/>
              <w:rPr>
                <w:sz w:val="20"/>
                <w:szCs w:val="20"/>
                <w:color w:val="auto"/>
              </w:rPr>
            </w:pPr>
            <w:r>
              <w:rPr>
                <w:rFonts w:ascii="Arial" w:cs="Arial" w:eastAsia="Arial" w:hAnsi="Arial"/>
                <w:sz w:val="16"/>
                <w:szCs w:val="16"/>
                <w:color w:val="auto"/>
              </w:rPr>
              <w:t>Third</w:t>
            </w:r>
          </w:p>
        </w:tc>
        <w:tc>
          <w:tcPr>
            <w:tcW w:w="300" w:type="dxa"/>
            <w:vAlign w:val="bottom"/>
            <w:shd w:val="clear" w:color="auto" w:fill="CDDEE7"/>
          </w:tcPr>
          <w:p>
            <w:pPr>
              <w:spacing w:after="0"/>
              <w:rPr>
                <w:sz w:val="21"/>
                <w:szCs w:val="21"/>
                <w:color w:val="auto"/>
              </w:rPr>
            </w:pPr>
          </w:p>
        </w:tc>
        <w:tc>
          <w:tcPr>
            <w:tcW w:w="840" w:type="dxa"/>
            <w:vAlign w:val="bottom"/>
            <w:shd w:val="clear" w:color="auto" w:fill="CDDEE7"/>
          </w:tcPr>
          <w:p>
            <w:pPr>
              <w:jc w:val="right"/>
              <w:spacing w:after="0"/>
              <w:rPr>
                <w:sz w:val="20"/>
                <w:szCs w:val="20"/>
                <w:color w:val="auto"/>
              </w:rPr>
            </w:pPr>
            <w:r>
              <w:rPr>
                <w:rFonts w:ascii="Arial" w:cs="Arial" w:eastAsia="Arial" w:hAnsi="Arial"/>
                <w:sz w:val="16"/>
                <w:szCs w:val="16"/>
                <w:b w:val="1"/>
                <w:bCs w:val="1"/>
                <w:color w:val="auto"/>
              </w:rPr>
              <w:t>1,087,732</w:t>
            </w: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1,103,901</w:t>
            </w:r>
          </w:p>
        </w:tc>
        <w:tc>
          <w:tcPr>
            <w:tcW w:w="300" w:type="dxa"/>
            <w:vAlign w:val="bottom"/>
            <w:shd w:val="clear" w:color="auto" w:fill="CDDEE7"/>
          </w:tcPr>
          <w:p>
            <w:pPr>
              <w:spacing w:after="0"/>
              <w:rPr>
                <w:sz w:val="21"/>
                <w:szCs w:val="21"/>
                <w:color w:val="auto"/>
              </w:rPr>
            </w:pPr>
          </w:p>
        </w:tc>
        <w:tc>
          <w:tcPr>
            <w:tcW w:w="860" w:type="dxa"/>
            <w:vAlign w:val="bottom"/>
            <w:shd w:val="clear" w:color="auto" w:fill="CDDEE7"/>
          </w:tcPr>
          <w:p>
            <w:pPr>
              <w:jc w:val="right"/>
              <w:spacing w:after="0"/>
              <w:rPr>
                <w:sz w:val="20"/>
                <w:szCs w:val="20"/>
                <w:color w:val="auto"/>
              </w:rPr>
            </w:pPr>
            <w:r>
              <w:rPr>
                <w:rFonts w:ascii="Arial" w:cs="Arial" w:eastAsia="Arial" w:hAnsi="Arial"/>
                <w:sz w:val="16"/>
                <w:szCs w:val="16"/>
                <w:b w:val="1"/>
                <w:bCs w:val="1"/>
                <w:color w:val="auto"/>
              </w:rPr>
              <w:t>1,022,137</w:t>
            </w: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5"/>
              </w:rPr>
              <w:t>1,038,344</w:t>
            </w:r>
          </w:p>
        </w:tc>
        <w:tc>
          <w:tcPr>
            <w:tcW w:w="260" w:type="dxa"/>
            <w:vAlign w:val="bottom"/>
            <w:shd w:val="clear" w:color="auto" w:fill="CDDEE7"/>
          </w:tcPr>
          <w:p>
            <w:pPr>
              <w:spacing w:after="0"/>
              <w:rPr>
                <w:sz w:val="21"/>
                <w:szCs w:val="21"/>
                <w:color w:val="auto"/>
              </w:rPr>
            </w:pPr>
          </w:p>
        </w:tc>
        <w:tc>
          <w:tcPr>
            <w:tcW w:w="740" w:type="dxa"/>
            <w:vAlign w:val="bottom"/>
            <w:shd w:val="clear" w:color="auto" w:fill="CDDEE7"/>
          </w:tcPr>
          <w:p>
            <w:pPr>
              <w:jc w:val="right"/>
              <w:spacing w:after="0"/>
              <w:rPr>
                <w:sz w:val="20"/>
                <w:szCs w:val="20"/>
                <w:color w:val="auto"/>
              </w:rPr>
            </w:pPr>
            <w:r>
              <w:rPr>
                <w:rFonts w:ascii="Arial" w:cs="Arial" w:eastAsia="Arial" w:hAnsi="Arial"/>
                <w:sz w:val="16"/>
                <w:szCs w:val="16"/>
                <w:b w:val="1"/>
                <w:bCs w:val="1"/>
                <w:color w:val="auto"/>
              </w:rPr>
              <w:t>291,678</w:t>
            </w: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293,307</w:t>
            </w:r>
          </w:p>
        </w:tc>
        <w:tc>
          <w:tcPr>
            <w:tcW w:w="220" w:type="dxa"/>
            <w:vAlign w:val="bottom"/>
            <w:shd w:val="clear" w:color="auto" w:fill="CDDEE7"/>
          </w:tcPr>
          <w:p>
            <w:pPr>
              <w:spacing w:after="0"/>
              <w:rPr>
                <w:sz w:val="21"/>
                <w:szCs w:val="21"/>
                <w:color w:val="auto"/>
              </w:rPr>
            </w:pPr>
          </w:p>
        </w:tc>
        <w:tc>
          <w:tcPr>
            <w:tcW w:w="780" w:type="dxa"/>
            <w:vAlign w:val="bottom"/>
            <w:shd w:val="clear" w:color="auto" w:fill="CDDEE7"/>
          </w:tcPr>
          <w:p>
            <w:pPr>
              <w:jc w:val="right"/>
              <w:spacing w:after="0"/>
              <w:rPr>
                <w:sz w:val="20"/>
                <w:szCs w:val="20"/>
                <w:color w:val="auto"/>
              </w:rPr>
            </w:pPr>
            <w:r>
              <w:rPr>
                <w:rFonts w:ascii="Arial" w:cs="Arial" w:eastAsia="Arial" w:hAnsi="Arial"/>
                <w:sz w:val="16"/>
                <w:szCs w:val="16"/>
                <w:b w:val="1"/>
                <w:bCs w:val="1"/>
                <w:color w:val="auto"/>
              </w:rPr>
              <w:t>151,539</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159,478</w:t>
            </w:r>
          </w:p>
        </w:tc>
        <w:tc>
          <w:tcPr>
            <w:tcW w:w="220" w:type="dxa"/>
            <w:vAlign w:val="bottom"/>
            <w:shd w:val="clear" w:color="auto" w:fill="CDDEE7"/>
          </w:tcPr>
          <w:p>
            <w:pPr>
              <w:spacing w:after="0"/>
              <w:rPr>
                <w:sz w:val="21"/>
                <w:szCs w:val="21"/>
                <w:color w:val="auto"/>
              </w:rPr>
            </w:pPr>
          </w:p>
        </w:tc>
        <w:tc>
          <w:tcPr>
            <w:tcW w:w="800" w:type="dxa"/>
            <w:vAlign w:val="bottom"/>
            <w:shd w:val="clear" w:color="auto" w:fill="CDDEE7"/>
          </w:tcPr>
          <w:p>
            <w:pPr>
              <w:jc w:val="right"/>
              <w:spacing w:after="0"/>
              <w:rPr>
                <w:sz w:val="20"/>
                <w:szCs w:val="20"/>
                <w:color w:val="auto"/>
              </w:rPr>
            </w:pPr>
            <w:r>
              <w:rPr>
                <w:rFonts w:ascii="Arial" w:cs="Arial" w:eastAsia="Arial" w:hAnsi="Arial"/>
                <w:sz w:val="16"/>
                <w:szCs w:val="16"/>
                <w:b w:val="1"/>
                <w:bCs w:val="1"/>
                <w:color w:val="auto"/>
              </w:rPr>
              <w:t>151,546</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159,479</w:t>
            </w:r>
          </w:p>
        </w:tc>
      </w:tr>
      <w:tr>
        <w:trPr>
          <w:trHeight w:val="240"/>
        </w:trPr>
        <w:tc>
          <w:tcPr>
            <w:tcW w:w="7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Fourth</w:t>
            </w:r>
          </w:p>
        </w:tc>
        <w:tc>
          <w:tcPr>
            <w:tcW w:w="300" w:type="dxa"/>
            <w:vAlign w:val="bottom"/>
            <w:tcBorders>
              <w:bottom w:val="single" w:sz="8" w:color="auto"/>
            </w:tcBorders>
            <w:shd w:val="clear" w:color="auto" w:fill="CDDEE7"/>
          </w:tcPr>
          <w:p>
            <w:pPr>
              <w:spacing w:after="0"/>
              <w:rPr>
                <w:sz w:val="20"/>
                <w:szCs w:val="20"/>
                <w:color w:val="auto"/>
              </w:rPr>
            </w:pPr>
          </w:p>
        </w:tc>
        <w:tc>
          <w:tcPr>
            <w:tcW w:w="840" w:type="dxa"/>
            <w:vAlign w:val="bottom"/>
            <w:tcBorders>
              <w:bottom w:val="single" w:sz="8" w:color="auto"/>
            </w:tcBorders>
            <w:shd w:val="clear" w:color="auto" w:fill="CDDEE7"/>
          </w:tcPr>
          <w:p>
            <w:pPr>
              <w:jc w:val="right"/>
              <w:spacing w:after="0"/>
              <w:rPr>
                <w:sz w:val="20"/>
                <w:szCs w:val="20"/>
                <w:color w:val="auto"/>
              </w:rPr>
            </w:pPr>
            <w:r>
              <w:rPr>
                <w:rFonts w:ascii="Arial" w:cs="Arial" w:eastAsia="Arial" w:hAnsi="Arial"/>
                <w:sz w:val="16"/>
                <w:szCs w:val="16"/>
                <w:b w:val="1"/>
                <w:bCs w:val="1"/>
                <w:color w:val="auto"/>
              </w:rPr>
              <w:t>970,479</w:t>
            </w: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948,816</w:t>
            </w:r>
          </w:p>
        </w:tc>
        <w:tc>
          <w:tcPr>
            <w:tcW w:w="300" w:type="dxa"/>
            <w:vAlign w:val="bottom"/>
            <w:tcBorders>
              <w:bottom w:val="single" w:sz="8" w:color="auto"/>
            </w:tcBorders>
            <w:shd w:val="clear" w:color="auto" w:fill="CDDEE7"/>
          </w:tcPr>
          <w:p>
            <w:pPr>
              <w:spacing w:after="0"/>
              <w:rPr>
                <w:sz w:val="20"/>
                <w:szCs w:val="20"/>
                <w:color w:val="auto"/>
              </w:rPr>
            </w:pPr>
          </w:p>
        </w:tc>
        <w:tc>
          <w:tcPr>
            <w:tcW w:w="860" w:type="dxa"/>
            <w:vAlign w:val="bottom"/>
            <w:tcBorders>
              <w:bottom w:val="single" w:sz="8" w:color="auto"/>
            </w:tcBorders>
            <w:shd w:val="clear" w:color="auto" w:fill="CDDEE7"/>
          </w:tcPr>
          <w:p>
            <w:pPr>
              <w:jc w:val="right"/>
              <w:spacing w:after="0"/>
              <w:rPr>
                <w:sz w:val="20"/>
                <w:szCs w:val="20"/>
                <w:color w:val="auto"/>
              </w:rPr>
            </w:pPr>
            <w:r>
              <w:rPr>
                <w:rFonts w:ascii="Arial" w:cs="Arial" w:eastAsia="Arial" w:hAnsi="Arial"/>
                <w:sz w:val="16"/>
                <w:szCs w:val="16"/>
                <w:b w:val="1"/>
                <w:bCs w:val="1"/>
                <w:color w:val="auto"/>
              </w:rPr>
              <w:t>911,318</w:t>
            </w: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889,027</w:t>
            </w:r>
          </w:p>
        </w:tc>
        <w:tc>
          <w:tcPr>
            <w:tcW w:w="260" w:type="dxa"/>
            <w:vAlign w:val="bottom"/>
            <w:tcBorders>
              <w:bottom w:val="single" w:sz="8" w:color="auto"/>
            </w:tcBorders>
            <w:shd w:val="clear" w:color="auto" w:fill="CDDEE7"/>
          </w:tcPr>
          <w:p>
            <w:pPr>
              <w:spacing w:after="0"/>
              <w:rPr>
                <w:sz w:val="20"/>
                <w:szCs w:val="20"/>
                <w:color w:val="auto"/>
              </w:rPr>
            </w:pPr>
          </w:p>
        </w:tc>
        <w:tc>
          <w:tcPr>
            <w:tcW w:w="740" w:type="dxa"/>
            <w:vAlign w:val="bottom"/>
            <w:tcBorders>
              <w:bottom w:val="single" w:sz="8" w:color="auto"/>
            </w:tcBorders>
            <w:shd w:val="clear" w:color="auto" w:fill="CDDEE7"/>
          </w:tcPr>
          <w:p>
            <w:pPr>
              <w:jc w:val="right"/>
              <w:spacing w:after="0"/>
              <w:rPr>
                <w:sz w:val="20"/>
                <w:szCs w:val="20"/>
                <w:color w:val="auto"/>
              </w:rPr>
            </w:pPr>
            <w:r>
              <w:rPr>
                <w:rFonts w:ascii="Arial" w:cs="Arial" w:eastAsia="Arial" w:hAnsi="Arial"/>
                <w:sz w:val="16"/>
                <w:szCs w:val="16"/>
                <w:b w:val="1"/>
                <w:bCs w:val="1"/>
                <w:color w:val="auto"/>
              </w:rPr>
              <w:t>259,101</w:t>
            </w:r>
          </w:p>
        </w:tc>
        <w:tc>
          <w:tcPr>
            <w:tcW w:w="2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225,750</w:t>
            </w:r>
          </w:p>
        </w:tc>
        <w:tc>
          <w:tcPr>
            <w:tcW w:w="220" w:type="dxa"/>
            <w:vAlign w:val="bottom"/>
            <w:tcBorders>
              <w:bottom w:val="single" w:sz="8" w:color="auto"/>
            </w:tcBorders>
            <w:shd w:val="clear" w:color="auto" w:fill="CDDEE7"/>
          </w:tcPr>
          <w:p>
            <w:pPr>
              <w:spacing w:after="0"/>
              <w:rPr>
                <w:sz w:val="20"/>
                <w:szCs w:val="20"/>
                <w:color w:val="auto"/>
              </w:rPr>
            </w:pPr>
          </w:p>
        </w:tc>
        <w:tc>
          <w:tcPr>
            <w:tcW w:w="780" w:type="dxa"/>
            <w:vAlign w:val="bottom"/>
            <w:tcBorders>
              <w:bottom w:val="single" w:sz="8" w:color="auto"/>
            </w:tcBorders>
            <w:shd w:val="clear" w:color="auto" w:fill="CDDEE7"/>
          </w:tcPr>
          <w:p>
            <w:pPr>
              <w:jc w:val="right"/>
              <w:spacing w:after="0"/>
              <w:rPr>
                <w:sz w:val="20"/>
                <w:szCs w:val="20"/>
                <w:color w:val="auto"/>
              </w:rPr>
            </w:pPr>
            <w:r>
              <w:rPr>
                <w:rFonts w:ascii="Arial" w:cs="Arial" w:eastAsia="Arial" w:hAnsi="Arial"/>
                <w:sz w:val="16"/>
                <w:szCs w:val="16"/>
                <w:b w:val="1"/>
                <w:bCs w:val="1"/>
                <w:color w:val="auto"/>
              </w:rPr>
              <w:t>377,298</w:t>
            </w: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98,798</w:t>
            </w:r>
          </w:p>
        </w:tc>
        <w:tc>
          <w:tcPr>
            <w:tcW w:w="220" w:type="dxa"/>
            <w:vAlign w:val="bottom"/>
            <w:tcBorders>
              <w:bottom w:val="single" w:sz="8" w:color="auto"/>
            </w:tcBorders>
            <w:shd w:val="clear" w:color="auto" w:fill="CDDEE7"/>
          </w:tcPr>
          <w:p>
            <w:pPr>
              <w:spacing w:after="0"/>
              <w:rPr>
                <w:sz w:val="20"/>
                <w:szCs w:val="20"/>
                <w:color w:val="auto"/>
              </w:rPr>
            </w:pPr>
          </w:p>
        </w:tc>
        <w:tc>
          <w:tcPr>
            <w:tcW w:w="800" w:type="dxa"/>
            <w:vAlign w:val="bottom"/>
            <w:tcBorders>
              <w:bottom w:val="single" w:sz="8" w:color="auto"/>
            </w:tcBorders>
            <w:shd w:val="clear" w:color="auto" w:fill="CDDEE7"/>
          </w:tcPr>
          <w:p>
            <w:pPr>
              <w:jc w:val="right"/>
              <w:spacing w:after="0"/>
              <w:rPr>
                <w:sz w:val="20"/>
                <w:szCs w:val="20"/>
                <w:color w:val="auto"/>
              </w:rPr>
            </w:pPr>
            <w:r>
              <w:rPr>
                <w:rFonts w:ascii="Arial" w:cs="Arial" w:eastAsia="Arial" w:hAnsi="Arial"/>
                <w:sz w:val="16"/>
                <w:szCs w:val="16"/>
                <w:b w:val="1"/>
                <w:bCs w:val="1"/>
                <w:color w:val="auto"/>
              </w:rPr>
              <w:t>377,183</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98,861</w:t>
            </w:r>
          </w:p>
        </w:tc>
      </w:tr>
      <w:tr>
        <w:trPr>
          <w:trHeight w:val="233"/>
        </w:trPr>
        <w:tc>
          <w:tcPr>
            <w:tcW w:w="7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Totals</w:t>
            </w:r>
          </w:p>
        </w:tc>
        <w:tc>
          <w:tcPr>
            <w:tcW w:w="300" w:type="dxa"/>
            <w:vAlign w:val="bottom"/>
            <w:tcBorders>
              <w:bottom w:val="single" w:sz="8" w:color="auto"/>
            </w:tcBorders>
            <w:shd w:val="clear" w:color="auto" w:fill="CDDEE7"/>
          </w:tcPr>
          <w:p>
            <w:pPr>
              <w:jc w:val="right"/>
              <w:ind w:right="22"/>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shd w:val="clear" w:color="auto" w:fill="CDDEE7"/>
          </w:tcPr>
          <w:p>
            <w:pPr>
              <w:jc w:val="right"/>
              <w:spacing w:after="0"/>
              <w:rPr>
                <w:sz w:val="20"/>
                <w:szCs w:val="20"/>
                <w:color w:val="auto"/>
              </w:rPr>
            </w:pPr>
            <w:r>
              <w:rPr>
                <w:rFonts w:ascii="Arial" w:cs="Arial" w:eastAsia="Arial" w:hAnsi="Arial"/>
                <w:sz w:val="16"/>
                <w:szCs w:val="16"/>
                <w:b w:val="1"/>
                <w:bCs w:val="1"/>
                <w:color w:val="auto"/>
              </w:rPr>
              <w:t>3,965,594</w:t>
            </w:r>
          </w:p>
        </w:tc>
        <w:tc>
          <w:tcPr>
            <w:tcW w:w="3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3,818,749</w:t>
            </w:r>
          </w:p>
        </w:tc>
        <w:tc>
          <w:tcPr>
            <w:tcW w:w="300" w:type="dxa"/>
            <w:vAlign w:val="bottom"/>
            <w:tcBorders>
              <w:bottom w:val="single" w:sz="8" w:color="auto"/>
            </w:tcBorders>
            <w:shd w:val="clear" w:color="auto" w:fill="CDDEE7"/>
          </w:tcPr>
          <w:p>
            <w:pPr>
              <w:jc w:val="right"/>
              <w:ind w:right="22"/>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shd w:val="clear" w:color="auto" w:fill="CDDEE7"/>
          </w:tcPr>
          <w:p>
            <w:pPr>
              <w:jc w:val="right"/>
              <w:spacing w:after="0"/>
              <w:rPr>
                <w:sz w:val="20"/>
                <w:szCs w:val="20"/>
                <w:color w:val="auto"/>
              </w:rPr>
            </w:pPr>
            <w:r>
              <w:rPr>
                <w:rFonts w:ascii="Arial" w:cs="Arial" w:eastAsia="Arial" w:hAnsi="Arial"/>
                <w:sz w:val="16"/>
                <w:szCs w:val="16"/>
                <w:b w:val="1"/>
                <w:bCs w:val="1"/>
                <w:color w:val="auto"/>
              </w:rPr>
              <w:t>3,721,428</w:t>
            </w:r>
          </w:p>
        </w:tc>
        <w:tc>
          <w:tcPr>
            <w:tcW w:w="38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5"/>
              </w:rPr>
              <w:t>3,576,767</w:t>
            </w:r>
          </w:p>
        </w:tc>
        <w:tc>
          <w:tcPr>
            <w:tcW w:w="260" w:type="dxa"/>
            <w:vAlign w:val="bottom"/>
            <w:tcBorders>
              <w:bottom w:val="single" w:sz="8" w:color="auto"/>
            </w:tcBorders>
            <w:shd w:val="clear" w:color="auto" w:fill="CDDEE7"/>
          </w:tcPr>
          <w:p>
            <w:pPr>
              <w:jc w:val="right"/>
              <w:ind w:right="2"/>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auto"/>
            </w:tcBorders>
            <w:shd w:val="clear" w:color="auto" w:fill="CDDEE7"/>
          </w:tcPr>
          <w:p>
            <w:pPr>
              <w:jc w:val="right"/>
              <w:spacing w:after="0"/>
              <w:rPr>
                <w:sz w:val="20"/>
                <w:szCs w:val="20"/>
                <w:color w:val="auto"/>
              </w:rPr>
            </w:pPr>
            <w:r>
              <w:rPr>
                <w:rFonts w:ascii="Arial" w:cs="Arial" w:eastAsia="Arial" w:hAnsi="Arial"/>
                <w:sz w:val="16"/>
                <w:szCs w:val="16"/>
                <w:b w:val="1"/>
                <w:bCs w:val="1"/>
                <w:color w:val="auto"/>
              </w:rPr>
              <w:t>971,940</w:t>
            </w:r>
          </w:p>
        </w:tc>
        <w:tc>
          <w:tcPr>
            <w:tcW w:w="2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911,738</w:t>
            </w:r>
          </w:p>
        </w:tc>
        <w:tc>
          <w:tcPr>
            <w:tcW w:w="220" w:type="dxa"/>
            <w:vAlign w:val="bottom"/>
            <w:tcBorders>
              <w:bottom w:val="single" w:sz="8" w:color="auto"/>
            </w:tcBorders>
            <w:shd w:val="clear" w:color="auto" w:fill="CDDEE7"/>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auto"/>
            </w:tcBorders>
            <w:shd w:val="clear" w:color="auto" w:fill="CDDEE7"/>
          </w:tcPr>
          <w:p>
            <w:pPr>
              <w:jc w:val="right"/>
              <w:spacing w:after="0"/>
              <w:rPr>
                <w:sz w:val="20"/>
                <w:szCs w:val="20"/>
                <w:color w:val="auto"/>
              </w:rPr>
            </w:pPr>
            <w:r>
              <w:rPr>
                <w:rFonts w:ascii="Arial" w:cs="Arial" w:eastAsia="Arial" w:hAnsi="Arial"/>
                <w:sz w:val="16"/>
                <w:szCs w:val="16"/>
                <w:b w:val="1"/>
                <w:bCs w:val="1"/>
                <w:color w:val="auto"/>
              </w:rPr>
              <w:t>713,385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425,444</w:t>
            </w:r>
          </w:p>
        </w:tc>
        <w:tc>
          <w:tcPr>
            <w:tcW w:w="220" w:type="dxa"/>
            <w:vAlign w:val="bottom"/>
            <w:tcBorders>
              <w:bottom w:val="single" w:sz="8" w:color="auto"/>
            </w:tcBorders>
            <w:shd w:val="clear" w:color="auto" w:fill="CDDEE7"/>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shd w:val="clear" w:color="auto" w:fill="CDDEE7"/>
          </w:tcPr>
          <w:p>
            <w:pPr>
              <w:jc w:val="right"/>
              <w:spacing w:after="0"/>
              <w:rPr>
                <w:sz w:val="20"/>
                <w:szCs w:val="20"/>
                <w:color w:val="auto"/>
              </w:rPr>
            </w:pPr>
            <w:r>
              <w:rPr>
                <w:rFonts w:ascii="Arial" w:cs="Arial" w:eastAsia="Arial" w:hAnsi="Arial"/>
                <w:sz w:val="16"/>
                <w:szCs w:val="16"/>
                <w:b w:val="1"/>
                <w:bCs w:val="1"/>
                <w:color w:val="auto"/>
              </w:rPr>
              <w:t>713,342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425,386</w:t>
            </w:r>
          </w:p>
        </w:tc>
      </w:tr>
    </w:tbl>
    <w:p>
      <w:pPr>
        <w:spacing w:after="0" w:line="127"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725170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4">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ind w:left="120"/>
              <w:spacing w:after="0"/>
              <w:rPr>
                <w:sz w:val="20"/>
                <w:szCs w:val="20"/>
                <w:color w:val="auto"/>
              </w:rPr>
            </w:pPr>
            <w:r>
              <w:rPr>
                <w:rFonts w:ascii="Arial" w:cs="Arial" w:eastAsia="Arial" w:hAnsi="Arial"/>
                <w:sz w:val="16"/>
                <w:szCs w:val="16"/>
                <w:b w:val="1"/>
                <w:bCs w:val="1"/>
                <w:color w:val="auto"/>
              </w:rPr>
              <w:t>Stock Prices</w:t>
            </w:r>
          </w:p>
        </w:tc>
        <w:tc>
          <w:tcPr>
            <w:tcW w:w="2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r>
      <w:tr>
        <w:trPr>
          <w:trHeight w:val="227"/>
        </w:trPr>
        <w:tc>
          <w:tcPr>
            <w:tcW w:w="2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gridSpan w:val="3"/>
          </w:tcPr>
          <w:p>
            <w:pPr>
              <w:jc w:val="right"/>
              <w:ind w:right="242"/>
              <w:spacing w:after="0" w:line="226" w:lineRule="exact"/>
              <w:rPr>
                <w:sz w:val="20"/>
                <w:szCs w:val="20"/>
                <w:color w:val="auto"/>
              </w:rPr>
            </w:pPr>
            <w:r>
              <w:rPr>
                <w:rFonts w:ascii="Arial" w:cs="Arial" w:eastAsia="Arial" w:hAnsi="Arial"/>
                <w:sz w:val="16"/>
                <w:szCs w:val="16"/>
                <w:b w:val="1"/>
                <w:bCs w:val="1"/>
                <w:color w:val="auto"/>
              </w:rPr>
              <w:t>Basic Earnings</w:t>
            </w:r>
            <w:r>
              <w:rPr>
                <w:rFonts w:ascii="Arial" w:cs="Arial" w:eastAsia="Arial" w:hAnsi="Arial"/>
                <w:sz w:val="26"/>
                <w:szCs w:val="26"/>
                <w:b w:val="1"/>
                <w:bCs w:val="1"/>
                <w:color w:val="auto"/>
                <w:vertAlign w:val="superscript"/>
              </w:rPr>
              <w:t>1</w:t>
            </w:r>
          </w:p>
        </w:tc>
        <w:tc>
          <w:tcPr>
            <w:tcW w:w="220" w:type="dxa"/>
            <w:vAlign w:val="bottom"/>
          </w:tcPr>
          <w:p>
            <w:pPr>
              <w:spacing w:after="0"/>
              <w:rPr>
                <w:sz w:val="19"/>
                <w:szCs w:val="19"/>
                <w:color w:val="auto"/>
              </w:rPr>
            </w:pPr>
          </w:p>
        </w:tc>
        <w:tc>
          <w:tcPr>
            <w:tcW w:w="1900" w:type="dxa"/>
            <w:vAlign w:val="bottom"/>
            <w:gridSpan w:val="4"/>
          </w:tcPr>
          <w:p>
            <w:pPr>
              <w:ind w:left="140"/>
              <w:spacing w:after="0" w:line="226" w:lineRule="exact"/>
              <w:rPr>
                <w:sz w:val="20"/>
                <w:szCs w:val="20"/>
                <w:color w:val="auto"/>
              </w:rPr>
            </w:pPr>
            <w:r>
              <w:rPr>
                <w:rFonts w:ascii="Arial" w:cs="Arial" w:eastAsia="Arial" w:hAnsi="Arial"/>
                <w:sz w:val="16"/>
                <w:szCs w:val="16"/>
                <w:b w:val="1"/>
                <w:bCs w:val="1"/>
                <w:color w:val="auto"/>
              </w:rPr>
              <w:t>Diluted Earnings</w:t>
            </w:r>
            <w:r>
              <w:rPr>
                <w:rFonts w:ascii="Arial" w:cs="Arial" w:eastAsia="Arial" w:hAnsi="Arial"/>
                <w:sz w:val="26"/>
                <w:szCs w:val="26"/>
                <w:b w:val="1"/>
                <w:bCs w:val="1"/>
                <w:color w:val="auto"/>
                <w:vertAlign w:val="superscript"/>
              </w:rPr>
              <w:t>1</w:t>
            </w:r>
          </w:p>
        </w:tc>
        <w:tc>
          <w:tcPr>
            <w:tcW w:w="240" w:type="dxa"/>
            <w:vAlign w:val="bottom"/>
          </w:tcPr>
          <w:p>
            <w:pPr>
              <w:spacing w:after="0"/>
              <w:rPr>
                <w:sz w:val="19"/>
                <w:szCs w:val="19"/>
                <w:color w:val="auto"/>
              </w:rPr>
            </w:pPr>
          </w:p>
        </w:tc>
        <w:tc>
          <w:tcPr>
            <w:tcW w:w="1560" w:type="dxa"/>
            <w:vAlign w:val="bottom"/>
            <w:gridSpan w:val="3"/>
          </w:tcPr>
          <w:p>
            <w:pPr>
              <w:jc w:val="right"/>
              <w:ind w:right="242"/>
              <w:spacing w:after="0"/>
              <w:rPr>
                <w:sz w:val="20"/>
                <w:szCs w:val="20"/>
                <w:color w:val="auto"/>
              </w:rPr>
            </w:pPr>
            <w:r>
              <w:rPr>
                <w:rFonts w:ascii="Arial" w:cs="Arial" w:eastAsia="Arial" w:hAnsi="Arial"/>
                <w:sz w:val="16"/>
                <w:szCs w:val="16"/>
                <w:b w:val="1"/>
                <w:bCs w:val="1"/>
                <w:color w:val="auto"/>
              </w:rPr>
              <w:t>Dividends Paid</w:t>
            </w:r>
          </w:p>
        </w:tc>
        <w:tc>
          <w:tcPr>
            <w:tcW w:w="200" w:type="dxa"/>
            <w:vAlign w:val="bottom"/>
          </w:tcPr>
          <w:p>
            <w:pPr>
              <w:spacing w:after="0"/>
              <w:rPr>
                <w:sz w:val="19"/>
                <w:szCs w:val="19"/>
                <w:color w:val="auto"/>
              </w:rPr>
            </w:pPr>
          </w:p>
        </w:tc>
        <w:tc>
          <w:tcPr>
            <w:tcW w:w="640" w:type="dxa"/>
            <w:vAlign w:val="bottom"/>
          </w:tcPr>
          <w:p>
            <w:pPr>
              <w:jc w:val="right"/>
              <w:ind w:right="162"/>
              <w:spacing w:after="0"/>
              <w:rPr>
                <w:sz w:val="20"/>
                <w:szCs w:val="20"/>
                <w:color w:val="auto"/>
              </w:rPr>
            </w:pPr>
            <w:r>
              <w:rPr>
                <w:rFonts w:ascii="Arial" w:cs="Arial" w:eastAsia="Arial" w:hAnsi="Arial"/>
                <w:sz w:val="16"/>
                <w:szCs w:val="16"/>
                <w:b w:val="1"/>
                <w:bCs w:val="1"/>
                <w:color w:val="auto"/>
              </w:rPr>
              <w:t>High</w:t>
            </w:r>
          </w:p>
        </w:tc>
        <w:tc>
          <w:tcPr>
            <w:tcW w:w="200" w:type="dxa"/>
            <w:vAlign w:val="bottom"/>
          </w:tcPr>
          <w:p>
            <w:pPr>
              <w:spacing w:after="0"/>
              <w:rPr>
                <w:sz w:val="19"/>
                <w:szCs w:val="19"/>
                <w:color w:val="auto"/>
              </w:rPr>
            </w:pPr>
          </w:p>
        </w:tc>
        <w:tc>
          <w:tcPr>
            <w:tcW w:w="580" w:type="dxa"/>
            <w:vAlign w:val="bottom"/>
          </w:tcPr>
          <w:p>
            <w:pPr>
              <w:ind w:left="40"/>
              <w:spacing w:after="0"/>
              <w:rPr>
                <w:sz w:val="20"/>
                <w:szCs w:val="20"/>
                <w:color w:val="auto"/>
              </w:rPr>
            </w:pPr>
            <w:r>
              <w:rPr>
                <w:rFonts w:ascii="Arial" w:cs="Arial" w:eastAsia="Arial" w:hAnsi="Arial"/>
                <w:sz w:val="16"/>
                <w:szCs w:val="16"/>
                <w:b w:val="1"/>
                <w:bCs w:val="1"/>
                <w:color w:val="auto"/>
              </w:rPr>
              <w:t>Low</w:t>
            </w:r>
          </w:p>
        </w:tc>
        <w:tc>
          <w:tcPr>
            <w:tcW w:w="220" w:type="dxa"/>
            <w:vAlign w:val="bottom"/>
          </w:tcPr>
          <w:p>
            <w:pPr>
              <w:spacing w:after="0"/>
              <w:rPr>
                <w:sz w:val="19"/>
                <w:szCs w:val="19"/>
                <w:color w:val="auto"/>
              </w:rPr>
            </w:pPr>
          </w:p>
        </w:tc>
        <w:tc>
          <w:tcPr>
            <w:tcW w:w="620" w:type="dxa"/>
            <w:vAlign w:val="bottom"/>
          </w:tcPr>
          <w:p>
            <w:pPr>
              <w:jc w:val="right"/>
              <w:ind w:right="162"/>
              <w:spacing w:after="0"/>
              <w:rPr>
                <w:sz w:val="20"/>
                <w:szCs w:val="20"/>
                <w:color w:val="auto"/>
              </w:rPr>
            </w:pPr>
            <w:r>
              <w:rPr>
                <w:rFonts w:ascii="Arial" w:cs="Arial" w:eastAsia="Arial" w:hAnsi="Arial"/>
                <w:sz w:val="16"/>
                <w:szCs w:val="16"/>
                <w:b w:val="1"/>
                <w:bCs w:val="1"/>
                <w:color w:val="auto"/>
              </w:rPr>
              <w:t>High</w:t>
            </w:r>
          </w:p>
        </w:tc>
        <w:tc>
          <w:tcPr>
            <w:tcW w:w="200" w:type="dxa"/>
            <w:vAlign w:val="bottom"/>
          </w:tcPr>
          <w:p>
            <w:pPr>
              <w:spacing w:after="0"/>
              <w:rPr>
                <w:sz w:val="19"/>
                <w:szCs w:val="19"/>
                <w:color w:val="auto"/>
              </w:rPr>
            </w:pPr>
          </w:p>
        </w:tc>
        <w:tc>
          <w:tcPr>
            <w:tcW w:w="580" w:type="dxa"/>
            <w:vAlign w:val="bottom"/>
          </w:tcPr>
          <w:p>
            <w:pPr>
              <w:ind w:left="40"/>
              <w:spacing w:after="0"/>
              <w:rPr>
                <w:sz w:val="20"/>
                <w:szCs w:val="20"/>
                <w:color w:val="auto"/>
              </w:rPr>
            </w:pPr>
            <w:r>
              <w:rPr>
                <w:rFonts w:ascii="Arial" w:cs="Arial" w:eastAsia="Arial" w:hAnsi="Arial"/>
                <w:sz w:val="16"/>
                <w:szCs w:val="16"/>
                <w:b w:val="1"/>
                <w:bCs w:val="1"/>
                <w:color w:val="auto"/>
              </w:rPr>
              <w:t>Low</w:t>
            </w:r>
          </w:p>
        </w:tc>
      </w:tr>
      <w:tr>
        <w:trPr>
          <w:trHeight w:val="227"/>
        </w:trPr>
        <w:tc>
          <w:tcPr>
            <w:tcW w:w="23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Quarter</w:t>
            </w:r>
          </w:p>
        </w:tc>
        <w:tc>
          <w:tcPr>
            <w:tcW w:w="200" w:type="dxa"/>
            <w:vAlign w:val="bottom"/>
            <w:tcBorders>
              <w:top w:val="single" w:sz="8" w:color="auto"/>
              <w:bottom w:val="single" w:sz="8" w:color="auto"/>
            </w:tcBorders>
            <w:shd w:val="clear" w:color="auto" w:fill="0085CD"/>
          </w:tcPr>
          <w:p>
            <w:pPr>
              <w:spacing w:after="0"/>
              <w:rPr>
                <w:sz w:val="19"/>
                <w:szCs w:val="19"/>
                <w:color w:val="auto"/>
              </w:rPr>
            </w:pPr>
          </w:p>
        </w:tc>
        <w:tc>
          <w:tcPr>
            <w:tcW w:w="740" w:type="dxa"/>
            <w:vAlign w:val="bottom"/>
            <w:tcBorders>
              <w:top w:val="single" w:sz="8" w:color="auto"/>
              <w:bottom w:val="single" w:sz="8" w:color="auto"/>
            </w:tcBorders>
            <w:shd w:val="clear" w:color="auto" w:fill="0085CD"/>
          </w:tcPr>
          <w:p>
            <w:pPr>
              <w:jc w:val="right"/>
              <w:ind w:right="87"/>
              <w:spacing w:after="0" w:line="226" w:lineRule="exact"/>
              <w:rPr>
                <w:sz w:val="20"/>
                <w:szCs w:val="20"/>
                <w:color w:val="auto"/>
              </w:rPr>
            </w:pPr>
            <w:r>
              <w:rPr>
                <w:rFonts w:ascii="Arial" w:cs="Arial" w:eastAsia="Arial" w:hAnsi="Arial"/>
                <w:sz w:val="26"/>
                <w:szCs w:val="26"/>
                <w:b w:val="1"/>
                <w:bCs w:val="1"/>
                <w:color w:val="FFFFFF"/>
                <w:w w:val="99"/>
                <w:vertAlign w:val="subscript"/>
              </w:rPr>
              <w:t>2017</w:t>
            </w:r>
            <w:r>
              <w:rPr>
                <w:rFonts w:ascii="Arial" w:cs="Arial" w:eastAsia="Arial" w:hAnsi="Arial"/>
                <w:sz w:val="8"/>
                <w:szCs w:val="8"/>
                <w:color w:val="FFFFFF"/>
                <w:w w:val="99"/>
              </w:rPr>
              <w:t>2,3,4</w:t>
            </w:r>
          </w:p>
        </w:tc>
        <w:tc>
          <w:tcPr>
            <w:tcW w:w="2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62"/>
              <w:spacing w:after="0" w:line="226" w:lineRule="exact"/>
              <w:rPr>
                <w:sz w:val="20"/>
                <w:szCs w:val="20"/>
                <w:color w:val="auto"/>
              </w:rPr>
            </w:pPr>
            <w:r>
              <w:rPr>
                <w:rFonts w:ascii="Arial" w:cs="Arial" w:eastAsia="Arial" w:hAnsi="Arial"/>
                <w:sz w:val="16"/>
                <w:szCs w:val="16"/>
                <w:color w:val="auto"/>
                <w:w w:val="93"/>
              </w:rPr>
              <w:t>2016</w:t>
            </w:r>
            <w:r>
              <w:rPr>
                <w:rFonts w:ascii="Arial" w:cs="Arial" w:eastAsia="Arial" w:hAnsi="Arial"/>
                <w:sz w:val="26"/>
                <w:szCs w:val="26"/>
                <w:color w:val="auto"/>
                <w:w w:val="93"/>
                <w:vertAlign w:val="superscript"/>
              </w:rPr>
              <w:t>5,6</w:t>
            </w:r>
          </w:p>
        </w:tc>
        <w:tc>
          <w:tcPr>
            <w:tcW w:w="220" w:type="dxa"/>
            <w:vAlign w:val="bottom"/>
            <w:tcBorders>
              <w:top w:val="single" w:sz="8" w:color="auto"/>
              <w:bottom w:val="single" w:sz="8" w:color="auto"/>
            </w:tcBorders>
            <w:shd w:val="clear" w:color="auto" w:fill="0085CD"/>
          </w:tcPr>
          <w:p>
            <w:pPr>
              <w:spacing w:after="0"/>
              <w:rPr>
                <w:sz w:val="19"/>
                <w:szCs w:val="19"/>
                <w:color w:val="auto"/>
              </w:rPr>
            </w:pPr>
          </w:p>
        </w:tc>
        <w:tc>
          <w:tcPr>
            <w:tcW w:w="840" w:type="dxa"/>
            <w:vAlign w:val="bottom"/>
            <w:tcBorders>
              <w:top w:val="single" w:sz="8" w:color="auto"/>
              <w:bottom w:val="single" w:sz="8" w:color="auto"/>
            </w:tcBorders>
            <w:shd w:val="clear" w:color="auto" w:fill="0085CD"/>
          </w:tcPr>
          <w:p>
            <w:pPr>
              <w:jc w:val="right"/>
              <w:ind w:right="82"/>
              <w:spacing w:after="0"/>
              <w:rPr>
                <w:sz w:val="20"/>
                <w:szCs w:val="20"/>
                <w:color w:val="auto"/>
              </w:rPr>
            </w:pPr>
            <w:r>
              <w:rPr>
                <w:rFonts w:ascii="Arial" w:cs="Arial" w:eastAsia="Arial" w:hAnsi="Arial"/>
                <w:sz w:val="16"/>
                <w:szCs w:val="16"/>
                <w:b w:val="1"/>
                <w:bCs w:val="1"/>
                <w:color w:val="FFFFFF"/>
              </w:rPr>
              <w:t>2017</w:t>
            </w:r>
            <w:r>
              <w:rPr>
                <w:rFonts w:ascii="Arial" w:cs="Arial" w:eastAsia="Arial" w:hAnsi="Arial"/>
                <w:sz w:val="13"/>
                <w:szCs w:val="13"/>
                <w:color w:val="FFFFFF"/>
              </w:rPr>
              <w:t>2,3,4</w:t>
            </w:r>
          </w:p>
        </w:tc>
        <w:tc>
          <w:tcPr>
            <w:tcW w:w="2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62"/>
              <w:spacing w:after="0" w:line="226" w:lineRule="exact"/>
              <w:rPr>
                <w:sz w:val="20"/>
                <w:szCs w:val="20"/>
                <w:color w:val="auto"/>
              </w:rPr>
            </w:pPr>
            <w:r>
              <w:rPr>
                <w:rFonts w:ascii="Arial" w:cs="Arial" w:eastAsia="Arial" w:hAnsi="Arial"/>
                <w:sz w:val="16"/>
                <w:szCs w:val="16"/>
                <w:color w:val="auto"/>
                <w:w w:val="93"/>
              </w:rPr>
              <w:t>2016</w:t>
            </w:r>
            <w:r>
              <w:rPr>
                <w:rFonts w:ascii="Arial" w:cs="Arial" w:eastAsia="Arial" w:hAnsi="Arial"/>
                <w:sz w:val="26"/>
                <w:szCs w:val="26"/>
                <w:color w:val="auto"/>
                <w:w w:val="93"/>
                <w:vertAlign w:val="superscript"/>
              </w:rPr>
              <w:t>5,6</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shd w:val="clear" w:color="auto" w:fill="0085CD"/>
          </w:tcPr>
          <w:p>
            <w:pPr>
              <w:spacing w:after="0"/>
              <w:rPr>
                <w:sz w:val="19"/>
                <w:szCs w:val="19"/>
                <w:color w:val="auto"/>
              </w:rPr>
            </w:pPr>
          </w:p>
        </w:tc>
        <w:tc>
          <w:tcPr>
            <w:tcW w:w="660" w:type="dxa"/>
            <w:vAlign w:val="bottom"/>
            <w:tcBorders>
              <w:top w:val="single" w:sz="8" w:color="auto"/>
              <w:bottom w:val="single" w:sz="8" w:color="auto"/>
            </w:tcBorders>
            <w:shd w:val="clear" w:color="auto" w:fill="0085CD"/>
          </w:tcPr>
          <w:p>
            <w:pPr>
              <w:jc w:val="right"/>
              <w:ind w:right="142"/>
              <w:spacing w:after="0"/>
              <w:rPr>
                <w:sz w:val="20"/>
                <w:szCs w:val="20"/>
                <w:color w:val="auto"/>
              </w:rPr>
            </w:pPr>
            <w:r>
              <w:rPr>
                <w:rFonts w:ascii="Arial" w:cs="Arial" w:eastAsia="Arial" w:hAnsi="Arial"/>
                <w:sz w:val="16"/>
                <w:szCs w:val="16"/>
                <w:b w:val="1"/>
                <w:bCs w:val="1"/>
                <w:color w:val="FFFFFF"/>
              </w:rPr>
              <w:t>2017</w:t>
            </w:r>
          </w:p>
        </w:tc>
        <w:tc>
          <w:tcPr>
            <w:tcW w:w="2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142"/>
              <w:spacing w:after="0"/>
              <w:rPr>
                <w:sz w:val="20"/>
                <w:szCs w:val="20"/>
                <w:color w:val="auto"/>
              </w:rPr>
            </w:pPr>
            <w:r>
              <w:rPr>
                <w:rFonts w:ascii="Arial" w:cs="Arial" w:eastAsia="Arial" w:hAnsi="Arial"/>
                <w:sz w:val="16"/>
                <w:szCs w:val="16"/>
                <w:color w:val="auto"/>
              </w:rPr>
              <w:t>2016</w:t>
            </w:r>
          </w:p>
        </w:tc>
        <w:tc>
          <w:tcPr>
            <w:tcW w:w="200" w:type="dxa"/>
            <w:vAlign w:val="bottom"/>
            <w:tcBorders>
              <w:top w:val="single" w:sz="8" w:color="auto"/>
              <w:bottom w:val="single" w:sz="8" w:color="auto"/>
            </w:tcBorders>
            <w:shd w:val="clear" w:color="auto" w:fill="0085CD"/>
          </w:tcPr>
          <w:p>
            <w:pPr>
              <w:spacing w:after="0"/>
              <w:rPr>
                <w:sz w:val="19"/>
                <w:szCs w:val="19"/>
                <w:color w:val="auto"/>
              </w:rPr>
            </w:pPr>
          </w:p>
        </w:tc>
        <w:tc>
          <w:tcPr>
            <w:tcW w:w="840" w:type="dxa"/>
            <w:vAlign w:val="bottom"/>
            <w:tcBorders>
              <w:top w:val="single" w:sz="8" w:color="auto"/>
              <w:bottom w:val="single" w:sz="8" w:color="auto"/>
            </w:tcBorders>
            <w:gridSpan w:val="2"/>
            <w:shd w:val="clear" w:color="auto" w:fill="0085CD"/>
          </w:tcPr>
          <w:p>
            <w:pPr>
              <w:jc w:val="right"/>
              <w:spacing w:after="0"/>
              <w:rPr>
                <w:sz w:val="20"/>
                <w:szCs w:val="20"/>
                <w:color w:val="auto"/>
              </w:rPr>
            </w:pPr>
            <w:r>
              <w:rPr>
                <w:rFonts w:ascii="Arial" w:cs="Arial" w:eastAsia="Arial" w:hAnsi="Arial"/>
                <w:sz w:val="16"/>
                <w:szCs w:val="16"/>
                <w:b w:val="1"/>
                <w:bCs w:val="1"/>
                <w:color w:val="FFFFFF"/>
              </w:rPr>
              <w:t>2017</w:t>
            </w:r>
          </w:p>
        </w:tc>
        <w:tc>
          <w:tcPr>
            <w:tcW w:w="580" w:type="dxa"/>
            <w:vAlign w:val="bottom"/>
            <w:tcBorders>
              <w:top w:val="single" w:sz="8" w:color="auto"/>
              <w:bottom w:val="single" w:sz="8" w:color="auto"/>
            </w:tcBorders>
            <w:shd w:val="clear" w:color="auto" w:fill="0085CD"/>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2016</w:t>
            </w:r>
          </w:p>
        </w:tc>
        <w:tc>
          <w:tcPr>
            <w:tcW w:w="580" w:type="dxa"/>
            <w:vAlign w:val="bottom"/>
            <w:tcBorders>
              <w:top w:val="single" w:sz="8" w:color="auto"/>
              <w:bottom w:val="single" w:sz="8" w:color="auto"/>
            </w:tcBorders>
          </w:tcPr>
          <w:p>
            <w:pPr>
              <w:spacing w:after="0"/>
              <w:rPr>
                <w:sz w:val="19"/>
                <w:szCs w:val="19"/>
                <w:color w:val="auto"/>
              </w:rPr>
            </w:pPr>
          </w:p>
        </w:tc>
      </w:tr>
      <w:tr>
        <w:trPr>
          <w:trHeight w:val="227"/>
        </w:trPr>
        <w:tc>
          <w:tcPr>
            <w:tcW w:w="2380" w:type="dxa"/>
            <w:vAlign w:val="bottom"/>
          </w:tcPr>
          <w:p>
            <w:pPr>
              <w:spacing w:after="0"/>
              <w:rPr>
                <w:sz w:val="20"/>
                <w:szCs w:val="20"/>
                <w:color w:val="auto"/>
              </w:rPr>
            </w:pPr>
            <w:r>
              <w:rPr>
                <w:rFonts w:ascii="Arial" w:cs="Arial" w:eastAsia="Arial" w:hAnsi="Arial"/>
                <w:sz w:val="16"/>
                <w:szCs w:val="16"/>
                <w:color w:val="auto"/>
              </w:rPr>
              <w:t>First</w:t>
            </w:r>
          </w:p>
        </w:tc>
        <w:tc>
          <w:tcPr>
            <w:tcW w:w="200" w:type="dxa"/>
            <w:vAlign w:val="bottom"/>
            <w:shd w:val="clear" w:color="auto" w:fill="CDDEE7"/>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shd w:val="clear" w:color="auto" w:fill="CDDEE7"/>
          </w:tcPr>
          <w:p>
            <w:pPr>
              <w:jc w:val="right"/>
              <w:ind w:right="7"/>
              <w:spacing w:after="0"/>
              <w:rPr>
                <w:sz w:val="20"/>
                <w:szCs w:val="20"/>
                <w:color w:val="auto"/>
              </w:rPr>
            </w:pPr>
            <w:r>
              <w:rPr>
                <w:rFonts w:ascii="Arial" w:cs="Arial" w:eastAsia="Arial" w:hAnsi="Arial"/>
                <w:sz w:val="16"/>
                <w:szCs w:val="16"/>
                <w:b w:val="1"/>
                <w:bCs w:val="1"/>
                <w:color w:val="auto"/>
              </w:rPr>
              <w:t>0.67</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0.70</w:t>
            </w:r>
          </w:p>
        </w:tc>
        <w:tc>
          <w:tcPr>
            <w:tcW w:w="220" w:type="dxa"/>
            <w:vAlign w:val="bottom"/>
            <w:shd w:val="clear" w:color="auto" w:fill="CDDEE7"/>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shd w:val="clear" w:color="auto" w:fill="CDDEE7"/>
          </w:tcPr>
          <w:p>
            <w:pPr>
              <w:jc w:val="right"/>
              <w:spacing w:after="0"/>
              <w:rPr>
                <w:sz w:val="20"/>
                <w:szCs w:val="20"/>
                <w:color w:val="auto"/>
              </w:rPr>
            </w:pPr>
            <w:r>
              <w:rPr>
                <w:rFonts w:ascii="Arial" w:cs="Arial" w:eastAsia="Arial" w:hAnsi="Arial"/>
                <w:sz w:val="16"/>
                <w:szCs w:val="16"/>
                <w:b w:val="1"/>
                <w:bCs w:val="1"/>
                <w:color w:val="auto"/>
              </w:rPr>
              <w:t>0.67</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0.69</w:t>
            </w:r>
          </w:p>
        </w:tc>
        <w:tc>
          <w:tcPr>
            <w:tcW w:w="120" w:type="dxa"/>
            <w:vAlign w:val="bottom"/>
          </w:tcPr>
          <w:p>
            <w:pPr>
              <w:spacing w:after="0"/>
              <w:rPr>
                <w:sz w:val="19"/>
                <w:szCs w:val="19"/>
                <w:color w:val="auto"/>
              </w:rPr>
            </w:pPr>
          </w:p>
        </w:tc>
        <w:tc>
          <w:tcPr>
            <w:tcW w:w="240" w:type="dxa"/>
            <w:vAlign w:val="bottom"/>
            <w:shd w:val="clear" w:color="auto" w:fill="CDDEE7"/>
          </w:tcPr>
          <w:p>
            <w:pPr>
              <w:jc w:val="right"/>
              <w:spacing w:after="0"/>
              <w:rPr>
                <w:sz w:val="20"/>
                <w:szCs w:val="20"/>
                <w:color w:val="auto"/>
              </w:rPr>
            </w:pPr>
            <w:r>
              <w:rPr>
                <w:rFonts w:ascii="Arial" w:cs="Arial" w:eastAsia="Arial" w:hAnsi="Arial"/>
                <w:sz w:val="16"/>
                <w:szCs w:val="16"/>
                <w:b w:val="1"/>
                <w:bCs w:val="1"/>
                <w:color w:val="auto"/>
              </w:rPr>
              <w:t>$</w:t>
            </w:r>
          </w:p>
        </w:tc>
        <w:tc>
          <w:tcPr>
            <w:tcW w:w="660" w:type="dxa"/>
            <w:vAlign w:val="bottom"/>
            <w:shd w:val="clear" w:color="auto" w:fill="CDDEE7"/>
          </w:tcPr>
          <w:p>
            <w:pPr>
              <w:jc w:val="right"/>
              <w:ind w:right="2"/>
              <w:spacing w:after="0"/>
              <w:rPr>
                <w:sz w:val="20"/>
                <w:szCs w:val="20"/>
                <w:color w:val="auto"/>
              </w:rPr>
            </w:pPr>
            <w:r>
              <w:rPr>
                <w:rFonts w:ascii="Arial" w:cs="Arial" w:eastAsia="Arial" w:hAnsi="Arial"/>
                <w:sz w:val="16"/>
                <w:szCs w:val="16"/>
                <w:b w:val="1"/>
                <w:bCs w:val="1"/>
                <w:color w:val="auto"/>
              </w:rPr>
              <w:t>0.42</w:t>
            </w:r>
          </w:p>
        </w:tc>
        <w:tc>
          <w:tcPr>
            <w:tcW w:w="2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0.40</w:t>
            </w:r>
          </w:p>
        </w:tc>
        <w:tc>
          <w:tcPr>
            <w:tcW w:w="200" w:type="dxa"/>
            <w:vAlign w:val="bottom"/>
            <w:shd w:val="clear" w:color="auto" w:fill="CDDEE7"/>
          </w:tcPr>
          <w:p>
            <w:pPr>
              <w:jc w:val="right"/>
              <w:spacing w:after="0"/>
              <w:rPr>
                <w:sz w:val="20"/>
                <w:szCs w:val="20"/>
                <w:color w:val="auto"/>
              </w:rPr>
            </w:pPr>
            <w:r>
              <w:rPr>
                <w:rFonts w:ascii="Arial" w:cs="Arial" w:eastAsia="Arial" w:hAnsi="Arial"/>
                <w:sz w:val="16"/>
                <w:szCs w:val="16"/>
                <w:b w:val="1"/>
                <w:bCs w:val="1"/>
                <w:color w:val="auto"/>
                <w:shd w:val="clear" w:color="auto" w:fill="CDDEE7"/>
              </w:rPr>
              <w:t>$</w:t>
            </w:r>
          </w:p>
        </w:tc>
        <w:tc>
          <w:tcPr>
            <w:tcW w:w="640" w:type="dxa"/>
            <w:vAlign w:val="bottom"/>
            <w:shd w:val="clear" w:color="auto" w:fill="CDDEE7"/>
          </w:tcPr>
          <w:p>
            <w:pPr>
              <w:jc w:val="right"/>
              <w:spacing w:after="0"/>
              <w:rPr>
                <w:sz w:val="20"/>
                <w:szCs w:val="20"/>
                <w:color w:val="auto"/>
              </w:rPr>
            </w:pPr>
            <w:r>
              <w:rPr>
                <w:rFonts w:ascii="Arial" w:cs="Arial" w:eastAsia="Arial" w:hAnsi="Arial"/>
                <w:sz w:val="16"/>
                <w:szCs w:val="16"/>
                <w:b w:val="1"/>
                <w:bCs w:val="1"/>
                <w:color w:val="auto"/>
                <w:shd w:val="clear" w:color="auto" w:fill="CDDEE7"/>
              </w:rPr>
              <w:t>243.98</w:t>
            </w:r>
          </w:p>
        </w:tc>
        <w:tc>
          <w:tcPr>
            <w:tcW w:w="200" w:type="dxa"/>
            <w:vAlign w:val="bottom"/>
            <w:shd w:val="clear" w:color="auto" w:fill="CDDEE7"/>
          </w:tcPr>
          <w:p>
            <w:pPr>
              <w:jc w:val="right"/>
              <w:spacing w:after="0"/>
              <w:rPr>
                <w:sz w:val="20"/>
                <w:szCs w:val="20"/>
                <w:color w:val="auto"/>
              </w:rPr>
            </w:pPr>
            <w:r>
              <w:rPr>
                <w:rFonts w:ascii="Arial" w:cs="Arial" w:eastAsia="Arial" w:hAnsi="Arial"/>
                <w:sz w:val="16"/>
                <w:szCs w:val="16"/>
                <w:b w:val="1"/>
                <w:bCs w:val="1"/>
                <w:color w:val="auto"/>
                <w:shd w:val="clear" w:color="auto" w:fill="CDDEE7"/>
              </w:rPr>
              <w:t>$</w:t>
            </w:r>
          </w:p>
        </w:tc>
        <w:tc>
          <w:tcPr>
            <w:tcW w:w="580" w:type="dxa"/>
            <w:vAlign w:val="bottom"/>
            <w:shd w:val="clear" w:color="auto" w:fill="CDDEE7"/>
          </w:tcPr>
          <w:p>
            <w:pPr>
              <w:ind w:left="60"/>
              <w:spacing w:after="0"/>
              <w:rPr>
                <w:sz w:val="20"/>
                <w:szCs w:val="20"/>
                <w:color w:val="auto"/>
              </w:rPr>
            </w:pPr>
            <w:r>
              <w:rPr>
                <w:rFonts w:ascii="Arial" w:cs="Arial" w:eastAsia="Arial" w:hAnsi="Arial"/>
                <w:sz w:val="16"/>
                <w:szCs w:val="16"/>
                <w:b w:val="1"/>
                <w:bCs w:val="1"/>
                <w:color w:val="auto"/>
                <w:shd w:val="clear" w:color="auto" w:fill="CDDEE7"/>
              </w:rPr>
              <w:t>201.77</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160.18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ind w:left="60"/>
              <w:spacing w:after="0"/>
              <w:rPr>
                <w:sz w:val="20"/>
                <w:szCs w:val="20"/>
                <w:color w:val="auto"/>
              </w:rPr>
            </w:pPr>
            <w:r>
              <w:rPr>
                <w:rFonts w:ascii="Arial" w:cs="Arial" w:eastAsia="Arial" w:hAnsi="Arial"/>
                <w:sz w:val="16"/>
                <w:szCs w:val="16"/>
                <w:color w:val="auto"/>
              </w:rPr>
              <w:t>108.31</w:t>
            </w:r>
          </w:p>
        </w:tc>
      </w:tr>
      <w:tr>
        <w:trPr>
          <w:trHeight w:val="247"/>
        </w:trPr>
        <w:tc>
          <w:tcPr>
            <w:tcW w:w="2380" w:type="dxa"/>
            <w:vAlign w:val="bottom"/>
          </w:tcPr>
          <w:p>
            <w:pPr>
              <w:spacing w:after="0"/>
              <w:rPr>
                <w:sz w:val="20"/>
                <w:szCs w:val="20"/>
                <w:color w:val="auto"/>
              </w:rPr>
            </w:pPr>
            <w:r>
              <w:rPr>
                <w:rFonts w:ascii="Arial" w:cs="Arial" w:eastAsia="Arial" w:hAnsi="Arial"/>
                <w:sz w:val="16"/>
                <w:szCs w:val="16"/>
                <w:color w:val="auto"/>
              </w:rPr>
              <w:t>Second</w:t>
            </w:r>
          </w:p>
        </w:tc>
        <w:tc>
          <w:tcPr>
            <w:tcW w:w="200" w:type="dxa"/>
            <w:vAlign w:val="bottom"/>
            <w:shd w:val="clear" w:color="auto" w:fill="CDDEE7"/>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shd w:val="clear" w:color="auto" w:fill="CDDEE7"/>
          </w:tcPr>
          <w:p>
            <w:pPr>
              <w:jc w:val="right"/>
              <w:ind w:right="7"/>
              <w:spacing w:after="0"/>
              <w:rPr>
                <w:sz w:val="20"/>
                <w:szCs w:val="20"/>
                <w:color w:val="auto"/>
              </w:rPr>
            </w:pPr>
            <w:r>
              <w:rPr>
                <w:rFonts w:ascii="Arial" w:cs="Arial" w:eastAsia="Arial" w:hAnsi="Arial"/>
                <w:sz w:val="16"/>
                <w:szCs w:val="16"/>
                <w:b w:val="1"/>
                <w:bCs w:val="1"/>
                <w:color w:val="auto"/>
              </w:rPr>
              <w:t>2.26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1.91</w:t>
            </w:r>
          </w:p>
        </w:tc>
        <w:tc>
          <w:tcPr>
            <w:tcW w:w="220" w:type="dxa"/>
            <w:vAlign w:val="bottom"/>
            <w:shd w:val="clear" w:color="auto" w:fill="CDDEE7"/>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shd w:val="clear" w:color="auto" w:fill="CDDEE7"/>
          </w:tcPr>
          <w:p>
            <w:pPr>
              <w:jc w:val="right"/>
              <w:spacing w:after="0"/>
              <w:rPr>
                <w:sz w:val="20"/>
                <w:szCs w:val="20"/>
                <w:color w:val="auto"/>
              </w:rPr>
            </w:pPr>
            <w:r>
              <w:rPr>
                <w:rFonts w:ascii="Arial" w:cs="Arial" w:eastAsia="Arial" w:hAnsi="Arial"/>
                <w:sz w:val="16"/>
                <w:szCs w:val="16"/>
                <w:b w:val="1"/>
                <w:bCs w:val="1"/>
                <w:color w:val="auto"/>
              </w:rPr>
              <w:t>2.25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1.90</w:t>
            </w:r>
          </w:p>
        </w:tc>
        <w:tc>
          <w:tcPr>
            <w:tcW w:w="120" w:type="dxa"/>
            <w:vAlign w:val="bottom"/>
          </w:tcPr>
          <w:p>
            <w:pPr>
              <w:spacing w:after="0"/>
              <w:rPr>
                <w:sz w:val="21"/>
                <w:szCs w:val="21"/>
                <w:color w:val="auto"/>
              </w:rPr>
            </w:pPr>
          </w:p>
        </w:tc>
        <w:tc>
          <w:tcPr>
            <w:tcW w:w="240" w:type="dxa"/>
            <w:vAlign w:val="bottom"/>
            <w:shd w:val="clear" w:color="auto" w:fill="CDDEE7"/>
          </w:tcPr>
          <w:p>
            <w:pPr>
              <w:spacing w:after="0"/>
              <w:rPr>
                <w:sz w:val="21"/>
                <w:szCs w:val="21"/>
                <w:color w:val="auto"/>
              </w:rPr>
            </w:pPr>
          </w:p>
        </w:tc>
        <w:tc>
          <w:tcPr>
            <w:tcW w:w="660" w:type="dxa"/>
            <w:vAlign w:val="bottom"/>
            <w:shd w:val="clear" w:color="auto" w:fill="CDDEE7"/>
          </w:tcPr>
          <w:p>
            <w:pPr>
              <w:jc w:val="right"/>
              <w:ind w:right="2"/>
              <w:spacing w:after="0"/>
              <w:rPr>
                <w:sz w:val="20"/>
                <w:szCs w:val="20"/>
                <w:color w:val="auto"/>
              </w:rPr>
            </w:pPr>
            <w:r>
              <w:rPr>
                <w:rFonts w:ascii="Arial" w:cs="Arial" w:eastAsia="Arial" w:hAnsi="Arial"/>
                <w:sz w:val="16"/>
                <w:szCs w:val="16"/>
                <w:b w:val="1"/>
                <w:bCs w:val="1"/>
                <w:color w:val="auto"/>
              </w:rPr>
              <w:t>0.42</w:t>
            </w: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0.40</w:t>
            </w:r>
          </w:p>
        </w:tc>
        <w:tc>
          <w:tcPr>
            <w:tcW w:w="200" w:type="dxa"/>
            <w:vAlign w:val="bottom"/>
            <w:shd w:val="clear" w:color="auto" w:fill="CDDEE7"/>
          </w:tcPr>
          <w:p>
            <w:pPr>
              <w:jc w:val="right"/>
              <w:spacing w:after="0"/>
              <w:rPr>
                <w:sz w:val="20"/>
                <w:szCs w:val="20"/>
                <w:color w:val="auto"/>
              </w:rPr>
            </w:pPr>
            <w:r>
              <w:rPr>
                <w:rFonts w:ascii="Arial" w:cs="Arial" w:eastAsia="Arial" w:hAnsi="Arial"/>
                <w:sz w:val="16"/>
                <w:szCs w:val="16"/>
                <w:b w:val="1"/>
                <w:bCs w:val="1"/>
                <w:color w:val="auto"/>
                <w:shd w:val="clear" w:color="auto" w:fill="CDDEE7"/>
              </w:rPr>
              <w:t>$</w:t>
            </w:r>
          </w:p>
        </w:tc>
        <w:tc>
          <w:tcPr>
            <w:tcW w:w="640" w:type="dxa"/>
            <w:vAlign w:val="bottom"/>
            <w:shd w:val="clear" w:color="auto" w:fill="CDDEE7"/>
          </w:tcPr>
          <w:p>
            <w:pPr>
              <w:jc w:val="right"/>
              <w:spacing w:after="0"/>
              <w:rPr>
                <w:sz w:val="20"/>
                <w:szCs w:val="20"/>
                <w:color w:val="auto"/>
              </w:rPr>
            </w:pPr>
            <w:r>
              <w:rPr>
                <w:rFonts w:ascii="Arial" w:cs="Arial" w:eastAsia="Arial" w:hAnsi="Arial"/>
                <w:sz w:val="16"/>
                <w:szCs w:val="16"/>
                <w:b w:val="1"/>
                <w:bCs w:val="1"/>
                <w:color w:val="auto"/>
                <w:shd w:val="clear" w:color="auto" w:fill="CDDEE7"/>
              </w:rPr>
              <w:t>244.32</w:t>
            </w:r>
          </w:p>
        </w:tc>
        <w:tc>
          <w:tcPr>
            <w:tcW w:w="200" w:type="dxa"/>
            <w:vAlign w:val="bottom"/>
            <w:shd w:val="clear" w:color="auto" w:fill="CDDEE7"/>
          </w:tcPr>
          <w:p>
            <w:pPr>
              <w:jc w:val="right"/>
              <w:spacing w:after="0"/>
              <w:rPr>
                <w:sz w:val="20"/>
                <w:szCs w:val="20"/>
                <w:color w:val="auto"/>
              </w:rPr>
            </w:pPr>
            <w:r>
              <w:rPr>
                <w:rFonts w:ascii="Arial" w:cs="Arial" w:eastAsia="Arial" w:hAnsi="Arial"/>
                <w:sz w:val="16"/>
                <w:szCs w:val="16"/>
                <w:b w:val="1"/>
                <w:bCs w:val="1"/>
                <w:color w:val="auto"/>
                <w:shd w:val="clear" w:color="auto" w:fill="CDDEE7"/>
              </w:rPr>
              <w:t>$</w:t>
            </w:r>
          </w:p>
        </w:tc>
        <w:tc>
          <w:tcPr>
            <w:tcW w:w="580" w:type="dxa"/>
            <w:vAlign w:val="bottom"/>
            <w:shd w:val="clear" w:color="auto" w:fill="CDDEE7"/>
          </w:tcPr>
          <w:p>
            <w:pPr>
              <w:ind w:left="60"/>
              <w:spacing w:after="0"/>
              <w:rPr>
                <w:sz w:val="20"/>
                <w:szCs w:val="20"/>
                <w:color w:val="auto"/>
              </w:rPr>
            </w:pPr>
            <w:r>
              <w:rPr>
                <w:rFonts w:ascii="Arial" w:cs="Arial" w:eastAsia="Arial" w:hAnsi="Arial"/>
                <w:sz w:val="16"/>
                <w:szCs w:val="16"/>
                <w:b w:val="1"/>
                <w:bCs w:val="1"/>
                <w:color w:val="auto"/>
                <w:shd w:val="clear" w:color="auto" w:fill="CDDEE7"/>
              </w:rPr>
              <w:t>209.43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193.87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ind w:left="60"/>
              <w:spacing w:after="0"/>
              <w:rPr>
                <w:sz w:val="20"/>
                <w:szCs w:val="20"/>
                <w:color w:val="auto"/>
              </w:rPr>
            </w:pPr>
            <w:r>
              <w:rPr>
                <w:rFonts w:ascii="Arial" w:cs="Arial" w:eastAsia="Arial" w:hAnsi="Arial"/>
                <w:sz w:val="16"/>
                <w:szCs w:val="16"/>
                <w:color w:val="auto"/>
              </w:rPr>
              <w:t>156.35</w:t>
            </w:r>
          </w:p>
        </w:tc>
      </w:tr>
      <w:tr>
        <w:trPr>
          <w:trHeight w:val="247"/>
        </w:trPr>
        <w:tc>
          <w:tcPr>
            <w:tcW w:w="2380" w:type="dxa"/>
            <w:vAlign w:val="bottom"/>
          </w:tcPr>
          <w:p>
            <w:pPr>
              <w:spacing w:after="0"/>
              <w:rPr>
                <w:sz w:val="20"/>
                <w:szCs w:val="20"/>
                <w:color w:val="auto"/>
              </w:rPr>
            </w:pPr>
            <w:r>
              <w:rPr>
                <w:rFonts w:ascii="Arial" w:cs="Arial" w:eastAsia="Arial" w:hAnsi="Arial"/>
                <w:sz w:val="16"/>
                <w:szCs w:val="16"/>
                <w:color w:val="auto"/>
              </w:rPr>
              <w:t>Third</w:t>
            </w:r>
          </w:p>
        </w:tc>
        <w:tc>
          <w:tcPr>
            <w:tcW w:w="200" w:type="dxa"/>
            <w:vAlign w:val="bottom"/>
            <w:shd w:val="clear" w:color="auto" w:fill="CDDEE7"/>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shd w:val="clear" w:color="auto" w:fill="CDDEE7"/>
          </w:tcPr>
          <w:p>
            <w:pPr>
              <w:jc w:val="right"/>
              <w:ind w:right="7"/>
              <w:spacing w:after="0"/>
              <w:rPr>
                <w:sz w:val="20"/>
                <w:szCs w:val="20"/>
                <w:color w:val="auto"/>
              </w:rPr>
            </w:pPr>
            <w:r>
              <w:rPr>
                <w:rFonts w:ascii="Arial" w:cs="Arial" w:eastAsia="Arial" w:hAnsi="Arial"/>
                <w:sz w:val="16"/>
                <w:szCs w:val="16"/>
                <w:b w:val="1"/>
                <w:bCs w:val="1"/>
                <w:color w:val="auto"/>
              </w:rPr>
              <w:t>2.40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2.50</w:t>
            </w:r>
          </w:p>
        </w:tc>
        <w:tc>
          <w:tcPr>
            <w:tcW w:w="220" w:type="dxa"/>
            <w:vAlign w:val="bottom"/>
            <w:shd w:val="clear" w:color="auto" w:fill="CDDEE7"/>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shd w:val="clear" w:color="auto" w:fill="CDDEE7"/>
          </w:tcPr>
          <w:p>
            <w:pPr>
              <w:jc w:val="right"/>
              <w:spacing w:after="0"/>
              <w:rPr>
                <w:sz w:val="20"/>
                <w:szCs w:val="20"/>
                <w:color w:val="auto"/>
              </w:rPr>
            </w:pPr>
            <w:r>
              <w:rPr>
                <w:rFonts w:ascii="Arial" w:cs="Arial" w:eastAsia="Arial" w:hAnsi="Arial"/>
                <w:sz w:val="16"/>
                <w:szCs w:val="16"/>
                <w:b w:val="1"/>
                <w:bCs w:val="1"/>
                <w:color w:val="auto"/>
              </w:rPr>
              <w:t>2.39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2.49</w:t>
            </w:r>
          </w:p>
        </w:tc>
        <w:tc>
          <w:tcPr>
            <w:tcW w:w="120" w:type="dxa"/>
            <w:vAlign w:val="bottom"/>
          </w:tcPr>
          <w:p>
            <w:pPr>
              <w:spacing w:after="0"/>
              <w:rPr>
                <w:sz w:val="21"/>
                <w:szCs w:val="21"/>
                <w:color w:val="auto"/>
              </w:rPr>
            </w:pPr>
          </w:p>
        </w:tc>
        <w:tc>
          <w:tcPr>
            <w:tcW w:w="240" w:type="dxa"/>
            <w:vAlign w:val="bottom"/>
            <w:shd w:val="clear" w:color="auto" w:fill="CDDEE7"/>
          </w:tcPr>
          <w:p>
            <w:pPr>
              <w:spacing w:after="0"/>
              <w:rPr>
                <w:sz w:val="21"/>
                <w:szCs w:val="21"/>
                <w:color w:val="auto"/>
              </w:rPr>
            </w:pPr>
          </w:p>
        </w:tc>
        <w:tc>
          <w:tcPr>
            <w:tcW w:w="660" w:type="dxa"/>
            <w:vAlign w:val="bottom"/>
            <w:shd w:val="clear" w:color="auto" w:fill="CDDEE7"/>
          </w:tcPr>
          <w:p>
            <w:pPr>
              <w:jc w:val="right"/>
              <w:ind w:right="2"/>
              <w:spacing w:after="0"/>
              <w:rPr>
                <w:sz w:val="20"/>
                <w:szCs w:val="20"/>
                <w:color w:val="auto"/>
              </w:rPr>
            </w:pPr>
            <w:r>
              <w:rPr>
                <w:rFonts w:ascii="Arial" w:cs="Arial" w:eastAsia="Arial" w:hAnsi="Arial"/>
                <w:sz w:val="16"/>
                <w:szCs w:val="16"/>
                <w:b w:val="1"/>
                <w:bCs w:val="1"/>
                <w:color w:val="auto"/>
              </w:rPr>
              <w:t>0.44</w:t>
            </w: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0.42</w:t>
            </w:r>
          </w:p>
        </w:tc>
        <w:tc>
          <w:tcPr>
            <w:tcW w:w="200" w:type="dxa"/>
            <w:vAlign w:val="bottom"/>
            <w:shd w:val="clear" w:color="auto" w:fill="CDDEE7"/>
          </w:tcPr>
          <w:p>
            <w:pPr>
              <w:jc w:val="right"/>
              <w:spacing w:after="0"/>
              <w:rPr>
                <w:sz w:val="20"/>
                <w:szCs w:val="20"/>
                <w:color w:val="auto"/>
              </w:rPr>
            </w:pPr>
            <w:r>
              <w:rPr>
                <w:rFonts w:ascii="Arial" w:cs="Arial" w:eastAsia="Arial" w:hAnsi="Arial"/>
                <w:sz w:val="16"/>
                <w:szCs w:val="16"/>
                <w:b w:val="1"/>
                <w:bCs w:val="1"/>
                <w:color w:val="auto"/>
                <w:shd w:val="clear" w:color="auto" w:fill="CDDEE7"/>
              </w:rPr>
              <w:t>$</w:t>
            </w:r>
          </w:p>
        </w:tc>
        <w:tc>
          <w:tcPr>
            <w:tcW w:w="640" w:type="dxa"/>
            <w:vAlign w:val="bottom"/>
            <w:shd w:val="clear" w:color="auto" w:fill="CDDEE7"/>
          </w:tcPr>
          <w:p>
            <w:pPr>
              <w:jc w:val="right"/>
              <w:spacing w:after="0"/>
              <w:rPr>
                <w:sz w:val="20"/>
                <w:szCs w:val="20"/>
                <w:color w:val="auto"/>
              </w:rPr>
            </w:pPr>
            <w:r>
              <w:rPr>
                <w:rFonts w:ascii="Arial" w:cs="Arial" w:eastAsia="Arial" w:hAnsi="Arial"/>
                <w:sz w:val="16"/>
                <w:szCs w:val="16"/>
                <w:b w:val="1"/>
                <w:bCs w:val="1"/>
                <w:color w:val="auto"/>
                <w:shd w:val="clear" w:color="auto" w:fill="CDDEE7"/>
              </w:rPr>
              <w:t>231.00</w:t>
            </w:r>
          </w:p>
        </w:tc>
        <w:tc>
          <w:tcPr>
            <w:tcW w:w="200" w:type="dxa"/>
            <w:vAlign w:val="bottom"/>
            <w:shd w:val="clear" w:color="auto" w:fill="CDDEE7"/>
          </w:tcPr>
          <w:p>
            <w:pPr>
              <w:jc w:val="right"/>
              <w:spacing w:after="0"/>
              <w:rPr>
                <w:sz w:val="20"/>
                <w:szCs w:val="20"/>
                <w:color w:val="auto"/>
              </w:rPr>
            </w:pPr>
            <w:r>
              <w:rPr>
                <w:rFonts w:ascii="Arial" w:cs="Arial" w:eastAsia="Arial" w:hAnsi="Arial"/>
                <w:sz w:val="16"/>
                <w:szCs w:val="16"/>
                <w:b w:val="1"/>
                <w:bCs w:val="1"/>
                <w:color w:val="auto"/>
                <w:shd w:val="clear" w:color="auto" w:fill="CDDEE7"/>
              </w:rPr>
              <w:t>$</w:t>
            </w:r>
          </w:p>
        </w:tc>
        <w:tc>
          <w:tcPr>
            <w:tcW w:w="580" w:type="dxa"/>
            <w:vAlign w:val="bottom"/>
            <w:shd w:val="clear" w:color="auto" w:fill="CDDEE7"/>
          </w:tcPr>
          <w:p>
            <w:pPr>
              <w:ind w:left="60"/>
              <w:spacing w:after="0"/>
              <w:rPr>
                <w:sz w:val="20"/>
                <w:szCs w:val="20"/>
                <w:color w:val="auto"/>
              </w:rPr>
            </w:pPr>
            <w:r>
              <w:rPr>
                <w:rFonts w:ascii="Arial" w:cs="Arial" w:eastAsia="Arial" w:hAnsi="Arial"/>
                <w:sz w:val="16"/>
                <w:szCs w:val="16"/>
                <w:b w:val="1"/>
                <w:bCs w:val="1"/>
                <w:color w:val="auto"/>
                <w:shd w:val="clear" w:color="auto" w:fill="CDDEE7"/>
              </w:rPr>
              <w:t>191.09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206.36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ind w:left="60"/>
              <w:spacing w:after="0"/>
              <w:rPr>
                <w:sz w:val="20"/>
                <w:szCs w:val="20"/>
                <w:color w:val="auto"/>
              </w:rPr>
            </w:pPr>
            <w:r>
              <w:rPr>
                <w:rFonts w:ascii="Arial" w:cs="Arial" w:eastAsia="Arial" w:hAnsi="Arial"/>
                <w:sz w:val="16"/>
                <w:szCs w:val="16"/>
                <w:color w:val="auto"/>
              </w:rPr>
              <w:t>172.49</w:t>
            </w:r>
          </w:p>
        </w:tc>
      </w:tr>
      <w:tr>
        <w:trPr>
          <w:trHeight w:val="247"/>
        </w:trPr>
        <w:tc>
          <w:tcPr>
            <w:tcW w:w="2380" w:type="dxa"/>
            <w:vAlign w:val="bottom"/>
          </w:tcPr>
          <w:p>
            <w:pPr>
              <w:spacing w:after="0"/>
              <w:rPr>
                <w:sz w:val="20"/>
                <w:szCs w:val="20"/>
                <w:color w:val="auto"/>
              </w:rPr>
            </w:pPr>
            <w:r>
              <w:rPr>
                <w:rFonts w:ascii="Arial" w:cs="Arial" w:eastAsia="Arial" w:hAnsi="Arial"/>
                <w:sz w:val="16"/>
                <w:szCs w:val="16"/>
                <w:color w:val="auto"/>
              </w:rPr>
              <w:t>Fourth</w:t>
            </w:r>
          </w:p>
        </w:tc>
        <w:tc>
          <w:tcPr>
            <w:tcW w:w="200" w:type="dxa"/>
            <w:vAlign w:val="bottom"/>
            <w:tcBorders>
              <w:bottom w:val="single" w:sz="8" w:color="CDDEE7"/>
            </w:tcBorders>
            <w:shd w:val="clear" w:color="auto" w:fill="CDDEE7"/>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CDDEE7"/>
            </w:tcBorders>
            <w:shd w:val="clear" w:color="auto" w:fill="CDDEE7"/>
          </w:tcPr>
          <w:p>
            <w:pPr>
              <w:jc w:val="right"/>
              <w:ind w:right="7"/>
              <w:spacing w:after="0"/>
              <w:rPr>
                <w:sz w:val="20"/>
                <w:szCs w:val="20"/>
                <w:color w:val="auto"/>
              </w:rPr>
            </w:pPr>
            <w:r>
              <w:rPr>
                <w:rFonts w:ascii="Arial" w:cs="Arial" w:eastAsia="Arial" w:hAnsi="Arial"/>
                <w:sz w:val="16"/>
                <w:szCs w:val="16"/>
                <w:b w:val="1"/>
                <w:bCs w:val="1"/>
                <w:color w:val="auto"/>
              </w:rPr>
              <w:t>5.98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1.56</w:t>
            </w:r>
          </w:p>
        </w:tc>
        <w:tc>
          <w:tcPr>
            <w:tcW w:w="220" w:type="dxa"/>
            <w:vAlign w:val="bottom"/>
            <w:tcBorders>
              <w:bottom w:val="single" w:sz="8" w:color="CDDEE7"/>
            </w:tcBorders>
            <w:shd w:val="clear" w:color="auto" w:fill="CDDEE7"/>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CDDEE7"/>
            </w:tcBorders>
            <w:shd w:val="clear" w:color="auto" w:fill="CDDEE7"/>
          </w:tcPr>
          <w:p>
            <w:pPr>
              <w:jc w:val="right"/>
              <w:spacing w:after="0"/>
              <w:rPr>
                <w:sz w:val="20"/>
                <w:szCs w:val="20"/>
                <w:color w:val="auto"/>
              </w:rPr>
            </w:pPr>
            <w:r>
              <w:rPr>
                <w:rFonts w:ascii="Arial" w:cs="Arial" w:eastAsia="Arial" w:hAnsi="Arial"/>
                <w:sz w:val="16"/>
                <w:szCs w:val="16"/>
                <w:b w:val="1"/>
                <w:bCs w:val="1"/>
                <w:color w:val="auto"/>
              </w:rPr>
              <w:t>5.95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1.55</w:t>
            </w:r>
          </w:p>
        </w:tc>
        <w:tc>
          <w:tcPr>
            <w:tcW w:w="120" w:type="dxa"/>
            <w:vAlign w:val="bottom"/>
          </w:tcPr>
          <w:p>
            <w:pPr>
              <w:spacing w:after="0"/>
              <w:rPr>
                <w:sz w:val="21"/>
                <w:szCs w:val="21"/>
                <w:color w:val="auto"/>
              </w:rPr>
            </w:pPr>
          </w:p>
        </w:tc>
        <w:tc>
          <w:tcPr>
            <w:tcW w:w="240" w:type="dxa"/>
            <w:vAlign w:val="bottom"/>
            <w:tcBorders>
              <w:bottom w:val="single" w:sz="8" w:color="auto"/>
            </w:tcBorders>
            <w:shd w:val="clear" w:color="auto" w:fill="CDDEE7"/>
          </w:tcPr>
          <w:p>
            <w:pPr>
              <w:spacing w:after="0"/>
              <w:rPr>
                <w:sz w:val="21"/>
                <w:szCs w:val="21"/>
                <w:color w:val="auto"/>
              </w:rPr>
            </w:pPr>
          </w:p>
        </w:tc>
        <w:tc>
          <w:tcPr>
            <w:tcW w:w="660" w:type="dxa"/>
            <w:vAlign w:val="bottom"/>
            <w:tcBorders>
              <w:bottom w:val="single" w:sz="8" w:color="auto"/>
            </w:tcBorders>
            <w:shd w:val="clear" w:color="auto" w:fill="CDDEE7"/>
          </w:tcPr>
          <w:p>
            <w:pPr>
              <w:jc w:val="right"/>
              <w:ind w:right="2"/>
              <w:spacing w:after="0"/>
              <w:rPr>
                <w:sz w:val="20"/>
                <w:szCs w:val="20"/>
                <w:color w:val="auto"/>
              </w:rPr>
            </w:pPr>
            <w:r>
              <w:rPr>
                <w:rFonts w:ascii="Arial" w:cs="Arial" w:eastAsia="Arial" w:hAnsi="Arial"/>
                <w:sz w:val="16"/>
                <w:szCs w:val="16"/>
                <w:b w:val="1"/>
                <w:bCs w:val="1"/>
                <w:color w:val="auto"/>
              </w:rPr>
              <w:t>0.44</w:t>
            </w:r>
          </w:p>
        </w:tc>
        <w:tc>
          <w:tcPr>
            <w:tcW w:w="2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0.42</w:t>
            </w:r>
          </w:p>
        </w:tc>
        <w:tc>
          <w:tcPr>
            <w:tcW w:w="200" w:type="dxa"/>
            <w:vAlign w:val="bottom"/>
            <w:shd w:val="clear" w:color="auto" w:fill="CDDEE7"/>
          </w:tcPr>
          <w:p>
            <w:pPr>
              <w:jc w:val="right"/>
              <w:spacing w:after="0"/>
              <w:rPr>
                <w:sz w:val="20"/>
                <w:szCs w:val="20"/>
                <w:color w:val="auto"/>
              </w:rPr>
            </w:pPr>
            <w:r>
              <w:rPr>
                <w:rFonts w:ascii="Arial" w:cs="Arial" w:eastAsia="Arial" w:hAnsi="Arial"/>
                <w:sz w:val="16"/>
                <w:szCs w:val="16"/>
                <w:b w:val="1"/>
                <w:bCs w:val="1"/>
                <w:color w:val="auto"/>
                <w:shd w:val="clear" w:color="auto" w:fill="CDDEE7"/>
              </w:rPr>
              <w:t>$</w:t>
            </w:r>
          </w:p>
        </w:tc>
        <w:tc>
          <w:tcPr>
            <w:tcW w:w="640" w:type="dxa"/>
            <w:vAlign w:val="bottom"/>
            <w:shd w:val="clear" w:color="auto" w:fill="CDDEE7"/>
          </w:tcPr>
          <w:p>
            <w:pPr>
              <w:jc w:val="right"/>
              <w:spacing w:after="0"/>
              <w:rPr>
                <w:sz w:val="20"/>
                <w:szCs w:val="20"/>
                <w:color w:val="auto"/>
              </w:rPr>
            </w:pPr>
            <w:r>
              <w:rPr>
                <w:rFonts w:ascii="Arial" w:cs="Arial" w:eastAsia="Arial" w:hAnsi="Arial"/>
                <w:sz w:val="16"/>
                <w:szCs w:val="16"/>
                <w:b w:val="1"/>
                <w:bCs w:val="1"/>
                <w:color w:val="auto"/>
                <w:shd w:val="clear" w:color="auto" w:fill="CDDEE7"/>
              </w:rPr>
              <w:t>222.45</w:t>
            </w:r>
          </w:p>
        </w:tc>
        <w:tc>
          <w:tcPr>
            <w:tcW w:w="200" w:type="dxa"/>
            <w:vAlign w:val="bottom"/>
            <w:shd w:val="clear" w:color="auto" w:fill="CDDEE7"/>
          </w:tcPr>
          <w:p>
            <w:pPr>
              <w:jc w:val="right"/>
              <w:spacing w:after="0"/>
              <w:rPr>
                <w:sz w:val="20"/>
                <w:szCs w:val="20"/>
                <w:color w:val="auto"/>
              </w:rPr>
            </w:pPr>
            <w:r>
              <w:rPr>
                <w:rFonts w:ascii="Arial" w:cs="Arial" w:eastAsia="Arial" w:hAnsi="Arial"/>
                <w:sz w:val="16"/>
                <w:szCs w:val="16"/>
                <w:b w:val="1"/>
                <w:bCs w:val="1"/>
                <w:color w:val="auto"/>
                <w:shd w:val="clear" w:color="auto" w:fill="CDDEE7"/>
              </w:rPr>
              <w:t>$</w:t>
            </w:r>
          </w:p>
        </w:tc>
        <w:tc>
          <w:tcPr>
            <w:tcW w:w="580" w:type="dxa"/>
            <w:vAlign w:val="bottom"/>
            <w:shd w:val="clear" w:color="auto" w:fill="CDDEE7"/>
          </w:tcPr>
          <w:p>
            <w:pPr>
              <w:ind w:left="60"/>
              <w:spacing w:after="0"/>
              <w:rPr>
                <w:sz w:val="20"/>
                <w:szCs w:val="20"/>
                <w:color w:val="auto"/>
              </w:rPr>
            </w:pPr>
            <w:r>
              <w:rPr>
                <w:rFonts w:ascii="Arial" w:cs="Arial" w:eastAsia="Arial" w:hAnsi="Arial"/>
                <w:sz w:val="16"/>
                <w:szCs w:val="16"/>
                <w:b w:val="1"/>
                <w:bCs w:val="1"/>
                <w:color w:val="auto"/>
                <w:shd w:val="clear" w:color="auto" w:fill="CDDEE7"/>
              </w:rPr>
              <w:t>200.27</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236.41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ind w:left="60"/>
              <w:spacing w:after="0"/>
              <w:rPr>
                <w:sz w:val="20"/>
                <w:szCs w:val="20"/>
                <w:color w:val="auto"/>
              </w:rPr>
            </w:pPr>
            <w:r>
              <w:rPr>
                <w:rFonts w:ascii="Arial" w:cs="Arial" w:eastAsia="Arial" w:hAnsi="Arial"/>
                <w:sz w:val="16"/>
                <w:szCs w:val="16"/>
                <w:color w:val="auto"/>
              </w:rPr>
              <w:t>167.06</w:t>
            </w:r>
          </w:p>
        </w:tc>
      </w:tr>
      <w:tr>
        <w:trPr>
          <w:trHeight w:val="233"/>
        </w:trPr>
        <w:tc>
          <w:tcPr>
            <w:tcW w:w="2380" w:type="dxa"/>
            <w:vAlign w:val="bottom"/>
          </w:tcPr>
          <w:p>
            <w:pPr>
              <w:spacing w:after="0"/>
              <w:rPr>
                <w:sz w:val="20"/>
                <w:szCs w:val="20"/>
                <w:color w:val="auto"/>
              </w:rPr>
            </w:pPr>
            <w:r>
              <w:rPr>
                <w:rFonts w:ascii="Arial" w:cs="Arial" w:eastAsia="Arial" w:hAnsi="Arial"/>
                <w:sz w:val="16"/>
                <w:szCs w:val="16"/>
                <w:color w:val="auto"/>
              </w:rPr>
              <w:t>Full Year</w:t>
            </w:r>
          </w:p>
        </w:tc>
        <w:tc>
          <w:tcPr>
            <w:tcW w:w="200" w:type="dxa"/>
            <w:vAlign w:val="bottom"/>
            <w:tcBorders>
              <w:bottom w:val="single" w:sz="8" w:color="CDDEE7"/>
            </w:tcBorders>
            <w:shd w:val="clear" w:color="auto" w:fill="CDDEE7"/>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CDDEE7"/>
            </w:tcBorders>
            <w:shd w:val="clear" w:color="auto" w:fill="CDDEE7"/>
          </w:tcPr>
          <w:p>
            <w:pPr>
              <w:jc w:val="right"/>
              <w:ind w:right="7"/>
              <w:spacing w:after="0"/>
              <w:rPr>
                <w:sz w:val="20"/>
                <w:szCs w:val="20"/>
                <w:color w:val="auto"/>
              </w:rPr>
            </w:pPr>
            <w:r>
              <w:rPr>
                <w:rFonts w:ascii="Arial" w:cs="Arial" w:eastAsia="Arial" w:hAnsi="Arial"/>
                <w:sz w:val="16"/>
                <w:szCs w:val="16"/>
                <w:b w:val="1"/>
                <w:bCs w:val="1"/>
                <w:color w:val="auto"/>
              </w:rPr>
              <w:t>11.30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6.66</w:t>
            </w:r>
          </w:p>
        </w:tc>
        <w:tc>
          <w:tcPr>
            <w:tcW w:w="220" w:type="dxa"/>
            <w:vAlign w:val="bottom"/>
            <w:tcBorders>
              <w:bottom w:val="single" w:sz="8" w:color="CDDEE7"/>
            </w:tcBorders>
            <w:shd w:val="clear" w:color="auto" w:fill="CDDEE7"/>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CDDEE7"/>
            </w:tcBorders>
            <w:shd w:val="clear" w:color="auto" w:fill="CDDEE7"/>
          </w:tcPr>
          <w:p>
            <w:pPr>
              <w:jc w:val="right"/>
              <w:spacing w:after="0"/>
              <w:rPr>
                <w:sz w:val="20"/>
                <w:szCs w:val="20"/>
                <w:color w:val="auto"/>
              </w:rPr>
            </w:pPr>
            <w:r>
              <w:rPr>
                <w:rFonts w:ascii="Arial" w:cs="Arial" w:eastAsia="Arial" w:hAnsi="Arial"/>
                <w:sz w:val="16"/>
                <w:szCs w:val="16"/>
                <w:b w:val="1"/>
                <w:bCs w:val="1"/>
                <w:color w:val="auto"/>
              </w:rPr>
              <w:t>11.25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6.63</w:t>
            </w:r>
          </w:p>
        </w:tc>
        <w:tc>
          <w:tcPr>
            <w:tcW w:w="120" w:type="dxa"/>
            <w:vAlign w:val="bottom"/>
          </w:tcPr>
          <w:p>
            <w:pPr>
              <w:spacing w:after="0"/>
              <w:rPr>
                <w:sz w:val="20"/>
                <w:szCs w:val="20"/>
                <w:color w:val="auto"/>
              </w:rPr>
            </w:pPr>
          </w:p>
        </w:tc>
        <w:tc>
          <w:tcPr>
            <w:tcW w:w="240" w:type="dxa"/>
            <w:vAlign w:val="bottom"/>
            <w:tcBorders>
              <w:bottom w:val="single" w:sz="8" w:color="auto"/>
            </w:tcBorders>
            <w:shd w:val="clear" w:color="auto" w:fill="CDDEE7"/>
          </w:tcPr>
          <w:p>
            <w:pPr>
              <w:jc w:val="right"/>
              <w:spacing w:after="0"/>
              <w:rPr>
                <w:sz w:val="20"/>
                <w:szCs w:val="20"/>
                <w:color w:val="auto"/>
              </w:rPr>
            </w:pPr>
            <w:r>
              <w:rPr>
                <w:rFonts w:ascii="Arial" w:cs="Arial" w:eastAsia="Arial" w:hAnsi="Arial"/>
                <w:sz w:val="16"/>
                <w:szCs w:val="16"/>
                <w:b w:val="1"/>
                <w:bCs w:val="1"/>
                <w:color w:val="auto"/>
              </w:rPr>
              <w:t>$</w:t>
            </w:r>
          </w:p>
        </w:tc>
        <w:tc>
          <w:tcPr>
            <w:tcW w:w="660" w:type="dxa"/>
            <w:vAlign w:val="bottom"/>
            <w:tcBorders>
              <w:bottom w:val="single" w:sz="8" w:color="auto"/>
            </w:tcBorders>
            <w:shd w:val="clear" w:color="auto" w:fill="CDDEE7"/>
          </w:tcPr>
          <w:p>
            <w:pPr>
              <w:jc w:val="right"/>
              <w:ind w:right="2"/>
              <w:spacing w:after="0"/>
              <w:rPr>
                <w:sz w:val="20"/>
                <w:szCs w:val="20"/>
                <w:color w:val="auto"/>
              </w:rPr>
            </w:pPr>
            <w:r>
              <w:rPr>
                <w:rFonts w:ascii="Arial" w:cs="Arial" w:eastAsia="Arial" w:hAnsi="Arial"/>
                <w:sz w:val="16"/>
                <w:szCs w:val="16"/>
                <w:b w:val="1"/>
                <w:bCs w:val="1"/>
                <w:color w:val="auto"/>
              </w:rPr>
              <w:t>1.72</w:t>
            </w:r>
          </w:p>
        </w:tc>
        <w:tc>
          <w:tcPr>
            <w:tcW w:w="2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w:t>
            </w: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r>
    </w:tbl>
    <w:p>
      <w:pPr>
        <w:spacing w:after="0" w:line="228" w:lineRule="exact"/>
        <w:rPr>
          <w:sz w:val="20"/>
          <w:szCs w:val="20"/>
          <w:color w:val="auto"/>
        </w:rPr>
      </w:pPr>
    </w:p>
    <w:p>
      <w:pPr>
        <w:ind w:left="100" w:hanging="96"/>
        <w:spacing w:after="0"/>
        <w:tabs>
          <w:tab w:leader="none" w:pos="100" w:val="left"/>
        </w:tabs>
        <w:numPr>
          <w:ilvl w:val="0"/>
          <w:numId w:val="38"/>
        </w:numPr>
        <w:rPr>
          <w:rFonts w:ascii="Arial" w:cs="Arial" w:eastAsia="Arial" w:hAnsi="Arial"/>
          <w:sz w:val="10"/>
          <w:szCs w:val="10"/>
          <w:color w:val="auto"/>
        </w:rPr>
      </w:pPr>
      <w:r>
        <w:rPr>
          <w:rFonts w:ascii="Arial" w:cs="Arial" w:eastAsia="Arial" w:hAnsi="Arial"/>
          <w:sz w:val="12"/>
          <w:szCs w:val="12"/>
          <w:color w:val="auto"/>
        </w:rPr>
        <w:t>The sum of per-share earnings by quarter may not equal earnings per share for the year due to changes in average share calculations. This is in accordance with prescribed reporting requirements.</w:t>
      </w:r>
    </w:p>
    <w:p>
      <w:pPr>
        <w:spacing w:after="0" w:line="70" w:lineRule="exact"/>
        <w:rPr>
          <w:sz w:val="20"/>
          <w:szCs w:val="20"/>
          <w:color w:val="auto"/>
        </w:rPr>
      </w:pPr>
    </w:p>
    <w:p>
      <w:pPr>
        <w:ind w:left="100" w:hanging="96"/>
        <w:spacing w:after="0" w:line="239" w:lineRule="auto"/>
        <w:tabs>
          <w:tab w:leader="none" w:pos="100" w:val="left"/>
        </w:tabs>
        <w:numPr>
          <w:ilvl w:val="0"/>
          <w:numId w:val="39"/>
        </w:numPr>
        <w:rPr>
          <w:rFonts w:ascii="Arial" w:cs="Arial" w:eastAsia="Arial" w:hAnsi="Arial"/>
          <w:sz w:val="10"/>
          <w:szCs w:val="10"/>
          <w:color w:val="auto"/>
        </w:rPr>
      </w:pPr>
      <w:r>
        <w:rPr>
          <w:rFonts w:ascii="Arial" w:cs="Arial" w:eastAsia="Arial" w:hAnsi="Arial"/>
          <w:sz w:val="12"/>
          <w:szCs w:val="12"/>
          <w:color w:val="auto"/>
        </w:rPr>
        <w:t>Consolidated net earnings, net earnings attributable to Martin Marietta, and basic and diluted earnings per common share in the second quarter of 2017 were reduced by $3.8 million, or $0.06 per basic and diluted share, as a result of expense related to a retirement agreement and increased by $8.3 million, or $0.13 per basic and diluted share, as a result of a gain on the sale of real property.</w:t>
      </w:r>
    </w:p>
    <w:p>
      <w:pPr>
        <w:spacing w:after="0" w:line="63" w:lineRule="exact"/>
        <w:rPr>
          <w:sz w:val="20"/>
          <w:szCs w:val="20"/>
          <w:color w:val="auto"/>
        </w:rPr>
      </w:pPr>
    </w:p>
    <w:p>
      <w:pPr>
        <w:ind w:left="100" w:hanging="96"/>
        <w:spacing w:after="0" w:line="239" w:lineRule="auto"/>
        <w:tabs>
          <w:tab w:leader="none" w:pos="100" w:val="left"/>
        </w:tabs>
        <w:numPr>
          <w:ilvl w:val="0"/>
          <w:numId w:val="40"/>
        </w:numPr>
        <w:rPr>
          <w:rFonts w:ascii="Arial" w:cs="Arial" w:eastAsia="Arial" w:hAnsi="Arial"/>
          <w:sz w:val="10"/>
          <w:szCs w:val="10"/>
          <w:color w:val="auto"/>
        </w:rPr>
      </w:pPr>
      <w:r>
        <w:rPr>
          <w:rFonts w:ascii="Arial" w:cs="Arial" w:eastAsia="Arial" w:hAnsi="Arial"/>
          <w:sz w:val="12"/>
          <w:szCs w:val="12"/>
          <w:color w:val="auto"/>
        </w:rPr>
        <w:t>Consolidated net earnings, net earnings attributable to Martin Marietta, and basic and diluted earnings per common share in the third quarter of 2017 were reduced by $7.9 million, or $0.13 per basic and diluted share, as a result of nonrecurring repair costs related to certain of the Company’s leased railcars.</w:t>
      </w:r>
    </w:p>
    <w:p>
      <w:pPr>
        <w:spacing w:after="0" w:line="63" w:lineRule="exact"/>
        <w:rPr>
          <w:sz w:val="20"/>
          <w:szCs w:val="20"/>
          <w:color w:val="auto"/>
        </w:rPr>
      </w:pPr>
    </w:p>
    <w:p>
      <w:pPr>
        <w:ind w:left="100" w:hanging="96"/>
        <w:spacing w:after="0" w:line="239" w:lineRule="auto"/>
        <w:tabs>
          <w:tab w:leader="none" w:pos="100" w:val="left"/>
        </w:tabs>
        <w:numPr>
          <w:ilvl w:val="0"/>
          <w:numId w:val="41"/>
        </w:numPr>
        <w:rPr>
          <w:rFonts w:ascii="Arial" w:cs="Arial" w:eastAsia="Arial" w:hAnsi="Arial"/>
          <w:sz w:val="10"/>
          <w:szCs w:val="10"/>
          <w:color w:val="auto"/>
        </w:rPr>
      </w:pPr>
      <w:r>
        <w:rPr>
          <w:rFonts w:ascii="Arial" w:cs="Arial" w:eastAsia="Arial" w:hAnsi="Arial"/>
          <w:sz w:val="12"/>
          <w:szCs w:val="12"/>
          <w:color w:val="auto"/>
        </w:rPr>
        <w:t>Consolidated net earnings, net earnings attributable to Martin Marietta, and basic and diluted earnings per common share in the fourth quarter of 2017 were increased by $258.1 million, or $4.09 and $4.07 per basic and diluted share, respectively, as a result of the impact of the 2017 Tax Act.</w:t>
      </w:r>
    </w:p>
    <w:p>
      <w:pPr>
        <w:spacing w:after="0" w:line="63" w:lineRule="exact"/>
        <w:rPr>
          <w:sz w:val="20"/>
          <w:szCs w:val="20"/>
          <w:color w:val="auto"/>
        </w:rPr>
      </w:pPr>
    </w:p>
    <w:p>
      <w:pPr>
        <w:ind w:left="100" w:hanging="96"/>
        <w:spacing w:after="0" w:line="239" w:lineRule="auto"/>
        <w:tabs>
          <w:tab w:leader="none" w:pos="100" w:val="left"/>
        </w:tabs>
        <w:numPr>
          <w:ilvl w:val="0"/>
          <w:numId w:val="42"/>
        </w:numPr>
        <w:rPr>
          <w:rFonts w:ascii="Arial" w:cs="Arial" w:eastAsia="Arial" w:hAnsi="Arial"/>
          <w:sz w:val="10"/>
          <w:szCs w:val="10"/>
          <w:color w:val="auto"/>
        </w:rPr>
      </w:pPr>
      <w:r>
        <w:rPr>
          <w:rFonts w:ascii="Arial" w:cs="Arial" w:eastAsia="Arial" w:hAnsi="Arial"/>
          <w:sz w:val="12"/>
          <w:szCs w:val="12"/>
          <w:color w:val="auto"/>
        </w:rPr>
        <w:t>Consolidated net earnings, net earnings attributable to Martin Marietta, and basic and diluted earnings per common share in the fourth quarter of 2016 were reduced by $7.5 million, or $0.12 per basic and diluted share, as a result of increased performance-based compensation expense.</w:t>
      </w:r>
    </w:p>
    <w:p>
      <w:pPr>
        <w:spacing w:after="0" w:line="63" w:lineRule="exact"/>
        <w:rPr>
          <w:sz w:val="20"/>
          <w:szCs w:val="20"/>
          <w:color w:val="auto"/>
        </w:rPr>
      </w:pPr>
    </w:p>
    <w:p>
      <w:pPr>
        <w:ind w:left="100" w:hanging="96"/>
        <w:spacing w:after="0" w:line="239" w:lineRule="auto"/>
        <w:tabs>
          <w:tab w:leader="none" w:pos="100" w:val="left"/>
        </w:tabs>
        <w:numPr>
          <w:ilvl w:val="0"/>
          <w:numId w:val="43"/>
        </w:numPr>
        <w:rPr>
          <w:rFonts w:ascii="Arial" w:cs="Arial" w:eastAsia="Arial" w:hAnsi="Arial"/>
          <w:sz w:val="10"/>
          <w:szCs w:val="10"/>
          <w:color w:val="auto"/>
        </w:rPr>
      </w:pPr>
      <w:r>
        <w:rPr>
          <w:rFonts w:ascii="Arial" w:cs="Arial" w:eastAsia="Arial" w:hAnsi="Arial"/>
          <w:sz w:val="12"/>
          <w:szCs w:val="12"/>
          <w:color w:val="auto"/>
        </w:rPr>
        <w:t>Consolidated net earnings, net earnings attributable to Martin Marietta, and basic and diluted earnings per common share for the full year 2016 were reduced by $8.8 million, or $0.14 per basic and diluted share, as a result of increased performance-based compensation expense.</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At February 15, 2018, there were 911 shareholders of record.</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86</w:t>
      </w:r>
    </w:p>
    <w:p>
      <w:pPr>
        <w:sectPr>
          <w:pgSz w:w="11900" w:h="16838" w:orient="portrait"/>
          <w:cols w:equalWidth="0" w:num="1">
            <w:col w:w="11420"/>
          </w:cols>
          <w:pgMar w:left="240" w:top="376" w:right="239" w:bottom="1440" w:gutter="0" w:footer="0" w:header="0"/>
        </w:sectPr>
      </w:pPr>
    </w:p>
    <w:bookmarkStart w:id="139" w:name="page140"/>
    <w:bookmarkEnd w:id="139"/>
    <w:p>
      <w:pPr>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5">
                      <a:extLst>
                        <a:ext uri="{28A0092B-C50C-407E-A947-70E740481C1C}"/>
                      </a:extLst>
                    </a:blip>
                    <a:srcRect/>
                    <a:stretch>
                      <a:fillRect/>
                    </a:stretch>
                  </pic:blipFill>
                  <pic:spPr bwMode="auto">
                    <a:xfrm>
                      <a:off x="0" y="0"/>
                      <a:ext cx="7293610" cy="37465"/>
                    </a:xfrm>
                    <a:prstGeom prst="rect">
                      <a:avLst/>
                    </a:prstGeom>
                    <a:noFill/>
                  </pic:spPr>
                </pic:pic>
              </a:graphicData>
            </a:graphic>
          </wp:anchor>
        </w:drawing>
        <w:drawing>
          <wp:anchor simplePos="0" relativeHeight="251657728" behindDoc="1" locked="0" layoutInCell="0" allowOverlap="1">
            <wp:simplePos x="0" y="0"/>
            <wp:positionH relativeFrom="page">
              <wp:posOffset>154940</wp:posOffset>
            </wp:positionH>
            <wp:positionV relativeFrom="page">
              <wp:posOffset>179705</wp:posOffset>
            </wp:positionV>
            <wp:extent cx="3691890" cy="3956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6">
                      <a:extLst>
                        <a:ext uri="{28A0092B-C50C-407E-A947-70E740481C1C}"/>
                      </a:extLst>
                    </a:blip>
                    <a:srcRect/>
                    <a:stretch>
                      <a:fillRect/>
                    </a:stretch>
                  </pic:blipFill>
                  <pic:spPr bwMode="auto">
                    <a:xfrm>
                      <a:off x="0" y="0"/>
                      <a:ext cx="3691890" cy="395605"/>
                    </a:xfrm>
                    <a:prstGeom prst="rect">
                      <a:avLst/>
                    </a:prstGeom>
                    <a:noFill/>
                  </pic:spPr>
                </pic:pic>
              </a:graphicData>
            </a:graphic>
          </wp:anchor>
        </w:drawing>
        <w:t>FIVE YEAR SELECTED FINANCIAL DATA</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FFFFFF"/>
        </w:rPr>
        <w:t>(add 000, except per share)</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7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Consolidated Operating Results</w:t>
            </w:r>
            <w:r>
              <w:rPr>
                <w:rFonts w:ascii="Arial" w:cs="Arial" w:eastAsia="Arial" w:hAnsi="Arial"/>
                <w:sz w:val="17"/>
                <w:szCs w:val="17"/>
                <w:color w:val="auto"/>
                <w:vertAlign w:val="superscript"/>
              </w:rPr>
              <w:t>1</w:t>
            </w:r>
          </w:p>
        </w:tc>
        <w:tc>
          <w:tcPr>
            <w:tcW w:w="80" w:type="dxa"/>
            <w:vAlign w:val="bottom"/>
            <w:tcBorders>
              <w:bottom w:val="single" w:sz="8" w:color="auto"/>
            </w:tcBorders>
            <w:shd w:val="clear" w:color="auto" w:fill="0085CD"/>
          </w:tcPr>
          <w:p>
            <w:pPr>
              <w:spacing w:after="0"/>
              <w:rPr>
                <w:sz w:val="20"/>
                <w:szCs w:val="20"/>
                <w:color w:val="auto"/>
              </w:rPr>
            </w:pPr>
          </w:p>
        </w:tc>
        <w:tc>
          <w:tcPr>
            <w:tcW w:w="80" w:type="dxa"/>
            <w:vAlign w:val="bottom"/>
            <w:tcBorders>
              <w:bottom w:val="single" w:sz="8" w:color="auto"/>
            </w:tcBorders>
            <w:shd w:val="clear" w:color="auto" w:fill="0085CD"/>
          </w:tcPr>
          <w:p>
            <w:pPr>
              <w:spacing w:after="0"/>
              <w:rPr>
                <w:sz w:val="20"/>
                <w:szCs w:val="20"/>
                <w:color w:val="auto"/>
              </w:rPr>
            </w:pPr>
          </w:p>
        </w:tc>
        <w:tc>
          <w:tcPr>
            <w:tcW w:w="900" w:type="dxa"/>
            <w:vAlign w:val="bottom"/>
            <w:tcBorders>
              <w:bottom w:val="single" w:sz="8" w:color="auto"/>
            </w:tcBorders>
            <w:shd w:val="clear" w:color="auto" w:fill="0085CD"/>
          </w:tcPr>
          <w:p>
            <w:pPr>
              <w:jc w:val="right"/>
              <w:ind w:right="282"/>
              <w:spacing w:after="0"/>
              <w:rPr>
                <w:sz w:val="20"/>
                <w:szCs w:val="20"/>
                <w:color w:val="auto"/>
              </w:rPr>
            </w:pPr>
            <w:r>
              <w:rPr>
                <w:rFonts w:ascii="Arial" w:cs="Arial" w:eastAsia="Arial" w:hAnsi="Arial"/>
                <w:sz w:val="16"/>
                <w:szCs w:val="16"/>
                <w:b w:val="1"/>
                <w:bCs w:val="1"/>
                <w:color w:val="FFFFFF"/>
              </w:rPr>
              <w:t>2017</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shd w:val="clear" w:color="auto" w:fill="E0EBED"/>
          </w:tcPr>
          <w:p>
            <w:pPr>
              <w:spacing w:after="0"/>
              <w:rPr>
                <w:sz w:val="20"/>
                <w:szCs w:val="20"/>
                <w:color w:val="auto"/>
              </w:rPr>
            </w:pPr>
          </w:p>
        </w:tc>
        <w:tc>
          <w:tcPr>
            <w:tcW w:w="900" w:type="dxa"/>
            <w:vAlign w:val="bottom"/>
            <w:tcBorders>
              <w:bottom w:val="single" w:sz="8" w:color="auto"/>
            </w:tcBorders>
            <w:shd w:val="clear" w:color="auto" w:fill="E0EBED"/>
          </w:tcPr>
          <w:p>
            <w:pPr>
              <w:jc w:val="right"/>
              <w:ind w:right="302"/>
              <w:spacing w:after="0"/>
              <w:rPr>
                <w:sz w:val="20"/>
                <w:szCs w:val="20"/>
                <w:color w:val="auto"/>
              </w:rPr>
            </w:pPr>
            <w:r>
              <w:rPr>
                <w:rFonts w:ascii="Arial" w:cs="Arial" w:eastAsia="Arial" w:hAnsi="Arial"/>
                <w:sz w:val="16"/>
                <w:szCs w:val="16"/>
                <w:color w:val="auto"/>
              </w:rPr>
              <w:t>2016</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shd w:val="clear" w:color="auto" w:fill="E0EBED"/>
          </w:tcPr>
          <w:p>
            <w:pPr>
              <w:spacing w:after="0"/>
              <w:rPr>
                <w:sz w:val="20"/>
                <w:szCs w:val="20"/>
                <w:color w:val="auto"/>
              </w:rPr>
            </w:pPr>
          </w:p>
        </w:tc>
        <w:tc>
          <w:tcPr>
            <w:tcW w:w="840" w:type="dxa"/>
            <w:vAlign w:val="bottom"/>
            <w:tcBorders>
              <w:bottom w:val="single" w:sz="8" w:color="auto"/>
            </w:tcBorders>
            <w:shd w:val="clear" w:color="auto" w:fill="E0EBED"/>
          </w:tcPr>
          <w:p>
            <w:pPr>
              <w:jc w:val="right"/>
              <w:ind w:right="242"/>
              <w:spacing w:after="0"/>
              <w:rPr>
                <w:sz w:val="20"/>
                <w:szCs w:val="20"/>
                <w:color w:val="auto"/>
              </w:rPr>
            </w:pPr>
            <w:r>
              <w:rPr>
                <w:rFonts w:ascii="Arial" w:cs="Arial" w:eastAsia="Arial" w:hAnsi="Arial"/>
                <w:sz w:val="16"/>
                <w:szCs w:val="16"/>
                <w:color w:val="auto"/>
              </w:rPr>
              <w:t>2015</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shd w:val="clear" w:color="auto" w:fill="E0EBED"/>
          </w:tcPr>
          <w:p>
            <w:pPr>
              <w:spacing w:after="0"/>
              <w:rPr>
                <w:sz w:val="20"/>
                <w:szCs w:val="20"/>
                <w:color w:val="auto"/>
              </w:rPr>
            </w:pPr>
          </w:p>
        </w:tc>
        <w:tc>
          <w:tcPr>
            <w:tcW w:w="900" w:type="dxa"/>
            <w:vAlign w:val="bottom"/>
            <w:tcBorders>
              <w:bottom w:val="single" w:sz="8" w:color="auto"/>
            </w:tcBorders>
            <w:shd w:val="clear" w:color="auto" w:fill="E0EBED"/>
          </w:tcPr>
          <w:p>
            <w:pPr>
              <w:jc w:val="right"/>
              <w:ind w:right="302"/>
              <w:spacing w:after="0"/>
              <w:rPr>
                <w:sz w:val="20"/>
                <w:szCs w:val="20"/>
                <w:color w:val="auto"/>
              </w:rPr>
            </w:pPr>
            <w:r>
              <w:rPr>
                <w:rFonts w:ascii="Arial" w:cs="Arial" w:eastAsia="Arial" w:hAnsi="Arial"/>
                <w:sz w:val="16"/>
                <w:szCs w:val="16"/>
                <w:color w:val="auto"/>
              </w:rPr>
              <w:t>2014</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shd w:val="clear" w:color="auto" w:fill="E0EBED"/>
          </w:tcPr>
          <w:p>
            <w:pPr>
              <w:spacing w:after="0"/>
              <w:rPr>
                <w:sz w:val="20"/>
                <w:szCs w:val="20"/>
                <w:color w:val="auto"/>
              </w:rPr>
            </w:pPr>
          </w:p>
        </w:tc>
        <w:tc>
          <w:tcPr>
            <w:tcW w:w="900" w:type="dxa"/>
            <w:vAlign w:val="bottom"/>
            <w:tcBorders>
              <w:bottom w:val="single" w:sz="8" w:color="auto"/>
            </w:tcBorders>
            <w:shd w:val="clear" w:color="auto" w:fill="E0EBED"/>
          </w:tcPr>
          <w:p>
            <w:pPr>
              <w:jc w:val="right"/>
              <w:ind w:right="282"/>
              <w:spacing w:after="0"/>
              <w:rPr>
                <w:sz w:val="20"/>
                <w:szCs w:val="20"/>
                <w:color w:val="auto"/>
              </w:rPr>
            </w:pPr>
            <w:r>
              <w:rPr>
                <w:rFonts w:ascii="Arial" w:cs="Arial" w:eastAsia="Arial" w:hAnsi="Arial"/>
                <w:sz w:val="16"/>
                <w:szCs w:val="16"/>
                <w:color w:val="auto"/>
              </w:rPr>
              <w:t>2013</w:t>
            </w:r>
          </w:p>
        </w:tc>
        <w:tc>
          <w:tcPr>
            <w:tcW w:w="0" w:type="dxa"/>
            <w:vAlign w:val="bottom"/>
          </w:tcPr>
          <w:p>
            <w:pPr>
              <w:spacing w:after="0"/>
              <w:rPr>
                <w:sz w:val="1"/>
                <w:szCs w:val="1"/>
                <w:color w:val="auto"/>
              </w:rPr>
            </w:pPr>
          </w:p>
        </w:tc>
      </w:tr>
      <w:tr>
        <w:trPr>
          <w:trHeight w:val="165"/>
        </w:trPr>
        <w:tc>
          <w:tcPr>
            <w:tcW w:w="5740" w:type="dxa"/>
            <w:vAlign w:val="bottom"/>
            <w:gridSpan w:val="2"/>
            <w:vMerge w:val="continue"/>
          </w:tcPr>
          <w:p>
            <w:pPr>
              <w:spacing w:after="0"/>
              <w:rPr>
                <w:sz w:val="14"/>
                <w:szCs w:val="14"/>
                <w:color w:val="auto"/>
              </w:rPr>
            </w:pPr>
          </w:p>
        </w:tc>
        <w:tc>
          <w:tcPr>
            <w:tcW w:w="80" w:type="dxa"/>
            <w:vAlign w:val="bottom"/>
            <w:shd w:val="clear" w:color="auto" w:fill="CDDEE7"/>
          </w:tcPr>
          <w:p>
            <w:pPr>
              <w:spacing w:after="0"/>
              <w:rPr>
                <w:sz w:val="14"/>
                <w:szCs w:val="14"/>
                <w:color w:val="auto"/>
              </w:rPr>
            </w:pPr>
          </w:p>
        </w:tc>
        <w:tc>
          <w:tcPr>
            <w:tcW w:w="80" w:type="dxa"/>
            <w:vAlign w:val="bottom"/>
            <w:vMerge w:val="restart"/>
            <w:shd w:val="clear" w:color="auto" w:fill="CDDEE7"/>
          </w:tcPr>
          <w:p>
            <w:pPr>
              <w:jc w:val="right"/>
              <w:spacing w:after="0"/>
              <w:rPr>
                <w:sz w:val="20"/>
                <w:szCs w:val="20"/>
                <w:color w:val="auto"/>
              </w:rPr>
            </w:pPr>
            <w:r>
              <w:rPr>
                <w:rFonts w:ascii="Arial" w:cs="Arial" w:eastAsia="Arial" w:hAnsi="Arial"/>
                <w:sz w:val="14"/>
                <w:szCs w:val="14"/>
                <w:b w:val="1"/>
                <w:bCs w:val="1"/>
                <w:color w:val="auto"/>
                <w:w w:val="76"/>
                <w:shd w:val="clear" w:color="auto" w:fill="CDDEE7"/>
              </w:rPr>
              <w:t>$</w:t>
            </w:r>
          </w:p>
        </w:tc>
        <w:tc>
          <w:tcPr>
            <w:tcW w:w="900" w:type="dxa"/>
            <w:vAlign w:val="bottom"/>
            <w:vMerge w:val="restart"/>
            <w:shd w:val="clear" w:color="auto" w:fill="CDDEE7"/>
          </w:tcPr>
          <w:p>
            <w:pPr>
              <w:jc w:val="right"/>
              <w:ind w:right="22"/>
              <w:spacing w:after="0"/>
              <w:rPr>
                <w:sz w:val="20"/>
                <w:szCs w:val="20"/>
                <w:color w:val="auto"/>
              </w:rPr>
            </w:pPr>
            <w:r>
              <w:rPr>
                <w:rFonts w:ascii="Arial" w:cs="Arial" w:eastAsia="Arial" w:hAnsi="Arial"/>
                <w:sz w:val="16"/>
                <w:szCs w:val="16"/>
                <w:b w:val="1"/>
                <w:bCs w:val="1"/>
                <w:color w:val="auto"/>
                <w:shd w:val="clear" w:color="auto" w:fill="CDDEE7"/>
              </w:rPr>
              <w:t>3,721,428</w:t>
            </w:r>
          </w:p>
        </w:tc>
        <w:tc>
          <w:tcPr>
            <w:tcW w:w="100" w:type="dxa"/>
            <w:vAlign w:val="bottom"/>
          </w:tcPr>
          <w:p>
            <w:pPr>
              <w:spacing w:after="0"/>
              <w:rPr>
                <w:sz w:val="14"/>
                <w:szCs w:val="14"/>
                <w:color w:val="auto"/>
              </w:rPr>
            </w:pPr>
          </w:p>
        </w:tc>
        <w:tc>
          <w:tcPr>
            <w:tcW w:w="180" w:type="dxa"/>
            <w:vAlign w:val="bottom"/>
            <w:shd w:val="clear" w:color="auto" w:fill="E0EBED"/>
          </w:tcPr>
          <w:p>
            <w:pPr>
              <w:spacing w:after="0"/>
              <w:rPr>
                <w:sz w:val="14"/>
                <w:szCs w:val="14"/>
                <w:color w:val="auto"/>
              </w:rPr>
            </w:pPr>
          </w:p>
        </w:tc>
        <w:tc>
          <w:tcPr>
            <w:tcW w:w="900" w:type="dxa"/>
            <w:vAlign w:val="bottom"/>
            <w:shd w:val="clear" w:color="auto" w:fill="E0EBED"/>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shd w:val="clear" w:color="auto" w:fill="E0EBED"/>
          </w:tcPr>
          <w:p>
            <w:pPr>
              <w:spacing w:after="0"/>
              <w:rPr>
                <w:sz w:val="14"/>
                <w:szCs w:val="14"/>
                <w:color w:val="auto"/>
              </w:rPr>
            </w:pPr>
          </w:p>
        </w:tc>
        <w:tc>
          <w:tcPr>
            <w:tcW w:w="840" w:type="dxa"/>
            <w:vAlign w:val="bottom"/>
            <w:shd w:val="clear" w:color="auto" w:fill="E0EBED"/>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shd w:val="clear" w:color="auto" w:fill="E0EBED"/>
          </w:tcPr>
          <w:p>
            <w:pPr>
              <w:spacing w:after="0"/>
              <w:rPr>
                <w:sz w:val="14"/>
                <w:szCs w:val="14"/>
                <w:color w:val="auto"/>
              </w:rPr>
            </w:pPr>
          </w:p>
        </w:tc>
        <w:tc>
          <w:tcPr>
            <w:tcW w:w="900" w:type="dxa"/>
            <w:vAlign w:val="bottom"/>
            <w:shd w:val="clear" w:color="auto" w:fill="E0EBED"/>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shd w:val="clear" w:color="auto" w:fill="E0EBED"/>
          </w:tcPr>
          <w:p>
            <w:pPr>
              <w:spacing w:after="0"/>
              <w:rPr>
                <w:sz w:val="14"/>
                <w:szCs w:val="14"/>
                <w:color w:val="auto"/>
              </w:rPr>
            </w:pPr>
          </w:p>
        </w:tc>
        <w:tc>
          <w:tcPr>
            <w:tcW w:w="900" w:type="dxa"/>
            <w:vAlign w:val="bottom"/>
            <w:shd w:val="clear" w:color="auto" w:fill="E0EBED"/>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740" w:type="dxa"/>
            <w:vAlign w:val="bottom"/>
            <w:gridSpan w:val="2"/>
          </w:tcPr>
          <w:p>
            <w:pPr>
              <w:spacing w:after="0" w:line="182" w:lineRule="exact"/>
              <w:rPr>
                <w:sz w:val="20"/>
                <w:szCs w:val="20"/>
                <w:color w:val="auto"/>
              </w:rPr>
            </w:pPr>
            <w:r>
              <w:rPr>
                <w:rFonts w:ascii="Arial" w:cs="Arial" w:eastAsia="Arial" w:hAnsi="Arial"/>
                <w:sz w:val="16"/>
                <w:szCs w:val="16"/>
                <w:color w:val="auto"/>
              </w:rPr>
              <w:t>Net sales</w:t>
            </w:r>
          </w:p>
        </w:tc>
        <w:tc>
          <w:tcPr>
            <w:tcW w:w="80" w:type="dxa"/>
            <w:vAlign w:val="bottom"/>
            <w:shd w:val="clear" w:color="auto" w:fill="CDDEE7"/>
          </w:tcPr>
          <w:p>
            <w:pPr>
              <w:spacing w:after="0"/>
              <w:rPr>
                <w:sz w:val="15"/>
                <w:szCs w:val="15"/>
                <w:color w:val="auto"/>
              </w:rPr>
            </w:pPr>
          </w:p>
        </w:tc>
        <w:tc>
          <w:tcPr>
            <w:tcW w:w="80" w:type="dxa"/>
            <w:vAlign w:val="bottom"/>
            <w:vMerge w:val="continue"/>
            <w:shd w:val="clear" w:color="auto" w:fill="CDDEE7"/>
          </w:tcPr>
          <w:p>
            <w:pPr>
              <w:spacing w:after="0"/>
              <w:rPr>
                <w:sz w:val="15"/>
                <w:szCs w:val="15"/>
                <w:color w:val="auto"/>
              </w:rPr>
            </w:pPr>
          </w:p>
        </w:tc>
        <w:tc>
          <w:tcPr>
            <w:tcW w:w="900" w:type="dxa"/>
            <w:vAlign w:val="bottom"/>
            <w:vMerge w:val="continue"/>
            <w:shd w:val="clear" w:color="auto" w:fill="CDDEE7"/>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shd w:val="clear" w:color="auto" w:fill="E0EBED"/>
          </w:tcPr>
          <w:p>
            <w:pPr>
              <w:jc w:val="right"/>
              <w:spacing w:after="0" w:line="182" w:lineRule="exact"/>
              <w:rPr>
                <w:sz w:val="20"/>
                <w:szCs w:val="20"/>
                <w:color w:val="auto"/>
              </w:rPr>
            </w:pPr>
            <w:r>
              <w:rPr>
                <w:rFonts w:ascii="Arial" w:cs="Arial" w:eastAsia="Arial" w:hAnsi="Arial"/>
                <w:sz w:val="16"/>
                <w:szCs w:val="16"/>
                <w:color w:val="auto"/>
              </w:rPr>
              <w:t>$</w:t>
            </w:r>
          </w:p>
        </w:tc>
        <w:tc>
          <w:tcPr>
            <w:tcW w:w="900" w:type="dxa"/>
            <w:vAlign w:val="bottom"/>
            <w:shd w:val="clear" w:color="auto" w:fill="E0EBED"/>
          </w:tcPr>
          <w:p>
            <w:pPr>
              <w:jc w:val="right"/>
              <w:ind w:right="42"/>
              <w:spacing w:after="0" w:line="182" w:lineRule="exact"/>
              <w:rPr>
                <w:sz w:val="20"/>
                <w:szCs w:val="20"/>
                <w:color w:val="auto"/>
              </w:rPr>
            </w:pPr>
            <w:r>
              <w:rPr>
                <w:rFonts w:ascii="Arial" w:cs="Arial" w:eastAsia="Arial" w:hAnsi="Arial"/>
                <w:sz w:val="16"/>
                <w:szCs w:val="16"/>
                <w:color w:val="auto"/>
                <w:shd w:val="clear" w:color="auto" w:fill="E0EBED"/>
              </w:rPr>
              <w:t>3,576,767</w:t>
            </w:r>
          </w:p>
        </w:tc>
        <w:tc>
          <w:tcPr>
            <w:tcW w:w="100" w:type="dxa"/>
            <w:vAlign w:val="bottom"/>
          </w:tcPr>
          <w:p>
            <w:pPr>
              <w:spacing w:after="0"/>
              <w:rPr>
                <w:sz w:val="15"/>
                <w:szCs w:val="15"/>
                <w:color w:val="auto"/>
              </w:rPr>
            </w:pPr>
          </w:p>
        </w:tc>
        <w:tc>
          <w:tcPr>
            <w:tcW w:w="160" w:type="dxa"/>
            <w:vAlign w:val="bottom"/>
            <w:shd w:val="clear" w:color="auto" w:fill="E0EBED"/>
          </w:tcPr>
          <w:p>
            <w:pPr>
              <w:jc w:val="right"/>
              <w:spacing w:after="0" w:line="182" w:lineRule="exact"/>
              <w:rPr>
                <w:sz w:val="20"/>
                <w:szCs w:val="20"/>
                <w:color w:val="auto"/>
              </w:rPr>
            </w:pPr>
            <w:r>
              <w:rPr>
                <w:rFonts w:ascii="Arial" w:cs="Arial" w:eastAsia="Arial" w:hAnsi="Arial"/>
                <w:sz w:val="16"/>
                <w:szCs w:val="16"/>
                <w:color w:val="auto"/>
              </w:rPr>
              <w:t>$</w:t>
            </w:r>
          </w:p>
        </w:tc>
        <w:tc>
          <w:tcPr>
            <w:tcW w:w="840" w:type="dxa"/>
            <w:vAlign w:val="bottom"/>
            <w:shd w:val="clear" w:color="auto" w:fill="E0EBED"/>
          </w:tcPr>
          <w:p>
            <w:pPr>
              <w:jc w:val="right"/>
              <w:spacing w:after="0" w:line="182" w:lineRule="exact"/>
              <w:rPr>
                <w:sz w:val="20"/>
                <w:szCs w:val="20"/>
                <w:color w:val="auto"/>
              </w:rPr>
            </w:pPr>
            <w:r>
              <w:rPr>
                <w:rFonts w:ascii="Arial" w:cs="Arial" w:eastAsia="Arial" w:hAnsi="Arial"/>
                <w:sz w:val="16"/>
                <w:szCs w:val="16"/>
                <w:color w:val="auto"/>
                <w:shd w:val="clear" w:color="auto" w:fill="E0EBED"/>
              </w:rPr>
              <w:t>3,268,116</w:t>
            </w:r>
          </w:p>
        </w:tc>
        <w:tc>
          <w:tcPr>
            <w:tcW w:w="120" w:type="dxa"/>
            <w:vAlign w:val="bottom"/>
          </w:tcPr>
          <w:p>
            <w:pPr>
              <w:spacing w:after="0"/>
              <w:rPr>
                <w:sz w:val="15"/>
                <w:szCs w:val="15"/>
                <w:color w:val="auto"/>
              </w:rPr>
            </w:pPr>
          </w:p>
        </w:tc>
        <w:tc>
          <w:tcPr>
            <w:tcW w:w="160" w:type="dxa"/>
            <w:vAlign w:val="bottom"/>
            <w:shd w:val="clear" w:color="auto" w:fill="E0EBED"/>
          </w:tcPr>
          <w:p>
            <w:pPr>
              <w:jc w:val="right"/>
              <w:spacing w:after="0" w:line="182" w:lineRule="exact"/>
              <w:rPr>
                <w:sz w:val="20"/>
                <w:szCs w:val="20"/>
                <w:color w:val="auto"/>
              </w:rPr>
            </w:pPr>
            <w:r>
              <w:rPr>
                <w:rFonts w:ascii="Arial" w:cs="Arial" w:eastAsia="Arial" w:hAnsi="Arial"/>
                <w:sz w:val="16"/>
                <w:szCs w:val="16"/>
                <w:color w:val="auto"/>
              </w:rPr>
              <w:t>$</w:t>
            </w:r>
          </w:p>
        </w:tc>
        <w:tc>
          <w:tcPr>
            <w:tcW w:w="900" w:type="dxa"/>
            <w:vAlign w:val="bottom"/>
            <w:shd w:val="clear" w:color="auto" w:fill="E0EBED"/>
          </w:tcPr>
          <w:p>
            <w:pPr>
              <w:jc w:val="right"/>
              <w:ind w:right="22"/>
              <w:spacing w:after="0" w:line="182" w:lineRule="exact"/>
              <w:rPr>
                <w:sz w:val="20"/>
                <w:szCs w:val="20"/>
                <w:color w:val="auto"/>
              </w:rPr>
            </w:pPr>
            <w:r>
              <w:rPr>
                <w:rFonts w:ascii="Arial" w:cs="Arial" w:eastAsia="Arial" w:hAnsi="Arial"/>
                <w:sz w:val="16"/>
                <w:szCs w:val="16"/>
                <w:color w:val="auto"/>
                <w:shd w:val="clear" w:color="auto" w:fill="E0EBED"/>
              </w:rPr>
              <w:t>2,679,095</w:t>
            </w:r>
          </w:p>
        </w:tc>
        <w:tc>
          <w:tcPr>
            <w:tcW w:w="100" w:type="dxa"/>
            <w:vAlign w:val="bottom"/>
          </w:tcPr>
          <w:p>
            <w:pPr>
              <w:spacing w:after="0"/>
              <w:rPr>
                <w:sz w:val="15"/>
                <w:szCs w:val="15"/>
                <w:color w:val="auto"/>
              </w:rPr>
            </w:pPr>
          </w:p>
        </w:tc>
        <w:tc>
          <w:tcPr>
            <w:tcW w:w="160" w:type="dxa"/>
            <w:vAlign w:val="bottom"/>
            <w:shd w:val="clear" w:color="auto" w:fill="E0EBED"/>
          </w:tcPr>
          <w:p>
            <w:pPr>
              <w:jc w:val="right"/>
              <w:spacing w:after="0" w:line="182" w:lineRule="exact"/>
              <w:rPr>
                <w:sz w:val="20"/>
                <w:szCs w:val="20"/>
                <w:color w:val="auto"/>
              </w:rPr>
            </w:pPr>
            <w:r>
              <w:rPr>
                <w:rFonts w:ascii="Arial" w:cs="Arial" w:eastAsia="Arial" w:hAnsi="Arial"/>
                <w:sz w:val="16"/>
                <w:szCs w:val="16"/>
                <w:color w:val="auto"/>
              </w:rPr>
              <w:t>$</w:t>
            </w:r>
          </w:p>
        </w:tc>
        <w:tc>
          <w:tcPr>
            <w:tcW w:w="900" w:type="dxa"/>
            <w:vAlign w:val="bottom"/>
            <w:shd w:val="clear" w:color="auto" w:fill="E0EBED"/>
          </w:tcPr>
          <w:p>
            <w:pPr>
              <w:jc w:val="right"/>
              <w:ind w:right="22"/>
              <w:spacing w:after="0" w:line="182" w:lineRule="exact"/>
              <w:rPr>
                <w:sz w:val="20"/>
                <w:szCs w:val="20"/>
                <w:color w:val="auto"/>
              </w:rPr>
            </w:pPr>
            <w:r>
              <w:rPr>
                <w:rFonts w:ascii="Arial" w:cs="Arial" w:eastAsia="Arial" w:hAnsi="Arial"/>
                <w:sz w:val="16"/>
                <w:szCs w:val="16"/>
                <w:color w:val="auto"/>
              </w:rPr>
              <w:t>1,943,218</w:t>
            </w:r>
          </w:p>
        </w:tc>
        <w:tc>
          <w:tcPr>
            <w:tcW w:w="0" w:type="dxa"/>
            <w:vAlign w:val="bottom"/>
          </w:tcPr>
          <w:p>
            <w:pPr>
              <w:spacing w:after="0"/>
              <w:rPr>
                <w:sz w:val="1"/>
                <w:szCs w:val="1"/>
                <w:color w:val="auto"/>
              </w:rPr>
            </w:pPr>
          </w:p>
        </w:tc>
      </w:tr>
      <w:tr>
        <w:trPr>
          <w:trHeight w:val="182"/>
        </w:trPr>
        <w:tc>
          <w:tcPr>
            <w:tcW w:w="5740" w:type="dxa"/>
            <w:vAlign w:val="bottom"/>
            <w:gridSpan w:val="2"/>
          </w:tcPr>
          <w:p>
            <w:pPr>
              <w:spacing w:after="0" w:line="182" w:lineRule="exact"/>
              <w:rPr>
                <w:sz w:val="20"/>
                <w:szCs w:val="20"/>
                <w:color w:val="auto"/>
              </w:rPr>
            </w:pPr>
            <w:r>
              <w:rPr>
                <w:rFonts w:ascii="Arial" w:cs="Arial" w:eastAsia="Arial" w:hAnsi="Arial"/>
                <w:sz w:val="16"/>
                <w:szCs w:val="16"/>
                <w:color w:val="auto"/>
              </w:rPr>
              <w:t>Freight and delivery revenues</w:t>
            </w:r>
          </w:p>
        </w:tc>
        <w:tc>
          <w:tcPr>
            <w:tcW w:w="80" w:type="dxa"/>
            <w:vAlign w:val="bottom"/>
            <w:tcBorders>
              <w:bottom w:val="single" w:sz="8" w:color="auto"/>
            </w:tcBorders>
            <w:shd w:val="clear" w:color="auto" w:fill="CDDEE7"/>
          </w:tcPr>
          <w:p>
            <w:pPr>
              <w:spacing w:after="0"/>
              <w:rPr>
                <w:sz w:val="15"/>
                <w:szCs w:val="15"/>
                <w:color w:val="auto"/>
              </w:rPr>
            </w:pPr>
          </w:p>
        </w:tc>
        <w:tc>
          <w:tcPr>
            <w:tcW w:w="80" w:type="dxa"/>
            <w:vAlign w:val="bottom"/>
            <w:tcBorders>
              <w:bottom w:val="single" w:sz="8" w:color="auto"/>
            </w:tcBorders>
            <w:shd w:val="clear" w:color="auto" w:fill="CDDEE7"/>
          </w:tcPr>
          <w:p>
            <w:pPr>
              <w:spacing w:after="0"/>
              <w:rPr>
                <w:sz w:val="15"/>
                <w:szCs w:val="15"/>
                <w:color w:val="auto"/>
              </w:rPr>
            </w:pPr>
          </w:p>
        </w:tc>
        <w:tc>
          <w:tcPr>
            <w:tcW w:w="900" w:type="dxa"/>
            <w:vAlign w:val="bottom"/>
            <w:tcBorders>
              <w:bottom w:val="single" w:sz="8" w:color="auto"/>
            </w:tcBorders>
            <w:shd w:val="clear" w:color="auto" w:fill="CDDEE7"/>
          </w:tcPr>
          <w:p>
            <w:pPr>
              <w:jc w:val="right"/>
              <w:ind w:right="22"/>
              <w:spacing w:after="0" w:line="182" w:lineRule="exact"/>
              <w:rPr>
                <w:sz w:val="20"/>
                <w:szCs w:val="20"/>
                <w:color w:val="auto"/>
              </w:rPr>
            </w:pPr>
            <w:r>
              <w:rPr>
                <w:rFonts w:ascii="Arial" w:cs="Arial" w:eastAsia="Arial" w:hAnsi="Arial"/>
                <w:sz w:val="16"/>
                <w:szCs w:val="16"/>
                <w:b w:val="1"/>
                <w:bCs w:val="1"/>
                <w:color w:val="auto"/>
              </w:rPr>
              <w:t>244,166</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shd w:val="clear" w:color="auto" w:fill="E0EBED"/>
          </w:tcPr>
          <w:p>
            <w:pPr>
              <w:spacing w:after="0"/>
              <w:rPr>
                <w:sz w:val="15"/>
                <w:szCs w:val="15"/>
                <w:color w:val="auto"/>
              </w:rPr>
            </w:pPr>
          </w:p>
        </w:tc>
        <w:tc>
          <w:tcPr>
            <w:tcW w:w="900" w:type="dxa"/>
            <w:vAlign w:val="bottom"/>
            <w:tcBorders>
              <w:bottom w:val="single" w:sz="8" w:color="auto"/>
            </w:tcBorders>
            <w:shd w:val="clear" w:color="auto" w:fill="E0EBED"/>
          </w:tcPr>
          <w:p>
            <w:pPr>
              <w:jc w:val="right"/>
              <w:ind w:right="42"/>
              <w:spacing w:after="0" w:line="182" w:lineRule="exact"/>
              <w:rPr>
                <w:sz w:val="20"/>
                <w:szCs w:val="20"/>
                <w:color w:val="auto"/>
              </w:rPr>
            </w:pPr>
            <w:r>
              <w:rPr>
                <w:rFonts w:ascii="Arial" w:cs="Arial" w:eastAsia="Arial" w:hAnsi="Arial"/>
                <w:sz w:val="16"/>
                <w:szCs w:val="16"/>
                <w:color w:val="auto"/>
              </w:rPr>
              <w:t>241,982</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shd w:val="clear" w:color="auto" w:fill="E0EBED"/>
          </w:tcPr>
          <w:p>
            <w:pPr>
              <w:spacing w:after="0"/>
              <w:rPr>
                <w:sz w:val="15"/>
                <w:szCs w:val="15"/>
                <w:color w:val="auto"/>
              </w:rPr>
            </w:pPr>
          </w:p>
        </w:tc>
        <w:tc>
          <w:tcPr>
            <w:tcW w:w="840" w:type="dxa"/>
            <w:vAlign w:val="bottom"/>
            <w:tcBorders>
              <w:bottom w:val="single" w:sz="8" w:color="auto"/>
            </w:tcBorders>
            <w:shd w:val="clear" w:color="auto" w:fill="E0EBED"/>
          </w:tcPr>
          <w:p>
            <w:pPr>
              <w:jc w:val="right"/>
              <w:spacing w:after="0" w:line="182" w:lineRule="exact"/>
              <w:rPr>
                <w:sz w:val="20"/>
                <w:szCs w:val="20"/>
                <w:color w:val="auto"/>
              </w:rPr>
            </w:pPr>
            <w:r>
              <w:rPr>
                <w:rFonts w:ascii="Arial" w:cs="Arial" w:eastAsia="Arial" w:hAnsi="Arial"/>
                <w:sz w:val="16"/>
                <w:szCs w:val="16"/>
                <w:color w:val="auto"/>
              </w:rPr>
              <w:t>271,454</w:t>
            </w: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shd w:val="clear" w:color="auto" w:fill="E0EBED"/>
          </w:tcPr>
          <w:p>
            <w:pPr>
              <w:spacing w:after="0"/>
              <w:rPr>
                <w:sz w:val="15"/>
                <w:szCs w:val="15"/>
                <w:color w:val="auto"/>
              </w:rPr>
            </w:pPr>
          </w:p>
        </w:tc>
        <w:tc>
          <w:tcPr>
            <w:tcW w:w="900" w:type="dxa"/>
            <w:vAlign w:val="bottom"/>
            <w:tcBorders>
              <w:bottom w:val="single" w:sz="8" w:color="auto"/>
            </w:tcBorders>
            <w:shd w:val="clear" w:color="auto" w:fill="E0EBED"/>
          </w:tcPr>
          <w:p>
            <w:pPr>
              <w:jc w:val="right"/>
              <w:ind w:right="22"/>
              <w:spacing w:after="0" w:line="182" w:lineRule="exact"/>
              <w:rPr>
                <w:sz w:val="20"/>
                <w:szCs w:val="20"/>
                <w:color w:val="auto"/>
              </w:rPr>
            </w:pPr>
            <w:r>
              <w:rPr>
                <w:rFonts w:ascii="Arial" w:cs="Arial" w:eastAsia="Arial" w:hAnsi="Arial"/>
                <w:sz w:val="16"/>
                <w:szCs w:val="16"/>
                <w:color w:val="auto"/>
              </w:rPr>
              <w:t>278,856</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shd w:val="clear" w:color="auto" w:fill="E0EBED"/>
          </w:tcPr>
          <w:p>
            <w:pPr>
              <w:spacing w:after="0"/>
              <w:rPr>
                <w:sz w:val="15"/>
                <w:szCs w:val="15"/>
                <w:color w:val="auto"/>
              </w:rPr>
            </w:pPr>
          </w:p>
        </w:tc>
        <w:tc>
          <w:tcPr>
            <w:tcW w:w="900" w:type="dxa"/>
            <w:vAlign w:val="bottom"/>
            <w:tcBorders>
              <w:bottom w:val="single" w:sz="8" w:color="auto"/>
            </w:tcBorders>
            <w:shd w:val="clear" w:color="auto" w:fill="E0EBED"/>
          </w:tcPr>
          <w:p>
            <w:pPr>
              <w:jc w:val="right"/>
              <w:ind w:right="22"/>
              <w:spacing w:after="0" w:line="182" w:lineRule="exact"/>
              <w:rPr>
                <w:sz w:val="20"/>
                <w:szCs w:val="20"/>
                <w:color w:val="auto"/>
              </w:rPr>
            </w:pPr>
            <w:r>
              <w:rPr>
                <w:rFonts w:ascii="Arial" w:cs="Arial" w:eastAsia="Arial" w:hAnsi="Arial"/>
                <w:sz w:val="16"/>
                <w:szCs w:val="16"/>
                <w:color w:val="auto"/>
              </w:rPr>
              <w:t>212,333</w:t>
            </w:r>
          </w:p>
        </w:tc>
        <w:tc>
          <w:tcPr>
            <w:tcW w:w="0" w:type="dxa"/>
            <w:vAlign w:val="bottom"/>
          </w:tcPr>
          <w:p>
            <w:pPr>
              <w:spacing w:after="0"/>
              <w:rPr>
                <w:sz w:val="1"/>
                <w:szCs w:val="1"/>
                <w:color w:val="auto"/>
              </w:rPr>
            </w:pPr>
          </w:p>
        </w:tc>
      </w:tr>
      <w:tr>
        <w:trPr>
          <w:trHeight w:val="175"/>
        </w:trPr>
        <w:tc>
          <w:tcPr>
            <w:tcW w:w="574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Total revenues</w:t>
            </w:r>
          </w:p>
        </w:tc>
        <w:tc>
          <w:tcPr>
            <w:tcW w:w="80" w:type="dxa"/>
            <w:vAlign w:val="bottom"/>
            <w:shd w:val="clear" w:color="auto" w:fill="CDDEE7"/>
          </w:tcPr>
          <w:p>
            <w:pPr>
              <w:spacing w:after="0"/>
              <w:rPr>
                <w:sz w:val="15"/>
                <w:szCs w:val="15"/>
                <w:color w:val="auto"/>
              </w:rPr>
            </w:pPr>
          </w:p>
        </w:tc>
        <w:tc>
          <w:tcPr>
            <w:tcW w:w="80" w:type="dxa"/>
            <w:vAlign w:val="bottom"/>
            <w:shd w:val="clear" w:color="auto" w:fill="CDDEE7"/>
          </w:tcPr>
          <w:p>
            <w:pPr>
              <w:spacing w:after="0"/>
              <w:rPr>
                <w:sz w:val="15"/>
                <w:szCs w:val="15"/>
                <w:color w:val="auto"/>
              </w:rPr>
            </w:pPr>
          </w:p>
        </w:tc>
        <w:tc>
          <w:tcPr>
            <w:tcW w:w="900" w:type="dxa"/>
            <w:vAlign w:val="bottom"/>
            <w:shd w:val="clear" w:color="auto" w:fill="CDDEE7"/>
          </w:tcPr>
          <w:p>
            <w:pPr>
              <w:jc w:val="right"/>
              <w:ind w:right="22"/>
              <w:spacing w:after="0" w:line="175" w:lineRule="exact"/>
              <w:rPr>
                <w:sz w:val="20"/>
                <w:szCs w:val="20"/>
                <w:color w:val="auto"/>
              </w:rPr>
            </w:pPr>
            <w:r>
              <w:rPr>
                <w:rFonts w:ascii="Arial" w:cs="Arial" w:eastAsia="Arial" w:hAnsi="Arial"/>
                <w:sz w:val="16"/>
                <w:szCs w:val="16"/>
                <w:b w:val="1"/>
                <w:bCs w:val="1"/>
                <w:color w:val="auto"/>
              </w:rPr>
              <w:t>3,965,594</w:t>
            </w:r>
          </w:p>
        </w:tc>
        <w:tc>
          <w:tcPr>
            <w:tcW w:w="100" w:type="dxa"/>
            <w:vAlign w:val="bottom"/>
          </w:tcPr>
          <w:p>
            <w:pPr>
              <w:spacing w:after="0"/>
              <w:rPr>
                <w:sz w:val="15"/>
                <w:szCs w:val="15"/>
                <w:color w:val="auto"/>
              </w:rPr>
            </w:pPr>
          </w:p>
        </w:tc>
        <w:tc>
          <w:tcPr>
            <w:tcW w:w="180" w:type="dxa"/>
            <w:vAlign w:val="bottom"/>
            <w:shd w:val="clear" w:color="auto" w:fill="E0EBED"/>
          </w:tcPr>
          <w:p>
            <w:pPr>
              <w:spacing w:after="0"/>
              <w:rPr>
                <w:sz w:val="15"/>
                <w:szCs w:val="15"/>
                <w:color w:val="auto"/>
              </w:rPr>
            </w:pPr>
          </w:p>
        </w:tc>
        <w:tc>
          <w:tcPr>
            <w:tcW w:w="900" w:type="dxa"/>
            <w:vAlign w:val="bottom"/>
            <w:shd w:val="clear" w:color="auto" w:fill="E0EBED"/>
          </w:tcPr>
          <w:p>
            <w:pPr>
              <w:jc w:val="right"/>
              <w:ind w:right="42"/>
              <w:spacing w:after="0" w:line="175" w:lineRule="exact"/>
              <w:rPr>
                <w:sz w:val="20"/>
                <w:szCs w:val="20"/>
                <w:color w:val="auto"/>
              </w:rPr>
            </w:pPr>
            <w:r>
              <w:rPr>
                <w:rFonts w:ascii="Arial" w:cs="Arial" w:eastAsia="Arial" w:hAnsi="Arial"/>
                <w:sz w:val="16"/>
                <w:szCs w:val="16"/>
                <w:color w:val="auto"/>
              </w:rPr>
              <w:t>3,818,749</w:t>
            </w:r>
          </w:p>
        </w:tc>
        <w:tc>
          <w:tcPr>
            <w:tcW w:w="100" w:type="dxa"/>
            <w:vAlign w:val="bottom"/>
          </w:tcPr>
          <w:p>
            <w:pPr>
              <w:spacing w:after="0"/>
              <w:rPr>
                <w:sz w:val="15"/>
                <w:szCs w:val="15"/>
                <w:color w:val="auto"/>
              </w:rPr>
            </w:pPr>
          </w:p>
        </w:tc>
        <w:tc>
          <w:tcPr>
            <w:tcW w:w="160" w:type="dxa"/>
            <w:vAlign w:val="bottom"/>
            <w:shd w:val="clear" w:color="auto" w:fill="E0EBED"/>
          </w:tcPr>
          <w:p>
            <w:pPr>
              <w:spacing w:after="0"/>
              <w:rPr>
                <w:sz w:val="15"/>
                <w:szCs w:val="15"/>
                <w:color w:val="auto"/>
              </w:rPr>
            </w:pPr>
          </w:p>
        </w:tc>
        <w:tc>
          <w:tcPr>
            <w:tcW w:w="840" w:type="dxa"/>
            <w:vAlign w:val="bottom"/>
            <w:shd w:val="clear" w:color="auto" w:fill="E0EBED"/>
          </w:tcPr>
          <w:p>
            <w:pPr>
              <w:jc w:val="right"/>
              <w:spacing w:after="0" w:line="175" w:lineRule="exact"/>
              <w:rPr>
                <w:sz w:val="20"/>
                <w:szCs w:val="20"/>
                <w:color w:val="auto"/>
              </w:rPr>
            </w:pPr>
            <w:r>
              <w:rPr>
                <w:rFonts w:ascii="Arial" w:cs="Arial" w:eastAsia="Arial" w:hAnsi="Arial"/>
                <w:sz w:val="16"/>
                <w:szCs w:val="16"/>
                <w:color w:val="auto"/>
              </w:rPr>
              <w:t>3,539,570</w:t>
            </w:r>
          </w:p>
        </w:tc>
        <w:tc>
          <w:tcPr>
            <w:tcW w:w="120" w:type="dxa"/>
            <w:vAlign w:val="bottom"/>
          </w:tcPr>
          <w:p>
            <w:pPr>
              <w:spacing w:after="0"/>
              <w:rPr>
                <w:sz w:val="15"/>
                <w:szCs w:val="15"/>
                <w:color w:val="auto"/>
              </w:rPr>
            </w:pPr>
          </w:p>
        </w:tc>
        <w:tc>
          <w:tcPr>
            <w:tcW w:w="160" w:type="dxa"/>
            <w:vAlign w:val="bottom"/>
            <w:shd w:val="clear" w:color="auto" w:fill="E0EBED"/>
          </w:tcPr>
          <w:p>
            <w:pPr>
              <w:spacing w:after="0"/>
              <w:rPr>
                <w:sz w:val="15"/>
                <w:szCs w:val="15"/>
                <w:color w:val="auto"/>
              </w:rPr>
            </w:pPr>
          </w:p>
        </w:tc>
        <w:tc>
          <w:tcPr>
            <w:tcW w:w="900" w:type="dxa"/>
            <w:vAlign w:val="bottom"/>
            <w:shd w:val="clear" w:color="auto" w:fill="E0EBED"/>
          </w:tcPr>
          <w:p>
            <w:pPr>
              <w:jc w:val="right"/>
              <w:ind w:right="22"/>
              <w:spacing w:after="0" w:line="175" w:lineRule="exact"/>
              <w:rPr>
                <w:sz w:val="20"/>
                <w:szCs w:val="20"/>
                <w:color w:val="auto"/>
              </w:rPr>
            </w:pPr>
            <w:r>
              <w:rPr>
                <w:rFonts w:ascii="Arial" w:cs="Arial" w:eastAsia="Arial" w:hAnsi="Arial"/>
                <w:sz w:val="16"/>
                <w:szCs w:val="16"/>
                <w:color w:val="auto"/>
              </w:rPr>
              <w:t>2,957,951</w:t>
            </w:r>
          </w:p>
        </w:tc>
        <w:tc>
          <w:tcPr>
            <w:tcW w:w="100" w:type="dxa"/>
            <w:vAlign w:val="bottom"/>
          </w:tcPr>
          <w:p>
            <w:pPr>
              <w:spacing w:after="0"/>
              <w:rPr>
                <w:sz w:val="15"/>
                <w:szCs w:val="15"/>
                <w:color w:val="auto"/>
              </w:rPr>
            </w:pPr>
          </w:p>
        </w:tc>
        <w:tc>
          <w:tcPr>
            <w:tcW w:w="160" w:type="dxa"/>
            <w:vAlign w:val="bottom"/>
            <w:shd w:val="clear" w:color="auto" w:fill="E0EBED"/>
          </w:tcPr>
          <w:p>
            <w:pPr>
              <w:spacing w:after="0"/>
              <w:rPr>
                <w:sz w:val="15"/>
                <w:szCs w:val="15"/>
                <w:color w:val="auto"/>
              </w:rPr>
            </w:pPr>
          </w:p>
        </w:tc>
        <w:tc>
          <w:tcPr>
            <w:tcW w:w="900" w:type="dxa"/>
            <w:vAlign w:val="bottom"/>
            <w:shd w:val="clear" w:color="auto" w:fill="E0EBED"/>
          </w:tcPr>
          <w:p>
            <w:pPr>
              <w:jc w:val="right"/>
              <w:ind w:right="22"/>
              <w:spacing w:after="0" w:line="175" w:lineRule="exact"/>
              <w:rPr>
                <w:sz w:val="20"/>
                <w:szCs w:val="20"/>
                <w:color w:val="auto"/>
              </w:rPr>
            </w:pPr>
            <w:r>
              <w:rPr>
                <w:rFonts w:ascii="Arial" w:cs="Arial" w:eastAsia="Arial" w:hAnsi="Arial"/>
                <w:sz w:val="16"/>
                <w:szCs w:val="16"/>
                <w:color w:val="auto"/>
              </w:rPr>
              <w:t>2,155,551</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720" w:type="dxa"/>
            <w:vAlign w:val="bottom"/>
            <w:tcBorders>
              <w:top w:val="single" w:sz="8" w:color="auto"/>
            </w:tcBorders>
          </w:tcPr>
          <w:p>
            <w:pPr>
              <w:spacing w:after="0" w:line="158" w:lineRule="exact"/>
              <w:rPr>
                <w:sz w:val="20"/>
                <w:szCs w:val="20"/>
                <w:color w:val="auto"/>
              </w:rPr>
            </w:pPr>
            <w:r>
              <w:rPr>
                <w:rFonts w:ascii="Arial" w:cs="Arial" w:eastAsia="Arial" w:hAnsi="Arial"/>
                <w:sz w:val="12"/>
                <w:szCs w:val="12"/>
                <w:color w:val="auto"/>
              </w:rPr>
              <w:t>Cost of sales</w:t>
            </w:r>
            <w:r>
              <w:rPr>
                <w:rFonts w:ascii="Arial" w:cs="Arial" w:eastAsia="Arial" w:hAnsi="Arial"/>
                <w:sz w:val="18"/>
                <w:szCs w:val="18"/>
                <w:color w:val="auto"/>
                <w:vertAlign w:val="superscript"/>
              </w:rPr>
              <w:t>1</w:t>
            </w:r>
          </w:p>
        </w:tc>
        <w:tc>
          <w:tcPr>
            <w:tcW w:w="80" w:type="dxa"/>
            <w:vAlign w:val="bottom"/>
            <w:tcBorders>
              <w:top w:val="single" w:sz="8" w:color="auto"/>
            </w:tcBorders>
            <w:shd w:val="clear" w:color="auto" w:fill="CDDEE7"/>
          </w:tcPr>
          <w:p>
            <w:pPr>
              <w:spacing w:after="0"/>
              <w:rPr>
                <w:sz w:val="13"/>
                <w:szCs w:val="13"/>
                <w:color w:val="auto"/>
              </w:rPr>
            </w:pPr>
          </w:p>
        </w:tc>
        <w:tc>
          <w:tcPr>
            <w:tcW w:w="80" w:type="dxa"/>
            <w:vAlign w:val="bottom"/>
            <w:tcBorders>
              <w:top w:val="single" w:sz="8" w:color="auto"/>
            </w:tcBorders>
            <w:shd w:val="clear" w:color="auto" w:fill="CDDEE7"/>
          </w:tcPr>
          <w:p>
            <w:pPr>
              <w:spacing w:after="0"/>
              <w:rPr>
                <w:sz w:val="13"/>
                <w:szCs w:val="13"/>
                <w:color w:val="auto"/>
              </w:rPr>
            </w:pPr>
          </w:p>
        </w:tc>
        <w:tc>
          <w:tcPr>
            <w:tcW w:w="900" w:type="dxa"/>
            <w:vAlign w:val="bottom"/>
            <w:tcBorders>
              <w:top w:val="single" w:sz="8" w:color="auto"/>
            </w:tcBorders>
            <w:shd w:val="clear" w:color="auto" w:fill="CDDEE7"/>
          </w:tcPr>
          <w:p>
            <w:pPr>
              <w:jc w:val="right"/>
              <w:ind w:right="22"/>
              <w:spacing w:after="0" w:line="158" w:lineRule="exact"/>
              <w:rPr>
                <w:sz w:val="20"/>
                <w:szCs w:val="20"/>
                <w:color w:val="auto"/>
              </w:rPr>
            </w:pPr>
            <w:r>
              <w:rPr>
                <w:rFonts w:ascii="Arial" w:cs="Arial" w:eastAsia="Arial" w:hAnsi="Arial"/>
                <w:sz w:val="16"/>
                <w:szCs w:val="16"/>
                <w:b w:val="1"/>
                <w:bCs w:val="1"/>
                <w:color w:val="auto"/>
              </w:rPr>
              <w:t>2,749,488</w:t>
            </w:r>
          </w:p>
        </w:tc>
        <w:tc>
          <w:tcPr>
            <w:tcW w:w="1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shd w:val="clear" w:color="auto" w:fill="E0EBED"/>
          </w:tcPr>
          <w:p>
            <w:pPr>
              <w:spacing w:after="0"/>
              <w:rPr>
                <w:sz w:val="13"/>
                <w:szCs w:val="13"/>
                <w:color w:val="auto"/>
              </w:rPr>
            </w:pPr>
          </w:p>
        </w:tc>
        <w:tc>
          <w:tcPr>
            <w:tcW w:w="900" w:type="dxa"/>
            <w:vAlign w:val="bottom"/>
            <w:tcBorders>
              <w:top w:val="single" w:sz="8" w:color="auto"/>
            </w:tcBorders>
            <w:shd w:val="clear" w:color="auto" w:fill="E0EBED"/>
          </w:tcPr>
          <w:p>
            <w:pPr>
              <w:jc w:val="right"/>
              <w:ind w:right="42"/>
              <w:spacing w:after="0" w:line="158" w:lineRule="exact"/>
              <w:rPr>
                <w:sz w:val="20"/>
                <w:szCs w:val="20"/>
                <w:color w:val="auto"/>
              </w:rPr>
            </w:pPr>
            <w:r>
              <w:rPr>
                <w:rFonts w:ascii="Arial" w:cs="Arial" w:eastAsia="Arial" w:hAnsi="Arial"/>
                <w:sz w:val="16"/>
                <w:szCs w:val="16"/>
                <w:color w:val="auto"/>
              </w:rPr>
              <w:t>2,665,029</w:t>
            </w: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shd w:val="clear" w:color="auto" w:fill="E0EBED"/>
          </w:tcPr>
          <w:p>
            <w:pPr>
              <w:spacing w:after="0"/>
              <w:rPr>
                <w:sz w:val="13"/>
                <w:szCs w:val="13"/>
                <w:color w:val="auto"/>
              </w:rPr>
            </w:pPr>
          </w:p>
        </w:tc>
        <w:tc>
          <w:tcPr>
            <w:tcW w:w="840" w:type="dxa"/>
            <w:vAlign w:val="bottom"/>
            <w:tcBorders>
              <w:top w:val="single" w:sz="8" w:color="auto"/>
            </w:tcBorders>
            <w:shd w:val="clear" w:color="auto" w:fill="E0EBED"/>
          </w:tcPr>
          <w:p>
            <w:pPr>
              <w:jc w:val="right"/>
              <w:spacing w:after="0" w:line="158" w:lineRule="exact"/>
              <w:rPr>
                <w:sz w:val="20"/>
                <w:szCs w:val="20"/>
                <w:color w:val="auto"/>
              </w:rPr>
            </w:pPr>
            <w:r>
              <w:rPr>
                <w:rFonts w:ascii="Arial" w:cs="Arial" w:eastAsia="Arial" w:hAnsi="Arial"/>
                <w:sz w:val="16"/>
                <w:szCs w:val="16"/>
                <w:color w:val="auto"/>
              </w:rPr>
              <w:t>2,541,196</w:t>
            </w:r>
          </w:p>
        </w:tc>
        <w:tc>
          <w:tcPr>
            <w:tcW w:w="1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shd w:val="clear" w:color="auto" w:fill="E0EBED"/>
          </w:tcPr>
          <w:p>
            <w:pPr>
              <w:spacing w:after="0"/>
              <w:rPr>
                <w:sz w:val="13"/>
                <w:szCs w:val="13"/>
                <w:color w:val="auto"/>
              </w:rPr>
            </w:pPr>
          </w:p>
        </w:tc>
        <w:tc>
          <w:tcPr>
            <w:tcW w:w="900" w:type="dxa"/>
            <w:vAlign w:val="bottom"/>
            <w:tcBorders>
              <w:top w:val="single" w:sz="8" w:color="auto"/>
            </w:tcBorders>
            <w:shd w:val="clear" w:color="auto" w:fill="E0EBED"/>
          </w:tcPr>
          <w:p>
            <w:pPr>
              <w:jc w:val="right"/>
              <w:ind w:right="22"/>
              <w:spacing w:after="0" w:line="158" w:lineRule="exact"/>
              <w:rPr>
                <w:sz w:val="20"/>
                <w:szCs w:val="20"/>
                <w:color w:val="auto"/>
              </w:rPr>
            </w:pPr>
            <w:r>
              <w:rPr>
                <w:rFonts w:ascii="Arial" w:cs="Arial" w:eastAsia="Arial" w:hAnsi="Arial"/>
                <w:sz w:val="16"/>
                <w:szCs w:val="16"/>
                <w:color w:val="auto"/>
              </w:rPr>
              <w:t>2,159,471</w:t>
            </w: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shd w:val="clear" w:color="auto" w:fill="E0EBED"/>
          </w:tcPr>
          <w:p>
            <w:pPr>
              <w:spacing w:after="0"/>
              <w:rPr>
                <w:sz w:val="13"/>
                <w:szCs w:val="13"/>
                <w:color w:val="auto"/>
              </w:rPr>
            </w:pPr>
          </w:p>
        </w:tc>
        <w:tc>
          <w:tcPr>
            <w:tcW w:w="900" w:type="dxa"/>
            <w:vAlign w:val="bottom"/>
            <w:tcBorders>
              <w:top w:val="single" w:sz="8" w:color="auto"/>
            </w:tcBorders>
            <w:shd w:val="clear" w:color="auto" w:fill="E0EBED"/>
          </w:tcPr>
          <w:p>
            <w:pPr>
              <w:jc w:val="right"/>
              <w:ind w:right="22"/>
              <w:spacing w:after="0" w:line="158" w:lineRule="exact"/>
              <w:rPr>
                <w:sz w:val="20"/>
                <w:szCs w:val="20"/>
                <w:color w:val="auto"/>
              </w:rPr>
            </w:pPr>
            <w:r>
              <w:rPr>
                <w:rFonts w:ascii="Arial" w:cs="Arial" w:eastAsia="Arial" w:hAnsi="Arial"/>
                <w:sz w:val="16"/>
                <w:szCs w:val="16"/>
                <w:color w:val="auto"/>
              </w:rPr>
              <w:t>1,573,196</w:t>
            </w:r>
          </w:p>
        </w:tc>
        <w:tc>
          <w:tcPr>
            <w:tcW w:w="0" w:type="dxa"/>
            <w:vAlign w:val="bottom"/>
          </w:tcPr>
          <w:p>
            <w:pPr>
              <w:spacing w:after="0"/>
              <w:rPr>
                <w:sz w:val="1"/>
                <w:szCs w:val="1"/>
                <w:color w:val="auto"/>
              </w:rPr>
            </w:pPr>
          </w:p>
        </w:tc>
      </w:tr>
      <w:tr>
        <w:trPr>
          <w:trHeight w:val="195"/>
        </w:trPr>
        <w:tc>
          <w:tcPr>
            <w:tcW w:w="5740" w:type="dxa"/>
            <w:vAlign w:val="bottom"/>
            <w:gridSpan w:val="2"/>
          </w:tcPr>
          <w:p>
            <w:pPr>
              <w:spacing w:after="0"/>
              <w:rPr>
                <w:sz w:val="20"/>
                <w:szCs w:val="20"/>
                <w:color w:val="auto"/>
              </w:rPr>
            </w:pPr>
            <w:r>
              <w:rPr>
                <w:rFonts w:ascii="Arial" w:cs="Arial" w:eastAsia="Arial" w:hAnsi="Arial"/>
                <w:sz w:val="16"/>
                <w:szCs w:val="16"/>
                <w:color w:val="auto"/>
              </w:rPr>
              <w:t>Freight and delivery costs</w:t>
            </w:r>
          </w:p>
        </w:tc>
        <w:tc>
          <w:tcPr>
            <w:tcW w:w="80" w:type="dxa"/>
            <w:vAlign w:val="bottom"/>
            <w:tcBorders>
              <w:bottom w:val="single" w:sz="8" w:color="auto"/>
            </w:tcBorders>
            <w:shd w:val="clear" w:color="auto" w:fill="CDDEE7"/>
          </w:tcPr>
          <w:p>
            <w:pPr>
              <w:spacing w:after="0"/>
              <w:rPr>
                <w:sz w:val="16"/>
                <w:szCs w:val="16"/>
                <w:color w:val="auto"/>
              </w:rPr>
            </w:pPr>
          </w:p>
        </w:tc>
        <w:tc>
          <w:tcPr>
            <w:tcW w:w="80" w:type="dxa"/>
            <w:vAlign w:val="bottom"/>
            <w:tcBorders>
              <w:bottom w:val="single" w:sz="8" w:color="auto"/>
            </w:tcBorders>
            <w:shd w:val="clear" w:color="auto" w:fill="CDDEE7"/>
          </w:tcPr>
          <w:p>
            <w:pPr>
              <w:spacing w:after="0"/>
              <w:rPr>
                <w:sz w:val="16"/>
                <w:szCs w:val="16"/>
                <w:color w:val="auto"/>
              </w:rPr>
            </w:pPr>
          </w:p>
        </w:tc>
        <w:tc>
          <w:tcPr>
            <w:tcW w:w="900" w:type="dxa"/>
            <w:vAlign w:val="bottom"/>
            <w:tcBorders>
              <w:bottom w:val="single" w:sz="8" w:color="auto"/>
            </w:tcBorders>
            <w:shd w:val="clear" w:color="auto" w:fill="CDDEE7"/>
          </w:tcPr>
          <w:p>
            <w:pPr>
              <w:jc w:val="right"/>
              <w:ind w:right="22"/>
              <w:spacing w:after="0"/>
              <w:rPr>
                <w:sz w:val="20"/>
                <w:szCs w:val="20"/>
                <w:color w:val="auto"/>
              </w:rPr>
            </w:pPr>
            <w:r>
              <w:rPr>
                <w:rFonts w:ascii="Arial" w:cs="Arial" w:eastAsia="Arial" w:hAnsi="Arial"/>
                <w:sz w:val="16"/>
                <w:szCs w:val="16"/>
                <w:b w:val="1"/>
                <w:bCs w:val="1"/>
                <w:color w:val="auto"/>
              </w:rPr>
              <w:t>244,166</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shd w:val="clear" w:color="auto" w:fill="E0EBED"/>
          </w:tcPr>
          <w:p>
            <w:pPr>
              <w:spacing w:after="0"/>
              <w:rPr>
                <w:sz w:val="16"/>
                <w:szCs w:val="16"/>
                <w:color w:val="auto"/>
              </w:rPr>
            </w:pPr>
          </w:p>
        </w:tc>
        <w:tc>
          <w:tcPr>
            <w:tcW w:w="900" w:type="dxa"/>
            <w:vAlign w:val="bottom"/>
            <w:tcBorders>
              <w:bottom w:val="single" w:sz="8" w:color="auto"/>
            </w:tcBorders>
            <w:shd w:val="clear" w:color="auto" w:fill="E0EBED"/>
          </w:tcPr>
          <w:p>
            <w:pPr>
              <w:jc w:val="right"/>
              <w:ind w:right="42"/>
              <w:spacing w:after="0"/>
              <w:rPr>
                <w:sz w:val="20"/>
                <w:szCs w:val="20"/>
                <w:color w:val="auto"/>
              </w:rPr>
            </w:pPr>
            <w:r>
              <w:rPr>
                <w:rFonts w:ascii="Arial" w:cs="Arial" w:eastAsia="Arial" w:hAnsi="Arial"/>
                <w:sz w:val="16"/>
                <w:szCs w:val="16"/>
                <w:color w:val="auto"/>
              </w:rPr>
              <w:t>241,982</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shd w:val="clear" w:color="auto" w:fill="E0EBED"/>
          </w:tcPr>
          <w:p>
            <w:pPr>
              <w:spacing w:after="0"/>
              <w:rPr>
                <w:sz w:val="16"/>
                <w:szCs w:val="16"/>
                <w:color w:val="auto"/>
              </w:rPr>
            </w:pPr>
          </w:p>
        </w:tc>
        <w:tc>
          <w:tcPr>
            <w:tcW w:w="840" w:type="dxa"/>
            <w:vAlign w:val="bottom"/>
            <w:tcBorders>
              <w:bottom w:val="single" w:sz="8" w:color="auto"/>
            </w:tcBorders>
            <w:shd w:val="clear" w:color="auto" w:fill="E0EBED"/>
          </w:tcPr>
          <w:p>
            <w:pPr>
              <w:jc w:val="right"/>
              <w:spacing w:after="0"/>
              <w:rPr>
                <w:sz w:val="20"/>
                <w:szCs w:val="20"/>
                <w:color w:val="auto"/>
              </w:rPr>
            </w:pPr>
            <w:r>
              <w:rPr>
                <w:rFonts w:ascii="Arial" w:cs="Arial" w:eastAsia="Arial" w:hAnsi="Arial"/>
                <w:sz w:val="16"/>
                <w:szCs w:val="16"/>
                <w:color w:val="auto"/>
              </w:rPr>
              <w:t>271,454</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shd w:val="clear" w:color="auto" w:fill="E0EBED"/>
          </w:tcPr>
          <w:p>
            <w:pPr>
              <w:spacing w:after="0"/>
              <w:rPr>
                <w:sz w:val="16"/>
                <w:szCs w:val="16"/>
                <w:color w:val="auto"/>
              </w:rPr>
            </w:pPr>
          </w:p>
        </w:tc>
        <w:tc>
          <w:tcPr>
            <w:tcW w:w="900" w:type="dxa"/>
            <w:vAlign w:val="bottom"/>
            <w:tcBorders>
              <w:bottom w:val="single" w:sz="8" w:color="auto"/>
            </w:tcBorders>
            <w:shd w:val="clear" w:color="auto" w:fill="E0EBED"/>
          </w:tcPr>
          <w:p>
            <w:pPr>
              <w:jc w:val="right"/>
              <w:ind w:right="22"/>
              <w:spacing w:after="0"/>
              <w:rPr>
                <w:sz w:val="20"/>
                <w:szCs w:val="20"/>
                <w:color w:val="auto"/>
              </w:rPr>
            </w:pPr>
            <w:r>
              <w:rPr>
                <w:rFonts w:ascii="Arial" w:cs="Arial" w:eastAsia="Arial" w:hAnsi="Arial"/>
                <w:sz w:val="16"/>
                <w:szCs w:val="16"/>
                <w:color w:val="auto"/>
              </w:rPr>
              <w:t>278,856</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shd w:val="clear" w:color="auto" w:fill="E0EBED"/>
          </w:tcPr>
          <w:p>
            <w:pPr>
              <w:spacing w:after="0"/>
              <w:rPr>
                <w:sz w:val="16"/>
                <w:szCs w:val="16"/>
                <w:color w:val="auto"/>
              </w:rPr>
            </w:pPr>
          </w:p>
        </w:tc>
        <w:tc>
          <w:tcPr>
            <w:tcW w:w="900" w:type="dxa"/>
            <w:vAlign w:val="bottom"/>
            <w:tcBorders>
              <w:bottom w:val="single" w:sz="8" w:color="auto"/>
            </w:tcBorders>
            <w:shd w:val="clear" w:color="auto" w:fill="E0EBED"/>
          </w:tcPr>
          <w:p>
            <w:pPr>
              <w:jc w:val="right"/>
              <w:ind w:right="22"/>
              <w:spacing w:after="0"/>
              <w:rPr>
                <w:sz w:val="20"/>
                <w:szCs w:val="20"/>
                <w:color w:val="auto"/>
              </w:rPr>
            </w:pPr>
            <w:r>
              <w:rPr>
                <w:rFonts w:ascii="Arial" w:cs="Arial" w:eastAsia="Arial" w:hAnsi="Arial"/>
                <w:sz w:val="16"/>
                <w:szCs w:val="16"/>
                <w:color w:val="auto"/>
              </w:rPr>
              <w:t>212,333</w:t>
            </w:r>
          </w:p>
        </w:tc>
        <w:tc>
          <w:tcPr>
            <w:tcW w:w="0" w:type="dxa"/>
            <w:vAlign w:val="bottom"/>
          </w:tcPr>
          <w:p>
            <w:pPr>
              <w:spacing w:after="0"/>
              <w:rPr>
                <w:sz w:val="1"/>
                <w:szCs w:val="1"/>
                <w:color w:val="auto"/>
              </w:rPr>
            </w:pPr>
          </w:p>
        </w:tc>
      </w:tr>
      <w:tr>
        <w:trPr>
          <w:trHeight w:val="178"/>
        </w:trPr>
        <w:tc>
          <w:tcPr>
            <w:tcW w:w="5740" w:type="dxa"/>
            <w:vAlign w:val="bottom"/>
            <w:tcBorders>
              <w:bottom w:val="single" w:sz="8" w:color="auto"/>
            </w:tcBorders>
            <w:gridSpan w:val="2"/>
          </w:tcPr>
          <w:p>
            <w:pPr>
              <w:spacing w:after="0" w:line="178" w:lineRule="exact"/>
              <w:rPr>
                <w:sz w:val="20"/>
                <w:szCs w:val="20"/>
                <w:color w:val="auto"/>
              </w:rPr>
            </w:pPr>
            <w:r>
              <w:rPr>
                <w:rFonts w:ascii="Arial" w:cs="Arial" w:eastAsia="Arial" w:hAnsi="Arial"/>
                <w:sz w:val="13"/>
                <w:szCs w:val="13"/>
                <w:color w:val="auto"/>
              </w:rPr>
              <w:t>Total cost of revenues</w:t>
            </w:r>
            <w:r>
              <w:rPr>
                <w:rFonts w:ascii="Arial" w:cs="Arial" w:eastAsia="Arial" w:hAnsi="Arial"/>
                <w:sz w:val="20"/>
                <w:szCs w:val="20"/>
                <w:color w:val="auto"/>
                <w:vertAlign w:val="superscript"/>
              </w:rPr>
              <w:t>1</w:t>
            </w:r>
          </w:p>
        </w:tc>
        <w:tc>
          <w:tcPr>
            <w:tcW w:w="80" w:type="dxa"/>
            <w:vAlign w:val="bottom"/>
            <w:tcBorders>
              <w:bottom w:val="single" w:sz="8" w:color="auto"/>
            </w:tcBorders>
            <w:shd w:val="clear" w:color="auto" w:fill="CDDEE7"/>
          </w:tcPr>
          <w:p>
            <w:pPr>
              <w:spacing w:after="0"/>
              <w:rPr>
                <w:sz w:val="15"/>
                <w:szCs w:val="15"/>
                <w:color w:val="auto"/>
              </w:rPr>
            </w:pPr>
          </w:p>
        </w:tc>
        <w:tc>
          <w:tcPr>
            <w:tcW w:w="80" w:type="dxa"/>
            <w:vAlign w:val="bottom"/>
            <w:tcBorders>
              <w:bottom w:val="single" w:sz="8" w:color="auto"/>
            </w:tcBorders>
            <w:shd w:val="clear" w:color="auto" w:fill="CDDEE7"/>
          </w:tcPr>
          <w:p>
            <w:pPr>
              <w:spacing w:after="0"/>
              <w:rPr>
                <w:sz w:val="15"/>
                <w:szCs w:val="15"/>
                <w:color w:val="auto"/>
              </w:rPr>
            </w:pPr>
          </w:p>
        </w:tc>
        <w:tc>
          <w:tcPr>
            <w:tcW w:w="900" w:type="dxa"/>
            <w:vAlign w:val="bottom"/>
            <w:tcBorders>
              <w:bottom w:val="single" w:sz="8" w:color="auto"/>
            </w:tcBorders>
            <w:shd w:val="clear" w:color="auto" w:fill="CDDEE7"/>
          </w:tcPr>
          <w:p>
            <w:pPr>
              <w:jc w:val="right"/>
              <w:ind w:right="22"/>
              <w:spacing w:after="0" w:line="178" w:lineRule="exact"/>
              <w:rPr>
                <w:sz w:val="20"/>
                <w:szCs w:val="20"/>
                <w:color w:val="auto"/>
              </w:rPr>
            </w:pPr>
            <w:r>
              <w:rPr>
                <w:rFonts w:ascii="Arial" w:cs="Arial" w:eastAsia="Arial" w:hAnsi="Arial"/>
                <w:sz w:val="16"/>
                <w:szCs w:val="16"/>
                <w:b w:val="1"/>
                <w:bCs w:val="1"/>
                <w:color w:val="auto"/>
              </w:rPr>
              <w:t>2,993,654</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shd w:val="clear" w:color="auto" w:fill="E0EBED"/>
          </w:tcPr>
          <w:p>
            <w:pPr>
              <w:spacing w:after="0"/>
              <w:rPr>
                <w:sz w:val="15"/>
                <w:szCs w:val="15"/>
                <w:color w:val="auto"/>
              </w:rPr>
            </w:pPr>
          </w:p>
        </w:tc>
        <w:tc>
          <w:tcPr>
            <w:tcW w:w="900" w:type="dxa"/>
            <w:vAlign w:val="bottom"/>
            <w:tcBorders>
              <w:bottom w:val="single" w:sz="8" w:color="auto"/>
            </w:tcBorders>
            <w:shd w:val="clear" w:color="auto" w:fill="E0EBED"/>
          </w:tcPr>
          <w:p>
            <w:pPr>
              <w:jc w:val="right"/>
              <w:ind w:right="42"/>
              <w:spacing w:after="0" w:line="178" w:lineRule="exact"/>
              <w:rPr>
                <w:sz w:val="20"/>
                <w:szCs w:val="20"/>
                <w:color w:val="auto"/>
              </w:rPr>
            </w:pPr>
            <w:r>
              <w:rPr>
                <w:rFonts w:ascii="Arial" w:cs="Arial" w:eastAsia="Arial" w:hAnsi="Arial"/>
                <w:sz w:val="16"/>
                <w:szCs w:val="16"/>
                <w:color w:val="auto"/>
              </w:rPr>
              <w:t>2,907,011</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shd w:val="clear" w:color="auto" w:fill="E0EBED"/>
          </w:tcPr>
          <w:p>
            <w:pPr>
              <w:spacing w:after="0"/>
              <w:rPr>
                <w:sz w:val="15"/>
                <w:szCs w:val="15"/>
                <w:color w:val="auto"/>
              </w:rPr>
            </w:pPr>
          </w:p>
        </w:tc>
        <w:tc>
          <w:tcPr>
            <w:tcW w:w="840" w:type="dxa"/>
            <w:vAlign w:val="bottom"/>
            <w:tcBorders>
              <w:bottom w:val="single" w:sz="8" w:color="auto"/>
            </w:tcBorders>
            <w:shd w:val="clear" w:color="auto" w:fill="E0EBED"/>
          </w:tcPr>
          <w:p>
            <w:pPr>
              <w:jc w:val="right"/>
              <w:spacing w:after="0" w:line="178" w:lineRule="exact"/>
              <w:rPr>
                <w:sz w:val="20"/>
                <w:szCs w:val="20"/>
                <w:color w:val="auto"/>
              </w:rPr>
            </w:pPr>
            <w:r>
              <w:rPr>
                <w:rFonts w:ascii="Arial" w:cs="Arial" w:eastAsia="Arial" w:hAnsi="Arial"/>
                <w:sz w:val="16"/>
                <w:szCs w:val="16"/>
                <w:color w:val="auto"/>
              </w:rPr>
              <w:t>2,812,650</w:t>
            </w: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shd w:val="clear" w:color="auto" w:fill="E0EBED"/>
          </w:tcPr>
          <w:p>
            <w:pPr>
              <w:spacing w:after="0"/>
              <w:rPr>
                <w:sz w:val="15"/>
                <w:szCs w:val="15"/>
                <w:color w:val="auto"/>
              </w:rPr>
            </w:pPr>
          </w:p>
        </w:tc>
        <w:tc>
          <w:tcPr>
            <w:tcW w:w="900" w:type="dxa"/>
            <w:vAlign w:val="bottom"/>
            <w:tcBorders>
              <w:bottom w:val="single" w:sz="8" w:color="auto"/>
            </w:tcBorders>
            <w:shd w:val="clear" w:color="auto" w:fill="E0EBED"/>
          </w:tcPr>
          <w:p>
            <w:pPr>
              <w:jc w:val="right"/>
              <w:ind w:right="22"/>
              <w:spacing w:after="0" w:line="178" w:lineRule="exact"/>
              <w:rPr>
                <w:sz w:val="20"/>
                <w:szCs w:val="20"/>
                <w:color w:val="auto"/>
              </w:rPr>
            </w:pPr>
            <w:r>
              <w:rPr>
                <w:rFonts w:ascii="Arial" w:cs="Arial" w:eastAsia="Arial" w:hAnsi="Arial"/>
                <w:sz w:val="16"/>
                <w:szCs w:val="16"/>
                <w:color w:val="auto"/>
              </w:rPr>
              <w:t>2,438,327</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shd w:val="clear" w:color="auto" w:fill="E0EBED"/>
          </w:tcPr>
          <w:p>
            <w:pPr>
              <w:spacing w:after="0"/>
              <w:rPr>
                <w:sz w:val="15"/>
                <w:szCs w:val="15"/>
                <w:color w:val="auto"/>
              </w:rPr>
            </w:pPr>
          </w:p>
        </w:tc>
        <w:tc>
          <w:tcPr>
            <w:tcW w:w="900" w:type="dxa"/>
            <w:vAlign w:val="bottom"/>
            <w:tcBorders>
              <w:bottom w:val="single" w:sz="8" w:color="auto"/>
            </w:tcBorders>
            <w:shd w:val="clear" w:color="auto" w:fill="E0EBED"/>
          </w:tcPr>
          <w:p>
            <w:pPr>
              <w:jc w:val="right"/>
              <w:ind w:right="22"/>
              <w:spacing w:after="0" w:line="178" w:lineRule="exact"/>
              <w:rPr>
                <w:sz w:val="20"/>
                <w:szCs w:val="20"/>
                <w:color w:val="auto"/>
              </w:rPr>
            </w:pPr>
            <w:r>
              <w:rPr>
                <w:rFonts w:ascii="Arial" w:cs="Arial" w:eastAsia="Arial" w:hAnsi="Arial"/>
                <w:sz w:val="16"/>
                <w:szCs w:val="16"/>
                <w:color w:val="auto"/>
              </w:rPr>
              <w:t>1,785,529</w:t>
            </w:r>
          </w:p>
        </w:tc>
        <w:tc>
          <w:tcPr>
            <w:tcW w:w="0" w:type="dxa"/>
            <w:vAlign w:val="bottom"/>
          </w:tcPr>
          <w:p>
            <w:pPr>
              <w:spacing w:after="0"/>
              <w:rPr>
                <w:sz w:val="1"/>
                <w:szCs w:val="1"/>
                <w:color w:val="auto"/>
              </w:rPr>
            </w:pPr>
          </w:p>
        </w:tc>
      </w:tr>
      <w:tr>
        <w:trPr>
          <w:trHeight w:val="158"/>
        </w:trPr>
        <w:tc>
          <w:tcPr>
            <w:tcW w:w="5740" w:type="dxa"/>
            <w:vAlign w:val="bottom"/>
            <w:gridSpan w:val="2"/>
          </w:tcPr>
          <w:p>
            <w:pPr>
              <w:spacing w:after="0" w:line="159" w:lineRule="exact"/>
              <w:rPr>
                <w:sz w:val="20"/>
                <w:szCs w:val="20"/>
                <w:color w:val="auto"/>
              </w:rPr>
            </w:pPr>
            <w:r>
              <w:rPr>
                <w:rFonts w:ascii="Arial" w:cs="Arial" w:eastAsia="Arial" w:hAnsi="Arial"/>
                <w:sz w:val="16"/>
                <w:szCs w:val="16"/>
                <w:b w:val="1"/>
                <w:bCs w:val="1"/>
                <w:color w:val="auto"/>
              </w:rPr>
              <w:t>Gross Profit</w:t>
            </w:r>
            <w:r>
              <w:rPr>
                <w:rFonts w:ascii="Arial" w:cs="Arial" w:eastAsia="Arial" w:hAnsi="Arial"/>
                <w:sz w:val="17"/>
                <w:szCs w:val="17"/>
                <w:color w:val="auto"/>
                <w:vertAlign w:val="superscript"/>
              </w:rPr>
              <w:t>1</w:t>
            </w:r>
          </w:p>
        </w:tc>
        <w:tc>
          <w:tcPr>
            <w:tcW w:w="80" w:type="dxa"/>
            <w:vAlign w:val="bottom"/>
            <w:shd w:val="clear" w:color="auto" w:fill="CDDEE7"/>
          </w:tcPr>
          <w:p>
            <w:pPr>
              <w:spacing w:after="0"/>
              <w:rPr>
                <w:sz w:val="13"/>
                <w:szCs w:val="13"/>
                <w:color w:val="auto"/>
              </w:rPr>
            </w:pPr>
          </w:p>
        </w:tc>
        <w:tc>
          <w:tcPr>
            <w:tcW w:w="80" w:type="dxa"/>
            <w:vAlign w:val="bottom"/>
            <w:shd w:val="clear" w:color="auto" w:fill="CDDEE7"/>
          </w:tcPr>
          <w:p>
            <w:pPr>
              <w:spacing w:after="0"/>
              <w:rPr>
                <w:sz w:val="13"/>
                <w:szCs w:val="13"/>
                <w:color w:val="auto"/>
              </w:rPr>
            </w:pPr>
          </w:p>
        </w:tc>
        <w:tc>
          <w:tcPr>
            <w:tcW w:w="900" w:type="dxa"/>
            <w:vAlign w:val="bottom"/>
            <w:shd w:val="clear" w:color="auto" w:fill="CDDEE7"/>
          </w:tcPr>
          <w:p>
            <w:pPr>
              <w:jc w:val="right"/>
              <w:ind w:right="22"/>
              <w:spacing w:after="0" w:line="158" w:lineRule="exact"/>
              <w:rPr>
                <w:sz w:val="20"/>
                <w:szCs w:val="20"/>
                <w:color w:val="auto"/>
              </w:rPr>
            </w:pPr>
            <w:r>
              <w:rPr>
                <w:rFonts w:ascii="Arial" w:cs="Arial" w:eastAsia="Arial" w:hAnsi="Arial"/>
                <w:sz w:val="16"/>
                <w:szCs w:val="16"/>
                <w:b w:val="1"/>
                <w:bCs w:val="1"/>
                <w:color w:val="auto"/>
              </w:rPr>
              <w:t>971,940</w:t>
            </w:r>
          </w:p>
        </w:tc>
        <w:tc>
          <w:tcPr>
            <w:tcW w:w="100" w:type="dxa"/>
            <w:vAlign w:val="bottom"/>
          </w:tcPr>
          <w:p>
            <w:pPr>
              <w:spacing w:after="0"/>
              <w:rPr>
                <w:sz w:val="13"/>
                <w:szCs w:val="13"/>
                <w:color w:val="auto"/>
              </w:rPr>
            </w:pPr>
          </w:p>
        </w:tc>
        <w:tc>
          <w:tcPr>
            <w:tcW w:w="180" w:type="dxa"/>
            <w:vAlign w:val="bottom"/>
            <w:shd w:val="clear" w:color="auto" w:fill="E0EBED"/>
          </w:tcPr>
          <w:p>
            <w:pPr>
              <w:spacing w:after="0"/>
              <w:rPr>
                <w:sz w:val="13"/>
                <w:szCs w:val="13"/>
                <w:color w:val="auto"/>
              </w:rPr>
            </w:pPr>
          </w:p>
        </w:tc>
        <w:tc>
          <w:tcPr>
            <w:tcW w:w="900" w:type="dxa"/>
            <w:vAlign w:val="bottom"/>
            <w:shd w:val="clear" w:color="auto" w:fill="E0EBED"/>
          </w:tcPr>
          <w:p>
            <w:pPr>
              <w:jc w:val="right"/>
              <w:ind w:right="42"/>
              <w:spacing w:after="0" w:line="158" w:lineRule="exact"/>
              <w:rPr>
                <w:sz w:val="20"/>
                <w:szCs w:val="20"/>
                <w:color w:val="auto"/>
              </w:rPr>
            </w:pPr>
            <w:r>
              <w:rPr>
                <w:rFonts w:ascii="Arial" w:cs="Arial" w:eastAsia="Arial" w:hAnsi="Arial"/>
                <w:sz w:val="16"/>
                <w:szCs w:val="16"/>
                <w:color w:val="auto"/>
              </w:rPr>
              <w:t>911,738</w:t>
            </w:r>
          </w:p>
        </w:tc>
        <w:tc>
          <w:tcPr>
            <w:tcW w:w="100" w:type="dxa"/>
            <w:vAlign w:val="bottom"/>
          </w:tcPr>
          <w:p>
            <w:pPr>
              <w:spacing w:after="0"/>
              <w:rPr>
                <w:sz w:val="13"/>
                <w:szCs w:val="13"/>
                <w:color w:val="auto"/>
              </w:rPr>
            </w:pPr>
          </w:p>
        </w:tc>
        <w:tc>
          <w:tcPr>
            <w:tcW w:w="160" w:type="dxa"/>
            <w:vAlign w:val="bottom"/>
            <w:shd w:val="clear" w:color="auto" w:fill="E0EBED"/>
          </w:tcPr>
          <w:p>
            <w:pPr>
              <w:spacing w:after="0"/>
              <w:rPr>
                <w:sz w:val="13"/>
                <w:szCs w:val="13"/>
                <w:color w:val="auto"/>
              </w:rPr>
            </w:pPr>
          </w:p>
        </w:tc>
        <w:tc>
          <w:tcPr>
            <w:tcW w:w="840" w:type="dxa"/>
            <w:vAlign w:val="bottom"/>
            <w:shd w:val="clear" w:color="auto" w:fill="E0EBED"/>
          </w:tcPr>
          <w:p>
            <w:pPr>
              <w:jc w:val="right"/>
              <w:spacing w:after="0" w:line="158" w:lineRule="exact"/>
              <w:rPr>
                <w:sz w:val="20"/>
                <w:szCs w:val="20"/>
                <w:color w:val="auto"/>
              </w:rPr>
            </w:pPr>
            <w:r>
              <w:rPr>
                <w:rFonts w:ascii="Arial" w:cs="Arial" w:eastAsia="Arial" w:hAnsi="Arial"/>
                <w:sz w:val="16"/>
                <w:szCs w:val="16"/>
                <w:color w:val="auto"/>
              </w:rPr>
              <w:t>726,920</w:t>
            </w:r>
          </w:p>
        </w:tc>
        <w:tc>
          <w:tcPr>
            <w:tcW w:w="120" w:type="dxa"/>
            <w:vAlign w:val="bottom"/>
          </w:tcPr>
          <w:p>
            <w:pPr>
              <w:spacing w:after="0"/>
              <w:rPr>
                <w:sz w:val="13"/>
                <w:szCs w:val="13"/>
                <w:color w:val="auto"/>
              </w:rPr>
            </w:pPr>
          </w:p>
        </w:tc>
        <w:tc>
          <w:tcPr>
            <w:tcW w:w="160" w:type="dxa"/>
            <w:vAlign w:val="bottom"/>
            <w:shd w:val="clear" w:color="auto" w:fill="E0EBED"/>
          </w:tcPr>
          <w:p>
            <w:pPr>
              <w:spacing w:after="0"/>
              <w:rPr>
                <w:sz w:val="13"/>
                <w:szCs w:val="13"/>
                <w:color w:val="auto"/>
              </w:rPr>
            </w:pPr>
          </w:p>
        </w:tc>
        <w:tc>
          <w:tcPr>
            <w:tcW w:w="900" w:type="dxa"/>
            <w:vAlign w:val="bottom"/>
            <w:shd w:val="clear" w:color="auto" w:fill="E0EBED"/>
          </w:tcPr>
          <w:p>
            <w:pPr>
              <w:jc w:val="right"/>
              <w:ind w:right="22"/>
              <w:spacing w:after="0" w:line="158" w:lineRule="exact"/>
              <w:rPr>
                <w:sz w:val="20"/>
                <w:szCs w:val="20"/>
                <w:color w:val="auto"/>
              </w:rPr>
            </w:pPr>
            <w:r>
              <w:rPr>
                <w:rFonts w:ascii="Arial" w:cs="Arial" w:eastAsia="Arial" w:hAnsi="Arial"/>
                <w:sz w:val="16"/>
                <w:szCs w:val="16"/>
                <w:color w:val="auto"/>
              </w:rPr>
              <w:t>519,624</w:t>
            </w:r>
          </w:p>
        </w:tc>
        <w:tc>
          <w:tcPr>
            <w:tcW w:w="100" w:type="dxa"/>
            <w:vAlign w:val="bottom"/>
          </w:tcPr>
          <w:p>
            <w:pPr>
              <w:spacing w:after="0"/>
              <w:rPr>
                <w:sz w:val="13"/>
                <w:szCs w:val="13"/>
                <w:color w:val="auto"/>
              </w:rPr>
            </w:pPr>
          </w:p>
        </w:tc>
        <w:tc>
          <w:tcPr>
            <w:tcW w:w="160" w:type="dxa"/>
            <w:vAlign w:val="bottom"/>
            <w:shd w:val="clear" w:color="auto" w:fill="E0EBED"/>
          </w:tcPr>
          <w:p>
            <w:pPr>
              <w:spacing w:after="0"/>
              <w:rPr>
                <w:sz w:val="13"/>
                <w:szCs w:val="13"/>
                <w:color w:val="auto"/>
              </w:rPr>
            </w:pPr>
          </w:p>
        </w:tc>
        <w:tc>
          <w:tcPr>
            <w:tcW w:w="900" w:type="dxa"/>
            <w:vAlign w:val="bottom"/>
            <w:shd w:val="clear" w:color="auto" w:fill="E0EBED"/>
          </w:tcPr>
          <w:p>
            <w:pPr>
              <w:jc w:val="right"/>
              <w:ind w:right="22"/>
              <w:spacing w:after="0" w:line="158" w:lineRule="exact"/>
              <w:rPr>
                <w:sz w:val="20"/>
                <w:szCs w:val="20"/>
                <w:color w:val="auto"/>
              </w:rPr>
            </w:pPr>
            <w:r>
              <w:rPr>
                <w:rFonts w:ascii="Arial" w:cs="Arial" w:eastAsia="Arial" w:hAnsi="Arial"/>
                <w:sz w:val="16"/>
                <w:szCs w:val="16"/>
                <w:color w:val="auto"/>
              </w:rPr>
              <w:t>370,022</w:t>
            </w:r>
          </w:p>
        </w:tc>
        <w:tc>
          <w:tcPr>
            <w:tcW w:w="0" w:type="dxa"/>
            <w:vAlign w:val="bottom"/>
          </w:tcPr>
          <w:p>
            <w:pPr>
              <w:spacing w:after="0"/>
              <w:rPr>
                <w:sz w:val="1"/>
                <w:szCs w:val="1"/>
                <w:color w:val="auto"/>
              </w:rPr>
            </w:pPr>
          </w:p>
        </w:tc>
      </w:tr>
      <w:tr>
        <w:trPr>
          <w:trHeight w:val="182"/>
        </w:trPr>
        <w:tc>
          <w:tcPr>
            <w:tcW w:w="5740" w:type="dxa"/>
            <w:vAlign w:val="bottom"/>
            <w:gridSpan w:val="2"/>
          </w:tcPr>
          <w:p>
            <w:pPr>
              <w:spacing w:after="0" w:line="182" w:lineRule="exact"/>
              <w:rPr>
                <w:sz w:val="20"/>
                <w:szCs w:val="20"/>
                <w:color w:val="auto"/>
              </w:rPr>
            </w:pPr>
            <w:r>
              <w:rPr>
                <w:rFonts w:ascii="Arial" w:cs="Arial" w:eastAsia="Arial" w:hAnsi="Arial"/>
                <w:sz w:val="13"/>
                <w:szCs w:val="13"/>
                <w:color w:val="auto"/>
              </w:rPr>
              <w:t>Selling, general and administrative expenses</w:t>
            </w:r>
            <w:r>
              <w:rPr>
                <w:rFonts w:ascii="Arial" w:cs="Arial" w:eastAsia="Arial" w:hAnsi="Arial"/>
                <w:sz w:val="21"/>
                <w:szCs w:val="21"/>
                <w:color w:val="auto"/>
                <w:vertAlign w:val="superscript"/>
              </w:rPr>
              <w:t>1</w:t>
            </w:r>
          </w:p>
        </w:tc>
        <w:tc>
          <w:tcPr>
            <w:tcW w:w="80" w:type="dxa"/>
            <w:vAlign w:val="bottom"/>
            <w:shd w:val="clear" w:color="auto" w:fill="CDDEE7"/>
          </w:tcPr>
          <w:p>
            <w:pPr>
              <w:spacing w:after="0"/>
              <w:rPr>
                <w:sz w:val="15"/>
                <w:szCs w:val="15"/>
                <w:color w:val="auto"/>
              </w:rPr>
            </w:pPr>
          </w:p>
        </w:tc>
        <w:tc>
          <w:tcPr>
            <w:tcW w:w="80" w:type="dxa"/>
            <w:vAlign w:val="bottom"/>
            <w:shd w:val="clear" w:color="auto" w:fill="CDDEE7"/>
          </w:tcPr>
          <w:p>
            <w:pPr>
              <w:spacing w:after="0"/>
              <w:rPr>
                <w:sz w:val="15"/>
                <w:szCs w:val="15"/>
                <w:color w:val="auto"/>
              </w:rPr>
            </w:pPr>
          </w:p>
        </w:tc>
        <w:tc>
          <w:tcPr>
            <w:tcW w:w="900" w:type="dxa"/>
            <w:vAlign w:val="bottom"/>
            <w:shd w:val="clear" w:color="auto" w:fill="CDDEE7"/>
          </w:tcPr>
          <w:p>
            <w:pPr>
              <w:jc w:val="right"/>
              <w:ind w:right="22"/>
              <w:spacing w:after="0" w:line="182" w:lineRule="exact"/>
              <w:rPr>
                <w:sz w:val="20"/>
                <w:szCs w:val="20"/>
                <w:color w:val="auto"/>
              </w:rPr>
            </w:pPr>
            <w:r>
              <w:rPr>
                <w:rFonts w:ascii="Arial" w:cs="Arial" w:eastAsia="Arial" w:hAnsi="Arial"/>
                <w:sz w:val="16"/>
                <w:szCs w:val="16"/>
                <w:b w:val="1"/>
                <w:bCs w:val="1"/>
                <w:color w:val="auto"/>
              </w:rPr>
              <w:t>262,128</w:t>
            </w:r>
          </w:p>
        </w:tc>
        <w:tc>
          <w:tcPr>
            <w:tcW w:w="100" w:type="dxa"/>
            <w:vAlign w:val="bottom"/>
          </w:tcPr>
          <w:p>
            <w:pPr>
              <w:spacing w:after="0"/>
              <w:rPr>
                <w:sz w:val="15"/>
                <w:szCs w:val="15"/>
                <w:color w:val="auto"/>
              </w:rPr>
            </w:pPr>
          </w:p>
        </w:tc>
        <w:tc>
          <w:tcPr>
            <w:tcW w:w="180" w:type="dxa"/>
            <w:vAlign w:val="bottom"/>
            <w:shd w:val="clear" w:color="auto" w:fill="E0EBED"/>
          </w:tcPr>
          <w:p>
            <w:pPr>
              <w:spacing w:after="0"/>
              <w:rPr>
                <w:sz w:val="15"/>
                <w:szCs w:val="15"/>
                <w:color w:val="auto"/>
              </w:rPr>
            </w:pPr>
          </w:p>
        </w:tc>
        <w:tc>
          <w:tcPr>
            <w:tcW w:w="900" w:type="dxa"/>
            <w:vAlign w:val="bottom"/>
            <w:shd w:val="clear" w:color="auto" w:fill="E0EBED"/>
          </w:tcPr>
          <w:p>
            <w:pPr>
              <w:jc w:val="right"/>
              <w:ind w:right="42"/>
              <w:spacing w:after="0" w:line="182" w:lineRule="exact"/>
              <w:rPr>
                <w:sz w:val="20"/>
                <w:szCs w:val="20"/>
                <w:color w:val="auto"/>
              </w:rPr>
            </w:pPr>
            <w:r>
              <w:rPr>
                <w:rFonts w:ascii="Arial" w:cs="Arial" w:eastAsia="Arial" w:hAnsi="Arial"/>
                <w:sz w:val="16"/>
                <w:szCs w:val="16"/>
                <w:color w:val="auto"/>
              </w:rPr>
              <w:t>241,606</w:t>
            </w:r>
          </w:p>
        </w:tc>
        <w:tc>
          <w:tcPr>
            <w:tcW w:w="100" w:type="dxa"/>
            <w:vAlign w:val="bottom"/>
          </w:tcPr>
          <w:p>
            <w:pPr>
              <w:spacing w:after="0"/>
              <w:rPr>
                <w:sz w:val="15"/>
                <w:szCs w:val="15"/>
                <w:color w:val="auto"/>
              </w:rPr>
            </w:pPr>
          </w:p>
        </w:tc>
        <w:tc>
          <w:tcPr>
            <w:tcW w:w="160" w:type="dxa"/>
            <w:vAlign w:val="bottom"/>
            <w:shd w:val="clear" w:color="auto" w:fill="E0EBED"/>
          </w:tcPr>
          <w:p>
            <w:pPr>
              <w:spacing w:after="0"/>
              <w:rPr>
                <w:sz w:val="15"/>
                <w:szCs w:val="15"/>
                <w:color w:val="auto"/>
              </w:rPr>
            </w:pPr>
          </w:p>
        </w:tc>
        <w:tc>
          <w:tcPr>
            <w:tcW w:w="840" w:type="dxa"/>
            <w:vAlign w:val="bottom"/>
            <w:shd w:val="clear" w:color="auto" w:fill="E0EBED"/>
          </w:tcPr>
          <w:p>
            <w:pPr>
              <w:jc w:val="right"/>
              <w:spacing w:after="0" w:line="182" w:lineRule="exact"/>
              <w:rPr>
                <w:sz w:val="20"/>
                <w:szCs w:val="20"/>
                <w:color w:val="auto"/>
              </w:rPr>
            </w:pPr>
            <w:r>
              <w:rPr>
                <w:rFonts w:ascii="Arial" w:cs="Arial" w:eastAsia="Arial" w:hAnsi="Arial"/>
                <w:sz w:val="16"/>
                <w:szCs w:val="16"/>
                <w:color w:val="auto"/>
              </w:rPr>
              <w:t>210,754</w:t>
            </w:r>
          </w:p>
        </w:tc>
        <w:tc>
          <w:tcPr>
            <w:tcW w:w="120" w:type="dxa"/>
            <w:vAlign w:val="bottom"/>
          </w:tcPr>
          <w:p>
            <w:pPr>
              <w:spacing w:after="0"/>
              <w:rPr>
                <w:sz w:val="15"/>
                <w:szCs w:val="15"/>
                <w:color w:val="auto"/>
              </w:rPr>
            </w:pPr>
          </w:p>
        </w:tc>
        <w:tc>
          <w:tcPr>
            <w:tcW w:w="160" w:type="dxa"/>
            <w:vAlign w:val="bottom"/>
            <w:shd w:val="clear" w:color="auto" w:fill="E0EBED"/>
          </w:tcPr>
          <w:p>
            <w:pPr>
              <w:spacing w:after="0"/>
              <w:rPr>
                <w:sz w:val="15"/>
                <w:szCs w:val="15"/>
                <w:color w:val="auto"/>
              </w:rPr>
            </w:pPr>
          </w:p>
        </w:tc>
        <w:tc>
          <w:tcPr>
            <w:tcW w:w="900" w:type="dxa"/>
            <w:vAlign w:val="bottom"/>
            <w:shd w:val="clear" w:color="auto" w:fill="E0EBED"/>
          </w:tcPr>
          <w:p>
            <w:pPr>
              <w:jc w:val="right"/>
              <w:ind w:right="22"/>
              <w:spacing w:after="0" w:line="182" w:lineRule="exact"/>
              <w:rPr>
                <w:sz w:val="20"/>
                <w:szCs w:val="20"/>
                <w:color w:val="auto"/>
              </w:rPr>
            </w:pPr>
            <w:r>
              <w:rPr>
                <w:rFonts w:ascii="Arial" w:cs="Arial" w:eastAsia="Arial" w:hAnsi="Arial"/>
                <w:sz w:val="16"/>
                <w:szCs w:val="16"/>
                <w:color w:val="auto"/>
              </w:rPr>
              <w:t>168,102</w:t>
            </w:r>
          </w:p>
        </w:tc>
        <w:tc>
          <w:tcPr>
            <w:tcW w:w="100" w:type="dxa"/>
            <w:vAlign w:val="bottom"/>
          </w:tcPr>
          <w:p>
            <w:pPr>
              <w:spacing w:after="0"/>
              <w:rPr>
                <w:sz w:val="15"/>
                <w:szCs w:val="15"/>
                <w:color w:val="auto"/>
              </w:rPr>
            </w:pPr>
          </w:p>
        </w:tc>
        <w:tc>
          <w:tcPr>
            <w:tcW w:w="160" w:type="dxa"/>
            <w:vAlign w:val="bottom"/>
            <w:shd w:val="clear" w:color="auto" w:fill="E0EBED"/>
          </w:tcPr>
          <w:p>
            <w:pPr>
              <w:spacing w:after="0"/>
              <w:rPr>
                <w:sz w:val="15"/>
                <w:szCs w:val="15"/>
                <w:color w:val="auto"/>
              </w:rPr>
            </w:pPr>
          </w:p>
        </w:tc>
        <w:tc>
          <w:tcPr>
            <w:tcW w:w="900" w:type="dxa"/>
            <w:vAlign w:val="bottom"/>
            <w:shd w:val="clear" w:color="auto" w:fill="E0EBED"/>
          </w:tcPr>
          <w:p>
            <w:pPr>
              <w:jc w:val="right"/>
              <w:ind w:right="22"/>
              <w:spacing w:after="0" w:line="182" w:lineRule="exact"/>
              <w:rPr>
                <w:sz w:val="20"/>
                <w:szCs w:val="20"/>
                <w:color w:val="auto"/>
              </w:rPr>
            </w:pPr>
            <w:r>
              <w:rPr>
                <w:rFonts w:ascii="Arial" w:cs="Arial" w:eastAsia="Arial" w:hAnsi="Arial"/>
                <w:sz w:val="16"/>
                <w:szCs w:val="16"/>
                <w:color w:val="auto"/>
              </w:rPr>
              <w:t>145,151</w:t>
            </w:r>
          </w:p>
        </w:tc>
        <w:tc>
          <w:tcPr>
            <w:tcW w:w="0" w:type="dxa"/>
            <w:vAlign w:val="bottom"/>
          </w:tcPr>
          <w:p>
            <w:pPr>
              <w:spacing w:after="0"/>
              <w:rPr>
                <w:sz w:val="1"/>
                <w:szCs w:val="1"/>
                <w:color w:val="auto"/>
              </w:rPr>
            </w:pPr>
          </w:p>
        </w:tc>
      </w:tr>
      <w:tr>
        <w:trPr>
          <w:trHeight w:val="182"/>
        </w:trPr>
        <w:tc>
          <w:tcPr>
            <w:tcW w:w="5740" w:type="dxa"/>
            <w:vAlign w:val="bottom"/>
            <w:gridSpan w:val="2"/>
          </w:tcPr>
          <w:p>
            <w:pPr>
              <w:spacing w:after="0" w:line="182" w:lineRule="exact"/>
              <w:rPr>
                <w:sz w:val="20"/>
                <w:szCs w:val="20"/>
                <w:color w:val="auto"/>
              </w:rPr>
            </w:pPr>
            <w:r>
              <w:rPr>
                <w:rFonts w:ascii="Arial" w:cs="Arial" w:eastAsia="Arial" w:hAnsi="Arial"/>
                <w:sz w:val="13"/>
                <w:szCs w:val="13"/>
                <w:color w:val="auto"/>
              </w:rPr>
              <w:t>Acquisition-related expenses, net</w:t>
            </w:r>
            <w:r>
              <w:rPr>
                <w:rFonts w:ascii="Arial" w:cs="Arial" w:eastAsia="Arial" w:hAnsi="Arial"/>
                <w:sz w:val="21"/>
                <w:szCs w:val="21"/>
                <w:color w:val="auto"/>
                <w:vertAlign w:val="superscript"/>
              </w:rPr>
              <w:t>1</w:t>
            </w:r>
          </w:p>
        </w:tc>
        <w:tc>
          <w:tcPr>
            <w:tcW w:w="80" w:type="dxa"/>
            <w:vAlign w:val="bottom"/>
            <w:shd w:val="clear" w:color="auto" w:fill="CDDEE7"/>
          </w:tcPr>
          <w:p>
            <w:pPr>
              <w:spacing w:after="0"/>
              <w:rPr>
                <w:sz w:val="15"/>
                <w:szCs w:val="15"/>
                <w:color w:val="auto"/>
              </w:rPr>
            </w:pPr>
          </w:p>
        </w:tc>
        <w:tc>
          <w:tcPr>
            <w:tcW w:w="80" w:type="dxa"/>
            <w:vAlign w:val="bottom"/>
            <w:shd w:val="clear" w:color="auto" w:fill="CDDEE7"/>
          </w:tcPr>
          <w:p>
            <w:pPr>
              <w:spacing w:after="0"/>
              <w:rPr>
                <w:sz w:val="15"/>
                <w:szCs w:val="15"/>
                <w:color w:val="auto"/>
              </w:rPr>
            </w:pPr>
          </w:p>
        </w:tc>
        <w:tc>
          <w:tcPr>
            <w:tcW w:w="900" w:type="dxa"/>
            <w:vAlign w:val="bottom"/>
            <w:shd w:val="clear" w:color="auto" w:fill="CDDEE7"/>
          </w:tcPr>
          <w:p>
            <w:pPr>
              <w:jc w:val="right"/>
              <w:ind w:right="22"/>
              <w:spacing w:after="0" w:line="182" w:lineRule="exact"/>
              <w:rPr>
                <w:sz w:val="20"/>
                <w:szCs w:val="20"/>
                <w:color w:val="auto"/>
              </w:rPr>
            </w:pPr>
            <w:r>
              <w:rPr>
                <w:rFonts w:ascii="Arial" w:cs="Arial" w:eastAsia="Arial" w:hAnsi="Arial"/>
                <w:sz w:val="16"/>
                <w:szCs w:val="16"/>
                <w:b w:val="1"/>
                <w:bCs w:val="1"/>
                <w:color w:val="auto"/>
              </w:rPr>
              <w:t>8,638</w:t>
            </w:r>
          </w:p>
        </w:tc>
        <w:tc>
          <w:tcPr>
            <w:tcW w:w="100" w:type="dxa"/>
            <w:vAlign w:val="bottom"/>
          </w:tcPr>
          <w:p>
            <w:pPr>
              <w:spacing w:after="0"/>
              <w:rPr>
                <w:sz w:val="15"/>
                <w:szCs w:val="15"/>
                <w:color w:val="auto"/>
              </w:rPr>
            </w:pPr>
          </w:p>
        </w:tc>
        <w:tc>
          <w:tcPr>
            <w:tcW w:w="180" w:type="dxa"/>
            <w:vAlign w:val="bottom"/>
            <w:shd w:val="clear" w:color="auto" w:fill="E0EBED"/>
          </w:tcPr>
          <w:p>
            <w:pPr>
              <w:spacing w:after="0"/>
              <w:rPr>
                <w:sz w:val="15"/>
                <w:szCs w:val="15"/>
                <w:color w:val="auto"/>
              </w:rPr>
            </w:pPr>
          </w:p>
        </w:tc>
        <w:tc>
          <w:tcPr>
            <w:tcW w:w="900" w:type="dxa"/>
            <w:vAlign w:val="bottom"/>
            <w:shd w:val="clear" w:color="auto" w:fill="E0EBED"/>
          </w:tcPr>
          <w:p>
            <w:pPr>
              <w:jc w:val="right"/>
              <w:ind w:right="42"/>
              <w:spacing w:after="0" w:line="182" w:lineRule="exact"/>
              <w:rPr>
                <w:sz w:val="20"/>
                <w:szCs w:val="20"/>
                <w:color w:val="auto"/>
              </w:rPr>
            </w:pPr>
            <w:r>
              <w:rPr>
                <w:rFonts w:ascii="Arial" w:cs="Arial" w:eastAsia="Arial" w:hAnsi="Arial"/>
                <w:sz w:val="16"/>
                <w:szCs w:val="16"/>
                <w:color w:val="auto"/>
              </w:rPr>
              <w:t>909</w:t>
            </w:r>
          </w:p>
        </w:tc>
        <w:tc>
          <w:tcPr>
            <w:tcW w:w="100" w:type="dxa"/>
            <w:vAlign w:val="bottom"/>
          </w:tcPr>
          <w:p>
            <w:pPr>
              <w:spacing w:after="0"/>
              <w:rPr>
                <w:sz w:val="15"/>
                <w:szCs w:val="15"/>
                <w:color w:val="auto"/>
              </w:rPr>
            </w:pPr>
          </w:p>
        </w:tc>
        <w:tc>
          <w:tcPr>
            <w:tcW w:w="160" w:type="dxa"/>
            <w:vAlign w:val="bottom"/>
            <w:shd w:val="clear" w:color="auto" w:fill="E0EBED"/>
          </w:tcPr>
          <w:p>
            <w:pPr>
              <w:spacing w:after="0"/>
              <w:rPr>
                <w:sz w:val="15"/>
                <w:szCs w:val="15"/>
                <w:color w:val="auto"/>
              </w:rPr>
            </w:pPr>
          </w:p>
        </w:tc>
        <w:tc>
          <w:tcPr>
            <w:tcW w:w="840" w:type="dxa"/>
            <w:vAlign w:val="bottom"/>
            <w:shd w:val="clear" w:color="auto" w:fill="E0EBED"/>
          </w:tcPr>
          <w:p>
            <w:pPr>
              <w:jc w:val="right"/>
              <w:spacing w:after="0" w:line="182" w:lineRule="exact"/>
              <w:rPr>
                <w:sz w:val="20"/>
                <w:szCs w:val="20"/>
                <w:color w:val="auto"/>
              </w:rPr>
            </w:pPr>
            <w:r>
              <w:rPr>
                <w:rFonts w:ascii="Arial" w:cs="Arial" w:eastAsia="Arial" w:hAnsi="Arial"/>
                <w:sz w:val="16"/>
                <w:szCs w:val="16"/>
                <w:color w:val="auto"/>
              </w:rPr>
              <w:t>6,346</w:t>
            </w:r>
          </w:p>
        </w:tc>
        <w:tc>
          <w:tcPr>
            <w:tcW w:w="120" w:type="dxa"/>
            <w:vAlign w:val="bottom"/>
          </w:tcPr>
          <w:p>
            <w:pPr>
              <w:spacing w:after="0"/>
              <w:rPr>
                <w:sz w:val="15"/>
                <w:szCs w:val="15"/>
                <w:color w:val="auto"/>
              </w:rPr>
            </w:pPr>
          </w:p>
        </w:tc>
        <w:tc>
          <w:tcPr>
            <w:tcW w:w="160" w:type="dxa"/>
            <w:vAlign w:val="bottom"/>
            <w:shd w:val="clear" w:color="auto" w:fill="E0EBED"/>
          </w:tcPr>
          <w:p>
            <w:pPr>
              <w:spacing w:after="0"/>
              <w:rPr>
                <w:sz w:val="15"/>
                <w:szCs w:val="15"/>
                <w:color w:val="auto"/>
              </w:rPr>
            </w:pPr>
          </w:p>
        </w:tc>
        <w:tc>
          <w:tcPr>
            <w:tcW w:w="900" w:type="dxa"/>
            <w:vAlign w:val="bottom"/>
            <w:shd w:val="clear" w:color="auto" w:fill="E0EBED"/>
          </w:tcPr>
          <w:p>
            <w:pPr>
              <w:jc w:val="right"/>
              <w:ind w:right="22"/>
              <w:spacing w:after="0" w:line="182" w:lineRule="exact"/>
              <w:rPr>
                <w:sz w:val="20"/>
                <w:szCs w:val="20"/>
                <w:color w:val="auto"/>
              </w:rPr>
            </w:pPr>
            <w:r>
              <w:rPr>
                <w:rFonts w:ascii="Arial" w:cs="Arial" w:eastAsia="Arial" w:hAnsi="Arial"/>
                <w:sz w:val="16"/>
                <w:szCs w:val="16"/>
                <w:color w:val="auto"/>
              </w:rPr>
              <w:t>29,239</w:t>
            </w:r>
          </w:p>
        </w:tc>
        <w:tc>
          <w:tcPr>
            <w:tcW w:w="100" w:type="dxa"/>
            <w:vAlign w:val="bottom"/>
          </w:tcPr>
          <w:p>
            <w:pPr>
              <w:spacing w:after="0"/>
              <w:rPr>
                <w:sz w:val="15"/>
                <w:szCs w:val="15"/>
                <w:color w:val="auto"/>
              </w:rPr>
            </w:pPr>
          </w:p>
        </w:tc>
        <w:tc>
          <w:tcPr>
            <w:tcW w:w="160" w:type="dxa"/>
            <w:vAlign w:val="bottom"/>
            <w:shd w:val="clear" w:color="auto" w:fill="E0EBED"/>
          </w:tcPr>
          <w:p>
            <w:pPr>
              <w:spacing w:after="0"/>
              <w:rPr>
                <w:sz w:val="15"/>
                <w:szCs w:val="15"/>
                <w:color w:val="auto"/>
              </w:rPr>
            </w:pPr>
          </w:p>
        </w:tc>
        <w:tc>
          <w:tcPr>
            <w:tcW w:w="900" w:type="dxa"/>
            <w:vAlign w:val="bottom"/>
            <w:shd w:val="clear" w:color="auto" w:fill="E0EBED"/>
          </w:tcPr>
          <w:p>
            <w:pPr>
              <w:jc w:val="right"/>
              <w:ind w:right="22"/>
              <w:spacing w:after="0" w:line="182" w:lineRule="exact"/>
              <w:rPr>
                <w:sz w:val="20"/>
                <w:szCs w:val="20"/>
                <w:color w:val="auto"/>
              </w:rPr>
            </w:pPr>
            <w:r>
              <w:rPr>
                <w:rFonts w:ascii="Arial" w:cs="Arial" w:eastAsia="Arial" w:hAnsi="Arial"/>
                <w:sz w:val="16"/>
                <w:szCs w:val="16"/>
                <w:color w:val="auto"/>
              </w:rPr>
              <w:t>671</w:t>
            </w:r>
          </w:p>
        </w:tc>
        <w:tc>
          <w:tcPr>
            <w:tcW w:w="0" w:type="dxa"/>
            <w:vAlign w:val="bottom"/>
          </w:tcPr>
          <w:p>
            <w:pPr>
              <w:spacing w:after="0"/>
              <w:rPr>
                <w:sz w:val="1"/>
                <w:szCs w:val="1"/>
                <w:color w:val="auto"/>
              </w:rPr>
            </w:pPr>
          </w:p>
        </w:tc>
      </w:tr>
      <w:tr>
        <w:trPr>
          <w:trHeight w:val="198"/>
        </w:trPr>
        <w:tc>
          <w:tcPr>
            <w:tcW w:w="574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Other operating expenses and (income), net</w:t>
            </w:r>
          </w:p>
        </w:tc>
        <w:tc>
          <w:tcPr>
            <w:tcW w:w="80" w:type="dxa"/>
            <w:vAlign w:val="bottom"/>
            <w:tcBorders>
              <w:bottom w:val="single" w:sz="8" w:color="auto"/>
            </w:tcBorders>
            <w:shd w:val="clear" w:color="auto" w:fill="CDDEE7"/>
          </w:tcPr>
          <w:p>
            <w:pPr>
              <w:spacing w:after="0"/>
              <w:rPr>
                <w:sz w:val="17"/>
                <w:szCs w:val="17"/>
                <w:color w:val="auto"/>
              </w:rPr>
            </w:pPr>
          </w:p>
        </w:tc>
        <w:tc>
          <w:tcPr>
            <w:tcW w:w="80" w:type="dxa"/>
            <w:vAlign w:val="bottom"/>
            <w:tcBorders>
              <w:bottom w:val="single" w:sz="8" w:color="auto"/>
            </w:tcBorders>
            <w:shd w:val="clear" w:color="auto" w:fill="CDDEE7"/>
          </w:tcPr>
          <w:p>
            <w:pPr>
              <w:spacing w:after="0"/>
              <w:rPr>
                <w:sz w:val="17"/>
                <w:szCs w:val="17"/>
                <w:color w:val="auto"/>
              </w:rPr>
            </w:pPr>
          </w:p>
        </w:tc>
        <w:tc>
          <w:tcPr>
            <w:tcW w:w="900" w:type="dxa"/>
            <w:vAlign w:val="bottom"/>
            <w:tcBorders>
              <w:bottom w:val="single" w:sz="8" w:color="auto"/>
            </w:tcBorders>
            <w:shd w:val="clear" w:color="auto" w:fill="CDDEE7"/>
          </w:tcPr>
          <w:p>
            <w:pPr>
              <w:jc w:val="right"/>
              <w:ind w:right="22"/>
              <w:spacing w:after="0"/>
              <w:rPr>
                <w:sz w:val="20"/>
                <w:szCs w:val="20"/>
                <w:color w:val="auto"/>
              </w:rPr>
            </w:pPr>
            <w:r>
              <w:rPr>
                <w:rFonts w:ascii="Arial" w:cs="Arial" w:eastAsia="Arial" w:hAnsi="Arial"/>
                <w:sz w:val="16"/>
                <w:szCs w:val="16"/>
                <w:b w:val="1"/>
                <w:bCs w:val="1"/>
                <w:color w:val="auto"/>
              </w:rPr>
              <w:t>793</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shd w:val="clear" w:color="auto" w:fill="E0EBED"/>
          </w:tcPr>
          <w:p>
            <w:pPr>
              <w:spacing w:after="0"/>
              <w:rPr>
                <w:sz w:val="17"/>
                <w:szCs w:val="17"/>
                <w:color w:val="auto"/>
              </w:rPr>
            </w:pPr>
          </w:p>
        </w:tc>
        <w:tc>
          <w:tcPr>
            <w:tcW w:w="900" w:type="dxa"/>
            <w:vAlign w:val="bottom"/>
            <w:tcBorders>
              <w:bottom w:val="single" w:sz="8" w:color="auto"/>
            </w:tcBorders>
            <w:shd w:val="clear" w:color="auto" w:fill="E0EBED"/>
          </w:tcPr>
          <w:p>
            <w:pPr>
              <w:jc w:val="right"/>
              <w:ind w:right="42"/>
              <w:spacing w:after="0"/>
              <w:rPr>
                <w:sz w:val="20"/>
                <w:szCs w:val="20"/>
                <w:color w:val="auto"/>
              </w:rPr>
            </w:pPr>
            <w:r>
              <w:rPr>
                <w:rFonts w:ascii="Arial" w:cs="Arial" w:eastAsia="Arial" w:hAnsi="Arial"/>
                <w:sz w:val="16"/>
                <w:szCs w:val="16"/>
                <w:color w:val="auto"/>
              </w:rPr>
              <w:t>(8,043)</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shd w:val="clear" w:color="auto" w:fill="E0EBED"/>
          </w:tcPr>
          <w:p>
            <w:pPr>
              <w:spacing w:after="0"/>
              <w:rPr>
                <w:sz w:val="17"/>
                <w:szCs w:val="17"/>
                <w:color w:val="auto"/>
              </w:rPr>
            </w:pPr>
          </w:p>
        </w:tc>
        <w:tc>
          <w:tcPr>
            <w:tcW w:w="840" w:type="dxa"/>
            <w:vAlign w:val="bottom"/>
            <w:tcBorders>
              <w:bottom w:val="single" w:sz="8" w:color="auto"/>
            </w:tcBorders>
            <w:shd w:val="clear" w:color="auto" w:fill="E0EBED"/>
          </w:tcPr>
          <w:p>
            <w:pPr>
              <w:jc w:val="right"/>
              <w:spacing w:after="0"/>
              <w:rPr>
                <w:sz w:val="20"/>
                <w:szCs w:val="20"/>
                <w:color w:val="auto"/>
              </w:rPr>
            </w:pPr>
            <w:r>
              <w:rPr>
                <w:rFonts w:ascii="Arial" w:cs="Arial" w:eastAsia="Arial" w:hAnsi="Arial"/>
                <w:sz w:val="16"/>
                <w:szCs w:val="16"/>
                <w:color w:val="auto"/>
              </w:rPr>
              <w:t>15,653</w:t>
            </w: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shd w:val="clear" w:color="auto" w:fill="E0EBED"/>
          </w:tcPr>
          <w:p>
            <w:pPr>
              <w:spacing w:after="0"/>
              <w:rPr>
                <w:sz w:val="17"/>
                <w:szCs w:val="17"/>
                <w:color w:val="auto"/>
              </w:rPr>
            </w:pPr>
          </w:p>
        </w:tc>
        <w:tc>
          <w:tcPr>
            <w:tcW w:w="900" w:type="dxa"/>
            <w:vAlign w:val="bottom"/>
            <w:tcBorders>
              <w:bottom w:val="single" w:sz="8" w:color="auto"/>
            </w:tcBorders>
            <w:shd w:val="clear" w:color="auto" w:fill="E0EBED"/>
          </w:tcPr>
          <w:p>
            <w:pPr>
              <w:jc w:val="right"/>
              <w:ind w:right="22"/>
              <w:spacing w:after="0"/>
              <w:rPr>
                <w:sz w:val="20"/>
                <w:szCs w:val="20"/>
                <w:color w:val="auto"/>
              </w:rPr>
            </w:pPr>
            <w:r>
              <w:rPr>
                <w:rFonts w:ascii="Arial" w:cs="Arial" w:eastAsia="Arial" w:hAnsi="Arial"/>
                <w:sz w:val="16"/>
                <w:szCs w:val="16"/>
                <w:color w:val="auto"/>
              </w:rPr>
              <w:t>(4,649)</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shd w:val="clear" w:color="auto" w:fill="E0EBED"/>
          </w:tcPr>
          <w:p>
            <w:pPr>
              <w:spacing w:after="0"/>
              <w:rPr>
                <w:sz w:val="17"/>
                <w:szCs w:val="17"/>
                <w:color w:val="auto"/>
              </w:rPr>
            </w:pPr>
          </w:p>
        </w:tc>
        <w:tc>
          <w:tcPr>
            <w:tcW w:w="900" w:type="dxa"/>
            <w:vAlign w:val="bottom"/>
            <w:tcBorders>
              <w:bottom w:val="single" w:sz="8" w:color="auto"/>
            </w:tcBorders>
            <w:shd w:val="clear" w:color="auto" w:fill="E0EBED"/>
          </w:tcPr>
          <w:p>
            <w:pPr>
              <w:jc w:val="right"/>
              <w:ind w:right="22"/>
              <w:spacing w:after="0"/>
              <w:rPr>
                <w:sz w:val="20"/>
                <w:szCs w:val="20"/>
                <w:color w:val="auto"/>
              </w:rPr>
            </w:pPr>
            <w:r>
              <w:rPr>
                <w:rFonts w:ascii="Arial" w:cs="Arial" w:eastAsia="Arial" w:hAnsi="Arial"/>
                <w:sz w:val="16"/>
                <w:szCs w:val="16"/>
                <w:color w:val="auto"/>
              </w:rPr>
              <w:t>(4,793)</w:t>
            </w:r>
          </w:p>
        </w:tc>
        <w:tc>
          <w:tcPr>
            <w:tcW w:w="0" w:type="dxa"/>
            <w:vAlign w:val="bottom"/>
          </w:tcPr>
          <w:p>
            <w:pPr>
              <w:spacing w:after="0"/>
              <w:rPr>
                <w:sz w:val="1"/>
                <w:szCs w:val="1"/>
                <w:color w:val="auto"/>
              </w:rPr>
            </w:pPr>
          </w:p>
        </w:tc>
      </w:tr>
      <w:tr>
        <w:trPr>
          <w:trHeight w:val="158"/>
        </w:trPr>
        <w:tc>
          <w:tcPr>
            <w:tcW w:w="5740" w:type="dxa"/>
            <w:vAlign w:val="bottom"/>
            <w:gridSpan w:val="2"/>
          </w:tcPr>
          <w:p>
            <w:pPr>
              <w:spacing w:after="0" w:line="159" w:lineRule="exact"/>
              <w:rPr>
                <w:sz w:val="20"/>
                <w:szCs w:val="20"/>
                <w:color w:val="auto"/>
              </w:rPr>
            </w:pPr>
            <w:r>
              <w:rPr>
                <w:rFonts w:ascii="Arial" w:cs="Arial" w:eastAsia="Arial" w:hAnsi="Arial"/>
                <w:sz w:val="16"/>
                <w:szCs w:val="16"/>
                <w:b w:val="1"/>
                <w:bCs w:val="1"/>
                <w:color w:val="auto"/>
              </w:rPr>
              <w:t>Earnings from Operations</w:t>
            </w:r>
            <w:r>
              <w:rPr>
                <w:rFonts w:ascii="Arial" w:cs="Arial" w:eastAsia="Arial" w:hAnsi="Arial"/>
                <w:sz w:val="17"/>
                <w:szCs w:val="17"/>
                <w:color w:val="auto"/>
                <w:vertAlign w:val="superscript"/>
              </w:rPr>
              <w:t>1</w:t>
            </w:r>
          </w:p>
        </w:tc>
        <w:tc>
          <w:tcPr>
            <w:tcW w:w="80" w:type="dxa"/>
            <w:vAlign w:val="bottom"/>
            <w:shd w:val="clear" w:color="auto" w:fill="CDDEE7"/>
          </w:tcPr>
          <w:p>
            <w:pPr>
              <w:spacing w:after="0"/>
              <w:rPr>
                <w:sz w:val="13"/>
                <w:szCs w:val="13"/>
                <w:color w:val="auto"/>
              </w:rPr>
            </w:pPr>
          </w:p>
        </w:tc>
        <w:tc>
          <w:tcPr>
            <w:tcW w:w="80" w:type="dxa"/>
            <w:vAlign w:val="bottom"/>
            <w:shd w:val="clear" w:color="auto" w:fill="CDDEE7"/>
          </w:tcPr>
          <w:p>
            <w:pPr>
              <w:spacing w:after="0"/>
              <w:rPr>
                <w:sz w:val="13"/>
                <w:szCs w:val="13"/>
                <w:color w:val="auto"/>
              </w:rPr>
            </w:pPr>
          </w:p>
        </w:tc>
        <w:tc>
          <w:tcPr>
            <w:tcW w:w="900" w:type="dxa"/>
            <w:vAlign w:val="bottom"/>
            <w:shd w:val="clear" w:color="auto" w:fill="CDDEE7"/>
          </w:tcPr>
          <w:p>
            <w:pPr>
              <w:jc w:val="right"/>
              <w:ind w:right="22"/>
              <w:spacing w:after="0" w:line="158" w:lineRule="exact"/>
              <w:rPr>
                <w:sz w:val="20"/>
                <w:szCs w:val="20"/>
                <w:color w:val="auto"/>
              </w:rPr>
            </w:pPr>
            <w:r>
              <w:rPr>
                <w:rFonts w:ascii="Arial" w:cs="Arial" w:eastAsia="Arial" w:hAnsi="Arial"/>
                <w:sz w:val="16"/>
                <w:szCs w:val="16"/>
                <w:b w:val="1"/>
                <w:bCs w:val="1"/>
                <w:color w:val="auto"/>
              </w:rPr>
              <w:t>700,381</w:t>
            </w:r>
          </w:p>
        </w:tc>
        <w:tc>
          <w:tcPr>
            <w:tcW w:w="100" w:type="dxa"/>
            <w:vAlign w:val="bottom"/>
          </w:tcPr>
          <w:p>
            <w:pPr>
              <w:spacing w:after="0"/>
              <w:rPr>
                <w:sz w:val="13"/>
                <w:szCs w:val="13"/>
                <w:color w:val="auto"/>
              </w:rPr>
            </w:pPr>
          </w:p>
        </w:tc>
        <w:tc>
          <w:tcPr>
            <w:tcW w:w="180" w:type="dxa"/>
            <w:vAlign w:val="bottom"/>
            <w:shd w:val="clear" w:color="auto" w:fill="E0EBED"/>
          </w:tcPr>
          <w:p>
            <w:pPr>
              <w:spacing w:after="0"/>
              <w:rPr>
                <w:sz w:val="13"/>
                <w:szCs w:val="13"/>
                <w:color w:val="auto"/>
              </w:rPr>
            </w:pPr>
          </w:p>
        </w:tc>
        <w:tc>
          <w:tcPr>
            <w:tcW w:w="900" w:type="dxa"/>
            <w:vAlign w:val="bottom"/>
            <w:shd w:val="clear" w:color="auto" w:fill="E0EBED"/>
          </w:tcPr>
          <w:p>
            <w:pPr>
              <w:jc w:val="right"/>
              <w:ind w:right="42"/>
              <w:spacing w:after="0" w:line="158" w:lineRule="exact"/>
              <w:rPr>
                <w:sz w:val="20"/>
                <w:szCs w:val="20"/>
                <w:color w:val="auto"/>
              </w:rPr>
            </w:pPr>
            <w:r>
              <w:rPr>
                <w:rFonts w:ascii="Arial" w:cs="Arial" w:eastAsia="Arial" w:hAnsi="Arial"/>
                <w:sz w:val="16"/>
                <w:szCs w:val="16"/>
                <w:color w:val="auto"/>
              </w:rPr>
              <w:t>677,266</w:t>
            </w:r>
          </w:p>
        </w:tc>
        <w:tc>
          <w:tcPr>
            <w:tcW w:w="100" w:type="dxa"/>
            <w:vAlign w:val="bottom"/>
          </w:tcPr>
          <w:p>
            <w:pPr>
              <w:spacing w:after="0"/>
              <w:rPr>
                <w:sz w:val="13"/>
                <w:szCs w:val="13"/>
                <w:color w:val="auto"/>
              </w:rPr>
            </w:pPr>
          </w:p>
        </w:tc>
        <w:tc>
          <w:tcPr>
            <w:tcW w:w="160" w:type="dxa"/>
            <w:vAlign w:val="bottom"/>
            <w:shd w:val="clear" w:color="auto" w:fill="E0EBED"/>
          </w:tcPr>
          <w:p>
            <w:pPr>
              <w:spacing w:after="0"/>
              <w:rPr>
                <w:sz w:val="13"/>
                <w:szCs w:val="13"/>
                <w:color w:val="auto"/>
              </w:rPr>
            </w:pPr>
          </w:p>
        </w:tc>
        <w:tc>
          <w:tcPr>
            <w:tcW w:w="840" w:type="dxa"/>
            <w:vAlign w:val="bottom"/>
            <w:shd w:val="clear" w:color="auto" w:fill="E0EBED"/>
          </w:tcPr>
          <w:p>
            <w:pPr>
              <w:jc w:val="right"/>
              <w:spacing w:after="0" w:line="158" w:lineRule="exact"/>
              <w:rPr>
                <w:sz w:val="20"/>
                <w:szCs w:val="20"/>
                <w:color w:val="auto"/>
              </w:rPr>
            </w:pPr>
            <w:r>
              <w:rPr>
                <w:rFonts w:ascii="Arial" w:cs="Arial" w:eastAsia="Arial" w:hAnsi="Arial"/>
                <w:sz w:val="16"/>
                <w:szCs w:val="16"/>
                <w:color w:val="auto"/>
              </w:rPr>
              <w:t>494,167</w:t>
            </w:r>
          </w:p>
        </w:tc>
        <w:tc>
          <w:tcPr>
            <w:tcW w:w="120" w:type="dxa"/>
            <w:vAlign w:val="bottom"/>
          </w:tcPr>
          <w:p>
            <w:pPr>
              <w:spacing w:after="0"/>
              <w:rPr>
                <w:sz w:val="13"/>
                <w:szCs w:val="13"/>
                <w:color w:val="auto"/>
              </w:rPr>
            </w:pPr>
          </w:p>
        </w:tc>
        <w:tc>
          <w:tcPr>
            <w:tcW w:w="160" w:type="dxa"/>
            <w:vAlign w:val="bottom"/>
            <w:shd w:val="clear" w:color="auto" w:fill="E0EBED"/>
          </w:tcPr>
          <w:p>
            <w:pPr>
              <w:spacing w:after="0"/>
              <w:rPr>
                <w:sz w:val="13"/>
                <w:szCs w:val="13"/>
                <w:color w:val="auto"/>
              </w:rPr>
            </w:pPr>
          </w:p>
        </w:tc>
        <w:tc>
          <w:tcPr>
            <w:tcW w:w="900" w:type="dxa"/>
            <w:vAlign w:val="bottom"/>
            <w:shd w:val="clear" w:color="auto" w:fill="E0EBED"/>
          </w:tcPr>
          <w:p>
            <w:pPr>
              <w:jc w:val="right"/>
              <w:ind w:right="22"/>
              <w:spacing w:after="0" w:line="158" w:lineRule="exact"/>
              <w:rPr>
                <w:sz w:val="20"/>
                <w:szCs w:val="20"/>
                <w:color w:val="auto"/>
              </w:rPr>
            </w:pPr>
            <w:r>
              <w:rPr>
                <w:rFonts w:ascii="Arial" w:cs="Arial" w:eastAsia="Arial" w:hAnsi="Arial"/>
                <w:sz w:val="16"/>
                <w:szCs w:val="16"/>
                <w:color w:val="auto"/>
              </w:rPr>
              <w:t>326,932</w:t>
            </w:r>
          </w:p>
        </w:tc>
        <w:tc>
          <w:tcPr>
            <w:tcW w:w="100" w:type="dxa"/>
            <w:vAlign w:val="bottom"/>
          </w:tcPr>
          <w:p>
            <w:pPr>
              <w:spacing w:after="0"/>
              <w:rPr>
                <w:sz w:val="13"/>
                <w:szCs w:val="13"/>
                <w:color w:val="auto"/>
              </w:rPr>
            </w:pPr>
          </w:p>
        </w:tc>
        <w:tc>
          <w:tcPr>
            <w:tcW w:w="160" w:type="dxa"/>
            <w:vAlign w:val="bottom"/>
            <w:shd w:val="clear" w:color="auto" w:fill="E0EBED"/>
          </w:tcPr>
          <w:p>
            <w:pPr>
              <w:spacing w:after="0"/>
              <w:rPr>
                <w:sz w:val="13"/>
                <w:szCs w:val="13"/>
                <w:color w:val="auto"/>
              </w:rPr>
            </w:pPr>
          </w:p>
        </w:tc>
        <w:tc>
          <w:tcPr>
            <w:tcW w:w="900" w:type="dxa"/>
            <w:vAlign w:val="bottom"/>
            <w:shd w:val="clear" w:color="auto" w:fill="E0EBED"/>
          </w:tcPr>
          <w:p>
            <w:pPr>
              <w:jc w:val="right"/>
              <w:ind w:right="22"/>
              <w:spacing w:after="0" w:line="158" w:lineRule="exact"/>
              <w:rPr>
                <w:sz w:val="20"/>
                <w:szCs w:val="20"/>
                <w:color w:val="auto"/>
              </w:rPr>
            </w:pPr>
            <w:r>
              <w:rPr>
                <w:rFonts w:ascii="Arial" w:cs="Arial" w:eastAsia="Arial" w:hAnsi="Arial"/>
                <w:sz w:val="16"/>
                <w:szCs w:val="16"/>
                <w:color w:val="auto"/>
              </w:rPr>
              <w:t>228,993</w:t>
            </w:r>
          </w:p>
        </w:tc>
        <w:tc>
          <w:tcPr>
            <w:tcW w:w="0" w:type="dxa"/>
            <w:vAlign w:val="bottom"/>
          </w:tcPr>
          <w:p>
            <w:pPr>
              <w:spacing w:after="0"/>
              <w:rPr>
                <w:sz w:val="1"/>
                <w:szCs w:val="1"/>
                <w:color w:val="auto"/>
              </w:rPr>
            </w:pPr>
          </w:p>
        </w:tc>
      </w:tr>
      <w:tr>
        <w:trPr>
          <w:trHeight w:val="182"/>
        </w:trPr>
        <w:tc>
          <w:tcPr>
            <w:tcW w:w="5740" w:type="dxa"/>
            <w:vAlign w:val="bottom"/>
            <w:gridSpan w:val="2"/>
          </w:tcPr>
          <w:p>
            <w:pPr>
              <w:spacing w:after="0" w:line="182" w:lineRule="exact"/>
              <w:rPr>
                <w:sz w:val="20"/>
                <w:szCs w:val="20"/>
                <w:color w:val="auto"/>
              </w:rPr>
            </w:pPr>
            <w:r>
              <w:rPr>
                <w:rFonts w:ascii="Arial" w:cs="Arial" w:eastAsia="Arial" w:hAnsi="Arial"/>
                <w:sz w:val="16"/>
                <w:szCs w:val="16"/>
                <w:color w:val="auto"/>
              </w:rPr>
              <w:t>Interest expense</w:t>
            </w:r>
          </w:p>
        </w:tc>
        <w:tc>
          <w:tcPr>
            <w:tcW w:w="80" w:type="dxa"/>
            <w:vAlign w:val="bottom"/>
            <w:shd w:val="clear" w:color="auto" w:fill="CDDEE7"/>
          </w:tcPr>
          <w:p>
            <w:pPr>
              <w:spacing w:after="0"/>
              <w:rPr>
                <w:sz w:val="15"/>
                <w:szCs w:val="15"/>
                <w:color w:val="auto"/>
              </w:rPr>
            </w:pPr>
          </w:p>
        </w:tc>
        <w:tc>
          <w:tcPr>
            <w:tcW w:w="80" w:type="dxa"/>
            <w:vAlign w:val="bottom"/>
            <w:shd w:val="clear" w:color="auto" w:fill="CDDEE7"/>
          </w:tcPr>
          <w:p>
            <w:pPr>
              <w:spacing w:after="0"/>
              <w:rPr>
                <w:sz w:val="15"/>
                <w:szCs w:val="15"/>
                <w:color w:val="auto"/>
              </w:rPr>
            </w:pPr>
          </w:p>
        </w:tc>
        <w:tc>
          <w:tcPr>
            <w:tcW w:w="900" w:type="dxa"/>
            <w:vAlign w:val="bottom"/>
            <w:shd w:val="clear" w:color="auto" w:fill="CDDEE7"/>
          </w:tcPr>
          <w:p>
            <w:pPr>
              <w:jc w:val="right"/>
              <w:ind w:right="22"/>
              <w:spacing w:after="0" w:line="182" w:lineRule="exact"/>
              <w:rPr>
                <w:sz w:val="20"/>
                <w:szCs w:val="20"/>
                <w:color w:val="auto"/>
              </w:rPr>
            </w:pPr>
            <w:r>
              <w:rPr>
                <w:rFonts w:ascii="Arial" w:cs="Arial" w:eastAsia="Arial" w:hAnsi="Arial"/>
                <w:sz w:val="16"/>
                <w:szCs w:val="16"/>
                <w:b w:val="1"/>
                <w:bCs w:val="1"/>
                <w:color w:val="auto"/>
              </w:rPr>
              <w:t>91,487</w:t>
            </w:r>
          </w:p>
        </w:tc>
        <w:tc>
          <w:tcPr>
            <w:tcW w:w="100" w:type="dxa"/>
            <w:vAlign w:val="bottom"/>
          </w:tcPr>
          <w:p>
            <w:pPr>
              <w:spacing w:after="0"/>
              <w:rPr>
                <w:sz w:val="15"/>
                <w:szCs w:val="15"/>
                <w:color w:val="auto"/>
              </w:rPr>
            </w:pPr>
          </w:p>
        </w:tc>
        <w:tc>
          <w:tcPr>
            <w:tcW w:w="180" w:type="dxa"/>
            <w:vAlign w:val="bottom"/>
            <w:shd w:val="clear" w:color="auto" w:fill="E0EBED"/>
          </w:tcPr>
          <w:p>
            <w:pPr>
              <w:spacing w:after="0"/>
              <w:rPr>
                <w:sz w:val="15"/>
                <w:szCs w:val="15"/>
                <w:color w:val="auto"/>
              </w:rPr>
            </w:pPr>
          </w:p>
        </w:tc>
        <w:tc>
          <w:tcPr>
            <w:tcW w:w="900" w:type="dxa"/>
            <w:vAlign w:val="bottom"/>
            <w:shd w:val="clear" w:color="auto" w:fill="E0EBED"/>
          </w:tcPr>
          <w:p>
            <w:pPr>
              <w:jc w:val="right"/>
              <w:ind w:right="42"/>
              <w:spacing w:after="0" w:line="182" w:lineRule="exact"/>
              <w:rPr>
                <w:sz w:val="20"/>
                <w:szCs w:val="20"/>
                <w:color w:val="auto"/>
              </w:rPr>
            </w:pPr>
            <w:r>
              <w:rPr>
                <w:rFonts w:ascii="Arial" w:cs="Arial" w:eastAsia="Arial" w:hAnsi="Arial"/>
                <w:sz w:val="16"/>
                <w:szCs w:val="16"/>
                <w:color w:val="auto"/>
              </w:rPr>
              <w:t>81,677</w:t>
            </w:r>
          </w:p>
        </w:tc>
        <w:tc>
          <w:tcPr>
            <w:tcW w:w="100" w:type="dxa"/>
            <w:vAlign w:val="bottom"/>
          </w:tcPr>
          <w:p>
            <w:pPr>
              <w:spacing w:after="0"/>
              <w:rPr>
                <w:sz w:val="15"/>
                <w:szCs w:val="15"/>
                <w:color w:val="auto"/>
              </w:rPr>
            </w:pPr>
          </w:p>
        </w:tc>
        <w:tc>
          <w:tcPr>
            <w:tcW w:w="160" w:type="dxa"/>
            <w:vAlign w:val="bottom"/>
            <w:shd w:val="clear" w:color="auto" w:fill="E0EBED"/>
          </w:tcPr>
          <w:p>
            <w:pPr>
              <w:spacing w:after="0"/>
              <w:rPr>
                <w:sz w:val="15"/>
                <w:szCs w:val="15"/>
                <w:color w:val="auto"/>
              </w:rPr>
            </w:pPr>
          </w:p>
        </w:tc>
        <w:tc>
          <w:tcPr>
            <w:tcW w:w="840" w:type="dxa"/>
            <w:vAlign w:val="bottom"/>
            <w:shd w:val="clear" w:color="auto" w:fill="E0EBED"/>
          </w:tcPr>
          <w:p>
            <w:pPr>
              <w:jc w:val="right"/>
              <w:spacing w:after="0" w:line="182" w:lineRule="exact"/>
              <w:rPr>
                <w:sz w:val="20"/>
                <w:szCs w:val="20"/>
                <w:color w:val="auto"/>
              </w:rPr>
            </w:pPr>
            <w:r>
              <w:rPr>
                <w:rFonts w:ascii="Arial" w:cs="Arial" w:eastAsia="Arial" w:hAnsi="Arial"/>
                <w:sz w:val="16"/>
                <w:szCs w:val="16"/>
                <w:color w:val="auto"/>
              </w:rPr>
              <w:t>76,287</w:t>
            </w:r>
          </w:p>
        </w:tc>
        <w:tc>
          <w:tcPr>
            <w:tcW w:w="120" w:type="dxa"/>
            <w:vAlign w:val="bottom"/>
          </w:tcPr>
          <w:p>
            <w:pPr>
              <w:spacing w:after="0"/>
              <w:rPr>
                <w:sz w:val="15"/>
                <w:szCs w:val="15"/>
                <w:color w:val="auto"/>
              </w:rPr>
            </w:pPr>
          </w:p>
        </w:tc>
        <w:tc>
          <w:tcPr>
            <w:tcW w:w="160" w:type="dxa"/>
            <w:vAlign w:val="bottom"/>
            <w:shd w:val="clear" w:color="auto" w:fill="E0EBED"/>
          </w:tcPr>
          <w:p>
            <w:pPr>
              <w:spacing w:after="0"/>
              <w:rPr>
                <w:sz w:val="15"/>
                <w:szCs w:val="15"/>
                <w:color w:val="auto"/>
              </w:rPr>
            </w:pPr>
          </w:p>
        </w:tc>
        <w:tc>
          <w:tcPr>
            <w:tcW w:w="900" w:type="dxa"/>
            <w:vAlign w:val="bottom"/>
            <w:shd w:val="clear" w:color="auto" w:fill="E0EBED"/>
          </w:tcPr>
          <w:p>
            <w:pPr>
              <w:jc w:val="right"/>
              <w:ind w:right="22"/>
              <w:spacing w:after="0" w:line="182" w:lineRule="exact"/>
              <w:rPr>
                <w:sz w:val="20"/>
                <w:szCs w:val="20"/>
                <w:color w:val="auto"/>
              </w:rPr>
            </w:pPr>
            <w:r>
              <w:rPr>
                <w:rFonts w:ascii="Arial" w:cs="Arial" w:eastAsia="Arial" w:hAnsi="Arial"/>
                <w:sz w:val="16"/>
                <w:szCs w:val="16"/>
                <w:color w:val="auto"/>
              </w:rPr>
              <w:t>66,057</w:t>
            </w:r>
          </w:p>
        </w:tc>
        <w:tc>
          <w:tcPr>
            <w:tcW w:w="100" w:type="dxa"/>
            <w:vAlign w:val="bottom"/>
          </w:tcPr>
          <w:p>
            <w:pPr>
              <w:spacing w:after="0"/>
              <w:rPr>
                <w:sz w:val="15"/>
                <w:szCs w:val="15"/>
                <w:color w:val="auto"/>
              </w:rPr>
            </w:pPr>
          </w:p>
        </w:tc>
        <w:tc>
          <w:tcPr>
            <w:tcW w:w="160" w:type="dxa"/>
            <w:vAlign w:val="bottom"/>
            <w:shd w:val="clear" w:color="auto" w:fill="E0EBED"/>
          </w:tcPr>
          <w:p>
            <w:pPr>
              <w:spacing w:after="0"/>
              <w:rPr>
                <w:sz w:val="15"/>
                <w:szCs w:val="15"/>
                <w:color w:val="auto"/>
              </w:rPr>
            </w:pPr>
          </w:p>
        </w:tc>
        <w:tc>
          <w:tcPr>
            <w:tcW w:w="900" w:type="dxa"/>
            <w:vAlign w:val="bottom"/>
            <w:shd w:val="clear" w:color="auto" w:fill="E0EBED"/>
          </w:tcPr>
          <w:p>
            <w:pPr>
              <w:jc w:val="right"/>
              <w:ind w:right="22"/>
              <w:spacing w:after="0" w:line="182" w:lineRule="exact"/>
              <w:rPr>
                <w:sz w:val="20"/>
                <w:szCs w:val="20"/>
                <w:color w:val="auto"/>
              </w:rPr>
            </w:pPr>
            <w:r>
              <w:rPr>
                <w:rFonts w:ascii="Arial" w:cs="Arial" w:eastAsia="Arial" w:hAnsi="Arial"/>
                <w:sz w:val="16"/>
                <w:szCs w:val="16"/>
                <w:color w:val="auto"/>
              </w:rPr>
              <w:t>53,467</w:t>
            </w:r>
          </w:p>
        </w:tc>
        <w:tc>
          <w:tcPr>
            <w:tcW w:w="0" w:type="dxa"/>
            <w:vAlign w:val="bottom"/>
          </w:tcPr>
          <w:p>
            <w:pPr>
              <w:spacing w:after="0"/>
              <w:rPr>
                <w:sz w:val="1"/>
                <w:szCs w:val="1"/>
                <w:color w:val="auto"/>
              </w:rPr>
            </w:pPr>
          </w:p>
        </w:tc>
      </w:tr>
      <w:tr>
        <w:trPr>
          <w:trHeight w:val="198"/>
        </w:trPr>
        <w:tc>
          <w:tcPr>
            <w:tcW w:w="5740" w:type="dxa"/>
            <w:vAlign w:val="bottom"/>
            <w:tcBorders>
              <w:bottom w:val="single" w:sz="8" w:color="auto"/>
            </w:tcBorders>
            <w:gridSpan w:val="2"/>
          </w:tcPr>
          <w:p>
            <w:pPr>
              <w:spacing w:after="0" w:line="198" w:lineRule="exact"/>
              <w:rPr>
                <w:sz w:val="20"/>
                <w:szCs w:val="20"/>
                <w:color w:val="auto"/>
              </w:rPr>
            </w:pPr>
            <w:r>
              <w:rPr>
                <w:rFonts w:ascii="Arial" w:cs="Arial" w:eastAsia="Arial" w:hAnsi="Arial"/>
                <w:sz w:val="14"/>
                <w:szCs w:val="14"/>
                <w:color w:val="auto"/>
              </w:rPr>
              <w:t>Other nonoperating (income) and expenses, net</w:t>
            </w:r>
            <w:r>
              <w:rPr>
                <w:rFonts w:ascii="Arial" w:cs="Arial" w:eastAsia="Arial" w:hAnsi="Arial"/>
                <w:sz w:val="22"/>
                <w:szCs w:val="22"/>
                <w:color w:val="auto"/>
                <w:vertAlign w:val="superscript"/>
              </w:rPr>
              <w:t>1</w:t>
            </w:r>
          </w:p>
        </w:tc>
        <w:tc>
          <w:tcPr>
            <w:tcW w:w="80" w:type="dxa"/>
            <w:vAlign w:val="bottom"/>
            <w:tcBorders>
              <w:bottom w:val="single" w:sz="8" w:color="auto"/>
            </w:tcBorders>
            <w:shd w:val="clear" w:color="auto" w:fill="CDDEE7"/>
          </w:tcPr>
          <w:p>
            <w:pPr>
              <w:spacing w:after="0"/>
              <w:rPr>
                <w:sz w:val="17"/>
                <w:szCs w:val="17"/>
                <w:color w:val="auto"/>
              </w:rPr>
            </w:pPr>
          </w:p>
        </w:tc>
        <w:tc>
          <w:tcPr>
            <w:tcW w:w="80" w:type="dxa"/>
            <w:vAlign w:val="bottom"/>
            <w:tcBorders>
              <w:bottom w:val="single" w:sz="8" w:color="auto"/>
            </w:tcBorders>
            <w:shd w:val="clear" w:color="auto" w:fill="CDDEE7"/>
          </w:tcPr>
          <w:p>
            <w:pPr>
              <w:spacing w:after="0"/>
              <w:rPr>
                <w:sz w:val="17"/>
                <w:szCs w:val="17"/>
                <w:color w:val="auto"/>
              </w:rPr>
            </w:pPr>
          </w:p>
        </w:tc>
        <w:tc>
          <w:tcPr>
            <w:tcW w:w="900" w:type="dxa"/>
            <w:vAlign w:val="bottom"/>
            <w:tcBorders>
              <w:bottom w:val="single" w:sz="8" w:color="auto"/>
            </w:tcBorders>
            <w:shd w:val="clear" w:color="auto" w:fill="CDDEE7"/>
          </w:tcPr>
          <w:p>
            <w:pPr>
              <w:jc w:val="right"/>
              <w:ind w:right="22"/>
              <w:spacing w:after="0"/>
              <w:rPr>
                <w:sz w:val="20"/>
                <w:szCs w:val="20"/>
                <w:color w:val="auto"/>
              </w:rPr>
            </w:pPr>
            <w:r>
              <w:rPr>
                <w:rFonts w:ascii="Arial" w:cs="Arial" w:eastAsia="Arial" w:hAnsi="Arial"/>
                <w:sz w:val="16"/>
                <w:szCs w:val="16"/>
                <w:b w:val="1"/>
                <w:bCs w:val="1"/>
                <w:color w:val="auto"/>
              </w:rPr>
              <w:t>(10,034)</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shd w:val="clear" w:color="auto" w:fill="E0EBED"/>
          </w:tcPr>
          <w:p>
            <w:pPr>
              <w:spacing w:after="0"/>
              <w:rPr>
                <w:sz w:val="17"/>
                <w:szCs w:val="17"/>
                <w:color w:val="auto"/>
              </w:rPr>
            </w:pPr>
          </w:p>
        </w:tc>
        <w:tc>
          <w:tcPr>
            <w:tcW w:w="900" w:type="dxa"/>
            <w:vAlign w:val="bottom"/>
            <w:tcBorders>
              <w:bottom w:val="single" w:sz="8" w:color="auto"/>
            </w:tcBorders>
            <w:shd w:val="clear" w:color="auto" w:fill="E0EBED"/>
          </w:tcPr>
          <w:p>
            <w:pPr>
              <w:jc w:val="right"/>
              <w:ind w:right="42"/>
              <w:spacing w:after="0"/>
              <w:rPr>
                <w:sz w:val="20"/>
                <w:szCs w:val="20"/>
                <w:color w:val="auto"/>
              </w:rPr>
            </w:pPr>
            <w:r>
              <w:rPr>
                <w:rFonts w:ascii="Arial" w:cs="Arial" w:eastAsia="Arial" w:hAnsi="Arial"/>
                <w:sz w:val="16"/>
                <w:szCs w:val="16"/>
                <w:color w:val="auto"/>
              </w:rPr>
              <w:t>(11,439)</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shd w:val="clear" w:color="auto" w:fill="E0EBED"/>
          </w:tcPr>
          <w:p>
            <w:pPr>
              <w:spacing w:after="0"/>
              <w:rPr>
                <w:sz w:val="17"/>
                <w:szCs w:val="17"/>
                <w:color w:val="auto"/>
              </w:rPr>
            </w:pPr>
          </w:p>
        </w:tc>
        <w:tc>
          <w:tcPr>
            <w:tcW w:w="840" w:type="dxa"/>
            <w:vAlign w:val="bottom"/>
            <w:tcBorders>
              <w:bottom w:val="single" w:sz="8" w:color="auto"/>
            </w:tcBorders>
            <w:shd w:val="clear" w:color="auto" w:fill="E0EBED"/>
          </w:tcPr>
          <w:p>
            <w:pPr>
              <w:jc w:val="right"/>
              <w:spacing w:after="0"/>
              <w:rPr>
                <w:sz w:val="20"/>
                <w:szCs w:val="20"/>
                <w:color w:val="auto"/>
              </w:rPr>
            </w:pPr>
            <w:r>
              <w:rPr>
                <w:rFonts w:ascii="Arial" w:cs="Arial" w:eastAsia="Arial" w:hAnsi="Arial"/>
                <w:sz w:val="16"/>
                <w:szCs w:val="16"/>
                <w:color w:val="auto"/>
              </w:rPr>
              <w:t>4,079</w:t>
            </w: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shd w:val="clear" w:color="auto" w:fill="E0EBED"/>
          </w:tcPr>
          <w:p>
            <w:pPr>
              <w:spacing w:after="0"/>
              <w:rPr>
                <w:sz w:val="17"/>
                <w:szCs w:val="17"/>
                <w:color w:val="auto"/>
              </w:rPr>
            </w:pPr>
          </w:p>
        </w:tc>
        <w:tc>
          <w:tcPr>
            <w:tcW w:w="900" w:type="dxa"/>
            <w:vAlign w:val="bottom"/>
            <w:tcBorders>
              <w:bottom w:val="single" w:sz="8" w:color="auto"/>
            </w:tcBorders>
            <w:shd w:val="clear" w:color="auto" w:fill="E0EBED"/>
          </w:tcPr>
          <w:p>
            <w:pPr>
              <w:jc w:val="right"/>
              <w:ind w:right="22"/>
              <w:spacing w:after="0"/>
              <w:rPr>
                <w:sz w:val="20"/>
                <w:szCs w:val="20"/>
                <w:color w:val="auto"/>
              </w:rPr>
            </w:pPr>
            <w:r>
              <w:rPr>
                <w:rFonts w:ascii="Arial" w:cs="Arial" w:eastAsia="Arial" w:hAnsi="Arial"/>
                <w:sz w:val="16"/>
                <w:szCs w:val="16"/>
                <w:color w:val="auto"/>
              </w:rPr>
              <w:t>11,697</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shd w:val="clear" w:color="auto" w:fill="E0EBED"/>
          </w:tcPr>
          <w:p>
            <w:pPr>
              <w:spacing w:after="0"/>
              <w:rPr>
                <w:sz w:val="17"/>
                <w:szCs w:val="17"/>
                <w:color w:val="auto"/>
              </w:rPr>
            </w:pPr>
          </w:p>
        </w:tc>
        <w:tc>
          <w:tcPr>
            <w:tcW w:w="900" w:type="dxa"/>
            <w:vAlign w:val="bottom"/>
            <w:tcBorders>
              <w:bottom w:val="single" w:sz="8" w:color="auto"/>
            </w:tcBorders>
            <w:shd w:val="clear" w:color="auto" w:fill="E0EBED"/>
          </w:tcPr>
          <w:p>
            <w:pPr>
              <w:jc w:val="right"/>
              <w:ind w:right="22"/>
              <w:spacing w:after="0"/>
              <w:rPr>
                <w:sz w:val="20"/>
                <w:szCs w:val="20"/>
                <w:color w:val="auto"/>
              </w:rPr>
            </w:pPr>
            <w:r>
              <w:rPr>
                <w:rFonts w:ascii="Arial" w:cs="Arial" w:eastAsia="Arial" w:hAnsi="Arial"/>
                <w:sz w:val="16"/>
                <w:szCs w:val="16"/>
                <w:color w:val="auto"/>
              </w:rPr>
              <w:t>11,300</w:t>
            </w:r>
          </w:p>
        </w:tc>
        <w:tc>
          <w:tcPr>
            <w:tcW w:w="0" w:type="dxa"/>
            <w:vAlign w:val="bottom"/>
          </w:tcPr>
          <w:p>
            <w:pPr>
              <w:spacing w:after="0"/>
              <w:rPr>
                <w:sz w:val="1"/>
                <w:szCs w:val="1"/>
                <w:color w:val="auto"/>
              </w:rPr>
            </w:pPr>
          </w:p>
        </w:tc>
      </w:tr>
      <w:tr>
        <w:trPr>
          <w:trHeight w:val="158"/>
        </w:trPr>
        <w:tc>
          <w:tcPr>
            <w:tcW w:w="5740" w:type="dxa"/>
            <w:vAlign w:val="bottom"/>
            <w:gridSpan w:val="2"/>
          </w:tcPr>
          <w:p>
            <w:pPr>
              <w:spacing w:after="0" w:line="158" w:lineRule="exact"/>
              <w:rPr>
                <w:sz w:val="20"/>
                <w:szCs w:val="20"/>
                <w:color w:val="auto"/>
              </w:rPr>
            </w:pPr>
            <w:r>
              <w:rPr>
                <w:rFonts w:ascii="Arial" w:cs="Arial" w:eastAsia="Arial" w:hAnsi="Arial"/>
                <w:sz w:val="16"/>
                <w:szCs w:val="16"/>
                <w:color w:val="auto"/>
              </w:rPr>
              <w:t>Earnings from continuing operations before income tax (benefit) expense</w:t>
            </w:r>
          </w:p>
        </w:tc>
        <w:tc>
          <w:tcPr>
            <w:tcW w:w="80" w:type="dxa"/>
            <w:vAlign w:val="bottom"/>
            <w:shd w:val="clear" w:color="auto" w:fill="CDDEE7"/>
          </w:tcPr>
          <w:p>
            <w:pPr>
              <w:spacing w:after="0"/>
              <w:rPr>
                <w:sz w:val="13"/>
                <w:szCs w:val="13"/>
                <w:color w:val="auto"/>
              </w:rPr>
            </w:pPr>
          </w:p>
        </w:tc>
        <w:tc>
          <w:tcPr>
            <w:tcW w:w="80" w:type="dxa"/>
            <w:vAlign w:val="bottom"/>
            <w:shd w:val="clear" w:color="auto" w:fill="CDDEE7"/>
          </w:tcPr>
          <w:p>
            <w:pPr>
              <w:spacing w:after="0"/>
              <w:rPr>
                <w:sz w:val="13"/>
                <w:szCs w:val="13"/>
                <w:color w:val="auto"/>
              </w:rPr>
            </w:pPr>
          </w:p>
        </w:tc>
        <w:tc>
          <w:tcPr>
            <w:tcW w:w="900" w:type="dxa"/>
            <w:vAlign w:val="bottom"/>
            <w:shd w:val="clear" w:color="auto" w:fill="CDDEE7"/>
          </w:tcPr>
          <w:p>
            <w:pPr>
              <w:jc w:val="right"/>
              <w:ind w:right="22"/>
              <w:spacing w:after="0" w:line="158" w:lineRule="exact"/>
              <w:rPr>
                <w:sz w:val="20"/>
                <w:szCs w:val="20"/>
                <w:color w:val="auto"/>
              </w:rPr>
            </w:pPr>
            <w:r>
              <w:rPr>
                <w:rFonts w:ascii="Arial" w:cs="Arial" w:eastAsia="Arial" w:hAnsi="Arial"/>
                <w:sz w:val="16"/>
                <w:szCs w:val="16"/>
                <w:b w:val="1"/>
                <w:bCs w:val="1"/>
                <w:color w:val="auto"/>
              </w:rPr>
              <w:t>618,928</w:t>
            </w:r>
          </w:p>
        </w:tc>
        <w:tc>
          <w:tcPr>
            <w:tcW w:w="100" w:type="dxa"/>
            <w:vAlign w:val="bottom"/>
          </w:tcPr>
          <w:p>
            <w:pPr>
              <w:spacing w:after="0"/>
              <w:rPr>
                <w:sz w:val="13"/>
                <w:szCs w:val="13"/>
                <w:color w:val="auto"/>
              </w:rPr>
            </w:pPr>
          </w:p>
        </w:tc>
        <w:tc>
          <w:tcPr>
            <w:tcW w:w="180" w:type="dxa"/>
            <w:vAlign w:val="bottom"/>
            <w:shd w:val="clear" w:color="auto" w:fill="E0EBED"/>
          </w:tcPr>
          <w:p>
            <w:pPr>
              <w:spacing w:after="0"/>
              <w:rPr>
                <w:sz w:val="13"/>
                <w:szCs w:val="13"/>
                <w:color w:val="auto"/>
              </w:rPr>
            </w:pPr>
          </w:p>
        </w:tc>
        <w:tc>
          <w:tcPr>
            <w:tcW w:w="900" w:type="dxa"/>
            <w:vAlign w:val="bottom"/>
            <w:shd w:val="clear" w:color="auto" w:fill="E0EBED"/>
          </w:tcPr>
          <w:p>
            <w:pPr>
              <w:jc w:val="right"/>
              <w:ind w:right="42"/>
              <w:spacing w:after="0" w:line="158" w:lineRule="exact"/>
              <w:rPr>
                <w:sz w:val="20"/>
                <w:szCs w:val="20"/>
                <w:color w:val="auto"/>
              </w:rPr>
            </w:pPr>
            <w:r>
              <w:rPr>
                <w:rFonts w:ascii="Arial" w:cs="Arial" w:eastAsia="Arial" w:hAnsi="Arial"/>
                <w:sz w:val="16"/>
                <w:szCs w:val="16"/>
                <w:color w:val="auto"/>
              </w:rPr>
              <w:t>607,028</w:t>
            </w:r>
          </w:p>
        </w:tc>
        <w:tc>
          <w:tcPr>
            <w:tcW w:w="100" w:type="dxa"/>
            <w:vAlign w:val="bottom"/>
          </w:tcPr>
          <w:p>
            <w:pPr>
              <w:spacing w:after="0"/>
              <w:rPr>
                <w:sz w:val="13"/>
                <w:szCs w:val="13"/>
                <w:color w:val="auto"/>
              </w:rPr>
            </w:pPr>
          </w:p>
        </w:tc>
        <w:tc>
          <w:tcPr>
            <w:tcW w:w="160" w:type="dxa"/>
            <w:vAlign w:val="bottom"/>
            <w:shd w:val="clear" w:color="auto" w:fill="E0EBED"/>
          </w:tcPr>
          <w:p>
            <w:pPr>
              <w:spacing w:after="0"/>
              <w:rPr>
                <w:sz w:val="13"/>
                <w:szCs w:val="13"/>
                <w:color w:val="auto"/>
              </w:rPr>
            </w:pPr>
          </w:p>
        </w:tc>
        <w:tc>
          <w:tcPr>
            <w:tcW w:w="840" w:type="dxa"/>
            <w:vAlign w:val="bottom"/>
            <w:shd w:val="clear" w:color="auto" w:fill="E0EBED"/>
          </w:tcPr>
          <w:p>
            <w:pPr>
              <w:jc w:val="right"/>
              <w:spacing w:after="0" w:line="158" w:lineRule="exact"/>
              <w:rPr>
                <w:sz w:val="20"/>
                <w:szCs w:val="20"/>
                <w:color w:val="auto"/>
              </w:rPr>
            </w:pPr>
            <w:r>
              <w:rPr>
                <w:rFonts w:ascii="Arial" w:cs="Arial" w:eastAsia="Arial" w:hAnsi="Arial"/>
                <w:sz w:val="16"/>
                <w:szCs w:val="16"/>
                <w:color w:val="auto"/>
              </w:rPr>
              <w:t>413,801</w:t>
            </w:r>
          </w:p>
        </w:tc>
        <w:tc>
          <w:tcPr>
            <w:tcW w:w="120" w:type="dxa"/>
            <w:vAlign w:val="bottom"/>
          </w:tcPr>
          <w:p>
            <w:pPr>
              <w:spacing w:after="0"/>
              <w:rPr>
                <w:sz w:val="13"/>
                <w:szCs w:val="13"/>
                <w:color w:val="auto"/>
              </w:rPr>
            </w:pPr>
          </w:p>
        </w:tc>
        <w:tc>
          <w:tcPr>
            <w:tcW w:w="160" w:type="dxa"/>
            <w:vAlign w:val="bottom"/>
            <w:shd w:val="clear" w:color="auto" w:fill="E0EBED"/>
          </w:tcPr>
          <w:p>
            <w:pPr>
              <w:spacing w:after="0"/>
              <w:rPr>
                <w:sz w:val="13"/>
                <w:szCs w:val="13"/>
                <w:color w:val="auto"/>
              </w:rPr>
            </w:pPr>
          </w:p>
        </w:tc>
        <w:tc>
          <w:tcPr>
            <w:tcW w:w="900" w:type="dxa"/>
            <w:vAlign w:val="bottom"/>
            <w:shd w:val="clear" w:color="auto" w:fill="E0EBED"/>
          </w:tcPr>
          <w:p>
            <w:pPr>
              <w:jc w:val="right"/>
              <w:ind w:right="22"/>
              <w:spacing w:after="0" w:line="158" w:lineRule="exact"/>
              <w:rPr>
                <w:sz w:val="20"/>
                <w:szCs w:val="20"/>
                <w:color w:val="auto"/>
              </w:rPr>
            </w:pPr>
            <w:r>
              <w:rPr>
                <w:rFonts w:ascii="Arial" w:cs="Arial" w:eastAsia="Arial" w:hAnsi="Arial"/>
                <w:sz w:val="16"/>
                <w:szCs w:val="16"/>
                <w:color w:val="auto"/>
              </w:rPr>
              <w:t>249,178</w:t>
            </w:r>
          </w:p>
        </w:tc>
        <w:tc>
          <w:tcPr>
            <w:tcW w:w="100" w:type="dxa"/>
            <w:vAlign w:val="bottom"/>
          </w:tcPr>
          <w:p>
            <w:pPr>
              <w:spacing w:after="0"/>
              <w:rPr>
                <w:sz w:val="13"/>
                <w:szCs w:val="13"/>
                <w:color w:val="auto"/>
              </w:rPr>
            </w:pPr>
          </w:p>
        </w:tc>
        <w:tc>
          <w:tcPr>
            <w:tcW w:w="160" w:type="dxa"/>
            <w:vAlign w:val="bottom"/>
            <w:shd w:val="clear" w:color="auto" w:fill="E0EBED"/>
          </w:tcPr>
          <w:p>
            <w:pPr>
              <w:spacing w:after="0"/>
              <w:rPr>
                <w:sz w:val="13"/>
                <w:szCs w:val="13"/>
                <w:color w:val="auto"/>
              </w:rPr>
            </w:pPr>
          </w:p>
        </w:tc>
        <w:tc>
          <w:tcPr>
            <w:tcW w:w="900" w:type="dxa"/>
            <w:vAlign w:val="bottom"/>
            <w:shd w:val="clear" w:color="auto" w:fill="E0EBED"/>
          </w:tcPr>
          <w:p>
            <w:pPr>
              <w:jc w:val="right"/>
              <w:ind w:right="22"/>
              <w:spacing w:after="0" w:line="158" w:lineRule="exact"/>
              <w:rPr>
                <w:sz w:val="20"/>
                <w:szCs w:val="20"/>
                <w:color w:val="auto"/>
              </w:rPr>
            </w:pPr>
            <w:r>
              <w:rPr>
                <w:rFonts w:ascii="Arial" w:cs="Arial" w:eastAsia="Arial" w:hAnsi="Arial"/>
                <w:sz w:val="16"/>
                <w:szCs w:val="16"/>
                <w:color w:val="auto"/>
              </w:rPr>
              <w:t>164,226</w:t>
            </w:r>
          </w:p>
        </w:tc>
        <w:tc>
          <w:tcPr>
            <w:tcW w:w="0" w:type="dxa"/>
            <w:vAlign w:val="bottom"/>
          </w:tcPr>
          <w:p>
            <w:pPr>
              <w:spacing w:after="0"/>
              <w:rPr>
                <w:sz w:val="1"/>
                <w:szCs w:val="1"/>
                <w:color w:val="auto"/>
              </w:rPr>
            </w:pPr>
          </w:p>
        </w:tc>
      </w:tr>
      <w:tr>
        <w:trPr>
          <w:trHeight w:val="198"/>
        </w:trPr>
        <w:tc>
          <w:tcPr>
            <w:tcW w:w="574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Income tax (benefit) expense</w:t>
            </w:r>
          </w:p>
        </w:tc>
        <w:tc>
          <w:tcPr>
            <w:tcW w:w="80" w:type="dxa"/>
            <w:vAlign w:val="bottom"/>
            <w:tcBorders>
              <w:bottom w:val="single" w:sz="8" w:color="auto"/>
            </w:tcBorders>
            <w:shd w:val="clear" w:color="auto" w:fill="CDDEE7"/>
          </w:tcPr>
          <w:p>
            <w:pPr>
              <w:spacing w:after="0"/>
              <w:rPr>
                <w:sz w:val="17"/>
                <w:szCs w:val="17"/>
                <w:color w:val="auto"/>
              </w:rPr>
            </w:pPr>
          </w:p>
        </w:tc>
        <w:tc>
          <w:tcPr>
            <w:tcW w:w="80" w:type="dxa"/>
            <w:vAlign w:val="bottom"/>
            <w:tcBorders>
              <w:bottom w:val="single" w:sz="8" w:color="auto"/>
            </w:tcBorders>
            <w:shd w:val="clear" w:color="auto" w:fill="CDDEE7"/>
          </w:tcPr>
          <w:p>
            <w:pPr>
              <w:spacing w:after="0"/>
              <w:rPr>
                <w:sz w:val="17"/>
                <w:szCs w:val="17"/>
                <w:color w:val="auto"/>
              </w:rPr>
            </w:pPr>
          </w:p>
        </w:tc>
        <w:tc>
          <w:tcPr>
            <w:tcW w:w="900" w:type="dxa"/>
            <w:vAlign w:val="bottom"/>
            <w:tcBorders>
              <w:bottom w:val="single" w:sz="8" w:color="auto"/>
            </w:tcBorders>
            <w:shd w:val="clear" w:color="auto" w:fill="CDDEE7"/>
          </w:tcPr>
          <w:p>
            <w:pPr>
              <w:jc w:val="right"/>
              <w:ind w:right="22"/>
              <w:spacing w:after="0"/>
              <w:rPr>
                <w:sz w:val="20"/>
                <w:szCs w:val="20"/>
                <w:color w:val="auto"/>
              </w:rPr>
            </w:pPr>
            <w:r>
              <w:rPr>
                <w:rFonts w:ascii="Arial" w:cs="Arial" w:eastAsia="Arial" w:hAnsi="Arial"/>
                <w:sz w:val="16"/>
                <w:szCs w:val="16"/>
                <w:b w:val="1"/>
                <w:bCs w:val="1"/>
                <w:color w:val="auto"/>
              </w:rPr>
              <w:t>(94,457)</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shd w:val="clear" w:color="auto" w:fill="E0EBED"/>
          </w:tcPr>
          <w:p>
            <w:pPr>
              <w:spacing w:after="0"/>
              <w:rPr>
                <w:sz w:val="17"/>
                <w:szCs w:val="17"/>
                <w:color w:val="auto"/>
              </w:rPr>
            </w:pPr>
          </w:p>
        </w:tc>
        <w:tc>
          <w:tcPr>
            <w:tcW w:w="900" w:type="dxa"/>
            <w:vAlign w:val="bottom"/>
            <w:tcBorders>
              <w:bottom w:val="single" w:sz="8" w:color="auto"/>
            </w:tcBorders>
            <w:shd w:val="clear" w:color="auto" w:fill="E0EBED"/>
          </w:tcPr>
          <w:p>
            <w:pPr>
              <w:jc w:val="right"/>
              <w:ind w:right="42"/>
              <w:spacing w:after="0"/>
              <w:rPr>
                <w:sz w:val="20"/>
                <w:szCs w:val="20"/>
                <w:color w:val="auto"/>
              </w:rPr>
            </w:pPr>
            <w:r>
              <w:rPr>
                <w:rFonts w:ascii="Arial" w:cs="Arial" w:eastAsia="Arial" w:hAnsi="Arial"/>
                <w:sz w:val="16"/>
                <w:szCs w:val="16"/>
                <w:color w:val="auto"/>
              </w:rPr>
              <w:t>181,584</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shd w:val="clear" w:color="auto" w:fill="E0EBED"/>
          </w:tcPr>
          <w:p>
            <w:pPr>
              <w:spacing w:after="0"/>
              <w:rPr>
                <w:sz w:val="17"/>
                <w:szCs w:val="17"/>
                <w:color w:val="auto"/>
              </w:rPr>
            </w:pPr>
          </w:p>
        </w:tc>
        <w:tc>
          <w:tcPr>
            <w:tcW w:w="840" w:type="dxa"/>
            <w:vAlign w:val="bottom"/>
            <w:tcBorders>
              <w:bottom w:val="single" w:sz="8" w:color="auto"/>
            </w:tcBorders>
            <w:shd w:val="clear" w:color="auto" w:fill="E0EBED"/>
          </w:tcPr>
          <w:p>
            <w:pPr>
              <w:jc w:val="right"/>
              <w:spacing w:after="0"/>
              <w:rPr>
                <w:sz w:val="20"/>
                <w:szCs w:val="20"/>
                <w:color w:val="auto"/>
              </w:rPr>
            </w:pPr>
            <w:r>
              <w:rPr>
                <w:rFonts w:ascii="Arial" w:cs="Arial" w:eastAsia="Arial" w:hAnsi="Arial"/>
                <w:sz w:val="16"/>
                <w:szCs w:val="16"/>
                <w:color w:val="auto"/>
              </w:rPr>
              <w:t>124,863</w:t>
            </w: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shd w:val="clear" w:color="auto" w:fill="E0EBED"/>
          </w:tcPr>
          <w:p>
            <w:pPr>
              <w:spacing w:after="0"/>
              <w:rPr>
                <w:sz w:val="17"/>
                <w:szCs w:val="17"/>
                <w:color w:val="auto"/>
              </w:rPr>
            </w:pPr>
          </w:p>
        </w:tc>
        <w:tc>
          <w:tcPr>
            <w:tcW w:w="900" w:type="dxa"/>
            <w:vAlign w:val="bottom"/>
            <w:tcBorders>
              <w:bottom w:val="single" w:sz="8" w:color="auto"/>
            </w:tcBorders>
            <w:shd w:val="clear" w:color="auto" w:fill="E0EBED"/>
          </w:tcPr>
          <w:p>
            <w:pPr>
              <w:jc w:val="right"/>
              <w:ind w:right="22"/>
              <w:spacing w:after="0"/>
              <w:rPr>
                <w:sz w:val="20"/>
                <w:szCs w:val="20"/>
                <w:color w:val="auto"/>
              </w:rPr>
            </w:pPr>
            <w:r>
              <w:rPr>
                <w:rFonts w:ascii="Arial" w:cs="Arial" w:eastAsia="Arial" w:hAnsi="Arial"/>
                <w:sz w:val="16"/>
                <w:szCs w:val="16"/>
                <w:color w:val="auto"/>
              </w:rPr>
              <w:t>94,847</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shd w:val="clear" w:color="auto" w:fill="E0EBED"/>
          </w:tcPr>
          <w:p>
            <w:pPr>
              <w:spacing w:after="0"/>
              <w:rPr>
                <w:sz w:val="17"/>
                <w:szCs w:val="17"/>
                <w:color w:val="auto"/>
              </w:rPr>
            </w:pPr>
          </w:p>
        </w:tc>
        <w:tc>
          <w:tcPr>
            <w:tcW w:w="900" w:type="dxa"/>
            <w:vAlign w:val="bottom"/>
            <w:tcBorders>
              <w:bottom w:val="single" w:sz="8" w:color="auto"/>
            </w:tcBorders>
            <w:shd w:val="clear" w:color="auto" w:fill="E0EBED"/>
          </w:tcPr>
          <w:p>
            <w:pPr>
              <w:jc w:val="right"/>
              <w:ind w:right="22"/>
              <w:spacing w:after="0"/>
              <w:rPr>
                <w:sz w:val="20"/>
                <w:szCs w:val="20"/>
                <w:color w:val="auto"/>
              </w:rPr>
            </w:pPr>
            <w:r>
              <w:rPr>
                <w:rFonts w:ascii="Arial" w:cs="Arial" w:eastAsia="Arial" w:hAnsi="Arial"/>
                <w:sz w:val="16"/>
                <w:szCs w:val="16"/>
                <w:color w:val="auto"/>
              </w:rPr>
              <w:t>44,045</w:t>
            </w:r>
          </w:p>
        </w:tc>
        <w:tc>
          <w:tcPr>
            <w:tcW w:w="0" w:type="dxa"/>
            <w:vAlign w:val="bottom"/>
          </w:tcPr>
          <w:p>
            <w:pPr>
              <w:spacing w:after="0"/>
              <w:rPr>
                <w:sz w:val="1"/>
                <w:szCs w:val="1"/>
                <w:color w:val="auto"/>
              </w:rPr>
            </w:pPr>
          </w:p>
        </w:tc>
      </w:tr>
      <w:tr>
        <w:trPr>
          <w:trHeight w:val="158"/>
        </w:trPr>
        <w:tc>
          <w:tcPr>
            <w:tcW w:w="5740" w:type="dxa"/>
            <w:vAlign w:val="bottom"/>
            <w:gridSpan w:val="2"/>
          </w:tcPr>
          <w:p>
            <w:pPr>
              <w:spacing w:after="0" w:line="158" w:lineRule="exact"/>
              <w:rPr>
                <w:sz w:val="20"/>
                <w:szCs w:val="20"/>
                <w:color w:val="auto"/>
              </w:rPr>
            </w:pPr>
            <w:r>
              <w:rPr>
                <w:rFonts w:ascii="Arial" w:cs="Arial" w:eastAsia="Arial" w:hAnsi="Arial"/>
                <w:sz w:val="16"/>
                <w:szCs w:val="16"/>
                <w:b w:val="1"/>
                <w:bCs w:val="1"/>
                <w:color w:val="auto"/>
              </w:rPr>
              <w:t>Earnings from Continuing Operations</w:t>
            </w:r>
          </w:p>
        </w:tc>
        <w:tc>
          <w:tcPr>
            <w:tcW w:w="80" w:type="dxa"/>
            <w:vAlign w:val="bottom"/>
            <w:shd w:val="clear" w:color="auto" w:fill="CDDEE7"/>
          </w:tcPr>
          <w:p>
            <w:pPr>
              <w:spacing w:after="0"/>
              <w:rPr>
                <w:sz w:val="13"/>
                <w:szCs w:val="13"/>
                <w:color w:val="auto"/>
              </w:rPr>
            </w:pPr>
          </w:p>
        </w:tc>
        <w:tc>
          <w:tcPr>
            <w:tcW w:w="80" w:type="dxa"/>
            <w:vAlign w:val="bottom"/>
            <w:shd w:val="clear" w:color="auto" w:fill="CDDEE7"/>
          </w:tcPr>
          <w:p>
            <w:pPr>
              <w:spacing w:after="0"/>
              <w:rPr>
                <w:sz w:val="13"/>
                <w:szCs w:val="13"/>
                <w:color w:val="auto"/>
              </w:rPr>
            </w:pPr>
          </w:p>
        </w:tc>
        <w:tc>
          <w:tcPr>
            <w:tcW w:w="900" w:type="dxa"/>
            <w:vAlign w:val="bottom"/>
            <w:shd w:val="clear" w:color="auto" w:fill="CDDEE7"/>
          </w:tcPr>
          <w:p>
            <w:pPr>
              <w:jc w:val="right"/>
              <w:ind w:right="22"/>
              <w:spacing w:after="0" w:line="158" w:lineRule="exact"/>
              <w:rPr>
                <w:sz w:val="20"/>
                <w:szCs w:val="20"/>
                <w:color w:val="auto"/>
              </w:rPr>
            </w:pPr>
            <w:r>
              <w:rPr>
                <w:rFonts w:ascii="Arial" w:cs="Arial" w:eastAsia="Arial" w:hAnsi="Arial"/>
                <w:sz w:val="16"/>
                <w:szCs w:val="16"/>
                <w:b w:val="1"/>
                <w:bCs w:val="1"/>
                <w:color w:val="auto"/>
              </w:rPr>
              <w:t>713,385</w:t>
            </w:r>
          </w:p>
        </w:tc>
        <w:tc>
          <w:tcPr>
            <w:tcW w:w="100" w:type="dxa"/>
            <w:vAlign w:val="bottom"/>
          </w:tcPr>
          <w:p>
            <w:pPr>
              <w:spacing w:after="0"/>
              <w:rPr>
                <w:sz w:val="13"/>
                <w:szCs w:val="13"/>
                <w:color w:val="auto"/>
              </w:rPr>
            </w:pPr>
          </w:p>
        </w:tc>
        <w:tc>
          <w:tcPr>
            <w:tcW w:w="180" w:type="dxa"/>
            <w:vAlign w:val="bottom"/>
            <w:shd w:val="clear" w:color="auto" w:fill="E0EBED"/>
          </w:tcPr>
          <w:p>
            <w:pPr>
              <w:spacing w:after="0"/>
              <w:rPr>
                <w:sz w:val="13"/>
                <w:szCs w:val="13"/>
                <w:color w:val="auto"/>
              </w:rPr>
            </w:pPr>
          </w:p>
        </w:tc>
        <w:tc>
          <w:tcPr>
            <w:tcW w:w="900" w:type="dxa"/>
            <w:vAlign w:val="bottom"/>
            <w:shd w:val="clear" w:color="auto" w:fill="E0EBED"/>
          </w:tcPr>
          <w:p>
            <w:pPr>
              <w:jc w:val="right"/>
              <w:ind w:right="42"/>
              <w:spacing w:after="0" w:line="158" w:lineRule="exact"/>
              <w:rPr>
                <w:sz w:val="20"/>
                <w:szCs w:val="20"/>
                <w:color w:val="auto"/>
              </w:rPr>
            </w:pPr>
            <w:r>
              <w:rPr>
                <w:rFonts w:ascii="Arial" w:cs="Arial" w:eastAsia="Arial" w:hAnsi="Arial"/>
                <w:sz w:val="16"/>
                <w:szCs w:val="16"/>
                <w:color w:val="auto"/>
              </w:rPr>
              <w:t>425,444</w:t>
            </w:r>
          </w:p>
        </w:tc>
        <w:tc>
          <w:tcPr>
            <w:tcW w:w="100" w:type="dxa"/>
            <w:vAlign w:val="bottom"/>
          </w:tcPr>
          <w:p>
            <w:pPr>
              <w:spacing w:after="0"/>
              <w:rPr>
                <w:sz w:val="13"/>
                <w:szCs w:val="13"/>
                <w:color w:val="auto"/>
              </w:rPr>
            </w:pPr>
          </w:p>
        </w:tc>
        <w:tc>
          <w:tcPr>
            <w:tcW w:w="160" w:type="dxa"/>
            <w:vAlign w:val="bottom"/>
            <w:shd w:val="clear" w:color="auto" w:fill="E0EBED"/>
          </w:tcPr>
          <w:p>
            <w:pPr>
              <w:spacing w:after="0"/>
              <w:rPr>
                <w:sz w:val="13"/>
                <w:szCs w:val="13"/>
                <w:color w:val="auto"/>
              </w:rPr>
            </w:pPr>
          </w:p>
        </w:tc>
        <w:tc>
          <w:tcPr>
            <w:tcW w:w="840" w:type="dxa"/>
            <w:vAlign w:val="bottom"/>
            <w:shd w:val="clear" w:color="auto" w:fill="E0EBED"/>
          </w:tcPr>
          <w:p>
            <w:pPr>
              <w:jc w:val="right"/>
              <w:spacing w:after="0" w:line="158" w:lineRule="exact"/>
              <w:rPr>
                <w:sz w:val="20"/>
                <w:szCs w:val="20"/>
                <w:color w:val="auto"/>
              </w:rPr>
            </w:pPr>
            <w:r>
              <w:rPr>
                <w:rFonts w:ascii="Arial" w:cs="Arial" w:eastAsia="Arial" w:hAnsi="Arial"/>
                <w:sz w:val="16"/>
                <w:szCs w:val="16"/>
                <w:color w:val="auto"/>
              </w:rPr>
              <w:t>288,938</w:t>
            </w:r>
          </w:p>
        </w:tc>
        <w:tc>
          <w:tcPr>
            <w:tcW w:w="120" w:type="dxa"/>
            <w:vAlign w:val="bottom"/>
          </w:tcPr>
          <w:p>
            <w:pPr>
              <w:spacing w:after="0"/>
              <w:rPr>
                <w:sz w:val="13"/>
                <w:szCs w:val="13"/>
                <w:color w:val="auto"/>
              </w:rPr>
            </w:pPr>
          </w:p>
        </w:tc>
        <w:tc>
          <w:tcPr>
            <w:tcW w:w="160" w:type="dxa"/>
            <w:vAlign w:val="bottom"/>
            <w:shd w:val="clear" w:color="auto" w:fill="E0EBED"/>
          </w:tcPr>
          <w:p>
            <w:pPr>
              <w:spacing w:after="0"/>
              <w:rPr>
                <w:sz w:val="13"/>
                <w:szCs w:val="13"/>
                <w:color w:val="auto"/>
              </w:rPr>
            </w:pPr>
          </w:p>
        </w:tc>
        <w:tc>
          <w:tcPr>
            <w:tcW w:w="900" w:type="dxa"/>
            <w:vAlign w:val="bottom"/>
            <w:shd w:val="clear" w:color="auto" w:fill="E0EBED"/>
          </w:tcPr>
          <w:p>
            <w:pPr>
              <w:jc w:val="right"/>
              <w:ind w:right="22"/>
              <w:spacing w:after="0" w:line="158" w:lineRule="exact"/>
              <w:rPr>
                <w:sz w:val="20"/>
                <w:szCs w:val="20"/>
                <w:color w:val="auto"/>
              </w:rPr>
            </w:pPr>
            <w:r>
              <w:rPr>
                <w:rFonts w:ascii="Arial" w:cs="Arial" w:eastAsia="Arial" w:hAnsi="Arial"/>
                <w:sz w:val="16"/>
                <w:szCs w:val="16"/>
                <w:color w:val="auto"/>
              </w:rPr>
              <w:t>154,331</w:t>
            </w:r>
          </w:p>
        </w:tc>
        <w:tc>
          <w:tcPr>
            <w:tcW w:w="100" w:type="dxa"/>
            <w:vAlign w:val="bottom"/>
          </w:tcPr>
          <w:p>
            <w:pPr>
              <w:spacing w:after="0"/>
              <w:rPr>
                <w:sz w:val="13"/>
                <w:szCs w:val="13"/>
                <w:color w:val="auto"/>
              </w:rPr>
            </w:pPr>
          </w:p>
        </w:tc>
        <w:tc>
          <w:tcPr>
            <w:tcW w:w="160" w:type="dxa"/>
            <w:vAlign w:val="bottom"/>
            <w:shd w:val="clear" w:color="auto" w:fill="E0EBED"/>
          </w:tcPr>
          <w:p>
            <w:pPr>
              <w:spacing w:after="0"/>
              <w:rPr>
                <w:sz w:val="13"/>
                <w:szCs w:val="13"/>
                <w:color w:val="auto"/>
              </w:rPr>
            </w:pPr>
          </w:p>
        </w:tc>
        <w:tc>
          <w:tcPr>
            <w:tcW w:w="900" w:type="dxa"/>
            <w:vAlign w:val="bottom"/>
            <w:shd w:val="clear" w:color="auto" w:fill="E0EBED"/>
          </w:tcPr>
          <w:p>
            <w:pPr>
              <w:jc w:val="right"/>
              <w:ind w:right="22"/>
              <w:spacing w:after="0" w:line="158" w:lineRule="exact"/>
              <w:rPr>
                <w:sz w:val="20"/>
                <w:szCs w:val="20"/>
                <w:color w:val="auto"/>
              </w:rPr>
            </w:pPr>
            <w:r>
              <w:rPr>
                <w:rFonts w:ascii="Arial" w:cs="Arial" w:eastAsia="Arial" w:hAnsi="Arial"/>
                <w:sz w:val="16"/>
                <w:szCs w:val="16"/>
                <w:color w:val="auto"/>
              </w:rPr>
              <w:t>120,181</w:t>
            </w:r>
          </w:p>
        </w:tc>
        <w:tc>
          <w:tcPr>
            <w:tcW w:w="0" w:type="dxa"/>
            <w:vAlign w:val="bottom"/>
          </w:tcPr>
          <w:p>
            <w:pPr>
              <w:spacing w:after="0"/>
              <w:rPr>
                <w:sz w:val="1"/>
                <w:szCs w:val="1"/>
                <w:color w:val="auto"/>
              </w:rPr>
            </w:pPr>
          </w:p>
        </w:tc>
      </w:tr>
      <w:tr>
        <w:trPr>
          <w:trHeight w:val="198"/>
        </w:trPr>
        <w:tc>
          <w:tcPr>
            <w:tcW w:w="574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Discontinued operations, net of taxes</w:t>
            </w:r>
          </w:p>
        </w:tc>
        <w:tc>
          <w:tcPr>
            <w:tcW w:w="80" w:type="dxa"/>
            <w:vAlign w:val="bottom"/>
            <w:tcBorders>
              <w:bottom w:val="single" w:sz="8" w:color="auto"/>
            </w:tcBorders>
            <w:shd w:val="clear" w:color="auto" w:fill="CDDEE7"/>
          </w:tcPr>
          <w:p>
            <w:pPr>
              <w:spacing w:after="0"/>
              <w:rPr>
                <w:sz w:val="17"/>
                <w:szCs w:val="17"/>
                <w:color w:val="auto"/>
              </w:rPr>
            </w:pPr>
          </w:p>
        </w:tc>
        <w:tc>
          <w:tcPr>
            <w:tcW w:w="80" w:type="dxa"/>
            <w:vAlign w:val="bottom"/>
            <w:tcBorders>
              <w:bottom w:val="single" w:sz="8" w:color="auto"/>
            </w:tcBorders>
            <w:shd w:val="clear" w:color="auto" w:fill="CDDEE7"/>
          </w:tcPr>
          <w:p>
            <w:pPr>
              <w:spacing w:after="0"/>
              <w:rPr>
                <w:sz w:val="17"/>
                <w:szCs w:val="17"/>
                <w:color w:val="auto"/>
              </w:rPr>
            </w:pPr>
          </w:p>
        </w:tc>
        <w:tc>
          <w:tcPr>
            <w:tcW w:w="900" w:type="dxa"/>
            <w:vAlign w:val="bottom"/>
            <w:tcBorders>
              <w:bottom w:val="single" w:sz="8" w:color="auto"/>
            </w:tcBorders>
            <w:shd w:val="clear" w:color="auto" w:fill="CDDEE7"/>
          </w:tcPr>
          <w:p>
            <w:pPr>
              <w:jc w:val="right"/>
              <w:ind w:right="22"/>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shd w:val="clear" w:color="auto" w:fill="E0EBED"/>
          </w:tcPr>
          <w:p>
            <w:pPr>
              <w:spacing w:after="0"/>
              <w:rPr>
                <w:sz w:val="17"/>
                <w:szCs w:val="17"/>
                <w:color w:val="auto"/>
              </w:rPr>
            </w:pPr>
          </w:p>
        </w:tc>
        <w:tc>
          <w:tcPr>
            <w:tcW w:w="900" w:type="dxa"/>
            <w:vAlign w:val="bottom"/>
            <w:tcBorders>
              <w:bottom w:val="single" w:sz="8" w:color="auto"/>
            </w:tcBorders>
            <w:shd w:val="clear" w:color="auto" w:fill="E0EBED"/>
          </w:tcPr>
          <w:p>
            <w:pPr>
              <w:jc w:val="right"/>
              <w:ind w:right="4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shd w:val="clear" w:color="auto" w:fill="E0EBED"/>
          </w:tcPr>
          <w:p>
            <w:pPr>
              <w:spacing w:after="0"/>
              <w:rPr>
                <w:sz w:val="17"/>
                <w:szCs w:val="17"/>
                <w:color w:val="auto"/>
              </w:rPr>
            </w:pPr>
          </w:p>
        </w:tc>
        <w:tc>
          <w:tcPr>
            <w:tcW w:w="840" w:type="dxa"/>
            <w:vAlign w:val="bottom"/>
            <w:tcBorders>
              <w:bottom w:val="single" w:sz="8" w:color="auto"/>
            </w:tcBorders>
            <w:shd w:val="clear" w:color="auto" w:fill="E0EBED"/>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shd w:val="clear" w:color="auto" w:fill="E0EBED"/>
          </w:tcPr>
          <w:p>
            <w:pPr>
              <w:spacing w:after="0"/>
              <w:rPr>
                <w:sz w:val="17"/>
                <w:szCs w:val="17"/>
                <w:color w:val="auto"/>
              </w:rPr>
            </w:pPr>
          </w:p>
        </w:tc>
        <w:tc>
          <w:tcPr>
            <w:tcW w:w="900" w:type="dxa"/>
            <w:vAlign w:val="bottom"/>
            <w:tcBorders>
              <w:bottom w:val="single" w:sz="8" w:color="auto"/>
            </w:tcBorders>
            <w:shd w:val="clear" w:color="auto" w:fill="E0EBED"/>
          </w:tcPr>
          <w:p>
            <w:pPr>
              <w:jc w:val="right"/>
              <w:ind w:right="22"/>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shd w:val="clear" w:color="auto" w:fill="E0EBED"/>
          </w:tcPr>
          <w:p>
            <w:pPr>
              <w:spacing w:after="0"/>
              <w:rPr>
                <w:sz w:val="17"/>
                <w:szCs w:val="17"/>
                <w:color w:val="auto"/>
              </w:rPr>
            </w:pPr>
          </w:p>
        </w:tc>
        <w:tc>
          <w:tcPr>
            <w:tcW w:w="900" w:type="dxa"/>
            <w:vAlign w:val="bottom"/>
            <w:tcBorders>
              <w:bottom w:val="single" w:sz="8" w:color="auto"/>
            </w:tcBorders>
            <w:shd w:val="clear" w:color="auto" w:fill="E0EBED"/>
          </w:tcPr>
          <w:p>
            <w:pPr>
              <w:jc w:val="right"/>
              <w:ind w:right="22"/>
              <w:spacing w:after="0"/>
              <w:rPr>
                <w:sz w:val="20"/>
                <w:szCs w:val="20"/>
                <w:color w:val="auto"/>
              </w:rPr>
            </w:pPr>
            <w:r>
              <w:rPr>
                <w:rFonts w:ascii="Arial" w:cs="Arial" w:eastAsia="Arial" w:hAnsi="Arial"/>
                <w:sz w:val="16"/>
                <w:szCs w:val="16"/>
                <w:color w:val="auto"/>
              </w:rPr>
              <w:t>(749)</w:t>
            </w:r>
          </w:p>
        </w:tc>
        <w:tc>
          <w:tcPr>
            <w:tcW w:w="0" w:type="dxa"/>
            <w:vAlign w:val="bottom"/>
          </w:tcPr>
          <w:p>
            <w:pPr>
              <w:spacing w:after="0"/>
              <w:rPr>
                <w:sz w:val="1"/>
                <w:szCs w:val="1"/>
                <w:color w:val="auto"/>
              </w:rPr>
            </w:pPr>
          </w:p>
        </w:tc>
      </w:tr>
      <w:tr>
        <w:trPr>
          <w:trHeight w:val="158"/>
        </w:trPr>
        <w:tc>
          <w:tcPr>
            <w:tcW w:w="5740" w:type="dxa"/>
            <w:vAlign w:val="bottom"/>
            <w:gridSpan w:val="2"/>
          </w:tcPr>
          <w:p>
            <w:pPr>
              <w:spacing w:after="0" w:line="158" w:lineRule="exact"/>
              <w:rPr>
                <w:sz w:val="20"/>
                <w:szCs w:val="20"/>
                <w:color w:val="auto"/>
              </w:rPr>
            </w:pPr>
            <w:r>
              <w:rPr>
                <w:rFonts w:ascii="Arial" w:cs="Arial" w:eastAsia="Arial" w:hAnsi="Arial"/>
                <w:sz w:val="16"/>
                <w:szCs w:val="16"/>
                <w:color w:val="auto"/>
              </w:rPr>
              <w:t>Consolidated net earnings</w:t>
            </w:r>
          </w:p>
        </w:tc>
        <w:tc>
          <w:tcPr>
            <w:tcW w:w="80" w:type="dxa"/>
            <w:vAlign w:val="bottom"/>
            <w:shd w:val="clear" w:color="auto" w:fill="CDDEE7"/>
          </w:tcPr>
          <w:p>
            <w:pPr>
              <w:spacing w:after="0"/>
              <w:rPr>
                <w:sz w:val="13"/>
                <w:szCs w:val="13"/>
                <w:color w:val="auto"/>
              </w:rPr>
            </w:pPr>
          </w:p>
        </w:tc>
        <w:tc>
          <w:tcPr>
            <w:tcW w:w="80" w:type="dxa"/>
            <w:vAlign w:val="bottom"/>
            <w:shd w:val="clear" w:color="auto" w:fill="CDDEE7"/>
          </w:tcPr>
          <w:p>
            <w:pPr>
              <w:spacing w:after="0"/>
              <w:rPr>
                <w:sz w:val="13"/>
                <w:szCs w:val="13"/>
                <w:color w:val="auto"/>
              </w:rPr>
            </w:pPr>
          </w:p>
        </w:tc>
        <w:tc>
          <w:tcPr>
            <w:tcW w:w="900" w:type="dxa"/>
            <w:vAlign w:val="bottom"/>
            <w:shd w:val="clear" w:color="auto" w:fill="CDDEE7"/>
          </w:tcPr>
          <w:p>
            <w:pPr>
              <w:jc w:val="right"/>
              <w:ind w:right="22"/>
              <w:spacing w:after="0" w:line="158" w:lineRule="exact"/>
              <w:rPr>
                <w:sz w:val="20"/>
                <w:szCs w:val="20"/>
                <w:color w:val="auto"/>
              </w:rPr>
            </w:pPr>
            <w:r>
              <w:rPr>
                <w:rFonts w:ascii="Arial" w:cs="Arial" w:eastAsia="Arial" w:hAnsi="Arial"/>
                <w:sz w:val="16"/>
                <w:szCs w:val="16"/>
                <w:b w:val="1"/>
                <w:bCs w:val="1"/>
                <w:color w:val="auto"/>
              </w:rPr>
              <w:t>713,385</w:t>
            </w:r>
          </w:p>
        </w:tc>
        <w:tc>
          <w:tcPr>
            <w:tcW w:w="100" w:type="dxa"/>
            <w:vAlign w:val="bottom"/>
          </w:tcPr>
          <w:p>
            <w:pPr>
              <w:spacing w:after="0"/>
              <w:rPr>
                <w:sz w:val="13"/>
                <w:szCs w:val="13"/>
                <w:color w:val="auto"/>
              </w:rPr>
            </w:pPr>
          </w:p>
        </w:tc>
        <w:tc>
          <w:tcPr>
            <w:tcW w:w="180" w:type="dxa"/>
            <w:vAlign w:val="bottom"/>
            <w:shd w:val="clear" w:color="auto" w:fill="E0EBED"/>
          </w:tcPr>
          <w:p>
            <w:pPr>
              <w:spacing w:after="0"/>
              <w:rPr>
                <w:sz w:val="13"/>
                <w:szCs w:val="13"/>
                <w:color w:val="auto"/>
              </w:rPr>
            </w:pPr>
          </w:p>
        </w:tc>
        <w:tc>
          <w:tcPr>
            <w:tcW w:w="900" w:type="dxa"/>
            <w:vAlign w:val="bottom"/>
            <w:shd w:val="clear" w:color="auto" w:fill="E0EBED"/>
          </w:tcPr>
          <w:p>
            <w:pPr>
              <w:jc w:val="right"/>
              <w:ind w:right="42"/>
              <w:spacing w:after="0" w:line="158" w:lineRule="exact"/>
              <w:rPr>
                <w:sz w:val="20"/>
                <w:szCs w:val="20"/>
                <w:color w:val="auto"/>
              </w:rPr>
            </w:pPr>
            <w:r>
              <w:rPr>
                <w:rFonts w:ascii="Arial" w:cs="Arial" w:eastAsia="Arial" w:hAnsi="Arial"/>
                <w:sz w:val="16"/>
                <w:szCs w:val="16"/>
                <w:color w:val="auto"/>
              </w:rPr>
              <w:t>425,444</w:t>
            </w:r>
          </w:p>
        </w:tc>
        <w:tc>
          <w:tcPr>
            <w:tcW w:w="100" w:type="dxa"/>
            <w:vAlign w:val="bottom"/>
          </w:tcPr>
          <w:p>
            <w:pPr>
              <w:spacing w:after="0"/>
              <w:rPr>
                <w:sz w:val="13"/>
                <w:szCs w:val="13"/>
                <w:color w:val="auto"/>
              </w:rPr>
            </w:pPr>
          </w:p>
        </w:tc>
        <w:tc>
          <w:tcPr>
            <w:tcW w:w="160" w:type="dxa"/>
            <w:vAlign w:val="bottom"/>
            <w:shd w:val="clear" w:color="auto" w:fill="E0EBED"/>
          </w:tcPr>
          <w:p>
            <w:pPr>
              <w:spacing w:after="0"/>
              <w:rPr>
                <w:sz w:val="13"/>
                <w:szCs w:val="13"/>
                <w:color w:val="auto"/>
              </w:rPr>
            </w:pPr>
          </w:p>
        </w:tc>
        <w:tc>
          <w:tcPr>
            <w:tcW w:w="840" w:type="dxa"/>
            <w:vAlign w:val="bottom"/>
            <w:shd w:val="clear" w:color="auto" w:fill="E0EBED"/>
          </w:tcPr>
          <w:p>
            <w:pPr>
              <w:jc w:val="right"/>
              <w:spacing w:after="0" w:line="158" w:lineRule="exact"/>
              <w:rPr>
                <w:sz w:val="20"/>
                <w:szCs w:val="20"/>
                <w:color w:val="auto"/>
              </w:rPr>
            </w:pPr>
            <w:r>
              <w:rPr>
                <w:rFonts w:ascii="Arial" w:cs="Arial" w:eastAsia="Arial" w:hAnsi="Arial"/>
                <w:sz w:val="16"/>
                <w:szCs w:val="16"/>
                <w:color w:val="auto"/>
              </w:rPr>
              <w:t>288,938</w:t>
            </w:r>
          </w:p>
        </w:tc>
        <w:tc>
          <w:tcPr>
            <w:tcW w:w="120" w:type="dxa"/>
            <w:vAlign w:val="bottom"/>
          </w:tcPr>
          <w:p>
            <w:pPr>
              <w:spacing w:after="0"/>
              <w:rPr>
                <w:sz w:val="13"/>
                <w:szCs w:val="13"/>
                <w:color w:val="auto"/>
              </w:rPr>
            </w:pPr>
          </w:p>
        </w:tc>
        <w:tc>
          <w:tcPr>
            <w:tcW w:w="160" w:type="dxa"/>
            <w:vAlign w:val="bottom"/>
            <w:shd w:val="clear" w:color="auto" w:fill="E0EBED"/>
          </w:tcPr>
          <w:p>
            <w:pPr>
              <w:spacing w:after="0"/>
              <w:rPr>
                <w:sz w:val="13"/>
                <w:szCs w:val="13"/>
                <w:color w:val="auto"/>
              </w:rPr>
            </w:pPr>
          </w:p>
        </w:tc>
        <w:tc>
          <w:tcPr>
            <w:tcW w:w="900" w:type="dxa"/>
            <w:vAlign w:val="bottom"/>
            <w:shd w:val="clear" w:color="auto" w:fill="E0EBED"/>
          </w:tcPr>
          <w:p>
            <w:pPr>
              <w:jc w:val="right"/>
              <w:ind w:right="22"/>
              <w:spacing w:after="0" w:line="158" w:lineRule="exact"/>
              <w:rPr>
                <w:sz w:val="20"/>
                <w:szCs w:val="20"/>
                <w:color w:val="auto"/>
              </w:rPr>
            </w:pPr>
            <w:r>
              <w:rPr>
                <w:rFonts w:ascii="Arial" w:cs="Arial" w:eastAsia="Arial" w:hAnsi="Arial"/>
                <w:sz w:val="16"/>
                <w:szCs w:val="16"/>
                <w:color w:val="auto"/>
              </w:rPr>
              <w:t>154,294</w:t>
            </w:r>
          </w:p>
        </w:tc>
        <w:tc>
          <w:tcPr>
            <w:tcW w:w="100" w:type="dxa"/>
            <w:vAlign w:val="bottom"/>
          </w:tcPr>
          <w:p>
            <w:pPr>
              <w:spacing w:after="0"/>
              <w:rPr>
                <w:sz w:val="13"/>
                <w:szCs w:val="13"/>
                <w:color w:val="auto"/>
              </w:rPr>
            </w:pPr>
          </w:p>
        </w:tc>
        <w:tc>
          <w:tcPr>
            <w:tcW w:w="160" w:type="dxa"/>
            <w:vAlign w:val="bottom"/>
            <w:shd w:val="clear" w:color="auto" w:fill="E0EBED"/>
          </w:tcPr>
          <w:p>
            <w:pPr>
              <w:spacing w:after="0"/>
              <w:rPr>
                <w:sz w:val="13"/>
                <w:szCs w:val="13"/>
                <w:color w:val="auto"/>
              </w:rPr>
            </w:pPr>
          </w:p>
        </w:tc>
        <w:tc>
          <w:tcPr>
            <w:tcW w:w="900" w:type="dxa"/>
            <w:vAlign w:val="bottom"/>
            <w:shd w:val="clear" w:color="auto" w:fill="E0EBED"/>
          </w:tcPr>
          <w:p>
            <w:pPr>
              <w:jc w:val="right"/>
              <w:ind w:right="22"/>
              <w:spacing w:after="0" w:line="158" w:lineRule="exact"/>
              <w:rPr>
                <w:sz w:val="20"/>
                <w:szCs w:val="20"/>
                <w:color w:val="auto"/>
              </w:rPr>
            </w:pPr>
            <w:r>
              <w:rPr>
                <w:rFonts w:ascii="Arial" w:cs="Arial" w:eastAsia="Arial" w:hAnsi="Arial"/>
                <w:sz w:val="16"/>
                <w:szCs w:val="16"/>
                <w:color w:val="auto"/>
              </w:rPr>
              <w:t>119,432</w:t>
            </w:r>
          </w:p>
        </w:tc>
        <w:tc>
          <w:tcPr>
            <w:tcW w:w="0" w:type="dxa"/>
            <w:vAlign w:val="bottom"/>
          </w:tcPr>
          <w:p>
            <w:pPr>
              <w:spacing w:after="0"/>
              <w:rPr>
                <w:sz w:val="1"/>
                <w:szCs w:val="1"/>
                <w:color w:val="auto"/>
              </w:rPr>
            </w:pPr>
          </w:p>
        </w:tc>
      </w:tr>
      <w:tr>
        <w:trPr>
          <w:trHeight w:val="198"/>
        </w:trPr>
        <w:tc>
          <w:tcPr>
            <w:tcW w:w="574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Less: Net earnings (loss) attributable to noncontrolling interests</w:t>
            </w:r>
          </w:p>
        </w:tc>
        <w:tc>
          <w:tcPr>
            <w:tcW w:w="80" w:type="dxa"/>
            <w:vAlign w:val="bottom"/>
            <w:tcBorders>
              <w:bottom w:val="single" w:sz="8" w:color="auto"/>
            </w:tcBorders>
            <w:shd w:val="clear" w:color="auto" w:fill="CDDEE7"/>
          </w:tcPr>
          <w:p>
            <w:pPr>
              <w:spacing w:after="0"/>
              <w:rPr>
                <w:sz w:val="17"/>
                <w:szCs w:val="17"/>
                <w:color w:val="auto"/>
              </w:rPr>
            </w:pPr>
          </w:p>
        </w:tc>
        <w:tc>
          <w:tcPr>
            <w:tcW w:w="80" w:type="dxa"/>
            <w:vAlign w:val="bottom"/>
            <w:tcBorders>
              <w:bottom w:val="single" w:sz="8" w:color="auto"/>
            </w:tcBorders>
            <w:shd w:val="clear" w:color="auto" w:fill="CDDEE7"/>
          </w:tcPr>
          <w:p>
            <w:pPr>
              <w:spacing w:after="0"/>
              <w:rPr>
                <w:sz w:val="17"/>
                <w:szCs w:val="17"/>
                <w:color w:val="auto"/>
              </w:rPr>
            </w:pPr>
          </w:p>
        </w:tc>
        <w:tc>
          <w:tcPr>
            <w:tcW w:w="900" w:type="dxa"/>
            <w:vAlign w:val="bottom"/>
            <w:tcBorders>
              <w:bottom w:val="single" w:sz="8" w:color="auto"/>
            </w:tcBorders>
            <w:shd w:val="clear" w:color="auto" w:fill="CDDEE7"/>
          </w:tcPr>
          <w:p>
            <w:pPr>
              <w:jc w:val="right"/>
              <w:ind w:right="22"/>
              <w:spacing w:after="0"/>
              <w:rPr>
                <w:sz w:val="20"/>
                <w:szCs w:val="20"/>
                <w:color w:val="auto"/>
              </w:rPr>
            </w:pPr>
            <w:r>
              <w:rPr>
                <w:rFonts w:ascii="Arial" w:cs="Arial" w:eastAsia="Arial" w:hAnsi="Arial"/>
                <w:sz w:val="16"/>
                <w:szCs w:val="16"/>
                <w:b w:val="1"/>
                <w:bCs w:val="1"/>
                <w:color w:val="auto"/>
              </w:rPr>
              <w:t>43</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shd w:val="clear" w:color="auto" w:fill="E0EBED"/>
          </w:tcPr>
          <w:p>
            <w:pPr>
              <w:spacing w:after="0"/>
              <w:rPr>
                <w:sz w:val="17"/>
                <w:szCs w:val="17"/>
                <w:color w:val="auto"/>
              </w:rPr>
            </w:pPr>
          </w:p>
        </w:tc>
        <w:tc>
          <w:tcPr>
            <w:tcW w:w="900" w:type="dxa"/>
            <w:vAlign w:val="bottom"/>
            <w:tcBorders>
              <w:bottom w:val="single" w:sz="8" w:color="auto"/>
            </w:tcBorders>
            <w:shd w:val="clear" w:color="auto" w:fill="E0EBED"/>
          </w:tcPr>
          <w:p>
            <w:pPr>
              <w:jc w:val="right"/>
              <w:ind w:right="42"/>
              <w:spacing w:after="0"/>
              <w:rPr>
                <w:sz w:val="20"/>
                <w:szCs w:val="20"/>
                <w:color w:val="auto"/>
              </w:rPr>
            </w:pPr>
            <w:r>
              <w:rPr>
                <w:rFonts w:ascii="Arial" w:cs="Arial" w:eastAsia="Arial" w:hAnsi="Arial"/>
                <w:sz w:val="16"/>
                <w:szCs w:val="16"/>
                <w:color w:val="auto"/>
              </w:rPr>
              <w:t>58</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shd w:val="clear" w:color="auto" w:fill="E0EBED"/>
          </w:tcPr>
          <w:p>
            <w:pPr>
              <w:spacing w:after="0"/>
              <w:rPr>
                <w:sz w:val="17"/>
                <w:szCs w:val="17"/>
                <w:color w:val="auto"/>
              </w:rPr>
            </w:pPr>
          </w:p>
        </w:tc>
        <w:tc>
          <w:tcPr>
            <w:tcW w:w="840" w:type="dxa"/>
            <w:vAlign w:val="bottom"/>
            <w:tcBorders>
              <w:bottom w:val="single" w:sz="8" w:color="auto"/>
            </w:tcBorders>
            <w:shd w:val="clear" w:color="auto" w:fill="E0EBED"/>
          </w:tcPr>
          <w:p>
            <w:pPr>
              <w:jc w:val="right"/>
              <w:spacing w:after="0"/>
              <w:rPr>
                <w:sz w:val="20"/>
                <w:szCs w:val="20"/>
                <w:color w:val="auto"/>
              </w:rPr>
            </w:pPr>
            <w:r>
              <w:rPr>
                <w:rFonts w:ascii="Arial" w:cs="Arial" w:eastAsia="Arial" w:hAnsi="Arial"/>
                <w:sz w:val="16"/>
                <w:szCs w:val="16"/>
                <w:color w:val="auto"/>
              </w:rPr>
              <w:t>146</w:t>
            </w: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shd w:val="clear" w:color="auto" w:fill="E0EBED"/>
          </w:tcPr>
          <w:p>
            <w:pPr>
              <w:spacing w:after="0"/>
              <w:rPr>
                <w:sz w:val="17"/>
                <w:szCs w:val="17"/>
                <w:color w:val="auto"/>
              </w:rPr>
            </w:pPr>
          </w:p>
        </w:tc>
        <w:tc>
          <w:tcPr>
            <w:tcW w:w="900" w:type="dxa"/>
            <w:vAlign w:val="bottom"/>
            <w:tcBorders>
              <w:bottom w:val="single" w:sz="8" w:color="auto"/>
            </w:tcBorders>
            <w:shd w:val="clear" w:color="auto" w:fill="E0EBED"/>
          </w:tcPr>
          <w:p>
            <w:pPr>
              <w:jc w:val="right"/>
              <w:ind w:right="22"/>
              <w:spacing w:after="0"/>
              <w:rPr>
                <w:sz w:val="20"/>
                <w:szCs w:val="20"/>
                <w:color w:val="auto"/>
              </w:rPr>
            </w:pPr>
            <w:r>
              <w:rPr>
                <w:rFonts w:ascii="Arial" w:cs="Arial" w:eastAsia="Arial" w:hAnsi="Arial"/>
                <w:sz w:val="16"/>
                <w:szCs w:val="16"/>
                <w:color w:val="auto"/>
              </w:rPr>
              <w:t>(1,307)</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shd w:val="clear" w:color="auto" w:fill="E0EBED"/>
          </w:tcPr>
          <w:p>
            <w:pPr>
              <w:spacing w:after="0"/>
              <w:rPr>
                <w:sz w:val="17"/>
                <w:szCs w:val="17"/>
                <w:color w:val="auto"/>
              </w:rPr>
            </w:pPr>
          </w:p>
        </w:tc>
        <w:tc>
          <w:tcPr>
            <w:tcW w:w="900" w:type="dxa"/>
            <w:vAlign w:val="bottom"/>
            <w:tcBorders>
              <w:bottom w:val="single" w:sz="8" w:color="auto"/>
            </w:tcBorders>
            <w:shd w:val="clear" w:color="auto" w:fill="E0EBED"/>
          </w:tcPr>
          <w:p>
            <w:pPr>
              <w:jc w:val="right"/>
              <w:ind w:right="22"/>
              <w:spacing w:after="0"/>
              <w:rPr>
                <w:sz w:val="20"/>
                <w:szCs w:val="20"/>
                <w:color w:val="auto"/>
              </w:rPr>
            </w:pPr>
            <w:r>
              <w:rPr>
                <w:rFonts w:ascii="Arial" w:cs="Arial" w:eastAsia="Arial" w:hAnsi="Arial"/>
                <w:sz w:val="16"/>
                <w:szCs w:val="16"/>
                <w:color w:val="auto"/>
              </w:rPr>
              <w:t>(1,905)</w:t>
            </w:r>
          </w:p>
        </w:tc>
        <w:tc>
          <w:tcPr>
            <w:tcW w:w="0" w:type="dxa"/>
            <w:vAlign w:val="bottom"/>
          </w:tcPr>
          <w:p>
            <w:pPr>
              <w:spacing w:after="0"/>
              <w:rPr>
                <w:sz w:val="1"/>
                <w:szCs w:val="1"/>
                <w:color w:val="auto"/>
              </w:rPr>
            </w:pPr>
          </w:p>
        </w:tc>
      </w:tr>
      <w:tr>
        <w:trPr>
          <w:trHeight w:val="175"/>
        </w:trPr>
        <w:tc>
          <w:tcPr>
            <w:tcW w:w="574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Net Earnings Attributable to Martin Marietta</w:t>
            </w:r>
          </w:p>
        </w:tc>
        <w:tc>
          <w:tcPr>
            <w:tcW w:w="80" w:type="dxa"/>
            <w:vAlign w:val="bottom"/>
            <w:shd w:val="clear" w:color="auto" w:fill="CDDEE7"/>
          </w:tcPr>
          <w:p>
            <w:pPr>
              <w:spacing w:after="0"/>
              <w:rPr>
                <w:sz w:val="15"/>
                <w:szCs w:val="15"/>
                <w:color w:val="auto"/>
              </w:rPr>
            </w:pPr>
          </w:p>
        </w:tc>
        <w:tc>
          <w:tcPr>
            <w:tcW w:w="80" w:type="dxa"/>
            <w:vAlign w:val="bottom"/>
            <w:shd w:val="clear" w:color="auto" w:fill="CDDEE7"/>
          </w:tcPr>
          <w:p>
            <w:pPr>
              <w:jc w:val="right"/>
              <w:spacing w:after="0"/>
              <w:rPr>
                <w:sz w:val="20"/>
                <w:szCs w:val="20"/>
                <w:color w:val="auto"/>
              </w:rPr>
            </w:pPr>
            <w:r>
              <w:rPr>
                <w:rFonts w:ascii="Arial" w:cs="Arial" w:eastAsia="Arial" w:hAnsi="Arial"/>
                <w:sz w:val="14"/>
                <w:szCs w:val="14"/>
                <w:b w:val="1"/>
                <w:bCs w:val="1"/>
                <w:color w:val="auto"/>
                <w:w w:val="76"/>
              </w:rPr>
              <w:t>$</w:t>
            </w:r>
          </w:p>
        </w:tc>
        <w:tc>
          <w:tcPr>
            <w:tcW w:w="900" w:type="dxa"/>
            <w:vAlign w:val="bottom"/>
            <w:shd w:val="clear" w:color="auto" w:fill="CDDEE7"/>
          </w:tcPr>
          <w:p>
            <w:pPr>
              <w:jc w:val="right"/>
              <w:ind w:right="22"/>
              <w:spacing w:after="0" w:line="175" w:lineRule="exact"/>
              <w:rPr>
                <w:sz w:val="20"/>
                <w:szCs w:val="20"/>
                <w:color w:val="auto"/>
              </w:rPr>
            </w:pPr>
            <w:r>
              <w:rPr>
                <w:rFonts w:ascii="Arial" w:cs="Arial" w:eastAsia="Arial" w:hAnsi="Arial"/>
                <w:sz w:val="16"/>
                <w:szCs w:val="16"/>
                <w:b w:val="1"/>
                <w:bCs w:val="1"/>
                <w:color w:val="auto"/>
              </w:rPr>
              <w:t>713,342</w:t>
            </w:r>
          </w:p>
        </w:tc>
        <w:tc>
          <w:tcPr>
            <w:tcW w:w="100" w:type="dxa"/>
            <w:vAlign w:val="bottom"/>
          </w:tcPr>
          <w:p>
            <w:pPr>
              <w:spacing w:after="0"/>
              <w:rPr>
                <w:sz w:val="15"/>
                <w:szCs w:val="15"/>
                <w:color w:val="auto"/>
              </w:rPr>
            </w:pPr>
          </w:p>
        </w:tc>
        <w:tc>
          <w:tcPr>
            <w:tcW w:w="180" w:type="dxa"/>
            <w:vAlign w:val="bottom"/>
            <w:shd w:val="clear" w:color="auto" w:fill="E0EBED"/>
          </w:tcPr>
          <w:p>
            <w:pPr>
              <w:jc w:val="right"/>
              <w:spacing w:after="0" w:line="175" w:lineRule="exact"/>
              <w:rPr>
                <w:sz w:val="20"/>
                <w:szCs w:val="20"/>
                <w:color w:val="auto"/>
              </w:rPr>
            </w:pPr>
            <w:r>
              <w:rPr>
                <w:rFonts w:ascii="Arial" w:cs="Arial" w:eastAsia="Arial" w:hAnsi="Arial"/>
                <w:sz w:val="16"/>
                <w:szCs w:val="16"/>
                <w:color w:val="auto"/>
              </w:rPr>
              <w:t>$</w:t>
            </w:r>
          </w:p>
        </w:tc>
        <w:tc>
          <w:tcPr>
            <w:tcW w:w="900" w:type="dxa"/>
            <w:vAlign w:val="bottom"/>
            <w:shd w:val="clear" w:color="auto" w:fill="E0EBED"/>
          </w:tcPr>
          <w:p>
            <w:pPr>
              <w:jc w:val="right"/>
              <w:ind w:right="42"/>
              <w:spacing w:after="0" w:line="175" w:lineRule="exact"/>
              <w:rPr>
                <w:sz w:val="20"/>
                <w:szCs w:val="20"/>
                <w:color w:val="auto"/>
              </w:rPr>
            </w:pPr>
            <w:r>
              <w:rPr>
                <w:rFonts w:ascii="Arial" w:cs="Arial" w:eastAsia="Arial" w:hAnsi="Arial"/>
                <w:sz w:val="16"/>
                <w:szCs w:val="16"/>
                <w:color w:val="auto"/>
              </w:rPr>
              <w:t>425,386</w:t>
            </w:r>
          </w:p>
        </w:tc>
        <w:tc>
          <w:tcPr>
            <w:tcW w:w="100" w:type="dxa"/>
            <w:vAlign w:val="bottom"/>
          </w:tcPr>
          <w:p>
            <w:pPr>
              <w:spacing w:after="0"/>
              <w:rPr>
                <w:sz w:val="15"/>
                <w:szCs w:val="15"/>
                <w:color w:val="auto"/>
              </w:rPr>
            </w:pPr>
          </w:p>
        </w:tc>
        <w:tc>
          <w:tcPr>
            <w:tcW w:w="160" w:type="dxa"/>
            <w:vAlign w:val="bottom"/>
            <w:shd w:val="clear" w:color="auto" w:fill="E0EBED"/>
          </w:tcPr>
          <w:p>
            <w:pPr>
              <w:jc w:val="right"/>
              <w:spacing w:after="0" w:line="175" w:lineRule="exact"/>
              <w:rPr>
                <w:sz w:val="20"/>
                <w:szCs w:val="20"/>
                <w:color w:val="auto"/>
              </w:rPr>
            </w:pPr>
            <w:r>
              <w:rPr>
                <w:rFonts w:ascii="Arial" w:cs="Arial" w:eastAsia="Arial" w:hAnsi="Arial"/>
                <w:sz w:val="16"/>
                <w:szCs w:val="16"/>
                <w:color w:val="auto"/>
              </w:rPr>
              <w:t>$</w:t>
            </w:r>
          </w:p>
        </w:tc>
        <w:tc>
          <w:tcPr>
            <w:tcW w:w="840" w:type="dxa"/>
            <w:vAlign w:val="bottom"/>
            <w:shd w:val="clear" w:color="auto" w:fill="E0EBED"/>
          </w:tcPr>
          <w:p>
            <w:pPr>
              <w:jc w:val="right"/>
              <w:spacing w:after="0" w:line="175" w:lineRule="exact"/>
              <w:rPr>
                <w:sz w:val="20"/>
                <w:szCs w:val="20"/>
                <w:color w:val="auto"/>
              </w:rPr>
            </w:pPr>
            <w:r>
              <w:rPr>
                <w:rFonts w:ascii="Arial" w:cs="Arial" w:eastAsia="Arial" w:hAnsi="Arial"/>
                <w:sz w:val="16"/>
                <w:szCs w:val="16"/>
                <w:color w:val="auto"/>
              </w:rPr>
              <w:t>288,792</w:t>
            </w:r>
          </w:p>
        </w:tc>
        <w:tc>
          <w:tcPr>
            <w:tcW w:w="120" w:type="dxa"/>
            <w:vAlign w:val="bottom"/>
          </w:tcPr>
          <w:p>
            <w:pPr>
              <w:spacing w:after="0"/>
              <w:rPr>
                <w:sz w:val="15"/>
                <w:szCs w:val="15"/>
                <w:color w:val="auto"/>
              </w:rPr>
            </w:pPr>
          </w:p>
        </w:tc>
        <w:tc>
          <w:tcPr>
            <w:tcW w:w="160" w:type="dxa"/>
            <w:vAlign w:val="bottom"/>
            <w:shd w:val="clear" w:color="auto" w:fill="E0EBED"/>
          </w:tcPr>
          <w:p>
            <w:pPr>
              <w:jc w:val="right"/>
              <w:spacing w:after="0" w:line="175" w:lineRule="exact"/>
              <w:rPr>
                <w:sz w:val="20"/>
                <w:szCs w:val="20"/>
                <w:color w:val="auto"/>
              </w:rPr>
            </w:pPr>
            <w:r>
              <w:rPr>
                <w:rFonts w:ascii="Arial" w:cs="Arial" w:eastAsia="Arial" w:hAnsi="Arial"/>
                <w:sz w:val="16"/>
                <w:szCs w:val="16"/>
                <w:color w:val="auto"/>
              </w:rPr>
              <w:t>$</w:t>
            </w:r>
          </w:p>
        </w:tc>
        <w:tc>
          <w:tcPr>
            <w:tcW w:w="900" w:type="dxa"/>
            <w:vAlign w:val="bottom"/>
            <w:shd w:val="clear" w:color="auto" w:fill="E0EBED"/>
          </w:tcPr>
          <w:p>
            <w:pPr>
              <w:jc w:val="right"/>
              <w:ind w:right="22"/>
              <w:spacing w:after="0" w:line="175" w:lineRule="exact"/>
              <w:rPr>
                <w:sz w:val="20"/>
                <w:szCs w:val="20"/>
                <w:color w:val="auto"/>
              </w:rPr>
            </w:pPr>
            <w:r>
              <w:rPr>
                <w:rFonts w:ascii="Arial" w:cs="Arial" w:eastAsia="Arial" w:hAnsi="Arial"/>
                <w:sz w:val="16"/>
                <w:szCs w:val="16"/>
                <w:color w:val="auto"/>
              </w:rPr>
              <w:t>155,601</w:t>
            </w:r>
          </w:p>
        </w:tc>
        <w:tc>
          <w:tcPr>
            <w:tcW w:w="100" w:type="dxa"/>
            <w:vAlign w:val="bottom"/>
          </w:tcPr>
          <w:p>
            <w:pPr>
              <w:spacing w:after="0"/>
              <w:rPr>
                <w:sz w:val="15"/>
                <w:szCs w:val="15"/>
                <w:color w:val="auto"/>
              </w:rPr>
            </w:pPr>
          </w:p>
        </w:tc>
        <w:tc>
          <w:tcPr>
            <w:tcW w:w="160" w:type="dxa"/>
            <w:vAlign w:val="bottom"/>
            <w:shd w:val="clear" w:color="auto" w:fill="E0EBED"/>
          </w:tcPr>
          <w:p>
            <w:pPr>
              <w:jc w:val="right"/>
              <w:spacing w:after="0" w:line="175" w:lineRule="exact"/>
              <w:rPr>
                <w:sz w:val="20"/>
                <w:szCs w:val="20"/>
                <w:color w:val="auto"/>
              </w:rPr>
            </w:pPr>
            <w:r>
              <w:rPr>
                <w:rFonts w:ascii="Arial" w:cs="Arial" w:eastAsia="Arial" w:hAnsi="Arial"/>
                <w:sz w:val="16"/>
                <w:szCs w:val="16"/>
                <w:color w:val="auto"/>
              </w:rPr>
              <w:t>$</w:t>
            </w:r>
          </w:p>
        </w:tc>
        <w:tc>
          <w:tcPr>
            <w:tcW w:w="900" w:type="dxa"/>
            <w:vAlign w:val="bottom"/>
            <w:shd w:val="clear" w:color="auto" w:fill="E0EBED"/>
          </w:tcPr>
          <w:p>
            <w:pPr>
              <w:jc w:val="right"/>
              <w:ind w:right="22"/>
              <w:spacing w:after="0" w:line="175" w:lineRule="exact"/>
              <w:rPr>
                <w:sz w:val="20"/>
                <w:szCs w:val="20"/>
                <w:color w:val="auto"/>
              </w:rPr>
            </w:pPr>
            <w:r>
              <w:rPr>
                <w:rFonts w:ascii="Arial" w:cs="Arial" w:eastAsia="Arial" w:hAnsi="Arial"/>
                <w:sz w:val="16"/>
                <w:szCs w:val="16"/>
                <w:color w:val="auto"/>
              </w:rPr>
              <w:t>121,337</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7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25"/>
        </w:trPr>
        <w:tc>
          <w:tcPr>
            <w:tcW w:w="5740" w:type="dxa"/>
            <w:vAlign w:val="bottom"/>
            <w:gridSpan w:val="2"/>
          </w:tcPr>
          <w:p>
            <w:pPr>
              <w:spacing w:after="0"/>
              <w:rPr>
                <w:sz w:val="20"/>
                <w:szCs w:val="20"/>
                <w:color w:val="auto"/>
              </w:rPr>
            </w:pPr>
            <w:r>
              <w:rPr>
                <w:rFonts w:ascii="Arial" w:cs="Arial" w:eastAsia="Arial" w:hAnsi="Arial"/>
                <w:sz w:val="16"/>
                <w:szCs w:val="16"/>
                <w:b w:val="1"/>
                <w:bCs w:val="1"/>
                <w:color w:val="auto"/>
                <w:w w:val="99"/>
              </w:rPr>
              <w:t>Basic Earnings Attributable to Martin Marietta Per Common Share (see Note</w:t>
            </w:r>
          </w:p>
        </w:tc>
        <w:tc>
          <w:tcPr>
            <w:tcW w:w="80" w:type="dxa"/>
            <w:vAlign w:val="bottom"/>
            <w:shd w:val="clear" w:color="auto" w:fill="CDDEE7"/>
          </w:tcPr>
          <w:p>
            <w:pPr>
              <w:spacing w:after="0"/>
              <w:rPr>
                <w:sz w:val="24"/>
                <w:szCs w:val="24"/>
                <w:color w:val="auto"/>
              </w:rPr>
            </w:pPr>
          </w:p>
        </w:tc>
        <w:tc>
          <w:tcPr>
            <w:tcW w:w="80" w:type="dxa"/>
            <w:vAlign w:val="bottom"/>
            <w:shd w:val="clear" w:color="auto" w:fill="CDDEE7"/>
          </w:tcPr>
          <w:p>
            <w:pPr>
              <w:spacing w:after="0"/>
              <w:rPr>
                <w:sz w:val="24"/>
                <w:szCs w:val="24"/>
                <w:color w:val="auto"/>
              </w:rPr>
            </w:pPr>
          </w:p>
        </w:tc>
        <w:tc>
          <w:tcPr>
            <w:tcW w:w="900" w:type="dxa"/>
            <w:vAlign w:val="bottom"/>
            <w:shd w:val="clear" w:color="auto" w:fill="CDDEE7"/>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shd w:val="clear" w:color="auto" w:fill="E0EBED"/>
          </w:tcPr>
          <w:p>
            <w:pPr>
              <w:spacing w:after="0"/>
              <w:rPr>
                <w:sz w:val="24"/>
                <w:szCs w:val="24"/>
                <w:color w:val="auto"/>
              </w:rPr>
            </w:pPr>
          </w:p>
        </w:tc>
        <w:tc>
          <w:tcPr>
            <w:tcW w:w="900" w:type="dxa"/>
            <w:vAlign w:val="bottom"/>
            <w:shd w:val="clear" w:color="auto" w:fill="E0EBED"/>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shd w:val="clear" w:color="auto" w:fill="E0EBED"/>
          </w:tcPr>
          <w:p>
            <w:pPr>
              <w:spacing w:after="0"/>
              <w:rPr>
                <w:sz w:val="24"/>
                <w:szCs w:val="24"/>
                <w:color w:val="auto"/>
              </w:rPr>
            </w:pPr>
          </w:p>
        </w:tc>
        <w:tc>
          <w:tcPr>
            <w:tcW w:w="840" w:type="dxa"/>
            <w:vAlign w:val="bottom"/>
            <w:shd w:val="clear" w:color="auto" w:fill="E0EBED"/>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shd w:val="clear" w:color="auto" w:fill="E0EBED"/>
          </w:tcPr>
          <w:p>
            <w:pPr>
              <w:spacing w:after="0"/>
              <w:rPr>
                <w:sz w:val="24"/>
                <w:szCs w:val="24"/>
                <w:color w:val="auto"/>
              </w:rPr>
            </w:pPr>
          </w:p>
        </w:tc>
        <w:tc>
          <w:tcPr>
            <w:tcW w:w="900" w:type="dxa"/>
            <w:vAlign w:val="bottom"/>
            <w:shd w:val="clear" w:color="auto" w:fill="E0EBED"/>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shd w:val="clear" w:color="auto" w:fill="E0EBED"/>
          </w:tcPr>
          <w:p>
            <w:pPr>
              <w:spacing w:after="0"/>
              <w:rPr>
                <w:sz w:val="24"/>
                <w:szCs w:val="24"/>
                <w:color w:val="auto"/>
              </w:rPr>
            </w:pPr>
          </w:p>
        </w:tc>
        <w:tc>
          <w:tcPr>
            <w:tcW w:w="900" w:type="dxa"/>
            <w:vAlign w:val="bottom"/>
            <w:shd w:val="clear" w:color="auto" w:fill="E0EBED"/>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720" w:type="dxa"/>
            <w:vAlign w:val="bottom"/>
          </w:tcPr>
          <w:p>
            <w:pPr>
              <w:ind w:left="60"/>
              <w:spacing w:after="0"/>
              <w:rPr>
                <w:sz w:val="20"/>
                <w:szCs w:val="20"/>
                <w:color w:val="auto"/>
              </w:rPr>
            </w:pPr>
            <w:r>
              <w:rPr>
                <w:rFonts w:ascii="Arial" w:cs="Arial" w:eastAsia="Arial" w:hAnsi="Arial"/>
                <w:sz w:val="16"/>
                <w:szCs w:val="16"/>
                <w:b w:val="1"/>
                <w:bCs w:val="1"/>
                <w:color w:val="auto"/>
              </w:rPr>
              <w:t>A):</w:t>
            </w:r>
          </w:p>
        </w:tc>
        <w:tc>
          <w:tcPr>
            <w:tcW w:w="80" w:type="dxa"/>
            <w:vAlign w:val="bottom"/>
            <w:shd w:val="clear" w:color="auto" w:fill="CDDEE7"/>
          </w:tcPr>
          <w:p>
            <w:pPr>
              <w:spacing w:after="0"/>
              <w:rPr>
                <w:sz w:val="16"/>
                <w:szCs w:val="16"/>
                <w:color w:val="auto"/>
              </w:rPr>
            </w:pPr>
          </w:p>
        </w:tc>
        <w:tc>
          <w:tcPr>
            <w:tcW w:w="80" w:type="dxa"/>
            <w:vAlign w:val="bottom"/>
            <w:vMerge w:val="restart"/>
            <w:shd w:val="clear" w:color="auto" w:fill="CDDEE7"/>
          </w:tcPr>
          <w:p>
            <w:pPr>
              <w:jc w:val="right"/>
              <w:spacing w:after="0"/>
              <w:rPr>
                <w:sz w:val="20"/>
                <w:szCs w:val="20"/>
                <w:color w:val="auto"/>
              </w:rPr>
            </w:pPr>
            <w:r>
              <w:rPr>
                <w:rFonts w:ascii="Arial" w:cs="Arial" w:eastAsia="Arial" w:hAnsi="Arial"/>
                <w:sz w:val="14"/>
                <w:szCs w:val="14"/>
                <w:b w:val="1"/>
                <w:bCs w:val="1"/>
                <w:color w:val="auto"/>
                <w:w w:val="76"/>
              </w:rPr>
              <w:t>$</w:t>
            </w:r>
          </w:p>
        </w:tc>
        <w:tc>
          <w:tcPr>
            <w:tcW w:w="900" w:type="dxa"/>
            <w:vAlign w:val="bottom"/>
            <w:vMerge w:val="restart"/>
            <w:shd w:val="clear" w:color="auto" w:fill="CDDEE7"/>
          </w:tcPr>
          <w:p>
            <w:pPr>
              <w:jc w:val="right"/>
              <w:ind w:right="22"/>
              <w:spacing w:after="0"/>
              <w:rPr>
                <w:sz w:val="20"/>
                <w:szCs w:val="20"/>
                <w:color w:val="auto"/>
              </w:rPr>
            </w:pPr>
            <w:r>
              <w:rPr>
                <w:rFonts w:ascii="Arial" w:cs="Arial" w:eastAsia="Arial" w:hAnsi="Arial"/>
                <w:sz w:val="16"/>
                <w:szCs w:val="16"/>
                <w:b w:val="1"/>
                <w:bCs w:val="1"/>
                <w:color w:val="auto"/>
              </w:rPr>
              <w:t>11.30</w:t>
            </w:r>
          </w:p>
        </w:tc>
        <w:tc>
          <w:tcPr>
            <w:tcW w:w="100" w:type="dxa"/>
            <w:vAlign w:val="bottom"/>
          </w:tcPr>
          <w:p>
            <w:pPr>
              <w:spacing w:after="0"/>
              <w:rPr>
                <w:sz w:val="16"/>
                <w:szCs w:val="16"/>
                <w:color w:val="auto"/>
              </w:rPr>
            </w:pPr>
          </w:p>
        </w:tc>
        <w:tc>
          <w:tcPr>
            <w:tcW w:w="180" w:type="dxa"/>
            <w:vAlign w:val="bottom"/>
            <w:shd w:val="clear" w:color="auto" w:fill="E0EBED"/>
          </w:tcPr>
          <w:p>
            <w:pPr>
              <w:spacing w:after="0"/>
              <w:rPr>
                <w:sz w:val="16"/>
                <w:szCs w:val="16"/>
                <w:color w:val="auto"/>
              </w:rPr>
            </w:pPr>
          </w:p>
        </w:tc>
        <w:tc>
          <w:tcPr>
            <w:tcW w:w="900" w:type="dxa"/>
            <w:vAlign w:val="bottom"/>
            <w:shd w:val="clear" w:color="auto" w:fill="E0EBED"/>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shd w:val="clear" w:color="auto" w:fill="E0EBED"/>
          </w:tcPr>
          <w:p>
            <w:pPr>
              <w:spacing w:after="0"/>
              <w:rPr>
                <w:sz w:val="16"/>
                <w:szCs w:val="16"/>
                <w:color w:val="auto"/>
              </w:rPr>
            </w:pPr>
          </w:p>
        </w:tc>
        <w:tc>
          <w:tcPr>
            <w:tcW w:w="840" w:type="dxa"/>
            <w:vAlign w:val="bottom"/>
            <w:shd w:val="clear" w:color="auto" w:fill="E0EBED"/>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shd w:val="clear" w:color="auto" w:fill="E0EBED"/>
          </w:tcPr>
          <w:p>
            <w:pPr>
              <w:spacing w:after="0"/>
              <w:rPr>
                <w:sz w:val="16"/>
                <w:szCs w:val="16"/>
                <w:color w:val="auto"/>
              </w:rPr>
            </w:pPr>
          </w:p>
        </w:tc>
        <w:tc>
          <w:tcPr>
            <w:tcW w:w="900" w:type="dxa"/>
            <w:vAlign w:val="bottom"/>
            <w:shd w:val="clear" w:color="auto" w:fill="E0EBED"/>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shd w:val="clear" w:color="auto" w:fill="E0EBED"/>
          </w:tcPr>
          <w:p>
            <w:pPr>
              <w:spacing w:after="0"/>
              <w:rPr>
                <w:sz w:val="16"/>
                <w:szCs w:val="16"/>
                <w:color w:val="auto"/>
              </w:rPr>
            </w:pPr>
          </w:p>
        </w:tc>
        <w:tc>
          <w:tcPr>
            <w:tcW w:w="900" w:type="dxa"/>
            <w:vAlign w:val="bottom"/>
            <w:shd w:val="clear" w:color="auto" w:fill="E0EBED"/>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740" w:type="dxa"/>
            <w:vAlign w:val="bottom"/>
            <w:gridSpan w:val="2"/>
          </w:tcPr>
          <w:p>
            <w:pPr>
              <w:spacing w:after="0" w:line="185" w:lineRule="exact"/>
              <w:rPr>
                <w:sz w:val="20"/>
                <w:szCs w:val="20"/>
                <w:color w:val="auto"/>
              </w:rPr>
            </w:pPr>
            <w:r>
              <w:rPr>
                <w:rFonts w:ascii="Arial" w:cs="Arial" w:eastAsia="Arial" w:hAnsi="Arial"/>
                <w:sz w:val="13"/>
                <w:szCs w:val="13"/>
                <w:color w:val="auto"/>
              </w:rPr>
              <w:t>Earnings from continuing operations attributable to common shareholders</w:t>
            </w:r>
            <w:r>
              <w:rPr>
                <w:rFonts w:ascii="Arial" w:cs="Arial" w:eastAsia="Arial" w:hAnsi="Arial"/>
                <w:sz w:val="21"/>
                <w:szCs w:val="21"/>
                <w:color w:val="auto"/>
                <w:vertAlign w:val="superscript"/>
              </w:rPr>
              <w:t>1</w:t>
            </w:r>
          </w:p>
        </w:tc>
        <w:tc>
          <w:tcPr>
            <w:tcW w:w="80" w:type="dxa"/>
            <w:vAlign w:val="bottom"/>
            <w:shd w:val="clear" w:color="auto" w:fill="CDDEE7"/>
          </w:tcPr>
          <w:p>
            <w:pPr>
              <w:spacing w:after="0"/>
              <w:rPr>
                <w:sz w:val="16"/>
                <w:szCs w:val="16"/>
                <w:color w:val="auto"/>
              </w:rPr>
            </w:pPr>
          </w:p>
        </w:tc>
        <w:tc>
          <w:tcPr>
            <w:tcW w:w="80" w:type="dxa"/>
            <w:vAlign w:val="bottom"/>
            <w:vMerge w:val="continue"/>
            <w:shd w:val="clear" w:color="auto" w:fill="CDDEE7"/>
          </w:tcPr>
          <w:p>
            <w:pPr>
              <w:spacing w:after="0"/>
              <w:rPr>
                <w:sz w:val="16"/>
                <w:szCs w:val="16"/>
                <w:color w:val="auto"/>
              </w:rPr>
            </w:pPr>
          </w:p>
        </w:tc>
        <w:tc>
          <w:tcPr>
            <w:tcW w:w="900" w:type="dxa"/>
            <w:vAlign w:val="bottom"/>
            <w:vMerge w:val="continue"/>
            <w:shd w:val="clear" w:color="auto" w:fill="CDDEE7"/>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shd w:val="clear" w:color="auto" w:fill="E0EBED"/>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E0EBED"/>
          </w:tcPr>
          <w:p>
            <w:pPr>
              <w:jc w:val="right"/>
              <w:ind w:right="42"/>
              <w:spacing w:after="0"/>
              <w:rPr>
                <w:sz w:val="20"/>
                <w:szCs w:val="20"/>
                <w:color w:val="auto"/>
              </w:rPr>
            </w:pPr>
            <w:r>
              <w:rPr>
                <w:rFonts w:ascii="Arial" w:cs="Arial" w:eastAsia="Arial" w:hAnsi="Arial"/>
                <w:sz w:val="16"/>
                <w:szCs w:val="16"/>
                <w:color w:val="auto"/>
              </w:rPr>
              <w:t>6.66</w:t>
            </w:r>
          </w:p>
        </w:tc>
        <w:tc>
          <w:tcPr>
            <w:tcW w:w="100" w:type="dxa"/>
            <w:vAlign w:val="bottom"/>
          </w:tcPr>
          <w:p>
            <w:pPr>
              <w:spacing w:after="0"/>
              <w:rPr>
                <w:sz w:val="16"/>
                <w:szCs w:val="16"/>
                <w:color w:val="auto"/>
              </w:rPr>
            </w:pPr>
          </w:p>
        </w:tc>
        <w:tc>
          <w:tcPr>
            <w:tcW w:w="160" w:type="dxa"/>
            <w:vAlign w:val="bottom"/>
            <w:shd w:val="clear" w:color="auto" w:fill="E0EBED"/>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E0EBED"/>
          </w:tcPr>
          <w:p>
            <w:pPr>
              <w:jc w:val="right"/>
              <w:spacing w:after="0"/>
              <w:rPr>
                <w:sz w:val="20"/>
                <w:szCs w:val="20"/>
                <w:color w:val="auto"/>
              </w:rPr>
            </w:pPr>
            <w:r>
              <w:rPr>
                <w:rFonts w:ascii="Arial" w:cs="Arial" w:eastAsia="Arial" w:hAnsi="Arial"/>
                <w:sz w:val="16"/>
                <w:szCs w:val="16"/>
                <w:color w:val="auto"/>
              </w:rPr>
              <w:t>4.31</w:t>
            </w:r>
          </w:p>
        </w:tc>
        <w:tc>
          <w:tcPr>
            <w:tcW w:w="120" w:type="dxa"/>
            <w:vAlign w:val="bottom"/>
          </w:tcPr>
          <w:p>
            <w:pPr>
              <w:spacing w:after="0"/>
              <w:rPr>
                <w:sz w:val="16"/>
                <w:szCs w:val="16"/>
                <w:color w:val="auto"/>
              </w:rPr>
            </w:pPr>
          </w:p>
        </w:tc>
        <w:tc>
          <w:tcPr>
            <w:tcW w:w="160" w:type="dxa"/>
            <w:vAlign w:val="bottom"/>
            <w:shd w:val="clear" w:color="auto" w:fill="E0EBED"/>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E0EBED"/>
          </w:tcPr>
          <w:p>
            <w:pPr>
              <w:jc w:val="right"/>
              <w:ind w:right="22"/>
              <w:spacing w:after="0"/>
              <w:rPr>
                <w:sz w:val="20"/>
                <w:szCs w:val="20"/>
                <w:color w:val="auto"/>
              </w:rPr>
            </w:pPr>
            <w:r>
              <w:rPr>
                <w:rFonts w:ascii="Arial" w:cs="Arial" w:eastAsia="Arial" w:hAnsi="Arial"/>
                <w:sz w:val="16"/>
                <w:szCs w:val="16"/>
                <w:color w:val="auto"/>
              </w:rPr>
              <w:t>2.73</w:t>
            </w:r>
          </w:p>
        </w:tc>
        <w:tc>
          <w:tcPr>
            <w:tcW w:w="100" w:type="dxa"/>
            <w:vAlign w:val="bottom"/>
          </w:tcPr>
          <w:p>
            <w:pPr>
              <w:spacing w:after="0"/>
              <w:rPr>
                <w:sz w:val="16"/>
                <w:szCs w:val="16"/>
                <w:color w:val="auto"/>
              </w:rPr>
            </w:pPr>
          </w:p>
        </w:tc>
        <w:tc>
          <w:tcPr>
            <w:tcW w:w="160" w:type="dxa"/>
            <w:vAlign w:val="bottom"/>
            <w:shd w:val="clear" w:color="auto" w:fill="E0EBED"/>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E0EBED"/>
          </w:tcPr>
          <w:p>
            <w:pPr>
              <w:jc w:val="right"/>
              <w:ind w:right="22"/>
              <w:spacing w:after="0"/>
              <w:rPr>
                <w:sz w:val="20"/>
                <w:szCs w:val="20"/>
                <w:color w:val="auto"/>
              </w:rPr>
            </w:pPr>
            <w:r>
              <w:rPr>
                <w:rFonts w:ascii="Arial" w:cs="Arial" w:eastAsia="Arial" w:hAnsi="Arial"/>
                <w:sz w:val="16"/>
                <w:szCs w:val="16"/>
                <w:color w:val="auto"/>
              </w:rPr>
              <w:t>2.64</w:t>
            </w:r>
          </w:p>
        </w:tc>
        <w:tc>
          <w:tcPr>
            <w:tcW w:w="0" w:type="dxa"/>
            <w:vAlign w:val="bottom"/>
          </w:tcPr>
          <w:p>
            <w:pPr>
              <w:spacing w:after="0"/>
              <w:rPr>
                <w:sz w:val="1"/>
                <w:szCs w:val="1"/>
                <w:color w:val="auto"/>
              </w:rPr>
            </w:pPr>
          </w:p>
        </w:tc>
      </w:tr>
      <w:tr>
        <w:trPr>
          <w:trHeight w:val="182"/>
        </w:trPr>
        <w:tc>
          <w:tcPr>
            <w:tcW w:w="5740" w:type="dxa"/>
            <w:vAlign w:val="bottom"/>
            <w:gridSpan w:val="2"/>
          </w:tcPr>
          <w:p>
            <w:pPr>
              <w:spacing w:after="0" w:line="182" w:lineRule="exact"/>
              <w:rPr>
                <w:sz w:val="20"/>
                <w:szCs w:val="20"/>
                <w:color w:val="auto"/>
              </w:rPr>
            </w:pPr>
            <w:r>
              <w:rPr>
                <w:rFonts w:ascii="Arial" w:cs="Arial" w:eastAsia="Arial" w:hAnsi="Arial"/>
                <w:sz w:val="16"/>
                <w:szCs w:val="16"/>
                <w:color w:val="auto"/>
              </w:rPr>
              <w:t>Discontinued operations attributable to common shareholders</w:t>
            </w:r>
          </w:p>
        </w:tc>
        <w:tc>
          <w:tcPr>
            <w:tcW w:w="80" w:type="dxa"/>
            <w:vAlign w:val="bottom"/>
            <w:shd w:val="clear" w:color="auto" w:fill="CDDEE7"/>
          </w:tcPr>
          <w:p>
            <w:pPr>
              <w:spacing w:after="0"/>
              <w:rPr>
                <w:sz w:val="15"/>
                <w:szCs w:val="15"/>
                <w:color w:val="auto"/>
              </w:rPr>
            </w:pPr>
          </w:p>
        </w:tc>
        <w:tc>
          <w:tcPr>
            <w:tcW w:w="80" w:type="dxa"/>
            <w:vAlign w:val="bottom"/>
            <w:shd w:val="clear" w:color="auto" w:fill="CDDEE7"/>
          </w:tcPr>
          <w:p>
            <w:pPr>
              <w:spacing w:after="0"/>
              <w:rPr>
                <w:sz w:val="15"/>
                <w:szCs w:val="15"/>
                <w:color w:val="auto"/>
              </w:rPr>
            </w:pPr>
          </w:p>
        </w:tc>
        <w:tc>
          <w:tcPr>
            <w:tcW w:w="900" w:type="dxa"/>
            <w:vAlign w:val="bottom"/>
            <w:shd w:val="clear" w:color="auto" w:fill="CDDEE7"/>
          </w:tcPr>
          <w:p>
            <w:pPr>
              <w:jc w:val="right"/>
              <w:ind w:right="22"/>
              <w:spacing w:after="0" w:line="182" w:lineRule="exact"/>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5"/>
                <w:szCs w:val="15"/>
                <w:color w:val="auto"/>
              </w:rPr>
            </w:pPr>
          </w:p>
        </w:tc>
        <w:tc>
          <w:tcPr>
            <w:tcW w:w="180" w:type="dxa"/>
            <w:vAlign w:val="bottom"/>
            <w:shd w:val="clear" w:color="auto" w:fill="E0EBED"/>
          </w:tcPr>
          <w:p>
            <w:pPr>
              <w:spacing w:after="0"/>
              <w:rPr>
                <w:sz w:val="15"/>
                <w:szCs w:val="15"/>
                <w:color w:val="auto"/>
              </w:rPr>
            </w:pPr>
          </w:p>
        </w:tc>
        <w:tc>
          <w:tcPr>
            <w:tcW w:w="900" w:type="dxa"/>
            <w:vAlign w:val="bottom"/>
            <w:shd w:val="clear" w:color="auto" w:fill="E0EBED"/>
          </w:tcPr>
          <w:p>
            <w:pPr>
              <w:jc w:val="right"/>
              <w:ind w:right="42"/>
              <w:spacing w:after="0" w:line="182"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60" w:type="dxa"/>
            <w:vAlign w:val="bottom"/>
            <w:shd w:val="clear" w:color="auto" w:fill="E0EBED"/>
          </w:tcPr>
          <w:p>
            <w:pPr>
              <w:spacing w:after="0"/>
              <w:rPr>
                <w:sz w:val="15"/>
                <w:szCs w:val="15"/>
                <w:color w:val="auto"/>
              </w:rPr>
            </w:pPr>
          </w:p>
        </w:tc>
        <w:tc>
          <w:tcPr>
            <w:tcW w:w="840" w:type="dxa"/>
            <w:vAlign w:val="bottom"/>
            <w:shd w:val="clear" w:color="auto" w:fill="E0EBED"/>
          </w:tcPr>
          <w:p>
            <w:pPr>
              <w:jc w:val="right"/>
              <w:spacing w:after="0" w:line="182"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60" w:type="dxa"/>
            <w:vAlign w:val="bottom"/>
            <w:shd w:val="clear" w:color="auto" w:fill="E0EBED"/>
          </w:tcPr>
          <w:p>
            <w:pPr>
              <w:spacing w:after="0"/>
              <w:rPr>
                <w:sz w:val="15"/>
                <w:szCs w:val="15"/>
                <w:color w:val="auto"/>
              </w:rPr>
            </w:pPr>
          </w:p>
        </w:tc>
        <w:tc>
          <w:tcPr>
            <w:tcW w:w="900" w:type="dxa"/>
            <w:vAlign w:val="bottom"/>
            <w:shd w:val="clear" w:color="auto" w:fill="E0EBED"/>
          </w:tcPr>
          <w:p>
            <w:pPr>
              <w:jc w:val="right"/>
              <w:ind w:right="22"/>
              <w:spacing w:after="0" w:line="182"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60" w:type="dxa"/>
            <w:vAlign w:val="bottom"/>
            <w:shd w:val="clear" w:color="auto" w:fill="E0EBED"/>
          </w:tcPr>
          <w:p>
            <w:pPr>
              <w:spacing w:after="0"/>
              <w:rPr>
                <w:sz w:val="15"/>
                <w:szCs w:val="15"/>
                <w:color w:val="auto"/>
              </w:rPr>
            </w:pPr>
          </w:p>
        </w:tc>
        <w:tc>
          <w:tcPr>
            <w:tcW w:w="900" w:type="dxa"/>
            <w:vAlign w:val="bottom"/>
            <w:shd w:val="clear" w:color="auto" w:fill="E0EBED"/>
          </w:tcPr>
          <w:p>
            <w:pPr>
              <w:jc w:val="right"/>
              <w:ind w:right="22"/>
              <w:spacing w:after="0" w:line="182" w:lineRule="exact"/>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720" w:type="dxa"/>
            <w:vAlign w:val="bottom"/>
            <w:tcBorders>
              <w:top w:val="single" w:sz="8" w:color="auto"/>
              <w:bottom w:val="single" w:sz="8" w:color="auto"/>
            </w:tcBorders>
          </w:tcPr>
          <w:p>
            <w:pPr>
              <w:spacing w:after="0" w:line="175" w:lineRule="exact"/>
              <w:rPr>
                <w:sz w:val="20"/>
                <w:szCs w:val="20"/>
                <w:color w:val="auto"/>
              </w:rPr>
            </w:pPr>
            <w:r>
              <w:rPr>
                <w:rFonts w:ascii="Arial" w:cs="Arial" w:eastAsia="Arial" w:hAnsi="Arial"/>
                <w:sz w:val="16"/>
                <w:szCs w:val="16"/>
                <w:b w:val="1"/>
                <w:bCs w:val="1"/>
                <w:color w:val="auto"/>
              </w:rPr>
              <w:t>Basic Earnings Per Common Share</w:t>
            </w:r>
          </w:p>
        </w:tc>
        <w:tc>
          <w:tcPr>
            <w:tcW w:w="80" w:type="dxa"/>
            <w:vAlign w:val="bottom"/>
            <w:tcBorders>
              <w:top w:val="single" w:sz="8" w:color="auto"/>
              <w:bottom w:val="single" w:sz="8" w:color="auto"/>
            </w:tcBorders>
            <w:shd w:val="clear" w:color="auto" w:fill="CDDEE7"/>
          </w:tcPr>
          <w:p>
            <w:pPr>
              <w:spacing w:after="0"/>
              <w:rPr>
                <w:sz w:val="15"/>
                <w:szCs w:val="15"/>
                <w:color w:val="auto"/>
              </w:rPr>
            </w:pPr>
          </w:p>
        </w:tc>
        <w:tc>
          <w:tcPr>
            <w:tcW w:w="80" w:type="dxa"/>
            <w:vAlign w:val="bottom"/>
            <w:tcBorders>
              <w:top w:val="single" w:sz="8" w:color="auto"/>
              <w:bottom w:val="single" w:sz="8" w:color="auto"/>
            </w:tcBorders>
            <w:shd w:val="clear" w:color="auto" w:fill="CDDEE7"/>
          </w:tcPr>
          <w:p>
            <w:pPr>
              <w:jc w:val="right"/>
              <w:spacing w:after="0"/>
              <w:rPr>
                <w:sz w:val="20"/>
                <w:szCs w:val="20"/>
                <w:color w:val="auto"/>
              </w:rPr>
            </w:pPr>
            <w:r>
              <w:rPr>
                <w:rFonts w:ascii="Arial" w:cs="Arial" w:eastAsia="Arial" w:hAnsi="Arial"/>
                <w:sz w:val="14"/>
                <w:szCs w:val="14"/>
                <w:b w:val="1"/>
                <w:bCs w:val="1"/>
                <w:color w:val="auto"/>
                <w:w w:val="76"/>
              </w:rPr>
              <w:t>$</w:t>
            </w:r>
          </w:p>
        </w:tc>
        <w:tc>
          <w:tcPr>
            <w:tcW w:w="900" w:type="dxa"/>
            <w:vAlign w:val="bottom"/>
            <w:tcBorders>
              <w:top w:val="single" w:sz="8" w:color="auto"/>
              <w:bottom w:val="single" w:sz="8" w:color="auto"/>
            </w:tcBorders>
            <w:shd w:val="clear" w:color="auto" w:fill="CDDEE7"/>
          </w:tcPr>
          <w:p>
            <w:pPr>
              <w:jc w:val="right"/>
              <w:ind w:right="22"/>
              <w:spacing w:after="0" w:line="175" w:lineRule="exact"/>
              <w:rPr>
                <w:sz w:val="20"/>
                <w:szCs w:val="20"/>
                <w:color w:val="auto"/>
              </w:rPr>
            </w:pPr>
            <w:r>
              <w:rPr>
                <w:rFonts w:ascii="Arial" w:cs="Arial" w:eastAsia="Arial" w:hAnsi="Arial"/>
                <w:sz w:val="16"/>
                <w:szCs w:val="16"/>
                <w:b w:val="1"/>
                <w:bCs w:val="1"/>
                <w:color w:val="auto"/>
              </w:rPr>
              <w:t>11.30</w:t>
            </w:r>
          </w:p>
        </w:tc>
        <w:tc>
          <w:tcPr>
            <w:tcW w:w="10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auto"/>
            </w:tcBorders>
            <w:shd w:val="clear" w:color="auto" w:fill="E0EBED"/>
          </w:tcPr>
          <w:p>
            <w:pPr>
              <w:jc w:val="right"/>
              <w:spacing w:after="0" w:line="175" w:lineRule="exact"/>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E0EBED"/>
          </w:tcPr>
          <w:p>
            <w:pPr>
              <w:jc w:val="right"/>
              <w:ind w:right="42"/>
              <w:spacing w:after="0" w:line="175" w:lineRule="exact"/>
              <w:rPr>
                <w:sz w:val="20"/>
                <w:szCs w:val="20"/>
                <w:color w:val="auto"/>
              </w:rPr>
            </w:pPr>
            <w:r>
              <w:rPr>
                <w:rFonts w:ascii="Arial" w:cs="Arial" w:eastAsia="Arial" w:hAnsi="Arial"/>
                <w:sz w:val="16"/>
                <w:szCs w:val="16"/>
                <w:color w:val="auto"/>
              </w:rPr>
              <w:t>6.66</w:t>
            </w:r>
          </w:p>
        </w:tc>
        <w:tc>
          <w:tcPr>
            <w:tcW w:w="10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bottom w:val="single" w:sz="8" w:color="auto"/>
            </w:tcBorders>
            <w:shd w:val="clear" w:color="auto" w:fill="E0EBED"/>
          </w:tcPr>
          <w:p>
            <w:pPr>
              <w:jc w:val="right"/>
              <w:spacing w:after="0" w:line="175" w:lineRule="exact"/>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shd w:val="clear" w:color="auto" w:fill="E0EBED"/>
          </w:tcPr>
          <w:p>
            <w:pPr>
              <w:jc w:val="right"/>
              <w:spacing w:after="0" w:line="175" w:lineRule="exact"/>
              <w:rPr>
                <w:sz w:val="20"/>
                <w:szCs w:val="20"/>
                <w:color w:val="auto"/>
              </w:rPr>
            </w:pPr>
            <w:r>
              <w:rPr>
                <w:rFonts w:ascii="Arial" w:cs="Arial" w:eastAsia="Arial" w:hAnsi="Arial"/>
                <w:sz w:val="16"/>
                <w:szCs w:val="16"/>
                <w:color w:val="auto"/>
              </w:rPr>
              <w:t>4.31</w:t>
            </w:r>
          </w:p>
        </w:tc>
        <w:tc>
          <w:tcPr>
            <w:tcW w:w="12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bottom w:val="single" w:sz="8" w:color="auto"/>
            </w:tcBorders>
            <w:shd w:val="clear" w:color="auto" w:fill="E0EBED"/>
          </w:tcPr>
          <w:p>
            <w:pPr>
              <w:jc w:val="right"/>
              <w:spacing w:after="0" w:line="175" w:lineRule="exact"/>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E0EBED"/>
          </w:tcPr>
          <w:p>
            <w:pPr>
              <w:jc w:val="right"/>
              <w:ind w:right="22"/>
              <w:spacing w:after="0" w:line="175" w:lineRule="exact"/>
              <w:rPr>
                <w:sz w:val="20"/>
                <w:szCs w:val="20"/>
                <w:color w:val="auto"/>
              </w:rPr>
            </w:pPr>
            <w:r>
              <w:rPr>
                <w:rFonts w:ascii="Arial" w:cs="Arial" w:eastAsia="Arial" w:hAnsi="Arial"/>
                <w:sz w:val="16"/>
                <w:szCs w:val="16"/>
                <w:color w:val="auto"/>
              </w:rPr>
              <w:t>2.73</w:t>
            </w:r>
          </w:p>
        </w:tc>
        <w:tc>
          <w:tcPr>
            <w:tcW w:w="10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bottom w:val="single" w:sz="8" w:color="auto"/>
            </w:tcBorders>
            <w:shd w:val="clear" w:color="auto" w:fill="E0EBED"/>
          </w:tcPr>
          <w:p>
            <w:pPr>
              <w:jc w:val="right"/>
              <w:spacing w:after="0" w:line="175" w:lineRule="exact"/>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E0EBED"/>
          </w:tcPr>
          <w:p>
            <w:pPr>
              <w:jc w:val="right"/>
              <w:ind w:right="22"/>
              <w:spacing w:after="0" w:line="175" w:lineRule="exact"/>
              <w:rPr>
                <w:sz w:val="20"/>
                <w:szCs w:val="20"/>
                <w:color w:val="auto"/>
              </w:rPr>
            </w:pPr>
            <w:r>
              <w:rPr>
                <w:rFonts w:ascii="Arial" w:cs="Arial" w:eastAsia="Arial" w:hAnsi="Arial"/>
                <w:sz w:val="16"/>
                <w:szCs w:val="16"/>
                <w:color w:val="auto"/>
              </w:rPr>
              <w:t>2.62</w:t>
            </w:r>
          </w:p>
        </w:tc>
        <w:tc>
          <w:tcPr>
            <w:tcW w:w="0" w:type="dxa"/>
            <w:vAlign w:val="bottom"/>
          </w:tcPr>
          <w:p>
            <w:pPr>
              <w:spacing w:after="0"/>
              <w:rPr>
                <w:sz w:val="1"/>
                <w:szCs w:val="1"/>
                <w:color w:val="auto"/>
              </w:rPr>
            </w:pPr>
          </w:p>
        </w:tc>
      </w:tr>
      <w:tr>
        <w:trPr>
          <w:trHeight w:val="425"/>
        </w:trPr>
        <w:tc>
          <w:tcPr>
            <w:tcW w:w="5740" w:type="dxa"/>
            <w:vAlign w:val="bottom"/>
            <w:gridSpan w:val="2"/>
          </w:tcPr>
          <w:p>
            <w:pPr>
              <w:spacing w:after="0"/>
              <w:rPr>
                <w:sz w:val="20"/>
                <w:szCs w:val="20"/>
                <w:color w:val="auto"/>
              </w:rPr>
            </w:pPr>
            <w:r>
              <w:rPr>
                <w:rFonts w:ascii="Arial" w:cs="Arial" w:eastAsia="Arial" w:hAnsi="Arial"/>
                <w:sz w:val="16"/>
                <w:szCs w:val="16"/>
                <w:b w:val="1"/>
                <w:bCs w:val="1"/>
                <w:color w:val="auto"/>
                <w:w w:val="97"/>
              </w:rPr>
              <w:t>Diluted Earnings Attributable to Martin Marietta Per Common Share (see Note</w:t>
            </w:r>
          </w:p>
        </w:tc>
        <w:tc>
          <w:tcPr>
            <w:tcW w:w="80" w:type="dxa"/>
            <w:vAlign w:val="bottom"/>
            <w:shd w:val="clear" w:color="auto" w:fill="CDDEE7"/>
          </w:tcPr>
          <w:p>
            <w:pPr>
              <w:spacing w:after="0"/>
              <w:rPr>
                <w:sz w:val="24"/>
                <w:szCs w:val="24"/>
                <w:color w:val="auto"/>
              </w:rPr>
            </w:pPr>
          </w:p>
        </w:tc>
        <w:tc>
          <w:tcPr>
            <w:tcW w:w="80" w:type="dxa"/>
            <w:vAlign w:val="bottom"/>
            <w:shd w:val="clear" w:color="auto" w:fill="CDDEE7"/>
          </w:tcPr>
          <w:p>
            <w:pPr>
              <w:spacing w:after="0"/>
              <w:rPr>
                <w:sz w:val="24"/>
                <w:szCs w:val="24"/>
                <w:color w:val="auto"/>
              </w:rPr>
            </w:pPr>
          </w:p>
        </w:tc>
        <w:tc>
          <w:tcPr>
            <w:tcW w:w="900" w:type="dxa"/>
            <w:vAlign w:val="bottom"/>
            <w:shd w:val="clear" w:color="auto" w:fill="CDDEE7"/>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shd w:val="clear" w:color="auto" w:fill="E0EBED"/>
          </w:tcPr>
          <w:p>
            <w:pPr>
              <w:spacing w:after="0"/>
              <w:rPr>
                <w:sz w:val="24"/>
                <w:szCs w:val="24"/>
                <w:color w:val="auto"/>
              </w:rPr>
            </w:pPr>
          </w:p>
        </w:tc>
        <w:tc>
          <w:tcPr>
            <w:tcW w:w="900" w:type="dxa"/>
            <w:vAlign w:val="bottom"/>
            <w:shd w:val="clear" w:color="auto" w:fill="E0EBED"/>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shd w:val="clear" w:color="auto" w:fill="E0EBED"/>
          </w:tcPr>
          <w:p>
            <w:pPr>
              <w:spacing w:after="0"/>
              <w:rPr>
                <w:sz w:val="24"/>
                <w:szCs w:val="24"/>
                <w:color w:val="auto"/>
              </w:rPr>
            </w:pPr>
          </w:p>
        </w:tc>
        <w:tc>
          <w:tcPr>
            <w:tcW w:w="840" w:type="dxa"/>
            <w:vAlign w:val="bottom"/>
            <w:shd w:val="clear" w:color="auto" w:fill="E0EBED"/>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shd w:val="clear" w:color="auto" w:fill="E0EBED"/>
          </w:tcPr>
          <w:p>
            <w:pPr>
              <w:spacing w:after="0"/>
              <w:rPr>
                <w:sz w:val="24"/>
                <w:szCs w:val="24"/>
                <w:color w:val="auto"/>
              </w:rPr>
            </w:pPr>
          </w:p>
        </w:tc>
        <w:tc>
          <w:tcPr>
            <w:tcW w:w="900" w:type="dxa"/>
            <w:vAlign w:val="bottom"/>
            <w:shd w:val="clear" w:color="auto" w:fill="E0EBED"/>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shd w:val="clear" w:color="auto" w:fill="E0EBED"/>
          </w:tcPr>
          <w:p>
            <w:pPr>
              <w:spacing w:after="0"/>
              <w:rPr>
                <w:sz w:val="24"/>
                <w:szCs w:val="24"/>
                <w:color w:val="auto"/>
              </w:rPr>
            </w:pPr>
          </w:p>
        </w:tc>
        <w:tc>
          <w:tcPr>
            <w:tcW w:w="900" w:type="dxa"/>
            <w:vAlign w:val="bottom"/>
            <w:shd w:val="clear" w:color="auto" w:fill="E0EBED"/>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20" w:type="dxa"/>
            <w:vAlign w:val="bottom"/>
          </w:tcPr>
          <w:p>
            <w:pPr>
              <w:ind w:left="60"/>
              <w:spacing w:after="0"/>
              <w:rPr>
                <w:sz w:val="20"/>
                <w:szCs w:val="20"/>
                <w:color w:val="auto"/>
              </w:rPr>
            </w:pPr>
            <w:r>
              <w:rPr>
                <w:rFonts w:ascii="Arial" w:cs="Arial" w:eastAsia="Arial" w:hAnsi="Arial"/>
                <w:sz w:val="16"/>
                <w:szCs w:val="16"/>
                <w:b w:val="1"/>
                <w:bCs w:val="1"/>
                <w:color w:val="auto"/>
              </w:rPr>
              <w:t>A):</w:t>
            </w:r>
          </w:p>
        </w:tc>
        <w:tc>
          <w:tcPr>
            <w:tcW w:w="80" w:type="dxa"/>
            <w:vAlign w:val="bottom"/>
            <w:shd w:val="clear" w:color="auto" w:fill="CDDEE7"/>
          </w:tcPr>
          <w:p>
            <w:pPr>
              <w:spacing w:after="0"/>
              <w:rPr>
                <w:sz w:val="17"/>
                <w:szCs w:val="17"/>
                <w:color w:val="auto"/>
              </w:rPr>
            </w:pPr>
          </w:p>
        </w:tc>
        <w:tc>
          <w:tcPr>
            <w:tcW w:w="80" w:type="dxa"/>
            <w:vAlign w:val="bottom"/>
            <w:vMerge w:val="restart"/>
            <w:shd w:val="clear" w:color="auto" w:fill="CDDEE7"/>
          </w:tcPr>
          <w:p>
            <w:pPr>
              <w:jc w:val="right"/>
              <w:spacing w:after="0"/>
              <w:rPr>
                <w:sz w:val="20"/>
                <w:szCs w:val="20"/>
                <w:color w:val="auto"/>
              </w:rPr>
            </w:pPr>
            <w:r>
              <w:rPr>
                <w:rFonts w:ascii="Arial" w:cs="Arial" w:eastAsia="Arial" w:hAnsi="Arial"/>
                <w:sz w:val="14"/>
                <w:szCs w:val="14"/>
                <w:b w:val="1"/>
                <w:bCs w:val="1"/>
                <w:color w:val="auto"/>
                <w:w w:val="76"/>
              </w:rPr>
              <w:t>$</w:t>
            </w:r>
          </w:p>
        </w:tc>
        <w:tc>
          <w:tcPr>
            <w:tcW w:w="900" w:type="dxa"/>
            <w:vAlign w:val="bottom"/>
            <w:vMerge w:val="restart"/>
            <w:shd w:val="clear" w:color="auto" w:fill="CDDEE7"/>
          </w:tcPr>
          <w:p>
            <w:pPr>
              <w:jc w:val="right"/>
              <w:ind w:right="22"/>
              <w:spacing w:after="0"/>
              <w:rPr>
                <w:sz w:val="20"/>
                <w:szCs w:val="20"/>
                <w:color w:val="auto"/>
              </w:rPr>
            </w:pPr>
            <w:r>
              <w:rPr>
                <w:rFonts w:ascii="Arial" w:cs="Arial" w:eastAsia="Arial" w:hAnsi="Arial"/>
                <w:sz w:val="16"/>
                <w:szCs w:val="16"/>
                <w:b w:val="1"/>
                <w:bCs w:val="1"/>
                <w:color w:val="auto"/>
              </w:rPr>
              <w:t>11.25</w:t>
            </w:r>
          </w:p>
        </w:tc>
        <w:tc>
          <w:tcPr>
            <w:tcW w:w="100" w:type="dxa"/>
            <w:vAlign w:val="bottom"/>
          </w:tcPr>
          <w:p>
            <w:pPr>
              <w:spacing w:after="0"/>
              <w:rPr>
                <w:sz w:val="17"/>
                <w:szCs w:val="17"/>
                <w:color w:val="auto"/>
              </w:rPr>
            </w:pPr>
          </w:p>
        </w:tc>
        <w:tc>
          <w:tcPr>
            <w:tcW w:w="180" w:type="dxa"/>
            <w:vAlign w:val="bottom"/>
            <w:shd w:val="clear" w:color="auto" w:fill="E0EBED"/>
          </w:tcPr>
          <w:p>
            <w:pPr>
              <w:spacing w:after="0"/>
              <w:rPr>
                <w:sz w:val="17"/>
                <w:szCs w:val="17"/>
                <w:color w:val="auto"/>
              </w:rPr>
            </w:pPr>
          </w:p>
        </w:tc>
        <w:tc>
          <w:tcPr>
            <w:tcW w:w="900" w:type="dxa"/>
            <w:vAlign w:val="bottom"/>
            <w:shd w:val="clear" w:color="auto" w:fill="E0EBED"/>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shd w:val="clear" w:color="auto" w:fill="E0EBED"/>
          </w:tcPr>
          <w:p>
            <w:pPr>
              <w:spacing w:after="0"/>
              <w:rPr>
                <w:sz w:val="17"/>
                <w:szCs w:val="17"/>
                <w:color w:val="auto"/>
              </w:rPr>
            </w:pPr>
          </w:p>
        </w:tc>
        <w:tc>
          <w:tcPr>
            <w:tcW w:w="840" w:type="dxa"/>
            <w:vAlign w:val="bottom"/>
            <w:shd w:val="clear" w:color="auto" w:fill="E0EBED"/>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shd w:val="clear" w:color="auto" w:fill="E0EBED"/>
          </w:tcPr>
          <w:p>
            <w:pPr>
              <w:spacing w:after="0"/>
              <w:rPr>
                <w:sz w:val="17"/>
                <w:szCs w:val="17"/>
                <w:color w:val="auto"/>
              </w:rPr>
            </w:pPr>
          </w:p>
        </w:tc>
        <w:tc>
          <w:tcPr>
            <w:tcW w:w="900" w:type="dxa"/>
            <w:vAlign w:val="bottom"/>
            <w:shd w:val="clear" w:color="auto" w:fill="E0EBED"/>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shd w:val="clear" w:color="auto" w:fill="E0EBED"/>
          </w:tcPr>
          <w:p>
            <w:pPr>
              <w:spacing w:after="0"/>
              <w:rPr>
                <w:sz w:val="17"/>
                <w:szCs w:val="17"/>
                <w:color w:val="auto"/>
              </w:rPr>
            </w:pPr>
          </w:p>
        </w:tc>
        <w:tc>
          <w:tcPr>
            <w:tcW w:w="900" w:type="dxa"/>
            <w:vAlign w:val="bottom"/>
            <w:shd w:val="clear" w:color="auto" w:fill="E0EBED"/>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5740" w:type="dxa"/>
            <w:vAlign w:val="bottom"/>
            <w:gridSpan w:val="2"/>
          </w:tcPr>
          <w:p>
            <w:pPr>
              <w:spacing w:after="0" w:line="179" w:lineRule="exact"/>
              <w:rPr>
                <w:sz w:val="20"/>
                <w:szCs w:val="20"/>
                <w:color w:val="auto"/>
              </w:rPr>
            </w:pPr>
            <w:r>
              <w:rPr>
                <w:rFonts w:ascii="Arial" w:cs="Arial" w:eastAsia="Arial" w:hAnsi="Arial"/>
                <w:sz w:val="16"/>
                <w:szCs w:val="16"/>
                <w:color w:val="auto"/>
              </w:rPr>
              <w:t>Earnings from continuing operations attributable to common shareholders</w:t>
            </w:r>
          </w:p>
        </w:tc>
        <w:tc>
          <w:tcPr>
            <w:tcW w:w="80" w:type="dxa"/>
            <w:vAlign w:val="bottom"/>
            <w:shd w:val="clear" w:color="auto" w:fill="CDDEE7"/>
          </w:tcPr>
          <w:p>
            <w:pPr>
              <w:spacing w:after="0"/>
              <w:rPr>
                <w:sz w:val="15"/>
                <w:szCs w:val="15"/>
                <w:color w:val="auto"/>
              </w:rPr>
            </w:pPr>
          </w:p>
        </w:tc>
        <w:tc>
          <w:tcPr>
            <w:tcW w:w="80" w:type="dxa"/>
            <w:vAlign w:val="bottom"/>
            <w:vMerge w:val="continue"/>
            <w:shd w:val="clear" w:color="auto" w:fill="CDDEE7"/>
          </w:tcPr>
          <w:p>
            <w:pPr>
              <w:spacing w:after="0"/>
              <w:rPr>
                <w:sz w:val="15"/>
                <w:szCs w:val="15"/>
                <w:color w:val="auto"/>
              </w:rPr>
            </w:pPr>
          </w:p>
        </w:tc>
        <w:tc>
          <w:tcPr>
            <w:tcW w:w="900" w:type="dxa"/>
            <w:vAlign w:val="bottom"/>
            <w:vMerge w:val="continue"/>
            <w:shd w:val="clear" w:color="auto" w:fill="CDDEE7"/>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shd w:val="clear" w:color="auto" w:fill="E0EBED"/>
          </w:tcPr>
          <w:p>
            <w:pPr>
              <w:jc w:val="right"/>
              <w:spacing w:after="0" w:line="179" w:lineRule="exact"/>
              <w:rPr>
                <w:sz w:val="20"/>
                <w:szCs w:val="20"/>
                <w:color w:val="auto"/>
              </w:rPr>
            </w:pPr>
            <w:r>
              <w:rPr>
                <w:rFonts w:ascii="Arial" w:cs="Arial" w:eastAsia="Arial" w:hAnsi="Arial"/>
                <w:sz w:val="16"/>
                <w:szCs w:val="16"/>
                <w:color w:val="auto"/>
              </w:rPr>
              <w:t>$</w:t>
            </w:r>
          </w:p>
        </w:tc>
        <w:tc>
          <w:tcPr>
            <w:tcW w:w="900" w:type="dxa"/>
            <w:vAlign w:val="bottom"/>
            <w:shd w:val="clear" w:color="auto" w:fill="E0EBED"/>
          </w:tcPr>
          <w:p>
            <w:pPr>
              <w:jc w:val="right"/>
              <w:ind w:right="42"/>
              <w:spacing w:after="0" w:line="179" w:lineRule="exact"/>
              <w:rPr>
                <w:sz w:val="20"/>
                <w:szCs w:val="20"/>
                <w:color w:val="auto"/>
              </w:rPr>
            </w:pPr>
            <w:r>
              <w:rPr>
                <w:rFonts w:ascii="Arial" w:cs="Arial" w:eastAsia="Arial" w:hAnsi="Arial"/>
                <w:sz w:val="16"/>
                <w:szCs w:val="16"/>
                <w:color w:val="auto"/>
              </w:rPr>
              <w:t>6.63</w:t>
            </w:r>
          </w:p>
        </w:tc>
        <w:tc>
          <w:tcPr>
            <w:tcW w:w="100" w:type="dxa"/>
            <w:vAlign w:val="bottom"/>
          </w:tcPr>
          <w:p>
            <w:pPr>
              <w:spacing w:after="0"/>
              <w:rPr>
                <w:sz w:val="15"/>
                <w:szCs w:val="15"/>
                <w:color w:val="auto"/>
              </w:rPr>
            </w:pPr>
          </w:p>
        </w:tc>
        <w:tc>
          <w:tcPr>
            <w:tcW w:w="160" w:type="dxa"/>
            <w:vAlign w:val="bottom"/>
            <w:shd w:val="clear" w:color="auto" w:fill="E0EBED"/>
          </w:tcPr>
          <w:p>
            <w:pPr>
              <w:jc w:val="right"/>
              <w:spacing w:after="0" w:line="179" w:lineRule="exact"/>
              <w:rPr>
                <w:sz w:val="20"/>
                <w:szCs w:val="20"/>
                <w:color w:val="auto"/>
              </w:rPr>
            </w:pPr>
            <w:r>
              <w:rPr>
                <w:rFonts w:ascii="Arial" w:cs="Arial" w:eastAsia="Arial" w:hAnsi="Arial"/>
                <w:sz w:val="16"/>
                <w:szCs w:val="16"/>
                <w:color w:val="auto"/>
              </w:rPr>
              <w:t>$</w:t>
            </w:r>
          </w:p>
        </w:tc>
        <w:tc>
          <w:tcPr>
            <w:tcW w:w="840" w:type="dxa"/>
            <w:vAlign w:val="bottom"/>
            <w:shd w:val="clear" w:color="auto" w:fill="E0EBED"/>
          </w:tcPr>
          <w:p>
            <w:pPr>
              <w:jc w:val="right"/>
              <w:spacing w:after="0" w:line="179" w:lineRule="exact"/>
              <w:rPr>
                <w:sz w:val="20"/>
                <w:szCs w:val="20"/>
                <w:color w:val="auto"/>
              </w:rPr>
            </w:pPr>
            <w:r>
              <w:rPr>
                <w:rFonts w:ascii="Arial" w:cs="Arial" w:eastAsia="Arial" w:hAnsi="Arial"/>
                <w:sz w:val="16"/>
                <w:szCs w:val="16"/>
                <w:color w:val="auto"/>
              </w:rPr>
              <w:t>4.29</w:t>
            </w:r>
          </w:p>
        </w:tc>
        <w:tc>
          <w:tcPr>
            <w:tcW w:w="120" w:type="dxa"/>
            <w:vAlign w:val="bottom"/>
          </w:tcPr>
          <w:p>
            <w:pPr>
              <w:spacing w:after="0"/>
              <w:rPr>
                <w:sz w:val="15"/>
                <w:szCs w:val="15"/>
                <w:color w:val="auto"/>
              </w:rPr>
            </w:pPr>
          </w:p>
        </w:tc>
        <w:tc>
          <w:tcPr>
            <w:tcW w:w="160" w:type="dxa"/>
            <w:vAlign w:val="bottom"/>
            <w:shd w:val="clear" w:color="auto" w:fill="E0EBED"/>
          </w:tcPr>
          <w:p>
            <w:pPr>
              <w:jc w:val="right"/>
              <w:spacing w:after="0" w:line="179" w:lineRule="exact"/>
              <w:rPr>
                <w:sz w:val="20"/>
                <w:szCs w:val="20"/>
                <w:color w:val="auto"/>
              </w:rPr>
            </w:pPr>
            <w:r>
              <w:rPr>
                <w:rFonts w:ascii="Arial" w:cs="Arial" w:eastAsia="Arial" w:hAnsi="Arial"/>
                <w:sz w:val="16"/>
                <w:szCs w:val="16"/>
                <w:color w:val="auto"/>
              </w:rPr>
              <w:t>$</w:t>
            </w:r>
          </w:p>
        </w:tc>
        <w:tc>
          <w:tcPr>
            <w:tcW w:w="900" w:type="dxa"/>
            <w:vAlign w:val="bottom"/>
            <w:shd w:val="clear" w:color="auto" w:fill="E0EBED"/>
          </w:tcPr>
          <w:p>
            <w:pPr>
              <w:jc w:val="right"/>
              <w:ind w:right="22"/>
              <w:spacing w:after="0" w:line="179" w:lineRule="exact"/>
              <w:rPr>
                <w:sz w:val="20"/>
                <w:szCs w:val="20"/>
                <w:color w:val="auto"/>
              </w:rPr>
            </w:pPr>
            <w:r>
              <w:rPr>
                <w:rFonts w:ascii="Arial" w:cs="Arial" w:eastAsia="Arial" w:hAnsi="Arial"/>
                <w:sz w:val="16"/>
                <w:szCs w:val="16"/>
                <w:color w:val="auto"/>
              </w:rPr>
              <w:t>2.71</w:t>
            </w:r>
          </w:p>
        </w:tc>
        <w:tc>
          <w:tcPr>
            <w:tcW w:w="100" w:type="dxa"/>
            <w:vAlign w:val="bottom"/>
          </w:tcPr>
          <w:p>
            <w:pPr>
              <w:spacing w:after="0"/>
              <w:rPr>
                <w:sz w:val="15"/>
                <w:szCs w:val="15"/>
                <w:color w:val="auto"/>
              </w:rPr>
            </w:pPr>
          </w:p>
        </w:tc>
        <w:tc>
          <w:tcPr>
            <w:tcW w:w="160" w:type="dxa"/>
            <w:vAlign w:val="bottom"/>
            <w:shd w:val="clear" w:color="auto" w:fill="E0EBED"/>
          </w:tcPr>
          <w:p>
            <w:pPr>
              <w:jc w:val="right"/>
              <w:spacing w:after="0" w:line="179" w:lineRule="exact"/>
              <w:rPr>
                <w:sz w:val="20"/>
                <w:szCs w:val="20"/>
                <w:color w:val="auto"/>
              </w:rPr>
            </w:pPr>
            <w:r>
              <w:rPr>
                <w:rFonts w:ascii="Arial" w:cs="Arial" w:eastAsia="Arial" w:hAnsi="Arial"/>
                <w:sz w:val="16"/>
                <w:szCs w:val="16"/>
                <w:color w:val="auto"/>
              </w:rPr>
              <w:t>$</w:t>
            </w:r>
          </w:p>
        </w:tc>
        <w:tc>
          <w:tcPr>
            <w:tcW w:w="900" w:type="dxa"/>
            <w:vAlign w:val="bottom"/>
            <w:shd w:val="clear" w:color="auto" w:fill="E0EBED"/>
          </w:tcPr>
          <w:p>
            <w:pPr>
              <w:jc w:val="right"/>
              <w:ind w:right="22"/>
              <w:spacing w:after="0" w:line="179" w:lineRule="exact"/>
              <w:rPr>
                <w:sz w:val="20"/>
                <w:szCs w:val="20"/>
                <w:color w:val="auto"/>
              </w:rPr>
            </w:pPr>
            <w:r>
              <w:rPr>
                <w:rFonts w:ascii="Arial" w:cs="Arial" w:eastAsia="Arial" w:hAnsi="Arial"/>
                <w:sz w:val="16"/>
                <w:szCs w:val="16"/>
                <w:color w:val="auto"/>
              </w:rPr>
              <w:t>2.63</w:t>
            </w:r>
          </w:p>
        </w:tc>
        <w:tc>
          <w:tcPr>
            <w:tcW w:w="0" w:type="dxa"/>
            <w:vAlign w:val="bottom"/>
          </w:tcPr>
          <w:p>
            <w:pPr>
              <w:spacing w:after="0"/>
              <w:rPr>
                <w:sz w:val="1"/>
                <w:szCs w:val="1"/>
                <w:color w:val="auto"/>
              </w:rPr>
            </w:pPr>
          </w:p>
        </w:tc>
      </w:tr>
      <w:tr>
        <w:trPr>
          <w:trHeight w:val="185"/>
        </w:trPr>
        <w:tc>
          <w:tcPr>
            <w:tcW w:w="5740" w:type="dxa"/>
            <w:vAlign w:val="bottom"/>
            <w:gridSpan w:val="2"/>
          </w:tcPr>
          <w:p>
            <w:pPr>
              <w:spacing w:after="0" w:line="185" w:lineRule="exact"/>
              <w:rPr>
                <w:sz w:val="20"/>
                <w:szCs w:val="20"/>
                <w:color w:val="auto"/>
              </w:rPr>
            </w:pPr>
            <w:r>
              <w:rPr>
                <w:rFonts w:ascii="Arial" w:cs="Arial" w:eastAsia="Arial" w:hAnsi="Arial"/>
                <w:sz w:val="13"/>
                <w:szCs w:val="13"/>
                <w:color w:val="auto"/>
              </w:rPr>
              <w:t>Discontinued operations attributable to common shareholders</w:t>
            </w:r>
            <w:r>
              <w:rPr>
                <w:rFonts w:ascii="Arial" w:cs="Arial" w:eastAsia="Arial" w:hAnsi="Arial"/>
                <w:sz w:val="21"/>
                <w:szCs w:val="21"/>
                <w:color w:val="auto"/>
                <w:vertAlign w:val="superscript"/>
              </w:rPr>
              <w:t>1</w:t>
            </w:r>
          </w:p>
        </w:tc>
        <w:tc>
          <w:tcPr>
            <w:tcW w:w="80" w:type="dxa"/>
            <w:vAlign w:val="bottom"/>
            <w:shd w:val="clear" w:color="auto" w:fill="CDDEE7"/>
          </w:tcPr>
          <w:p>
            <w:pPr>
              <w:spacing w:after="0"/>
              <w:rPr>
                <w:sz w:val="16"/>
                <w:szCs w:val="16"/>
                <w:color w:val="auto"/>
              </w:rPr>
            </w:pPr>
          </w:p>
        </w:tc>
        <w:tc>
          <w:tcPr>
            <w:tcW w:w="80" w:type="dxa"/>
            <w:vAlign w:val="bottom"/>
            <w:shd w:val="clear" w:color="auto" w:fill="CDDEE7"/>
          </w:tcPr>
          <w:p>
            <w:pPr>
              <w:spacing w:after="0"/>
              <w:rPr>
                <w:sz w:val="16"/>
                <w:szCs w:val="16"/>
                <w:color w:val="auto"/>
              </w:rPr>
            </w:pPr>
          </w:p>
        </w:tc>
        <w:tc>
          <w:tcPr>
            <w:tcW w:w="900" w:type="dxa"/>
            <w:vAlign w:val="bottom"/>
            <w:shd w:val="clear" w:color="auto" w:fill="CDDEE7"/>
          </w:tcPr>
          <w:p>
            <w:pPr>
              <w:jc w:val="right"/>
              <w:ind w:right="22"/>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6"/>
                <w:szCs w:val="16"/>
                <w:color w:val="auto"/>
              </w:rPr>
            </w:pPr>
          </w:p>
        </w:tc>
        <w:tc>
          <w:tcPr>
            <w:tcW w:w="180" w:type="dxa"/>
            <w:vAlign w:val="bottom"/>
            <w:shd w:val="clear" w:color="auto" w:fill="E0EBED"/>
          </w:tcPr>
          <w:p>
            <w:pPr>
              <w:spacing w:after="0"/>
              <w:rPr>
                <w:sz w:val="16"/>
                <w:szCs w:val="16"/>
                <w:color w:val="auto"/>
              </w:rPr>
            </w:pPr>
          </w:p>
        </w:tc>
        <w:tc>
          <w:tcPr>
            <w:tcW w:w="900" w:type="dxa"/>
            <w:vAlign w:val="bottom"/>
            <w:shd w:val="clear" w:color="auto" w:fill="E0EBED"/>
          </w:tcPr>
          <w:p>
            <w:pPr>
              <w:jc w:val="right"/>
              <w:ind w:right="4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60" w:type="dxa"/>
            <w:vAlign w:val="bottom"/>
            <w:shd w:val="clear" w:color="auto" w:fill="E0EBED"/>
          </w:tcPr>
          <w:p>
            <w:pPr>
              <w:spacing w:after="0"/>
              <w:rPr>
                <w:sz w:val="16"/>
                <w:szCs w:val="16"/>
                <w:color w:val="auto"/>
              </w:rPr>
            </w:pPr>
          </w:p>
        </w:tc>
        <w:tc>
          <w:tcPr>
            <w:tcW w:w="840" w:type="dxa"/>
            <w:vAlign w:val="bottom"/>
            <w:shd w:val="clear" w:color="auto" w:fill="E0EBED"/>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60" w:type="dxa"/>
            <w:vAlign w:val="bottom"/>
            <w:shd w:val="clear" w:color="auto" w:fill="E0EBED"/>
          </w:tcPr>
          <w:p>
            <w:pPr>
              <w:spacing w:after="0"/>
              <w:rPr>
                <w:sz w:val="16"/>
                <w:szCs w:val="16"/>
                <w:color w:val="auto"/>
              </w:rPr>
            </w:pPr>
          </w:p>
        </w:tc>
        <w:tc>
          <w:tcPr>
            <w:tcW w:w="900" w:type="dxa"/>
            <w:vAlign w:val="bottom"/>
            <w:shd w:val="clear" w:color="auto" w:fill="E0EBED"/>
          </w:tcPr>
          <w:p>
            <w:pPr>
              <w:jc w:val="right"/>
              <w:ind w:right="2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60" w:type="dxa"/>
            <w:vAlign w:val="bottom"/>
            <w:shd w:val="clear" w:color="auto" w:fill="E0EBED"/>
          </w:tcPr>
          <w:p>
            <w:pPr>
              <w:spacing w:after="0"/>
              <w:rPr>
                <w:sz w:val="16"/>
                <w:szCs w:val="16"/>
                <w:color w:val="auto"/>
              </w:rPr>
            </w:pPr>
          </w:p>
        </w:tc>
        <w:tc>
          <w:tcPr>
            <w:tcW w:w="900" w:type="dxa"/>
            <w:vAlign w:val="bottom"/>
            <w:shd w:val="clear" w:color="auto" w:fill="E0EBED"/>
          </w:tcPr>
          <w:p>
            <w:pPr>
              <w:jc w:val="right"/>
              <w:ind w:right="22"/>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720" w:type="dxa"/>
            <w:vAlign w:val="bottom"/>
            <w:tcBorders>
              <w:top w:val="single" w:sz="8" w:color="auto"/>
              <w:bottom w:val="single" w:sz="8" w:color="auto"/>
            </w:tcBorders>
          </w:tcPr>
          <w:p>
            <w:pPr>
              <w:spacing w:after="0" w:line="175" w:lineRule="exact"/>
              <w:rPr>
                <w:sz w:val="20"/>
                <w:szCs w:val="20"/>
                <w:color w:val="auto"/>
              </w:rPr>
            </w:pPr>
            <w:r>
              <w:rPr>
                <w:rFonts w:ascii="Arial" w:cs="Arial" w:eastAsia="Arial" w:hAnsi="Arial"/>
                <w:sz w:val="16"/>
                <w:szCs w:val="16"/>
                <w:b w:val="1"/>
                <w:bCs w:val="1"/>
                <w:color w:val="auto"/>
              </w:rPr>
              <w:t>Diluted Earnings Per Common Share</w:t>
            </w:r>
          </w:p>
        </w:tc>
        <w:tc>
          <w:tcPr>
            <w:tcW w:w="80" w:type="dxa"/>
            <w:vAlign w:val="bottom"/>
            <w:tcBorders>
              <w:top w:val="single" w:sz="8" w:color="auto"/>
              <w:bottom w:val="single" w:sz="8" w:color="auto"/>
            </w:tcBorders>
            <w:shd w:val="clear" w:color="auto" w:fill="CDDEE7"/>
          </w:tcPr>
          <w:p>
            <w:pPr>
              <w:spacing w:after="0"/>
              <w:rPr>
                <w:sz w:val="15"/>
                <w:szCs w:val="15"/>
                <w:color w:val="auto"/>
              </w:rPr>
            </w:pPr>
          </w:p>
        </w:tc>
        <w:tc>
          <w:tcPr>
            <w:tcW w:w="80" w:type="dxa"/>
            <w:vAlign w:val="bottom"/>
            <w:tcBorders>
              <w:top w:val="single" w:sz="8" w:color="auto"/>
              <w:bottom w:val="single" w:sz="8" w:color="auto"/>
            </w:tcBorders>
            <w:shd w:val="clear" w:color="auto" w:fill="CDDEE7"/>
          </w:tcPr>
          <w:p>
            <w:pPr>
              <w:jc w:val="right"/>
              <w:spacing w:after="0"/>
              <w:rPr>
                <w:sz w:val="20"/>
                <w:szCs w:val="20"/>
                <w:color w:val="auto"/>
              </w:rPr>
            </w:pPr>
            <w:r>
              <w:rPr>
                <w:rFonts w:ascii="Arial" w:cs="Arial" w:eastAsia="Arial" w:hAnsi="Arial"/>
                <w:sz w:val="14"/>
                <w:szCs w:val="14"/>
                <w:b w:val="1"/>
                <w:bCs w:val="1"/>
                <w:color w:val="auto"/>
                <w:w w:val="76"/>
              </w:rPr>
              <w:t>$</w:t>
            </w:r>
          </w:p>
        </w:tc>
        <w:tc>
          <w:tcPr>
            <w:tcW w:w="900" w:type="dxa"/>
            <w:vAlign w:val="bottom"/>
            <w:tcBorders>
              <w:top w:val="single" w:sz="8" w:color="auto"/>
              <w:bottom w:val="single" w:sz="8" w:color="auto"/>
            </w:tcBorders>
            <w:shd w:val="clear" w:color="auto" w:fill="CDDEE7"/>
          </w:tcPr>
          <w:p>
            <w:pPr>
              <w:jc w:val="right"/>
              <w:ind w:right="22"/>
              <w:spacing w:after="0" w:line="175" w:lineRule="exact"/>
              <w:rPr>
                <w:sz w:val="20"/>
                <w:szCs w:val="20"/>
                <w:color w:val="auto"/>
              </w:rPr>
            </w:pPr>
            <w:r>
              <w:rPr>
                <w:rFonts w:ascii="Arial" w:cs="Arial" w:eastAsia="Arial" w:hAnsi="Arial"/>
                <w:sz w:val="16"/>
                <w:szCs w:val="16"/>
                <w:b w:val="1"/>
                <w:bCs w:val="1"/>
                <w:color w:val="auto"/>
              </w:rPr>
              <w:t>11.25</w:t>
            </w:r>
          </w:p>
        </w:tc>
        <w:tc>
          <w:tcPr>
            <w:tcW w:w="10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auto"/>
            </w:tcBorders>
            <w:shd w:val="clear" w:color="auto" w:fill="E0EBED"/>
          </w:tcPr>
          <w:p>
            <w:pPr>
              <w:jc w:val="right"/>
              <w:spacing w:after="0" w:line="175" w:lineRule="exact"/>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E0EBED"/>
          </w:tcPr>
          <w:p>
            <w:pPr>
              <w:jc w:val="right"/>
              <w:ind w:right="42"/>
              <w:spacing w:after="0" w:line="175" w:lineRule="exact"/>
              <w:rPr>
                <w:sz w:val="20"/>
                <w:szCs w:val="20"/>
                <w:color w:val="auto"/>
              </w:rPr>
            </w:pPr>
            <w:r>
              <w:rPr>
                <w:rFonts w:ascii="Arial" w:cs="Arial" w:eastAsia="Arial" w:hAnsi="Arial"/>
                <w:sz w:val="16"/>
                <w:szCs w:val="16"/>
                <w:color w:val="auto"/>
              </w:rPr>
              <w:t>6.63</w:t>
            </w:r>
          </w:p>
        </w:tc>
        <w:tc>
          <w:tcPr>
            <w:tcW w:w="10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bottom w:val="single" w:sz="8" w:color="auto"/>
            </w:tcBorders>
            <w:shd w:val="clear" w:color="auto" w:fill="E0EBED"/>
          </w:tcPr>
          <w:p>
            <w:pPr>
              <w:jc w:val="right"/>
              <w:spacing w:after="0" w:line="175" w:lineRule="exact"/>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shd w:val="clear" w:color="auto" w:fill="E0EBED"/>
          </w:tcPr>
          <w:p>
            <w:pPr>
              <w:jc w:val="right"/>
              <w:spacing w:after="0" w:line="175" w:lineRule="exact"/>
              <w:rPr>
                <w:sz w:val="20"/>
                <w:szCs w:val="20"/>
                <w:color w:val="auto"/>
              </w:rPr>
            </w:pPr>
            <w:r>
              <w:rPr>
                <w:rFonts w:ascii="Arial" w:cs="Arial" w:eastAsia="Arial" w:hAnsi="Arial"/>
                <w:sz w:val="16"/>
                <w:szCs w:val="16"/>
                <w:color w:val="auto"/>
              </w:rPr>
              <w:t>4.29</w:t>
            </w:r>
          </w:p>
        </w:tc>
        <w:tc>
          <w:tcPr>
            <w:tcW w:w="12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bottom w:val="single" w:sz="8" w:color="auto"/>
            </w:tcBorders>
            <w:shd w:val="clear" w:color="auto" w:fill="E0EBED"/>
          </w:tcPr>
          <w:p>
            <w:pPr>
              <w:jc w:val="right"/>
              <w:spacing w:after="0" w:line="175" w:lineRule="exact"/>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E0EBED"/>
          </w:tcPr>
          <w:p>
            <w:pPr>
              <w:jc w:val="right"/>
              <w:ind w:right="22"/>
              <w:spacing w:after="0" w:line="175" w:lineRule="exact"/>
              <w:rPr>
                <w:sz w:val="20"/>
                <w:szCs w:val="20"/>
                <w:color w:val="auto"/>
              </w:rPr>
            </w:pPr>
            <w:r>
              <w:rPr>
                <w:rFonts w:ascii="Arial" w:cs="Arial" w:eastAsia="Arial" w:hAnsi="Arial"/>
                <w:sz w:val="16"/>
                <w:szCs w:val="16"/>
                <w:color w:val="auto"/>
              </w:rPr>
              <w:t>2.71</w:t>
            </w:r>
          </w:p>
        </w:tc>
        <w:tc>
          <w:tcPr>
            <w:tcW w:w="10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bottom w:val="single" w:sz="8" w:color="auto"/>
            </w:tcBorders>
            <w:shd w:val="clear" w:color="auto" w:fill="E0EBED"/>
          </w:tcPr>
          <w:p>
            <w:pPr>
              <w:jc w:val="right"/>
              <w:spacing w:after="0" w:line="175" w:lineRule="exact"/>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E0EBED"/>
          </w:tcPr>
          <w:p>
            <w:pPr>
              <w:jc w:val="right"/>
              <w:ind w:right="22"/>
              <w:spacing w:after="0" w:line="175" w:lineRule="exact"/>
              <w:rPr>
                <w:sz w:val="20"/>
                <w:szCs w:val="20"/>
                <w:color w:val="auto"/>
              </w:rPr>
            </w:pPr>
            <w:r>
              <w:rPr>
                <w:rFonts w:ascii="Arial" w:cs="Arial" w:eastAsia="Arial" w:hAnsi="Arial"/>
                <w:sz w:val="16"/>
                <w:szCs w:val="16"/>
                <w:color w:val="auto"/>
              </w:rPr>
              <w:t>2.61</w:t>
            </w:r>
          </w:p>
        </w:tc>
        <w:tc>
          <w:tcPr>
            <w:tcW w:w="0" w:type="dxa"/>
            <w:vAlign w:val="bottom"/>
          </w:tcPr>
          <w:p>
            <w:pPr>
              <w:spacing w:after="0"/>
              <w:rPr>
                <w:sz w:val="1"/>
                <w:szCs w:val="1"/>
                <w:color w:val="auto"/>
              </w:rPr>
            </w:pPr>
          </w:p>
        </w:tc>
      </w:tr>
      <w:tr>
        <w:trPr>
          <w:trHeight w:val="447"/>
        </w:trPr>
        <w:tc>
          <w:tcPr>
            <w:tcW w:w="574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Cash Dividends Per Common Share</w:t>
            </w:r>
          </w:p>
        </w:tc>
        <w:tc>
          <w:tcPr>
            <w:tcW w:w="160" w:type="dxa"/>
            <w:vAlign w:val="bottom"/>
            <w:tcBorders>
              <w:bottom w:val="single" w:sz="8" w:color="auto"/>
            </w:tcBorders>
            <w:gridSpan w:val="2"/>
            <w:shd w:val="clear" w:color="auto" w:fill="CDDEE7"/>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shd w:val="clear" w:color="auto" w:fill="CDDEE7"/>
          </w:tcPr>
          <w:p>
            <w:pPr>
              <w:jc w:val="right"/>
              <w:ind w:right="22"/>
              <w:spacing w:after="0"/>
              <w:rPr>
                <w:sz w:val="20"/>
                <w:szCs w:val="20"/>
                <w:color w:val="auto"/>
              </w:rPr>
            </w:pPr>
            <w:r>
              <w:rPr>
                <w:rFonts w:ascii="Arial" w:cs="Arial" w:eastAsia="Arial" w:hAnsi="Arial"/>
                <w:sz w:val="16"/>
                <w:szCs w:val="16"/>
                <w:b w:val="1"/>
                <w:bCs w:val="1"/>
                <w:color w:val="auto"/>
              </w:rPr>
              <w:t>1.72</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shd w:val="clear" w:color="auto" w:fill="E0EBED"/>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E0EBED"/>
          </w:tcPr>
          <w:p>
            <w:pPr>
              <w:jc w:val="right"/>
              <w:ind w:right="42"/>
              <w:spacing w:after="0"/>
              <w:rPr>
                <w:sz w:val="20"/>
                <w:szCs w:val="20"/>
                <w:color w:val="auto"/>
              </w:rPr>
            </w:pPr>
            <w:r>
              <w:rPr>
                <w:rFonts w:ascii="Arial" w:cs="Arial" w:eastAsia="Arial" w:hAnsi="Arial"/>
                <w:sz w:val="16"/>
                <w:szCs w:val="16"/>
                <w:color w:val="auto"/>
              </w:rPr>
              <w:t>1.64</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shd w:val="clear" w:color="auto" w:fill="E0EBED"/>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E0EBED"/>
          </w:tcPr>
          <w:p>
            <w:pPr>
              <w:jc w:val="right"/>
              <w:spacing w:after="0"/>
              <w:rPr>
                <w:sz w:val="20"/>
                <w:szCs w:val="20"/>
                <w:color w:val="auto"/>
              </w:rPr>
            </w:pPr>
            <w:r>
              <w:rPr>
                <w:rFonts w:ascii="Arial" w:cs="Arial" w:eastAsia="Arial" w:hAnsi="Arial"/>
                <w:sz w:val="16"/>
                <w:szCs w:val="16"/>
                <w:color w:val="auto"/>
              </w:rPr>
              <w:t>1.60</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shd w:val="clear" w:color="auto" w:fill="E0EBED"/>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E0EBED"/>
          </w:tcPr>
          <w:p>
            <w:pPr>
              <w:jc w:val="right"/>
              <w:ind w:right="22"/>
              <w:spacing w:after="0"/>
              <w:rPr>
                <w:sz w:val="20"/>
                <w:szCs w:val="20"/>
                <w:color w:val="auto"/>
              </w:rPr>
            </w:pPr>
            <w:r>
              <w:rPr>
                <w:rFonts w:ascii="Arial" w:cs="Arial" w:eastAsia="Arial" w:hAnsi="Arial"/>
                <w:sz w:val="16"/>
                <w:szCs w:val="16"/>
                <w:color w:val="auto"/>
              </w:rPr>
              <w:t>1.60</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shd w:val="clear" w:color="auto" w:fill="E0EBED"/>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E0EBED"/>
          </w:tcPr>
          <w:p>
            <w:pPr>
              <w:jc w:val="right"/>
              <w:ind w:right="22"/>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438"/>
        </w:trPr>
        <w:tc>
          <w:tcPr>
            <w:tcW w:w="5740" w:type="dxa"/>
            <w:vAlign w:val="bottom"/>
            <w:gridSpan w:val="2"/>
          </w:tcPr>
          <w:p>
            <w:pPr>
              <w:spacing w:after="0"/>
              <w:rPr>
                <w:sz w:val="20"/>
                <w:szCs w:val="20"/>
                <w:color w:val="auto"/>
              </w:rPr>
            </w:pPr>
            <w:r>
              <w:rPr>
                <w:rFonts w:ascii="Arial" w:cs="Arial" w:eastAsia="Arial" w:hAnsi="Arial"/>
                <w:sz w:val="16"/>
                <w:szCs w:val="16"/>
                <w:b w:val="1"/>
                <w:bCs w:val="1"/>
                <w:color w:val="auto"/>
              </w:rPr>
              <w:t>Condensed Consolidated Balance Sheet Data</w:t>
            </w:r>
          </w:p>
        </w:tc>
        <w:tc>
          <w:tcPr>
            <w:tcW w:w="80" w:type="dxa"/>
            <w:vAlign w:val="bottom"/>
            <w:shd w:val="clear" w:color="auto" w:fill="CDDEE7"/>
          </w:tcPr>
          <w:p>
            <w:pPr>
              <w:spacing w:after="0"/>
              <w:rPr>
                <w:sz w:val="24"/>
                <w:szCs w:val="24"/>
                <w:color w:val="auto"/>
              </w:rPr>
            </w:pPr>
          </w:p>
        </w:tc>
        <w:tc>
          <w:tcPr>
            <w:tcW w:w="80" w:type="dxa"/>
            <w:vAlign w:val="bottom"/>
            <w:vMerge w:val="restart"/>
            <w:shd w:val="clear" w:color="auto" w:fill="CDDEE7"/>
          </w:tcPr>
          <w:p>
            <w:pPr>
              <w:jc w:val="right"/>
              <w:spacing w:after="0"/>
              <w:rPr>
                <w:sz w:val="20"/>
                <w:szCs w:val="20"/>
                <w:color w:val="auto"/>
              </w:rPr>
            </w:pPr>
            <w:r>
              <w:rPr>
                <w:rFonts w:ascii="Arial" w:cs="Arial" w:eastAsia="Arial" w:hAnsi="Arial"/>
                <w:sz w:val="14"/>
                <w:szCs w:val="14"/>
                <w:b w:val="1"/>
                <w:bCs w:val="1"/>
                <w:color w:val="auto"/>
                <w:w w:val="76"/>
                <w:shd w:val="clear" w:color="auto" w:fill="CDDEE7"/>
              </w:rPr>
              <w:t>$</w:t>
            </w:r>
          </w:p>
        </w:tc>
        <w:tc>
          <w:tcPr>
            <w:tcW w:w="900" w:type="dxa"/>
            <w:vAlign w:val="bottom"/>
            <w:vMerge w:val="restart"/>
            <w:shd w:val="clear" w:color="auto" w:fill="CDDEE7"/>
          </w:tcPr>
          <w:p>
            <w:pPr>
              <w:jc w:val="right"/>
              <w:ind w:right="22"/>
              <w:spacing w:after="0"/>
              <w:rPr>
                <w:sz w:val="20"/>
                <w:szCs w:val="20"/>
                <w:color w:val="auto"/>
              </w:rPr>
            </w:pPr>
            <w:r>
              <w:rPr>
                <w:rFonts w:ascii="Arial" w:cs="Arial" w:eastAsia="Arial" w:hAnsi="Arial"/>
                <w:sz w:val="16"/>
                <w:szCs w:val="16"/>
                <w:b w:val="1"/>
                <w:bCs w:val="1"/>
                <w:color w:val="auto"/>
                <w:shd w:val="clear" w:color="auto" w:fill="CDDEE7"/>
              </w:rPr>
              <w:t>2,631,160</w:t>
            </w:r>
          </w:p>
        </w:tc>
        <w:tc>
          <w:tcPr>
            <w:tcW w:w="100" w:type="dxa"/>
            <w:vAlign w:val="bottom"/>
          </w:tcPr>
          <w:p>
            <w:pPr>
              <w:spacing w:after="0"/>
              <w:rPr>
                <w:sz w:val="24"/>
                <w:szCs w:val="24"/>
                <w:color w:val="auto"/>
              </w:rPr>
            </w:pPr>
          </w:p>
        </w:tc>
        <w:tc>
          <w:tcPr>
            <w:tcW w:w="180" w:type="dxa"/>
            <w:vAlign w:val="bottom"/>
            <w:shd w:val="clear" w:color="auto" w:fill="E0EBED"/>
          </w:tcPr>
          <w:p>
            <w:pPr>
              <w:spacing w:after="0"/>
              <w:rPr>
                <w:sz w:val="24"/>
                <w:szCs w:val="24"/>
                <w:color w:val="auto"/>
              </w:rPr>
            </w:pPr>
          </w:p>
        </w:tc>
        <w:tc>
          <w:tcPr>
            <w:tcW w:w="900" w:type="dxa"/>
            <w:vAlign w:val="bottom"/>
            <w:shd w:val="clear" w:color="auto" w:fill="E0EBED"/>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shd w:val="clear" w:color="auto" w:fill="E0EBED"/>
          </w:tcPr>
          <w:p>
            <w:pPr>
              <w:spacing w:after="0"/>
              <w:rPr>
                <w:sz w:val="24"/>
                <w:szCs w:val="24"/>
                <w:color w:val="auto"/>
              </w:rPr>
            </w:pPr>
          </w:p>
        </w:tc>
        <w:tc>
          <w:tcPr>
            <w:tcW w:w="840" w:type="dxa"/>
            <w:vAlign w:val="bottom"/>
            <w:shd w:val="clear" w:color="auto" w:fill="E0EBED"/>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shd w:val="clear" w:color="auto" w:fill="E0EBED"/>
          </w:tcPr>
          <w:p>
            <w:pPr>
              <w:spacing w:after="0"/>
              <w:rPr>
                <w:sz w:val="24"/>
                <w:szCs w:val="24"/>
                <w:color w:val="auto"/>
              </w:rPr>
            </w:pPr>
          </w:p>
        </w:tc>
        <w:tc>
          <w:tcPr>
            <w:tcW w:w="900" w:type="dxa"/>
            <w:vAlign w:val="bottom"/>
            <w:shd w:val="clear" w:color="auto" w:fill="E0EBED"/>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shd w:val="clear" w:color="auto" w:fill="E0EBED"/>
          </w:tcPr>
          <w:p>
            <w:pPr>
              <w:spacing w:after="0"/>
              <w:rPr>
                <w:sz w:val="24"/>
                <w:szCs w:val="24"/>
                <w:color w:val="auto"/>
              </w:rPr>
            </w:pPr>
          </w:p>
        </w:tc>
        <w:tc>
          <w:tcPr>
            <w:tcW w:w="900" w:type="dxa"/>
            <w:vAlign w:val="bottom"/>
            <w:shd w:val="clear" w:color="auto" w:fill="E0EBED"/>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5740" w:type="dxa"/>
            <w:vAlign w:val="bottom"/>
            <w:gridSpan w:val="2"/>
          </w:tcPr>
          <w:p>
            <w:pPr>
              <w:spacing w:after="0" w:line="185" w:lineRule="exact"/>
              <w:rPr>
                <w:sz w:val="20"/>
                <w:szCs w:val="20"/>
                <w:color w:val="auto"/>
              </w:rPr>
            </w:pPr>
            <w:r>
              <w:rPr>
                <w:rFonts w:ascii="Arial" w:cs="Arial" w:eastAsia="Arial" w:hAnsi="Arial"/>
                <w:sz w:val="13"/>
                <w:szCs w:val="13"/>
                <w:color w:val="auto"/>
              </w:rPr>
              <w:t>Total current assets</w:t>
            </w:r>
            <w:r>
              <w:rPr>
                <w:rFonts w:ascii="Arial" w:cs="Arial" w:eastAsia="Arial" w:hAnsi="Arial"/>
                <w:sz w:val="21"/>
                <w:szCs w:val="21"/>
                <w:color w:val="auto"/>
                <w:vertAlign w:val="superscript"/>
              </w:rPr>
              <w:t>2</w:t>
            </w:r>
          </w:p>
        </w:tc>
        <w:tc>
          <w:tcPr>
            <w:tcW w:w="80" w:type="dxa"/>
            <w:vAlign w:val="bottom"/>
            <w:shd w:val="clear" w:color="auto" w:fill="CDDEE7"/>
          </w:tcPr>
          <w:p>
            <w:pPr>
              <w:spacing w:after="0"/>
              <w:rPr>
                <w:sz w:val="16"/>
                <w:szCs w:val="16"/>
                <w:color w:val="auto"/>
              </w:rPr>
            </w:pPr>
          </w:p>
        </w:tc>
        <w:tc>
          <w:tcPr>
            <w:tcW w:w="80" w:type="dxa"/>
            <w:vAlign w:val="bottom"/>
            <w:vMerge w:val="continue"/>
            <w:shd w:val="clear" w:color="auto" w:fill="CDDEE7"/>
          </w:tcPr>
          <w:p>
            <w:pPr>
              <w:spacing w:after="0"/>
              <w:rPr>
                <w:sz w:val="16"/>
                <w:szCs w:val="16"/>
                <w:color w:val="auto"/>
              </w:rPr>
            </w:pPr>
          </w:p>
        </w:tc>
        <w:tc>
          <w:tcPr>
            <w:tcW w:w="900" w:type="dxa"/>
            <w:vAlign w:val="bottom"/>
            <w:vMerge w:val="continue"/>
            <w:shd w:val="clear" w:color="auto" w:fill="CDDEE7"/>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shd w:val="clear" w:color="auto" w:fill="E0EBED"/>
          </w:tcPr>
          <w:p>
            <w:pPr>
              <w:jc w:val="right"/>
              <w:spacing w:after="0"/>
              <w:rPr>
                <w:sz w:val="20"/>
                <w:szCs w:val="20"/>
                <w:color w:val="auto"/>
              </w:rPr>
            </w:pPr>
            <w:r>
              <w:rPr>
                <w:rFonts w:ascii="Arial" w:cs="Arial" w:eastAsia="Arial" w:hAnsi="Arial"/>
                <w:sz w:val="16"/>
                <w:szCs w:val="16"/>
                <w:color w:val="auto"/>
                <w:shd w:val="clear" w:color="auto" w:fill="E0EBED"/>
              </w:rPr>
              <w:t>$</w:t>
            </w:r>
          </w:p>
        </w:tc>
        <w:tc>
          <w:tcPr>
            <w:tcW w:w="900" w:type="dxa"/>
            <w:vAlign w:val="bottom"/>
            <w:shd w:val="clear" w:color="auto" w:fill="E0EBED"/>
          </w:tcPr>
          <w:p>
            <w:pPr>
              <w:jc w:val="right"/>
              <w:ind w:right="42"/>
              <w:spacing w:after="0"/>
              <w:rPr>
                <w:sz w:val="20"/>
                <w:szCs w:val="20"/>
                <w:color w:val="auto"/>
              </w:rPr>
            </w:pPr>
            <w:r>
              <w:rPr>
                <w:rFonts w:ascii="Arial" w:cs="Arial" w:eastAsia="Arial" w:hAnsi="Arial"/>
                <w:sz w:val="16"/>
                <w:szCs w:val="16"/>
                <w:color w:val="auto"/>
                <w:shd w:val="clear" w:color="auto" w:fill="E0EBED"/>
              </w:rPr>
              <w:t>1,086,385</w:t>
            </w:r>
          </w:p>
        </w:tc>
        <w:tc>
          <w:tcPr>
            <w:tcW w:w="100" w:type="dxa"/>
            <w:vAlign w:val="bottom"/>
          </w:tcPr>
          <w:p>
            <w:pPr>
              <w:spacing w:after="0"/>
              <w:rPr>
                <w:sz w:val="16"/>
                <w:szCs w:val="16"/>
                <w:color w:val="auto"/>
              </w:rPr>
            </w:pPr>
          </w:p>
        </w:tc>
        <w:tc>
          <w:tcPr>
            <w:tcW w:w="160" w:type="dxa"/>
            <w:vAlign w:val="bottom"/>
            <w:shd w:val="clear" w:color="auto" w:fill="E0EBED"/>
          </w:tcPr>
          <w:p>
            <w:pPr>
              <w:jc w:val="right"/>
              <w:spacing w:after="0"/>
              <w:rPr>
                <w:sz w:val="20"/>
                <w:szCs w:val="20"/>
                <w:color w:val="auto"/>
              </w:rPr>
            </w:pPr>
            <w:r>
              <w:rPr>
                <w:rFonts w:ascii="Arial" w:cs="Arial" w:eastAsia="Arial" w:hAnsi="Arial"/>
                <w:sz w:val="16"/>
                <w:szCs w:val="16"/>
                <w:color w:val="auto"/>
                <w:shd w:val="clear" w:color="auto" w:fill="E0EBED"/>
              </w:rPr>
              <w:t>$</w:t>
            </w:r>
          </w:p>
        </w:tc>
        <w:tc>
          <w:tcPr>
            <w:tcW w:w="840" w:type="dxa"/>
            <w:vAlign w:val="bottom"/>
            <w:shd w:val="clear" w:color="auto" w:fill="E0EBED"/>
          </w:tcPr>
          <w:p>
            <w:pPr>
              <w:jc w:val="right"/>
              <w:spacing w:after="0"/>
              <w:rPr>
                <w:sz w:val="20"/>
                <w:szCs w:val="20"/>
                <w:color w:val="auto"/>
              </w:rPr>
            </w:pPr>
            <w:r>
              <w:rPr>
                <w:rFonts w:ascii="Arial" w:cs="Arial" w:eastAsia="Arial" w:hAnsi="Arial"/>
                <w:sz w:val="16"/>
                <w:szCs w:val="16"/>
                <w:color w:val="auto"/>
                <w:shd w:val="clear" w:color="auto" w:fill="E0EBED"/>
              </w:rPr>
              <w:t>1,081,635</w:t>
            </w:r>
          </w:p>
        </w:tc>
        <w:tc>
          <w:tcPr>
            <w:tcW w:w="120" w:type="dxa"/>
            <w:vAlign w:val="bottom"/>
          </w:tcPr>
          <w:p>
            <w:pPr>
              <w:spacing w:after="0"/>
              <w:rPr>
                <w:sz w:val="16"/>
                <w:szCs w:val="16"/>
                <w:color w:val="auto"/>
              </w:rPr>
            </w:pPr>
          </w:p>
        </w:tc>
        <w:tc>
          <w:tcPr>
            <w:tcW w:w="160" w:type="dxa"/>
            <w:vAlign w:val="bottom"/>
            <w:shd w:val="clear" w:color="auto" w:fill="E0EBED"/>
          </w:tcPr>
          <w:p>
            <w:pPr>
              <w:jc w:val="right"/>
              <w:spacing w:after="0"/>
              <w:rPr>
                <w:sz w:val="20"/>
                <w:szCs w:val="20"/>
                <w:color w:val="auto"/>
              </w:rPr>
            </w:pPr>
            <w:r>
              <w:rPr>
                <w:rFonts w:ascii="Arial" w:cs="Arial" w:eastAsia="Arial" w:hAnsi="Arial"/>
                <w:sz w:val="16"/>
                <w:szCs w:val="16"/>
                <w:color w:val="auto"/>
                <w:shd w:val="clear" w:color="auto" w:fill="E0EBED"/>
              </w:rPr>
              <w:t>$</w:t>
            </w:r>
          </w:p>
        </w:tc>
        <w:tc>
          <w:tcPr>
            <w:tcW w:w="900" w:type="dxa"/>
            <w:vAlign w:val="bottom"/>
            <w:shd w:val="clear" w:color="auto" w:fill="E0EBED"/>
          </w:tcPr>
          <w:p>
            <w:pPr>
              <w:jc w:val="right"/>
              <w:ind w:right="22"/>
              <w:spacing w:after="0"/>
              <w:rPr>
                <w:sz w:val="20"/>
                <w:szCs w:val="20"/>
                <w:color w:val="auto"/>
              </w:rPr>
            </w:pPr>
            <w:r>
              <w:rPr>
                <w:rFonts w:ascii="Arial" w:cs="Arial" w:eastAsia="Arial" w:hAnsi="Arial"/>
                <w:sz w:val="16"/>
                <w:szCs w:val="16"/>
                <w:color w:val="auto"/>
                <w:shd w:val="clear" w:color="auto" w:fill="E0EBED"/>
              </w:rPr>
              <w:t>1,043,646</w:t>
            </w:r>
          </w:p>
        </w:tc>
        <w:tc>
          <w:tcPr>
            <w:tcW w:w="100" w:type="dxa"/>
            <w:vAlign w:val="bottom"/>
          </w:tcPr>
          <w:p>
            <w:pPr>
              <w:spacing w:after="0"/>
              <w:rPr>
                <w:sz w:val="16"/>
                <w:szCs w:val="16"/>
                <w:color w:val="auto"/>
              </w:rPr>
            </w:pPr>
          </w:p>
        </w:tc>
        <w:tc>
          <w:tcPr>
            <w:tcW w:w="160" w:type="dxa"/>
            <w:vAlign w:val="bottom"/>
            <w:shd w:val="clear" w:color="auto" w:fill="E0EBED"/>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E0EBED"/>
          </w:tcPr>
          <w:p>
            <w:pPr>
              <w:jc w:val="right"/>
              <w:ind w:right="22"/>
              <w:spacing w:after="0"/>
              <w:rPr>
                <w:sz w:val="20"/>
                <w:szCs w:val="20"/>
                <w:color w:val="auto"/>
              </w:rPr>
            </w:pPr>
            <w:r>
              <w:rPr>
                <w:rFonts w:ascii="Arial" w:cs="Arial" w:eastAsia="Arial" w:hAnsi="Arial"/>
                <w:sz w:val="16"/>
                <w:szCs w:val="16"/>
                <w:color w:val="auto"/>
              </w:rPr>
              <w:t>680,080</w:t>
            </w:r>
          </w:p>
        </w:tc>
        <w:tc>
          <w:tcPr>
            <w:tcW w:w="0" w:type="dxa"/>
            <w:vAlign w:val="bottom"/>
          </w:tcPr>
          <w:p>
            <w:pPr>
              <w:spacing w:after="0"/>
              <w:rPr>
                <w:sz w:val="1"/>
                <w:szCs w:val="1"/>
                <w:color w:val="auto"/>
              </w:rPr>
            </w:pPr>
          </w:p>
        </w:tc>
      </w:tr>
      <w:tr>
        <w:trPr>
          <w:trHeight w:val="182"/>
        </w:trPr>
        <w:tc>
          <w:tcPr>
            <w:tcW w:w="5740" w:type="dxa"/>
            <w:vAlign w:val="bottom"/>
            <w:gridSpan w:val="2"/>
          </w:tcPr>
          <w:p>
            <w:pPr>
              <w:spacing w:after="0" w:line="182" w:lineRule="exact"/>
              <w:rPr>
                <w:sz w:val="20"/>
                <w:szCs w:val="20"/>
                <w:color w:val="auto"/>
              </w:rPr>
            </w:pPr>
            <w:r>
              <w:rPr>
                <w:rFonts w:ascii="Arial" w:cs="Arial" w:eastAsia="Arial" w:hAnsi="Arial"/>
                <w:sz w:val="16"/>
                <w:szCs w:val="16"/>
                <w:color w:val="auto"/>
              </w:rPr>
              <w:t>Property, plant and equipment, net</w:t>
            </w:r>
          </w:p>
        </w:tc>
        <w:tc>
          <w:tcPr>
            <w:tcW w:w="80" w:type="dxa"/>
            <w:vAlign w:val="bottom"/>
            <w:shd w:val="clear" w:color="auto" w:fill="CDDEE7"/>
          </w:tcPr>
          <w:p>
            <w:pPr>
              <w:spacing w:after="0"/>
              <w:rPr>
                <w:sz w:val="15"/>
                <w:szCs w:val="15"/>
                <w:color w:val="auto"/>
              </w:rPr>
            </w:pPr>
          </w:p>
        </w:tc>
        <w:tc>
          <w:tcPr>
            <w:tcW w:w="80" w:type="dxa"/>
            <w:vAlign w:val="bottom"/>
            <w:shd w:val="clear" w:color="auto" w:fill="CDDEE7"/>
          </w:tcPr>
          <w:p>
            <w:pPr>
              <w:spacing w:after="0"/>
              <w:rPr>
                <w:sz w:val="15"/>
                <w:szCs w:val="15"/>
                <w:color w:val="auto"/>
              </w:rPr>
            </w:pPr>
          </w:p>
        </w:tc>
        <w:tc>
          <w:tcPr>
            <w:tcW w:w="900" w:type="dxa"/>
            <w:vAlign w:val="bottom"/>
            <w:shd w:val="clear" w:color="auto" w:fill="CDDEE7"/>
          </w:tcPr>
          <w:p>
            <w:pPr>
              <w:jc w:val="right"/>
              <w:ind w:right="22"/>
              <w:spacing w:after="0" w:line="182" w:lineRule="exact"/>
              <w:rPr>
                <w:sz w:val="20"/>
                <w:szCs w:val="20"/>
                <w:color w:val="auto"/>
              </w:rPr>
            </w:pPr>
            <w:r>
              <w:rPr>
                <w:rFonts w:ascii="Arial" w:cs="Arial" w:eastAsia="Arial" w:hAnsi="Arial"/>
                <w:sz w:val="16"/>
                <w:szCs w:val="16"/>
                <w:b w:val="1"/>
                <w:bCs w:val="1"/>
                <w:color w:val="auto"/>
                <w:shd w:val="clear" w:color="auto" w:fill="CDDEE7"/>
              </w:rPr>
              <w:t>3,592,813</w:t>
            </w:r>
          </w:p>
        </w:tc>
        <w:tc>
          <w:tcPr>
            <w:tcW w:w="100" w:type="dxa"/>
            <w:vAlign w:val="bottom"/>
          </w:tcPr>
          <w:p>
            <w:pPr>
              <w:spacing w:after="0"/>
              <w:rPr>
                <w:sz w:val="15"/>
                <w:szCs w:val="15"/>
                <w:color w:val="auto"/>
              </w:rPr>
            </w:pPr>
          </w:p>
        </w:tc>
        <w:tc>
          <w:tcPr>
            <w:tcW w:w="180" w:type="dxa"/>
            <w:vAlign w:val="bottom"/>
            <w:shd w:val="clear" w:color="auto" w:fill="E0EBED"/>
          </w:tcPr>
          <w:p>
            <w:pPr>
              <w:spacing w:after="0"/>
              <w:rPr>
                <w:sz w:val="15"/>
                <w:szCs w:val="15"/>
                <w:color w:val="auto"/>
              </w:rPr>
            </w:pPr>
          </w:p>
        </w:tc>
        <w:tc>
          <w:tcPr>
            <w:tcW w:w="900" w:type="dxa"/>
            <w:vAlign w:val="bottom"/>
            <w:shd w:val="clear" w:color="auto" w:fill="E0EBED"/>
          </w:tcPr>
          <w:p>
            <w:pPr>
              <w:jc w:val="right"/>
              <w:ind w:right="42"/>
              <w:spacing w:after="0" w:line="182" w:lineRule="exact"/>
              <w:rPr>
                <w:sz w:val="20"/>
                <w:szCs w:val="20"/>
                <w:color w:val="auto"/>
              </w:rPr>
            </w:pPr>
            <w:r>
              <w:rPr>
                <w:rFonts w:ascii="Arial" w:cs="Arial" w:eastAsia="Arial" w:hAnsi="Arial"/>
                <w:sz w:val="16"/>
                <w:szCs w:val="16"/>
                <w:color w:val="auto"/>
                <w:shd w:val="clear" w:color="auto" w:fill="E0EBED"/>
              </w:rPr>
              <w:t>3,423,395</w:t>
            </w:r>
          </w:p>
        </w:tc>
        <w:tc>
          <w:tcPr>
            <w:tcW w:w="100" w:type="dxa"/>
            <w:vAlign w:val="bottom"/>
          </w:tcPr>
          <w:p>
            <w:pPr>
              <w:spacing w:after="0"/>
              <w:rPr>
                <w:sz w:val="15"/>
                <w:szCs w:val="15"/>
                <w:color w:val="auto"/>
              </w:rPr>
            </w:pPr>
          </w:p>
        </w:tc>
        <w:tc>
          <w:tcPr>
            <w:tcW w:w="160" w:type="dxa"/>
            <w:vAlign w:val="bottom"/>
            <w:shd w:val="clear" w:color="auto" w:fill="E0EBED"/>
          </w:tcPr>
          <w:p>
            <w:pPr>
              <w:spacing w:after="0"/>
              <w:rPr>
                <w:sz w:val="15"/>
                <w:szCs w:val="15"/>
                <w:color w:val="auto"/>
              </w:rPr>
            </w:pPr>
          </w:p>
        </w:tc>
        <w:tc>
          <w:tcPr>
            <w:tcW w:w="840" w:type="dxa"/>
            <w:vAlign w:val="bottom"/>
            <w:shd w:val="clear" w:color="auto" w:fill="E0EBED"/>
          </w:tcPr>
          <w:p>
            <w:pPr>
              <w:jc w:val="right"/>
              <w:spacing w:after="0" w:line="182" w:lineRule="exact"/>
              <w:rPr>
                <w:sz w:val="20"/>
                <w:szCs w:val="20"/>
                <w:color w:val="auto"/>
              </w:rPr>
            </w:pPr>
            <w:r>
              <w:rPr>
                <w:rFonts w:ascii="Arial" w:cs="Arial" w:eastAsia="Arial" w:hAnsi="Arial"/>
                <w:sz w:val="16"/>
                <w:szCs w:val="16"/>
                <w:color w:val="auto"/>
                <w:shd w:val="clear" w:color="auto" w:fill="E0EBED"/>
              </w:rPr>
              <w:t>3,156,000</w:t>
            </w:r>
          </w:p>
        </w:tc>
        <w:tc>
          <w:tcPr>
            <w:tcW w:w="120" w:type="dxa"/>
            <w:vAlign w:val="bottom"/>
          </w:tcPr>
          <w:p>
            <w:pPr>
              <w:spacing w:after="0"/>
              <w:rPr>
                <w:sz w:val="15"/>
                <w:szCs w:val="15"/>
                <w:color w:val="auto"/>
              </w:rPr>
            </w:pPr>
          </w:p>
        </w:tc>
        <w:tc>
          <w:tcPr>
            <w:tcW w:w="160" w:type="dxa"/>
            <w:vAlign w:val="bottom"/>
            <w:shd w:val="clear" w:color="auto" w:fill="E0EBED"/>
          </w:tcPr>
          <w:p>
            <w:pPr>
              <w:spacing w:after="0"/>
              <w:rPr>
                <w:sz w:val="15"/>
                <w:szCs w:val="15"/>
                <w:color w:val="auto"/>
              </w:rPr>
            </w:pPr>
          </w:p>
        </w:tc>
        <w:tc>
          <w:tcPr>
            <w:tcW w:w="900" w:type="dxa"/>
            <w:vAlign w:val="bottom"/>
            <w:shd w:val="clear" w:color="auto" w:fill="E0EBED"/>
          </w:tcPr>
          <w:p>
            <w:pPr>
              <w:jc w:val="right"/>
              <w:ind w:right="22"/>
              <w:spacing w:after="0" w:line="182" w:lineRule="exact"/>
              <w:rPr>
                <w:sz w:val="20"/>
                <w:szCs w:val="20"/>
                <w:color w:val="auto"/>
              </w:rPr>
            </w:pPr>
            <w:r>
              <w:rPr>
                <w:rFonts w:ascii="Arial" w:cs="Arial" w:eastAsia="Arial" w:hAnsi="Arial"/>
                <w:sz w:val="16"/>
                <w:szCs w:val="16"/>
                <w:color w:val="auto"/>
                <w:shd w:val="clear" w:color="auto" w:fill="E0EBED"/>
              </w:rPr>
              <w:t>3,402,770</w:t>
            </w:r>
          </w:p>
        </w:tc>
        <w:tc>
          <w:tcPr>
            <w:tcW w:w="100" w:type="dxa"/>
            <w:vAlign w:val="bottom"/>
          </w:tcPr>
          <w:p>
            <w:pPr>
              <w:spacing w:after="0"/>
              <w:rPr>
                <w:sz w:val="15"/>
                <w:szCs w:val="15"/>
                <w:color w:val="auto"/>
              </w:rPr>
            </w:pPr>
          </w:p>
        </w:tc>
        <w:tc>
          <w:tcPr>
            <w:tcW w:w="160" w:type="dxa"/>
            <w:vAlign w:val="bottom"/>
            <w:shd w:val="clear" w:color="auto" w:fill="E0EBED"/>
          </w:tcPr>
          <w:p>
            <w:pPr>
              <w:spacing w:after="0"/>
              <w:rPr>
                <w:sz w:val="15"/>
                <w:szCs w:val="15"/>
                <w:color w:val="auto"/>
              </w:rPr>
            </w:pPr>
          </w:p>
        </w:tc>
        <w:tc>
          <w:tcPr>
            <w:tcW w:w="900" w:type="dxa"/>
            <w:vAlign w:val="bottom"/>
            <w:shd w:val="clear" w:color="auto" w:fill="E0EBED"/>
          </w:tcPr>
          <w:p>
            <w:pPr>
              <w:jc w:val="right"/>
              <w:ind w:right="22"/>
              <w:spacing w:after="0" w:line="182" w:lineRule="exact"/>
              <w:rPr>
                <w:sz w:val="20"/>
                <w:szCs w:val="20"/>
                <w:color w:val="auto"/>
              </w:rPr>
            </w:pPr>
            <w:r>
              <w:rPr>
                <w:rFonts w:ascii="Arial" w:cs="Arial" w:eastAsia="Arial" w:hAnsi="Arial"/>
                <w:sz w:val="16"/>
                <w:szCs w:val="16"/>
                <w:color w:val="auto"/>
              </w:rPr>
              <w:t>1,799,241</w:t>
            </w:r>
          </w:p>
        </w:tc>
        <w:tc>
          <w:tcPr>
            <w:tcW w:w="0" w:type="dxa"/>
            <w:vAlign w:val="bottom"/>
          </w:tcPr>
          <w:p>
            <w:pPr>
              <w:spacing w:after="0"/>
              <w:rPr>
                <w:sz w:val="1"/>
                <w:szCs w:val="1"/>
                <w:color w:val="auto"/>
              </w:rPr>
            </w:pPr>
          </w:p>
        </w:tc>
      </w:tr>
      <w:tr>
        <w:trPr>
          <w:trHeight w:val="166"/>
        </w:trPr>
        <w:tc>
          <w:tcPr>
            <w:tcW w:w="5740" w:type="dxa"/>
            <w:vAlign w:val="bottom"/>
            <w:gridSpan w:val="2"/>
          </w:tcPr>
          <w:p>
            <w:pPr>
              <w:spacing w:after="0" w:line="165" w:lineRule="exact"/>
              <w:rPr>
                <w:sz w:val="20"/>
                <w:szCs w:val="20"/>
                <w:color w:val="auto"/>
              </w:rPr>
            </w:pPr>
            <w:r>
              <w:rPr>
                <w:rFonts w:ascii="Arial" w:cs="Arial" w:eastAsia="Arial" w:hAnsi="Arial"/>
                <w:sz w:val="16"/>
                <w:szCs w:val="16"/>
                <w:color w:val="auto"/>
              </w:rPr>
              <w:t>Goodwill</w:t>
            </w:r>
          </w:p>
        </w:tc>
        <w:tc>
          <w:tcPr>
            <w:tcW w:w="80" w:type="dxa"/>
            <w:vAlign w:val="bottom"/>
            <w:shd w:val="clear" w:color="auto" w:fill="CDDEE7"/>
          </w:tcPr>
          <w:p>
            <w:pPr>
              <w:spacing w:after="0"/>
              <w:rPr>
                <w:sz w:val="14"/>
                <w:szCs w:val="14"/>
                <w:color w:val="auto"/>
              </w:rPr>
            </w:pPr>
          </w:p>
        </w:tc>
        <w:tc>
          <w:tcPr>
            <w:tcW w:w="80" w:type="dxa"/>
            <w:vAlign w:val="bottom"/>
            <w:shd w:val="clear" w:color="auto" w:fill="CDDEE7"/>
          </w:tcPr>
          <w:p>
            <w:pPr>
              <w:spacing w:after="0"/>
              <w:rPr>
                <w:sz w:val="14"/>
                <w:szCs w:val="14"/>
                <w:color w:val="auto"/>
              </w:rPr>
            </w:pPr>
          </w:p>
        </w:tc>
        <w:tc>
          <w:tcPr>
            <w:tcW w:w="900" w:type="dxa"/>
            <w:vAlign w:val="bottom"/>
            <w:shd w:val="clear" w:color="auto" w:fill="CDDEE7"/>
          </w:tcPr>
          <w:p>
            <w:pPr>
              <w:jc w:val="right"/>
              <w:ind w:right="22"/>
              <w:spacing w:after="0" w:line="165" w:lineRule="exact"/>
              <w:rPr>
                <w:sz w:val="20"/>
                <w:szCs w:val="20"/>
                <w:color w:val="auto"/>
              </w:rPr>
            </w:pPr>
            <w:r>
              <w:rPr>
                <w:rFonts w:ascii="Arial" w:cs="Arial" w:eastAsia="Arial" w:hAnsi="Arial"/>
                <w:sz w:val="16"/>
                <w:szCs w:val="16"/>
                <w:b w:val="1"/>
                <w:bCs w:val="1"/>
                <w:color w:val="auto"/>
              </w:rPr>
              <w:t>2,160,290</w:t>
            </w:r>
          </w:p>
        </w:tc>
        <w:tc>
          <w:tcPr>
            <w:tcW w:w="100" w:type="dxa"/>
            <w:vAlign w:val="bottom"/>
          </w:tcPr>
          <w:p>
            <w:pPr>
              <w:spacing w:after="0"/>
              <w:rPr>
                <w:sz w:val="14"/>
                <w:szCs w:val="14"/>
                <w:color w:val="auto"/>
              </w:rPr>
            </w:pPr>
          </w:p>
        </w:tc>
        <w:tc>
          <w:tcPr>
            <w:tcW w:w="180" w:type="dxa"/>
            <w:vAlign w:val="bottom"/>
            <w:shd w:val="clear" w:color="auto" w:fill="E0EBED"/>
          </w:tcPr>
          <w:p>
            <w:pPr>
              <w:spacing w:after="0"/>
              <w:rPr>
                <w:sz w:val="14"/>
                <w:szCs w:val="14"/>
                <w:color w:val="auto"/>
              </w:rPr>
            </w:pPr>
          </w:p>
        </w:tc>
        <w:tc>
          <w:tcPr>
            <w:tcW w:w="900" w:type="dxa"/>
            <w:vAlign w:val="bottom"/>
            <w:shd w:val="clear" w:color="auto" w:fill="E0EBED"/>
          </w:tcPr>
          <w:p>
            <w:pPr>
              <w:jc w:val="right"/>
              <w:ind w:right="42"/>
              <w:spacing w:after="0" w:line="165" w:lineRule="exact"/>
              <w:rPr>
                <w:sz w:val="20"/>
                <w:szCs w:val="20"/>
                <w:color w:val="auto"/>
              </w:rPr>
            </w:pPr>
            <w:r>
              <w:rPr>
                <w:rFonts w:ascii="Arial" w:cs="Arial" w:eastAsia="Arial" w:hAnsi="Arial"/>
                <w:sz w:val="16"/>
                <w:szCs w:val="16"/>
                <w:color w:val="auto"/>
              </w:rPr>
              <w:t>2,159,337</w:t>
            </w:r>
          </w:p>
        </w:tc>
        <w:tc>
          <w:tcPr>
            <w:tcW w:w="100" w:type="dxa"/>
            <w:vAlign w:val="bottom"/>
          </w:tcPr>
          <w:p>
            <w:pPr>
              <w:spacing w:after="0"/>
              <w:rPr>
                <w:sz w:val="14"/>
                <w:szCs w:val="14"/>
                <w:color w:val="auto"/>
              </w:rPr>
            </w:pPr>
          </w:p>
        </w:tc>
        <w:tc>
          <w:tcPr>
            <w:tcW w:w="160" w:type="dxa"/>
            <w:vAlign w:val="bottom"/>
            <w:shd w:val="clear" w:color="auto" w:fill="E0EBED"/>
          </w:tcPr>
          <w:p>
            <w:pPr>
              <w:spacing w:after="0"/>
              <w:rPr>
                <w:sz w:val="14"/>
                <w:szCs w:val="14"/>
                <w:color w:val="auto"/>
              </w:rPr>
            </w:pPr>
          </w:p>
        </w:tc>
        <w:tc>
          <w:tcPr>
            <w:tcW w:w="840" w:type="dxa"/>
            <w:vAlign w:val="bottom"/>
            <w:shd w:val="clear" w:color="auto" w:fill="E0EBED"/>
          </w:tcPr>
          <w:p>
            <w:pPr>
              <w:jc w:val="right"/>
              <w:spacing w:after="0" w:line="165" w:lineRule="exact"/>
              <w:rPr>
                <w:sz w:val="20"/>
                <w:szCs w:val="20"/>
                <w:color w:val="auto"/>
              </w:rPr>
            </w:pPr>
            <w:r>
              <w:rPr>
                <w:rFonts w:ascii="Arial" w:cs="Arial" w:eastAsia="Arial" w:hAnsi="Arial"/>
                <w:sz w:val="16"/>
                <w:szCs w:val="16"/>
                <w:color w:val="auto"/>
              </w:rPr>
              <w:t>2,068,235</w:t>
            </w:r>
          </w:p>
        </w:tc>
        <w:tc>
          <w:tcPr>
            <w:tcW w:w="120" w:type="dxa"/>
            <w:vAlign w:val="bottom"/>
          </w:tcPr>
          <w:p>
            <w:pPr>
              <w:spacing w:after="0"/>
              <w:rPr>
                <w:sz w:val="14"/>
                <w:szCs w:val="14"/>
                <w:color w:val="auto"/>
              </w:rPr>
            </w:pPr>
          </w:p>
        </w:tc>
        <w:tc>
          <w:tcPr>
            <w:tcW w:w="160" w:type="dxa"/>
            <w:vAlign w:val="bottom"/>
            <w:shd w:val="clear" w:color="auto" w:fill="E0EBED"/>
          </w:tcPr>
          <w:p>
            <w:pPr>
              <w:spacing w:after="0"/>
              <w:rPr>
                <w:sz w:val="14"/>
                <w:szCs w:val="14"/>
                <w:color w:val="auto"/>
              </w:rPr>
            </w:pPr>
          </w:p>
        </w:tc>
        <w:tc>
          <w:tcPr>
            <w:tcW w:w="900" w:type="dxa"/>
            <w:vAlign w:val="bottom"/>
            <w:shd w:val="clear" w:color="auto" w:fill="E0EBED"/>
          </w:tcPr>
          <w:p>
            <w:pPr>
              <w:jc w:val="right"/>
              <w:ind w:right="22"/>
              <w:spacing w:after="0" w:line="165" w:lineRule="exact"/>
              <w:rPr>
                <w:sz w:val="20"/>
                <w:szCs w:val="20"/>
                <w:color w:val="auto"/>
              </w:rPr>
            </w:pPr>
            <w:r>
              <w:rPr>
                <w:rFonts w:ascii="Arial" w:cs="Arial" w:eastAsia="Arial" w:hAnsi="Arial"/>
                <w:sz w:val="16"/>
                <w:szCs w:val="16"/>
                <w:color w:val="auto"/>
              </w:rPr>
              <w:t>2,068,799</w:t>
            </w:r>
          </w:p>
        </w:tc>
        <w:tc>
          <w:tcPr>
            <w:tcW w:w="100" w:type="dxa"/>
            <w:vAlign w:val="bottom"/>
          </w:tcPr>
          <w:p>
            <w:pPr>
              <w:spacing w:after="0"/>
              <w:rPr>
                <w:sz w:val="14"/>
                <w:szCs w:val="14"/>
                <w:color w:val="auto"/>
              </w:rPr>
            </w:pPr>
          </w:p>
        </w:tc>
        <w:tc>
          <w:tcPr>
            <w:tcW w:w="160" w:type="dxa"/>
            <w:vAlign w:val="bottom"/>
            <w:shd w:val="clear" w:color="auto" w:fill="E0EBED"/>
          </w:tcPr>
          <w:p>
            <w:pPr>
              <w:spacing w:after="0"/>
              <w:rPr>
                <w:sz w:val="14"/>
                <w:szCs w:val="14"/>
                <w:color w:val="auto"/>
              </w:rPr>
            </w:pPr>
          </w:p>
        </w:tc>
        <w:tc>
          <w:tcPr>
            <w:tcW w:w="900" w:type="dxa"/>
            <w:vAlign w:val="bottom"/>
            <w:shd w:val="clear" w:color="auto" w:fill="E0EBED"/>
          </w:tcPr>
          <w:p>
            <w:pPr>
              <w:jc w:val="right"/>
              <w:ind w:right="22"/>
              <w:spacing w:after="0" w:line="165" w:lineRule="exact"/>
              <w:rPr>
                <w:sz w:val="20"/>
                <w:szCs w:val="20"/>
                <w:color w:val="auto"/>
              </w:rPr>
            </w:pPr>
            <w:r>
              <w:rPr>
                <w:rFonts w:ascii="Arial" w:cs="Arial" w:eastAsia="Arial" w:hAnsi="Arial"/>
                <w:sz w:val="16"/>
                <w:szCs w:val="16"/>
                <w:color w:val="auto"/>
              </w:rPr>
              <w:t>616,621</w:t>
            </w:r>
          </w:p>
        </w:tc>
        <w:tc>
          <w:tcPr>
            <w:tcW w:w="0" w:type="dxa"/>
            <w:vAlign w:val="bottom"/>
          </w:tcPr>
          <w:p>
            <w:pPr>
              <w:spacing w:after="0"/>
              <w:rPr>
                <w:sz w:val="1"/>
                <w:szCs w:val="1"/>
                <w:color w:val="auto"/>
              </w:rPr>
            </w:pPr>
          </w:p>
        </w:tc>
      </w:tr>
      <w:tr>
        <w:trPr>
          <w:trHeight w:val="182"/>
        </w:trPr>
        <w:tc>
          <w:tcPr>
            <w:tcW w:w="5740" w:type="dxa"/>
            <w:vAlign w:val="bottom"/>
            <w:gridSpan w:val="2"/>
          </w:tcPr>
          <w:p>
            <w:pPr>
              <w:spacing w:after="0" w:line="182" w:lineRule="exact"/>
              <w:rPr>
                <w:sz w:val="20"/>
                <w:szCs w:val="20"/>
                <w:color w:val="auto"/>
              </w:rPr>
            </w:pPr>
            <w:r>
              <w:rPr>
                <w:rFonts w:ascii="Arial" w:cs="Arial" w:eastAsia="Arial" w:hAnsi="Arial"/>
                <w:sz w:val="16"/>
                <w:szCs w:val="16"/>
                <w:color w:val="auto"/>
              </w:rPr>
              <w:t>Other intangibles, net</w:t>
            </w:r>
          </w:p>
        </w:tc>
        <w:tc>
          <w:tcPr>
            <w:tcW w:w="80" w:type="dxa"/>
            <w:vAlign w:val="bottom"/>
            <w:shd w:val="clear" w:color="auto" w:fill="CDDEE7"/>
          </w:tcPr>
          <w:p>
            <w:pPr>
              <w:spacing w:after="0"/>
              <w:rPr>
                <w:sz w:val="15"/>
                <w:szCs w:val="15"/>
                <w:color w:val="auto"/>
              </w:rPr>
            </w:pPr>
          </w:p>
        </w:tc>
        <w:tc>
          <w:tcPr>
            <w:tcW w:w="80" w:type="dxa"/>
            <w:vAlign w:val="bottom"/>
            <w:shd w:val="clear" w:color="auto" w:fill="CDDEE7"/>
          </w:tcPr>
          <w:p>
            <w:pPr>
              <w:spacing w:after="0"/>
              <w:rPr>
                <w:sz w:val="15"/>
                <w:szCs w:val="15"/>
                <w:color w:val="auto"/>
              </w:rPr>
            </w:pPr>
          </w:p>
        </w:tc>
        <w:tc>
          <w:tcPr>
            <w:tcW w:w="900" w:type="dxa"/>
            <w:vAlign w:val="bottom"/>
            <w:shd w:val="clear" w:color="auto" w:fill="CDDEE7"/>
          </w:tcPr>
          <w:p>
            <w:pPr>
              <w:jc w:val="right"/>
              <w:ind w:right="22"/>
              <w:spacing w:after="0" w:line="182" w:lineRule="exact"/>
              <w:rPr>
                <w:sz w:val="20"/>
                <w:szCs w:val="20"/>
                <w:color w:val="auto"/>
              </w:rPr>
            </w:pPr>
            <w:r>
              <w:rPr>
                <w:rFonts w:ascii="Arial" w:cs="Arial" w:eastAsia="Arial" w:hAnsi="Arial"/>
                <w:sz w:val="16"/>
                <w:szCs w:val="16"/>
                <w:b w:val="1"/>
                <w:bCs w:val="1"/>
                <w:color w:val="auto"/>
              </w:rPr>
              <w:t>506,349</w:t>
            </w:r>
          </w:p>
        </w:tc>
        <w:tc>
          <w:tcPr>
            <w:tcW w:w="100" w:type="dxa"/>
            <w:vAlign w:val="bottom"/>
          </w:tcPr>
          <w:p>
            <w:pPr>
              <w:spacing w:after="0"/>
              <w:rPr>
                <w:sz w:val="15"/>
                <w:szCs w:val="15"/>
                <w:color w:val="auto"/>
              </w:rPr>
            </w:pPr>
          </w:p>
        </w:tc>
        <w:tc>
          <w:tcPr>
            <w:tcW w:w="180" w:type="dxa"/>
            <w:vAlign w:val="bottom"/>
            <w:shd w:val="clear" w:color="auto" w:fill="E0EBED"/>
          </w:tcPr>
          <w:p>
            <w:pPr>
              <w:spacing w:after="0"/>
              <w:rPr>
                <w:sz w:val="15"/>
                <w:szCs w:val="15"/>
                <w:color w:val="auto"/>
              </w:rPr>
            </w:pPr>
          </w:p>
        </w:tc>
        <w:tc>
          <w:tcPr>
            <w:tcW w:w="900" w:type="dxa"/>
            <w:vAlign w:val="bottom"/>
            <w:shd w:val="clear" w:color="auto" w:fill="E0EBED"/>
          </w:tcPr>
          <w:p>
            <w:pPr>
              <w:jc w:val="right"/>
              <w:ind w:right="42"/>
              <w:spacing w:after="0" w:line="182" w:lineRule="exact"/>
              <w:rPr>
                <w:sz w:val="20"/>
                <w:szCs w:val="20"/>
                <w:color w:val="auto"/>
              </w:rPr>
            </w:pPr>
            <w:r>
              <w:rPr>
                <w:rFonts w:ascii="Arial" w:cs="Arial" w:eastAsia="Arial" w:hAnsi="Arial"/>
                <w:sz w:val="16"/>
                <w:szCs w:val="16"/>
                <w:color w:val="auto"/>
              </w:rPr>
              <w:t>511,312</w:t>
            </w:r>
          </w:p>
        </w:tc>
        <w:tc>
          <w:tcPr>
            <w:tcW w:w="100" w:type="dxa"/>
            <w:vAlign w:val="bottom"/>
          </w:tcPr>
          <w:p>
            <w:pPr>
              <w:spacing w:after="0"/>
              <w:rPr>
                <w:sz w:val="15"/>
                <w:szCs w:val="15"/>
                <w:color w:val="auto"/>
              </w:rPr>
            </w:pPr>
          </w:p>
        </w:tc>
        <w:tc>
          <w:tcPr>
            <w:tcW w:w="160" w:type="dxa"/>
            <w:vAlign w:val="bottom"/>
            <w:shd w:val="clear" w:color="auto" w:fill="E0EBED"/>
          </w:tcPr>
          <w:p>
            <w:pPr>
              <w:spacing w:after="0"/>
              <w:rPr>
                <w:sz w:val="15"/>
                <w:szCs w:val="15"/>
                <w:color w:val="auto"/>
              </w:rPr>
            </w:pPr>
          </w:p>
        </w:tc>
        <w:tc>
          <w:tcPr>
            <w:tcW w:w="840" w:type="dxa"/>
            <w:vAlign w:val="bottom"/>
            <w:shd w:val="clear" w:color="auto" w:fill="E0EBED"/>
          </w:tcPr>
          <w:p>
            <w:pPr>
              <w:jc w:val="right"/>
              <w:spacing w:after="0" w:line="182" w:lineRule="exact"/>
              <w:rPr>
                <w:sz w:val="20"/>
                <w:szCs w:val="20"/>
                <w:color w:val="auto"/>
              </w:rPr>
            </w:pPr>
            <w:r>
              <w:rPr>
                <w:rFonts w:ascii="Arial" w:cs="Arial" w:eastAsia="Arial" w:hAnsi="Arial"/>
                <w:sz w:val="16"/>
                <w:szCs w:val="16"/>
                <w:color w:val="auto"/>
              </w:rPr>
              <w:t>510,552</w:t>
            </w:r>
          </w:p>
        </w:tc>
        <w:tc>
          <w:tcPr>
            <w:tcW w:w="120" w:type="dxa"/>
            <w:vAlign w:val="bottom"/>
          </w:tcPr>
          <w:p>
            <w:pPr>
              <w:spacing w:after="0"/>
              <w:rPr>
                <w:sz w:val="15"/>
                <w:szCs w:val="15"/>
                <w:color w:val="auto"/>
              </w:rPr>
            </w:pPr>
          </w:p>
        </w:tc>
        <w:tc>
          <w:tcPr>
            <w:tcW w:w="160" w:type="dxa"/>
            <w:vAlign w:val="bottom"/>
            <w:shd w:val="clear" w:color="auto" w:fill="E0EBED"/>
          </w:tcPr>
          <w:p>
            <w:pPr>
              <w:spacing w:after="0"/>
              <w:rPr>
                <w:sz w:val="15"/>
                <w:szCs w:val="15"/>
                <w:color w:val="auto"/>
              </w:rPr>
            </w:pPr>
          </w:p>
        </w:tc>
        <w:tc>
          <w:tcPr>
            <w:tcW w:w="900" w:type="dxa"/>
            <w:vAlign w:val="bottom"/>
            <w:shd w:val="clear" w:color="auto" w:fill="E0EBED"/>
          </w:tcPr>
          <w:p>
            <w:pPr>
              <w:jc w:val="right"/>
              <w:ind w:right="22"/>
              <w:spacing w:after="0" w:line="182" w:lineRule="exact"/>
              <w:rPr>
                <w:sz w:val="20"/>
                <w:szCs w:val="20"/>
                <w:color w:val="auto"/>
              </w:rPr>
            </w:pPr>
            <w:r>
              <w:rPr>
                <w:rFonts w:ascii="Arial" w:cs="Arial" w:eastAsia="Arial" w:hAnsi="Arial"/>
                <w:sz w:val="16"/>
                <w:szCs w:val="16"/>
                <w:color w:val="auto"/>
              </w:rPr>
              <w:t>595,205</w:t>
            </w:r>
          </w:p>
        </w:tc>
        <w:tc>
          <w:tcPr>
            <w:tcW w:w="100" w:type="dxa"/>
            <w:vAlign w:val="bottom"/>
          </w:tcPr>
          <w:p>
            <w:pPr>
              <w:spacing w:after="0"/>
              <w:rPr>
                <w:sz w:val="15"/>
                <w:szCs w:val="15"/>
                <w:color w:val="auto"/>
              </w:rPr>
            </w:pPr>
          </w:p>
        </w:tc>
        <w:tc>
          <w:tcPr>
            <w:tcW w:w="160" w:type="dxa"/>
            <w:vAlign w:val="bottom"/>
            <w:shd w:val="clear" w:color="auto" w:fill="E0EBED"/>
          </w:tcPr>
          <w:p>
            <w:pPr>
              <w:spacing w:after="0"/>
              <w:rPr>
                <w:sz w:val="15"/>
                <w:szCs w:val="15"/>
                <w:color w:val="auto"/>
              </w:rPr>
            </w:pPr>
          </w:p>
        </w:tc>
        <w:tc>
          <w:tcPr>
            <w:tcW w:w="900" w:type="dxa"/>
            <w:vAlign w:val="bottom"/>
            <w:shd w:val="clear" w:color="auto" w:fill="E0EBED"/>
          </w:tcPr>
          <w:p>
            <w:pPr>
              <w:jc w:val="right"/>
              <w:ind w:right="22"/>
              <w:spacing w:after="0" w:line="182" w:lineRule="exact"/>
              <w:rPr>
                <w:sz w:val="20"/>
                <w:szCs w:val="20"/>
                <w:color w:val="auto"/>
              </w:rPr>
            </w:pPr>
            <w:r>
              <w:rPr>
                <w:rFonts w:ascii="Arial" w:cs="Arial" w:eastAsia="Arial" w:hAnsi="Arial"/>
                <w:sz w:val="16"/>
                <w:szCs w:val="16"/>
                <w:color w:val="auto"/>
              </w:rPr>
              <w:t>48,591</w:t>
            </w:r>
          </w:p>
        </w:tc>
        <w:tc>
          <w:tcPr>
            <w:tcW w:w="0" w:type="dxa"/>
            <w:vAlign w:val="bottom"/>
          </w:tcPr>
          <w:p>
            <w:pPr>
              <w:spacing w:after="0"/>
              <w:rPr>
                <w:sz w:val="1"/>
                <w:szCs w:val="1"/>
                <w:color w:val="auto"/>
              </w:rPr>
            </w:pPr>
          </w:p>
        </w:tc>
      </w:tr>
      <w:tr>
        <w:trPr>
          <w:trHeight w:val="198"/>
        </w:trPr>
        <w:tc>
          <w:tcPr>
            <w:tcW w:w="5740" w:type="dxa"/>
            <w:vAlign w:val="bottom"/>
            <w:tcBorders>
              <w:bottom w:val="single" w:sz="8" w:color="auto"/>
            </w:tcBorders>
            <w:gridSpan w:val="2"/>
          </w:tcPr>
          <w:p>
            <w:pPr>
              <w:spacing w:after="0" w:line="198" w:lineRule="exact"/>
              <w:rPr>
                <w:sz w:val="20"/>
                <w:szCs w:val="20"/>
                <w:color w:val="auto"/>
              </w:rPr>
            </w:pPr>
            <w:r>
              <w:rPr>
                <w:rFonts w:ascii="Arial" w:cs="Arial" w:eastAsia="Arial" w:hAnsi="Arial"/>
                <w:sz w:val="14"/>
                <w:szCs w:val="14"/>
                <w:color w:val="auto"/>
              </w:rPr>
              <w:t>Other noncurrent assets</w:t>
            </w:r>
            <w:r>
              <w:rPr>
                <w:rFonts w:ascii="Arial" w:cs="Arial" w:eastAsia="Arial" w:hAnsi="Arial"/>
                <w:sz w:val="22"/>
                <w:szCs w:val="22"/>
                <w:color w:val="auto"/>
                <w:vertAlign w:val="superscript"/>
              </w:rPr>
              <w:t>2</w:t>
            </w:r>
          </w:p>
        </w:tc>
        <w:tc>
          <w:tcPr>
            <w:tcW w:w="80" w:type="dxa"/>
            <w:vAlign w:val="bottom"/>
            <w:tcBorders>
              <w:bottom w:val="single" w:sz="8" w:color="auto"/>
            </w:tcBorders>
            <w:shd w:val="clear" w:color="auto" w:fill="CDDEE7"/>
          </w:tcPr>
          <w:p>
            <w:pPr>
              <w:spacing w:after="0"/>
              <w:rPr>
                <w:sz w:val="17"/>
                <w:szCs w:val="17"/>
                <w:color w:val="auto"/>
              </w:rPr>
            </w:pPr>
          </w:p>
        </w:tc>
        <w:tc>
          <w:tcPr>
            <w:tcW w:w="80" w:type="dxa"/>
            <w:vAlign w:val="bottom"/>
            <w:tcBorders>
              <w:bottom w:val="single" w:sz="8" w:color="auto"/>
            </w:tcBorders>
            <w:shd w:val="clear" w:color="auto" w:fill="CDDEE7"/>
          </w:tcPr>
          <w:p>
            <w:pPr>
              <w:spacing w:after="0"/>
              <w:rPr>
                <w:sz w:val="17"/>
                <w:szCs w:val="17"/>
                <w:color w:val="auto"/>
              </w:rPr>
            </w:pPr>
          </w:p>
        </w:tc>
        <w:tc>
          <w:tcPr>
            <w:tcW w:w="900" w:type="dxa"/>
            <w:vAlign w:val="bottom"/>
            <w:tcBorders>
              <w:bottom w:val="single" w:sz="8" w:color="auto"/>
            </w:tcBorders>
            <w:shd w:val="clear" w:color="auto" w:fill="CDDEE7"/>
          </w:tcPr>
          <w:p>
            <w:pPr>
              <w:jc w:val="right"/>
              <w:ind w:right="22"/>
              <w:spacing w:after="0"/>
              <w:rPr>
                <w:sz w:val="20"/>
                <w:szCs w:val="20"/>
                <w:color w:val="auto"/>
              </w:rPr>
            </w:pPr>
            <w:r>
              <w:rPr>
                <w:rFonts w:ascii="Arial" w:cs="Arial" w:eastAsia="Arial" w:hAnsi="Arial"/>
                <w:sz w:val="16"/>
                <w:szCs w:val="16"/>
                <w:b w:val="1"/>
                <w:bCs w:val="1"/>
                <w:color w:val="auto"/>
              </w:rPr>
              <w:t>101,899</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shd w:val="clear" w:color="auto" w:fill="E0EBED"/>
          </w:tcPr>
          <w:p>
            <w:pPr>
              <w:spacing w:after="0"/>
              <w:rPr>
                <w:sz w:val="17"/>
                <w:szCs w:val="17"/>
                <w:color w:val="auto"/>
              </w:rPr>
            </w:pPr>
          </w:p>
        </w:tc>
        <w:tc>
          <w:tcPr>
            <w:tcW w:w="900" w:type="dxa"/>
            <w:vAlign w:val="bottom"/>
            <w:tcBorders>
              <w:bottom w:val="single" w:sz="8" w:color="auto"/>
            </w:tcBorders>
            <w:shd w:val="clear" w:color="auto" w:fill="E0EBED"/>
          </w:tcPr>
          <w:p>
            <w:pPr>
              <w:jc w:val="right"/>
              <w:ind w:right="42"/>
              <w:spacing w:after="0"/>
              <w:rPr>
                <w:sz w:val="20"/>
                <w:szCs w:val="20"/>
                <w:color w:val="auto"/>
              </w:rPr>
            </w:pPr>
            <w:r>
              <w:rPr>
                <w:rFonts w:ascii="Arial" w:cs="Arial" w:eastAsia="Arial" w:hAnsi="Arial"/>
                <w:sz w:val="16"/>
                <w:szCs w:val="16"/>
                <w:color w:val="auto"/>
              </w:rPr>
              <w:t>120,476</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shd w:val="clear" w:color="auto" w:fill="E0EBED"/>
          </w:tcPr>
          <w:p>
            <w:pPr>
              <w:spacing w:after="0"/>
              <w:rPr>
                <w:sz w:val="17"/>
                <w:szCs w:val="17"/>
                <w:color w:val="auto"/>
              </w:rPr>
            </w:pPr>
          </w:p>
        </w:tc>
        <w:tc>
          <w:tcPr>
            <w:tcW w:w="840" w:type="dxa"/>
            <w:vAlign w:val="bottom"/>
            <w:tcBorders>
              <w:bottom w:val="single" w:sz="8" w:color="auto"/>
            </w:tcBorders>
            <w:shd w:val="clear" w:color="auto" w:fill="E0EBED"/>
          </w:tcPr>
          <w:p>
            <w:pPr>
              <w:jc w:val="right"/>
              <w:spacing w:after="0"/>
              <w:rPr>
                <w:sz w:val="20"/>
                <w:szCs w:val="20"/>
                <w:color w:val="auto"/>
              </w:rPr>
            </w:pPr>
            <w:r>
              <w:rPr>
                <w:rFonts w:ascii="Arial" w:cs="Arial" w:eastAsia="Arial" w:hAnsi="Arial"/>
                <w:sz w:val="16"/>
                <w:szCs w:val="16"/>
                <w:color w:val="auto"/>
              </w:rPr>
              <w:t>141,189</w:t>
            </w: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shd w:val="clear" w:color="auto" w:fill="E0EBED"/>
          </w:tcPr>
          <w:p>
            <w:pPr>
              <w:spacing w:after="0"/>
              <w:rPr>
                <w:sz w:val="17"/>
                <w:szCs w:val="17"/>
                <w:color w:val="auto"/>
              </w:rPr>
            </w:pPr>
          </w:p>
        </w:tc>
        <w:tc>
          <w:tcPr>
            <w:tcW w:w="900" w:type="dxa"/>
            <w:vAlign w:val="bottom"/>
            <w:tcBorders>
              <w:bottom w:val="single" w:sz="8" w:color="auto"/>
            </w:tcBorders>
            <w:shd w:val="clear" w:color="auto" w:fill="E0EBED"/>
          </w:tcPr>
          <w:p>
            <w:pPr>
              <w:jc w:val="right"/>
              <w:ind w:right="22"/>
              <w:spacing w:after="0"/>
              <w:rPr>
                <w:sz w:val="20"/>
                <w:szCs w:val="20"/>
                <w:color w:val="auto"/>
              </w:rPr>
            </w:pPr>
            <w:r>
              <w:rPr>
                <w:rFonts w:ascii="Arial" w:cs="Arial" w:eastAsia="Arial" w:hAnsi="Arial"/>
                <w:sz w:val="16"/>
                <w:szCs w:val="16"/>
                <w:color w:val="auto"/>
              </w:rPr>
              <w:t>104,097</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shd w:val="clear" w:color="auto" w:fill="E0EBED"/>
          </w:tcPr>
          <w:p>
            <w:pPr>
              <w:spacing w:after="0"/>
              <w:rPr>
                <w:sz w:val="17"/>
                <w:szCs w:val="17"/>
                <w:color w:val="auto"/>
              </w:rPr>
            </w:pPr>
          </w:p>
        </w:tc>
        <w:tc>
          <w:tcPr>
            <w:tcW w:w="900" w:type="dxa"/>
            <w:vAlign w:val="bottom"/>
            <w:tcBorders>
              <w:bottom w:val="single" w:sz="8" w:color="auto"/>
            </w:tcBorders>
            <w:shd w:val="clear" w:color="auto" w:fill="E0EBED"/>
          </w:tcPr>
          <w:p>
            <w:pPr>
              <w:jc w:val="right"/>
              <w:ind w:right="22"/>
              <w:spacing w:after="0"/>
              <w:rPr>
                <w:sz w:val="20"/>
                <w:szCs w:val="20"/>
                <w:color w:val="auto"/>
              </w:rPr>
            </w:pPr>
            <w:r>
              <w:rPr>
                <w:rFonts w:ascii="Arial" w:cs="Arial" w:eastAsia="Arial" w:hAnsi="Arial"/>
                <w:sz w:val="16"/>
                <w:szCs w:val="16"/>
                <w:color w:val="auto"/>
              </w:rPr>
              <w:t>36,738</w:t>
            </w:r>
          </w:p>
        </w:tc>
        <w:tc>
          <w:tcPr>
            <w:tcW w:w="0" w:type="dxa"/>
            <w:vAlign w:val="bottom"/>
          </w:tcPr>
          <w:p>
            <w:pPr>
              <w:spacing w:after="0"/>
              <w:rPr>
                <w:sz w:val="1"/>
                <w:szCs w:val="1"/>
                <w:color w:val="auto"/>
              </w:rPr>
            </w:pPr>
          </w:p>
        </w:tc>
      </w:tr>
      <w:tr>
        <w:trPr>
          <w:trHeight w:val="181"/>
        </w:trPr>
        <w:tc>
          <w:tcPr>
            <w:tcW w:w="5740" w:type="dxa"/>
            <w:vAlign w:val="bottom"/>
            <w:tcBorders>
              <w:bottom w:val="single" w:sz="8" w:color="auto"/>
            </w:tcBorders>
            <w:gridSpan w:val="2"/>
          </w:tcPr>
          <w:p>
            <w:pPr>
              <w:spacing w:after="0" w:line="175" w:lineRule="exact"/>
              <w:rPr>
                <w:sz w:val="20"/>
                <w:szCs w:val="20"/>
                <w:color w:val="auto"/>
              </w:rPr>
            </w:pPr>
            <w:r>
              <w:rPr>
                <w:rFonts w:ascii="Arial" w:cs="Arial" w:eastAsia="Arial" w:hAnsi="Arial"/>
                <w:sz w:val="16"/>
                <w:szCs w:val="16"/>
                <w:b w:val="1"/>
                <w:bCs w:val="1"/>
                <w:color w:val="auto"/>
              </w:rPr>
              <w:t>Total Assets</w:t>
            </w:r>
          </w:p>
        </w:tc>
        <w:tc>
          <w:tcPr>
            <w:tcW w:w="80" w:type="dxa"/>
            <w:vAlign w:val="bottom"/>
            <w:tcBorders>
              <w:bottom w:val="single" w:sz="8" w:color="auto"/>
            </w:tcBorders>
            <w:shd w:val="clear" w:color="auto" w:fill="CDDEE7"/>
          </w:tcPr>
          <w:p>
            <w:pPr>
              <w:spacing w:after="0"/>
              <w:rPr>
                <w:sz w:val="15"/>
                <w:szCs w:val="15"/>
                <w:color w:val="auto"/>
              </w:rPr>
            </w:pPr>
          </w:p>
        </w:tc>
        <w:tc>
          <w:tcPr>
            <w:tcW w:w="80" w:type="dxa"/>
            <w:vAlign w:val="bottom"/>
            <w:tcBorders>
              <w:bottom w:val="single" w:sz="8" w:color="auto"/>
            </w:tcBorders>
            <w:shd w:val="clear" w:color="auto" w:fill="CDDEE7"/>
          </w:tcPr>
          <w:p>
            <w:pPr>
              <w:jc w:val="right"/>
              <w:spacing w:after="0"/>
              <w:rPr>
                <w:sz w:val="20"/>
                <w:szCs w:val="20"/>
                <w:color w:val="auto"/>
              </w:rPr>
            </w:pPr>
            <w:r>
              <w:rPr>
                <w:rFonts w:ascii="Arial" w:cs="Arial" w:eastAsia="Arial" w:hAnsi="Arial"/>
                <w:sz w:val="14"/>
                <w:szCs w:val="14"/>
                <w:b w:val="1"/>
                <w:bCs w:val="1"/>
                <w:color w:val="auto"/>
                <w:w w:val="76"/>
              </w:rPr>
              <w:t>$</w:t>
            </w:r>
          </w:p>
        </w:tc>
        <w:tc>
          <w:tcPr>
            <w:tcW w:w="900" w:type="dxa"/>
            <w:vAlign w:val="bottom"/>
            <w:tcBorders>
              <w:bottom w:val="single" w:sz="8" w:color="auto"/>
            </w:tcBorders>
            <w:shd w:val="clear" w:color="auto" w:fill="CDDEE7"/>
          </w:tcPr>
          <w:p>
            <w:pPr>
              <w:jc w:val="right"/>
              <w:ind w:right="22"/>
              <w:spacing w:after="0" w:line="175" w:lineRule="exact"/>
              <w:rPr>
                <w:sz w:val="20"/>
                <w:szCs w:val="20"/>
                <w:color w:val="auto"/>
              </w:rPr>
            </w:pPr>
            <w:r>
              <w:rPr>
                <w:rFonts w:ascii="Arial" w:cs="Arial" w:eastAsia="Arial" w:hAnsi="Arial"/>
                <w:sz w:val="16"/>
                <w:szCs w:val="16"/>
                <w:b w:val="1"/>
                <w:bCs w:val="1"/>
                <w:color w:val="auto"/>
              </w:rPr>
              <w:t>8,992,511</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shd w:val="clear" w:color="auto" w:fill="E0EBED"/>
          </w:tcPr>
          <w:p>
            <w:pPr>
              <w:jc w:val="right"/>
              <w:spacing w:after="0" w:line="175"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E0EBED"/>
          </w:tcPr>
          <w:p>
            <w:pPr>
              <w:jc w:val="right"/>
              <w:ind w:right="42"/>
              <w:spacing w:after="0" w:line="175" w:lineRule="exact"/>
              <w:rPr>
                <w:sz w:val="20"/>
                <w:szCs w:val="20"/>
                <w:color w:val="auto"/>
              </w:rPr>
            </w:pPr>
            <w:r>
              <w:rPr>
                <w:rFonts w:ascii="Arial" w:cs="Arial" w:eastAsia="Arial" w:hAnsi="Arial"/>
                <w:sz w:val="16"/>
                <w:szCs w:val="16"/>
                <w:color w:val="auto"/>
              </w:rPr>
              <w:t>7,300,905</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shd w:val="clear" w:color="auto" w:fill="E0EBED"/>
          </w:tcPr>
          <w:p>
            <w:pPr>
              <w:jc w:val="right"/>
              <w:spacing w:after="0" w:line="175"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E0EBED"/>
          </w:tcPr>
          <w:p>
            <w:pPr>
              <w:jc w:val="right"/>
              <w:spacing w:after="0" w:line="175" w:lineRule="exact"/>
              <w:rPr>
                <w:sz w:val="20"/>
                <w:szCs w:val="20"/>
                <w:color w:val="auto"/>
              </w:rPr>
            </w:pPr>
            <w:r>
              <w:rPr>
                <w:rFonts w:ascii="Arial" w:cs="Arial" w:eastAsia="Arial" w:hAnsi="Arial"/>
                <w:sz w:val="16"/>
                <w:szCs w:val="16"/>
                <w:color w:val="auto"/>
              </w:rPr>
              <w:t>6,957,611</w:t>
            </w: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shd w:val="clear" w:color="auto" w:fill="E0EBED"/>
          </w:tcPr>
          <w:p>
            <w:pPr>
              <w:jc w:val="right"/>
              <w:spacing w:after="0" w:line="175"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E0EBED"/>
          </w:tcPr>
          <w:p>
            <w:pPr>
              <w:jc w:val="right"/>
              <w:ind w:right="22"/>
              <w:spacing w:after="0" w:line="175" w:lineRule="exact"/>
              <w:rPr>
                <w:sz w:val="20"/>
                <w:szCs w:val="20"/>
                <w:color w:val="auto"/>
              </w:rPr>
            </w:pPr>
            <w:r>
              <w:rPr>
                <w:rFonts w:ascii="Arial" w:cs="Arial" w:eastAsia="Arial" w:hAnsi="Arial"/>
                <w:sz w:val="16"/>
                <w:szCs w:val="16"/>
                <w:color w:val="auto"/>
              </w:rPr>
              <w:t>7,214,517</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shd w:val="clear" w:color="auto" w:fill="E0EBED"/>
          </w:tcPr>
          <w:p>
            <w:pPr>
              <w:jc w:val="right"/>
              <w:spacing w:after="0" w:line="175"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E0EBED"/>
          </w:tcPr>
          <w:p>
            <w:pPr>
              <w:jc w:val="right"/>
              <w:ind w:right="22"/>
              <w:spacing w:after="0" w:line="175" w:lineRule="exact"/>
              <w:rPr>
                <w:sz w:val="20"/>
                <w:szCs w:val="20"/>
                <w:color w:val="auto"/>
              </w:rPr>
            </w:pPr>
            <w:r>
              <w:rPr>
                <w:rFonts w:ascii="Arial" w:cs="Arial" w:eastAsia="Arial" w:hAnsi="Arial"/>
                <w:sz w:val="16"/>
                <w:szCs w:val="16"/>
                <w:color w:val="auto"/>
              </w:rPr>
              <w:t>3,181,271</w:t>
            </w:r>
          </w:p>
        </w:tc>
        <w:tc>
          <w:tcPr>
            <w:tcW w:w="0" w:type="dxa"/>
            <w:vAlign w:val="bottom"/>
          </w:tcPr>
          <w:p>
            <w:pPr>
              <w:spacing w:after="0"/>
              <w:rPr>
                <w:sz w:val="1"/>
                <w:szCs w:val="1"/>
                <w:color w:val="auto"/>
              </w:rPr>
            </w:pPr>
          </w:p>
        </w:tc>
      </w:tr>
      <w:tr>
        <w:trPr>
          <w:trHeight w:val="166"/>
        </w:trPr>
        <w:tc>
          <w:tcPr>
            <w:tcW w:w="5740" w:type="dxa"/>
            <w:vAlign w:val="bottom"/>
            <w:gridSpan w:val="2"/>
          </w:tcPr>
          <w:p>
            <w:pPr>
              <w:spacing w:after="0" w:line="165" w:lineRule="exact"/>
              <w:rPr>
                <w:sz w:val="20"/>
                <w:szCs w:val="20"/>
                <w:color w:val="auto"/>
              </w:rPr>
            </w:pPr>
            <w:r>
              <w:rPr>
                <w:rFonts w:ascii="Arial" w:cs="Arial" w:eastAsia="Arial" w:hAnsi="Arial"/>
                <w:sz w:val="16"/>
                <w:szCs w:val="16"/>
                <w:color w:val="auto"/>
              </w:rPr>
              <w:t>Current liabilities – other</w:t>
            </w:r>
          </w:p>
        </w:tc>
        <w:tc>
          <w:tcPr>
            <w:tcW w:w="80" w:type="dxa"/>
            <w:vAlign w:val="bottom"/>
            <w:shd w:val="clear" w:color="auto" w:fill="CDDEE7"/>
          </w:tcPr>
          <w:p>
            <w:pPr>
              <w:spacing w:after="0"/>
              <w:rPr>
                <w:sz w:val="14"/>
                <w:szCs w:val="14"/>
                <w:color w:val="auto"/>
              </w:rPr>
            </w:pPr>
          </w:p>
        </w:tc>
        <w:tc>
          <w:tcPr>
            <w:tcW w:w="80" w:type="dxa"/>
            <w:vAlign w:val="bottom"/>
            <w:shd w:val="clear" w:color="auto" w:fill="CDDEE7"/>
          </w:tcPr>
          <w:p>
            <w:pPr>
              <w:jc w:val="right"/>
              <w:spacing w:after="0"/>
              <w:rPr>
                <w:sz w:val="20"/>
                <w:szCs w:val="20"/>
                <w:color w:val="auto"/>
              </w:rPr>
            </w:pPr>
            <w:r>
              <w:rPr>
                <w:rFonts w:ascii="Arial" w:cs="Arial" w:eastAsia="Arial" w:hAnsi="Arial"/>
                <w:sz w:val="14"/>
                <w:szCs w:val="14"/>
                <w:b w:val="1"/>
                <w:bCs w:val="1"/>
                <w:color w:val="auto"/>
                <w:w w:val="76"/>
              </w:rPr>
              <w:t>$</w:t>
            </w:r>
          </w:p>
        </w:tc>
        <w:tc>
          <w:tcPr>
            <w:tcW w:w="900" w:type="dxa"/>
            <w:vAlign w:val="bottom"/>
            <w:shd w:val="clear" w:color="auto" w:fill="CDDEE7"/>
          </w:tcPr>
          <w:p>
            <w:pPr>
              <w:jc w:val="right"/>
              <w:ind w:right="22"/>
              <w:spacing w:after="0" w:line="165" w:lineRule="exact"/>
              <w:rPr>
                <w:sz w:val="20"/>
                <w:szCs w:val="20"/>
                <w:color w:val="auto"/>
              </w:rPr>
            </w:pPr>
            <w:r>
              <w:rPr>
                <w:rFonts w:ascii="Arial" w:cs="Arial" w:eastAsia="Arial" w:hAnsi="Arial"/>
                <w:sz w:val="16"/>
                <w:szCs w:val="16"/>
                <w:b w:val="1"/>
                <w:bCs w:val="1"/>
                <w:color w:val="auto"/>
              </w:rPr>
              <w:t>394,307</w:t>
            </w:r>
          </w:p>
        </w:tc>
        <w:tc>
          <w:tcPr>
            <w:tcW w:w="100" w:type="dxa"/>
            <w:vAlign w:val="bottom"/>
          </w:tcPr>
          <w:p>
            <w:pPr>
              <w:spacing w:after="0"/>
              <w:rPr>
                <w:sz w:val="14"/>
                <w:szCs w:val="14"/>
                <w:color w:val="auto"/>
              </w:rPr>
            </w:pPr>
          </w:p>
        </w:tc>
        <w:tc>
          <w:tcPr>
            <w:tcW w:w="180" w:type="dxa"/>
            <w:vAlign w:val="bottom"/>
            <w:shd w:val="clear" w:color="auto" w:fill="E0EBED"/>
          </w:tcPr>
          <w:p>
            <w:pPr>
              <w:jc w:val="right"/>
              <w:spacing w:after="0" w:line="165" w:lineRule="exact"/>
              <w:rPr>
                <w:sz w:val="20"/>
                <w:szCs w:val="20"/>
                <w:color w:val="auto"/>
              </w:rPr>
            </w:pPr>
            <w:r>
              <w:rPr>
                <w:rFonts w:ascii="Arial" w:cs="Arial" w:eastAsia="Arial" w:hAnsi="Arial"/>
                <w:sz w:val="16"/>
                <w:szCs w:val="16"/>
                <w:color w:val="auto"/>
              </w:rPr>
              <w:t>$</w:t>
            </w:r>
          </w:p>
        </w:tc>
        <w:tc>
          <w:tcPr>
            <w:tcW w:w="900" w:type="dxa"/>
            <w:vAlign w:val="bottom"/>
            <w:shd w:val="clear" w:color="auto" w:fill="E0EBED"/>
          </w:tcPr>
          <w:p>
            <w:pPr>
              <w:jc w:val="right"/>
              <w:ind w:right="42"/>
              <w:spacing w:after="0" w:line="165" w:lineRule="exact"/>
              <w:rPr>
                <w:sz w:val="20"/>
                <w:szCs w:val="20"/>
                <w:color w:val="auto"/>
              </w:rPr>
            </w:pPr>
            <w:r>
              <w:rPr>
                <w:rFonts w:ascii="Arial" w:cs="Arial" w:eastAsia="Arial" w:hAnsi="Arial"/>
                <w:sz w:val="16"/>
                <w:szCs w:val="16"/>
                <w:color w:val="auto"/>
              </w:rPr>
              <w:t>366,552</w:t>
            </w:r>
          </w:p>
        </w:tc>
        <w:tc>
          <w:tcPr>
            <w:tcW w:w="100" w:type="dxa"/>
            <w:vAlign w:val="bottom"/>
          </w:tcPr>
          <w:p>
            <w:pPr>
              <w:spacing w:after="0"/>
              <w:rPr>
                <w:sz w:val="14"/>
                <w:szCs w:val="14"/>
                <w:color w:val="auto"/>
              </w:rPr>
            </w:pPr>
          </w:p>
        </w:tc>
        <w:tc>
          <w:tcPr>
            <w:tcW w:w="160" w:type="dxa"/>
            <w:vAlign w:val="bottom"/>
            <w:shd w:val="clear" w:color="auto" w:fill="E0EBED"/>
          </w:tcPr>
          <w:p>
            <w:pPr>
              <w:jc w:val="right"/>
              <w:spacing w:after="0" w:line="165" w:lineRule="exact"/>
              <w:rPr>
                <w:sz w:val="20"/>
                <w:szCs w:val="20"/>
                <w:color w:val="auto"/>
              </w:rPr>
            </w:pPr>
            <w:r>
              <w:rPr>
                <w:rFonts w:ascii="Arial" w:cs="Arial" w:eastAsia="Arial" w:hAnsi="Arial"/>
                <w:sz w:val="16"/>
                <w:szCs w:val="16"/>
                <w:color w:val="auto"/>
              </w:rPr>
              <w:t>$</w:t>
            </w:r>
          </w:p>
        </w:tc>
        <w:tc>
          <w:tcPr>
            <w:tcW w:w="840" w:type="dxa"/>
            <w:vAlign w:val="bottom"/>
            <w:shd w:val="clear" w:color="auto" w:fill="E0EBED"/>
          </w:tcPr>
          <w:p>
            <w:pPr>
              <w:jc w:val="right"/>
              <w:spacing w:after="0" w:line="165" w:lineRule="exact"/>
              <w:rPr>
                <w:sz w:val="20"/>
                <w:szCs w:val="20"/>
                <w:color w:val="auto"/>
              </w:rPr>
            </w:pPr>
            <w:r>
              <w:rPr>
                <w:rFonts w:ascii="Arial" w:cs="Arial" w:eastAsia="Arial" w:hAnsi="Arial"/>
                <w:sz w:val="16"/>
                <w:szCs w:val="16"/>
                <w:color w:val="auto"/>
              </w:rPr>
              <w:t>347,945</w:t>
            </w:r>
          </w:p>
        </w:tc>
        <w:tc>
          <w:tcPr>
            <w:tcW w:w="120" w:type="dxa"/>
            <w:vAlign w:val="bottom"/>
          </w:tcPr>
          <w:p>
            <w:pPr>
              <w:spacing w:after="0"/>
              <w:rPr>
                <w:sz w:val="14"/>
                <w:szCs w:val="14"/>
                <w:color w:val="auto"/>
              </w:rPr>
            </w:pPr>
          </w:p>
        </w:tc>
        <w:tc>
          <w:tcPr>
            <w:tcW w:w="160" w:type="dxa"/>
            <w:vAlign w:val="bottom"/>
            <w:shd w:val="clear" w:color="auto" w:fill="E0EBED"/>
          </w:tcPr>
          <w:p>
            <w:pPr>
              <w:jc w:val="right"/>
              <w:spacing w:after="0" w:line="165" w:lineRule="exact"/>
              <w:rPr>
                <w:sz w:val="20"/>
                <w:szCs w:val="20"/>
                <w:color w:val="auto"/>
              </w:rPr>
            </w:pPr>
            <w:r>
              <w:rPr>
                <w:rFonts w:ascii="Arial" w:cs="Arial" w:eastAsia="Arial" w:hAnsi="Arial"/>
                <w:sz w:val="16"/>
                <w:szCs w:val="16"/>
                <w:color w:val="auto"/>
              </w:rPr>
              <w:t>$</w:t>
            </w:r>
          </w:p>
        </w:tc>
        <w:tc>
          <w:tcPr>
            <w:tcW w:w="900" w:type="dxa"/>
            <w:vAlign w:val="bottom"/>
            <w:shd w:val="clear" w:color="auto" w:fill="E0EBED"/>
          </w:tcPr>
          <w:p>
            <w:pPr>
              <w:jc w:val="right"/>
              <w:ind w:right="22"/>
              <w:spacing w:after="0" w:line="165" w:lineRule="exact"/>
              <w:rPr>
                <w:sz w:val="20"/>
                <w:szCs w:val="20"/>
                <w:color w:val="auto"/>
              </w:rPr>
            </w:pPr>
            <w:r>
              <w:rPr>
                <w:rFonts w:ascii="Arial" w:cs="Arial" w:eastAsia="Arial" w:hAnsi="Arial"/>
                <w:sz w:val="16"/>
                <w:szCs w:val="16"/>
                <w:color w:val="auto"/>
              </w:rPr>
              <w:t>382,312</w:t>
            </w:r>
          </w:p>
        </w:tc>
        <w:tc>
          <w:tcPr>
            <w:tcW w:w="100" w:type="dxa"/>
            <w:vAlign w:val="bottom"/>
          </w:tcPr>
          <w:p>
            <w:pPr>
              <w:spacing w:after="0"/>
              <w:rPr>
                <w:sz w:val="14"/>
                <w:szCs w:val="14"/>
                <w:color w:val="auto"/>
              </w:rPr>
            </w:pPr>
          </w:p>
        </w:tc>
        <w:tc>
          <w:tcPr>
            <w:tcW w:w="160" w:type="dxa"/>
            <w:vAlign w:val="bottom"/>
            <w:shd w:val="clear" w:color="auto" w:fill="E0EBED"/>
          </w:tcPr>
          <w:p>
            <w:pPr>
              <w:jc w:val="right"/>
              <w:spacing w:after="0" w:line="165" w:lineRule="exact"/>
              <w:rPr>
                <w:sz w:val="20"/>
                <w:szCs w:val="20"/>
                <w:color w:val="auto"/>
              </w:rPr>
            </w:pPr>
            <w:r>
              <w:rPr>
                <w:rFonts w:ascii="Arial" w:cs="Arial" w:eastAsia="Arial" w:hAnsi="Arial"/>
                <w:sz w:val="16"/>
                <w:szCs w:val="16"/>
                <w:color w:val="auto"/>
              </w:rPr>
              <w:t>$</w:t>
            </w:r>
          </w:p>
        </w:tc>
        <w:tc>
          <w:tcPr>
            <w:tcW w:w="900" w:type="dxa"/>
            <w:vAlign w:val="bottom"/>
            <w:shd w:val="clear" w:color="auto" w:fill="E0EBED"/>
          </w:tcPr>
          <w:p>
            <w:pPr>
              <w:jc w:val="right"/>
              <w:ind w:right="22"/>
              <w:spacing w:after="0" w:line="165" w:lineRule="exact"/>
              <w:rPr>
                <w:sz w:val="20"/>
                <w:szCs w:val="20"/>
                <w:color w:val="auto"/>
              </w:rPr>
            </w:pPr>
            <w:r>
              <w:rPr>
                <w:rFonts w:ascii="Arial" w:cs="Arial" w:eastAsia="Arial" w:hAnsi="Arial"/>
                <w:sz w:val="16"/>
                <w:szCs w:val="16"/>
                <w:color w:val="auto"/>
              </w:rPr>
              <w:t>198,146</w:t>
            </w:r>
          </w:p>
        </w:tc>
        <w:tc>
          <w:tcPr>
            <w:tcW w:w="0" w:type="dxa"/>
            <w:vAlign w:val="bottom"/>
          </w:tcPr>
          <w:p>
            <w:pPr>
              <w:spacing w:after="0"/>
              <w:rPr>
                <w:sz w:val="1"/>
                <w:szCs w:val="1"/>
                <w:color w:val="auto"/>
              </w:rPr>
            </w:pPr>
          </w:p>
        </w:tc>
      </w:tr>
      <w:tr>
        <w:trPr>
          <w:trHeight w:val="182"/>
        </w:trPr>
        <w:tc>
          <w:tcPr>
            <w:tcW w:w="5740" w:type="dxa"/>
            <w:vAlign w:val="bottom"/>
            <w:gridSpan w:val="2"/>
          </w:tcPr>
          <w:p>
            <w:pPr>
              <w:spacing w:after="0" w:line="182" w:lineRule="exact"/>
              <w:rPr>
                <w:sz w:val="20"/>
                <w:szCs w:val="20"/>
                <w:color w:val="auto"/>
              </w:rPr>
            </w:pPr>
            <w:r>
              <w:rPr>
                <w:rFonts w:ascii="Arial" w:cs="Arial" w:eastAsia="Arial" w:hAnsi="Arial"/>
                <w:sz w:val="13"/>
                <w:szCs w:val="13"/>
                <w:color w:val="auto"/>
              </w:rPr>
              <w:t>Current maturities of long-term debt</w:t>
            </w:r>
            <w:r>
              <w:rPr>
                <w:rFonts w:ascii="Arial" w:cs="Arial" w:eastAsia="Arial" w:hAnsi="Arial"/>
                <w:sz w:val="21"/>
                <w:szCs w:val="21"/>
                <w:color w:val="auto"/>
                <w:vertAlign w:val="superscript"/>
              </w:rPr>
              <w:t>2</w:t>
            </w:r>
          </w:p>
        </w:tc>
        <w:tc>
          <w:tcPr>
            <w:tcW w:w="80" w:type="dxa"/>
            <w:vAlign w:val="bottom"/>
            <w:shd w:val="clear" w:color="auto" w:fill="CDDEE7"/>
          </w:tcPr>
          <w:p>
            <w:pPr>
              <w:spacing w:after="0"/>
              <w:rPr>
                <w:sz w:val="15"/>
                <w:szCs w:val="15"/>
                <w:color w:val="auto"/>
              </w:rPr>
            </w:pPr>
          </w:p>
        </w:tc>
        <w:tc>
          <w:tcPr>
            <w:tcW w:w="80" w:type="dxa"/>
            <w:vAlign w:val="bottom"/>
            <w:shd w:val="clear" w:color="auto" w:fill="CDDEE7"/>
          </w:tcPr>
          <w:p>
            <w:pPr>
              <w:spacing w:after="0"/>
              <w:rPr>
                <w:sz w:val="15"/>
                <w:szCs w:val="15"/>
                <w:color w:val="auto"/>
              </w:rPr>
            </w:pPr>
          </w:p>
        </w:tc>
        <w:tc>
          <w:tcPr>
            <w:tcW w:w="900" w:type="dxa"/>
            <w:vAlign w:val="bottom"/>
            <w:shd w:val="clear" w:color="auto" w:fill="CDDEE7"/>
          </w:tcPr>
          <w:p>
            <w:pPr>
              <w:jc w:val="right"/>
              <w:ind w:right="22"/>
              <w:spacing w:after="0" w:line="182" w:lineRule="exact"/>
              <w:rPr>
                <w:sz w:val="20"/>
                <w:szCs w:val="20"/>
                <w:color w:val="auto"/>
              </w:rPr>
            </w:pPr>
            <w:r>
              <w:rPr>
                <w:rFonts w:ascii="Arial" w:cs="Arial" w:eastAsia="Arial" w:hAnsi="Arial"/>
                <w:sz w:val="16"/>
                <w:szCs w:val="16"/>
                <w:b w:val="1"/>
                <w:bCs w:val="1"/>
                <w:color w:val="auto"/>
              </w:rPr>
              <w:t>299,909</w:t>
            </w:r>
          </w:p>
        </w:tc>
        <w:tc>
          <w:tcPr>
            <w:tcW w:w="100" w:type="dxa"/>
            <w:vAlign w:val="bottom"/>
          </w:tcPr>
          <w:p>
            <w:pPr>
              <w:spacing w:after="0"/>
              <w:rPr>
                <w:sz w:val="15"/>
                <w:szCs w:val="15"/>
                <w:color w:val="auto"/>
              </w:rPr>
            </w:pPr>
          </w:p>
        </w:tc>
        <w:tc>
          <w:tcPr>
            <w:tcW w:w="180" w:type="dxa"/>
            <w:vAlign w:val="bottom"/>
            <w:shd w:val="clear" w:color="auto" w:fill="E0EBED"/>
          </w:tcPr>
          <w:p>
            <w:pPr>
              <w:spacing w:after="0"/>
              <w:rPr>
                <w:sz w:val="15"/>
                <w:szCs w:val="15"/>
                <w:color w:val="auto"/>
              </w:rPr>
            </w:pPr>
          </w:p>
        </w:tc>
        <w:tc>
          <w:tcPr>
            <w:tcW w:w="900" w:type="dxa"/>
            <w:vAlign w:val="bottom"/>
            <w:shd w:val="clear" w:color="auto" w:fill="E0EBED"/>
          </w:tcPr>
          <w:p>
            <w:pPr>
              <w:jc w:val="right"/>
              <w:ind w:right="42"/>
              <w:spacing w:after="0" w:line="182" w:lineRule="exact"/>
              <w:rPr>
                <w:sz w:val="20"/>
                <w:szCs w:val="20"/>
                <w:color w:val="auto"/>
              </w:rPr>
            </w:pPr>
            <w:r>
              <w:rPr>
                <w:rFonts w:ascii="Arial" w:cs="Arial" w:eastAsia="Arial" w:hAnsi="Arial"/>
                <w:sz w:val="16"/>
                <w:szCs w:val="16"/>
                <w:color w:val="auto"/>
              </w:rPr>
              <w:t>180,036</w:t>
            </w:r>
          </w:p>
        </w:tc>
        <w:tc>
          <w:tcPr>
            <w:tcW w:w="100" w:type="dxa"/>
            <w:vAlign w:val="bottom"/>
          </w:tcPr>
          <w:p>
            <w:pPr>
              <w:spacing w:after="0"/>
              <w:rPr>
                <w:sz w:val="15"/>
                <w:szCs w:val="15"/>
                <w:color w:val="auto"/>
              </w:rPr>
            </w:pPr>
          </w:p>
        </w:tc>
        <w:tc>
          <w:tcPr>
            <w:tcW w:w="160" w:type="dxa"/>
            <w:vAlign w:val="bottom"/>
            <w:shd w:val="clear" w:color="auto" w:fill="E0EBED"/>
          </w:tcPr>
          <w:p>
            <w:pPr>
              <w:spacing w:after="0"/>
              <w:rPr>
                <w:sz w:val="15"/>
                <w:szCs w:val="15"/>
                <w:color w:val="auto"/>
              </w:rPr>
            </w:pPr>
          </w:p>
        </w:tc>
        <w:tc>
          <w:tcPr>
            <w:tcW w:w="840" w:type="dxa"/>
            <w:vAlign w:val="bottom"/>
            <w:shd w:val="clear" w:color="auto" w:fill="E0EBED"/>
          </w:tcPr>
          <w:p>
            <w:pPr>
              <w:jc w:val="right"/>
              <w:spacing w:after="0" w:line="182" w:lineRule="exact"/>
              <w:rPr>
                <w:sz w:val="20"/>
                <w:szCs w:val="20"/>
                <w:color w:val="auto"/>
              </w:rPr>
            </w:pPr>
            <w:r>
              <w:rPr>
                <w:rFonts w:ascii="Arial" w:cs="Arial" w:eastAsia="Arial" w:hAnsi="Arial"/>
                <w:sz w:val="16"/>
                <w:szCs w:val="16"/>
                <w:color w:val="auto"/>
              </w:rPr>
              <w:t>18,713</w:t>
            </w:r>
          </w:p>
        </w:tc>
        <w:tc>
          <w:tcPr>
            <w:tcW w:w="120" w:type="dxa"/>
            <w:vAlign w:val="bottom"/>
          </w:tcPr>
          <w:p>
            <w:pPr>
              <w:spacing w:after="0"/>
              <w:rPr>
                <w:sz w:val="15"/>
                <w:szCs w:val="15"/>
                <w:color w:val="auto"/>
              </w:rPr>
            </w:pPr>
          </w:p>
        </w:tc>
        <w:tc>
          <w:tcPr>
            <w:tcW w:w="160" w:type="dxa"/>
            <w:vAlign w:val="bottom"/>
            <w:shd w:val="clear" w:color="auto" w:fill="E0EBED"/>
          </w:tcPr>
          <w:p>
            <w:pPr>
              <w:spacing w:after="0"/>
              <w:rPr>
                <w:sz w:val="15"/>
                <w:szCs w:val="15"/>
                <w:color w:val="auto"/>
              </w:rPr>
            </w:pPr>
          </w:p>
        </w:tc>
        <w:tc>
          <w:tcPr>
            <w:tcW w:w="900" w:type="dxa"/>
            <w:vAlign w:val="bottom"/>
            <w:shd w:val="clear" w:color="auto" w:fill="E0EBED"/>
          </w:tcPr>
          <w:p>
            <w:pPr>
              <w:jc w:val="right"/>
              <w:ind w:right="22"/>
              <w:spacing w:after="0" w:line="182" w:lineRule="exact"/>
              <w:rPr>
                <w:sz w:val="20"/>
                <w:szCs w:val="20"/>
                <w:color w:val="auto"/>
              </w:rPr>
            </w:pPr>
            <w:r>
              <w:rPr>
                <w:rFonts w:ascii="Arial" w:cs="Arial" w:eastAsia="Arial" w:hAnsi="Arial"/>
                <w:sz w:val="16"/>
                <w:szCs w:val="16"/>
                <w:color w:val="auto"/>
              </w:rPr>
              <w:t>13,803</w:t>
            </w:r>
          </w:p>
        </w:tc>
        <w:tc>
          <w:tcPr>
            <w:tcW w:w="100" w:type="dxa"/>
            <w:vAlign w:val="bottom"/>
          </w:tcPr>
          <w:p>
            <w:pPr>
              <w:spacing w:after="0"/>
              <w:rPr>
                <w:sz w:val="15"/>
                <w:szCs w:val="15"/>
                <w:color w:val="auto"/>
              </w:rPr>
            </w:pPr>
          </w:p>
        </w:tc>
        <w:tc>
          <w:tcPr>
            <w:tcW w:w="160" w:type="dxa"/>
            <w:vAlign w:val="bottom"/>
            <w:shd w:val="clear" w:color="auto" w:fill="E0EBED"/>
          </w:tcPr>
          <w:p>
            <w:pPr>
              <w:spacing w:after="0"/>
              <w:rPr>
                <w:sz w:val="15"/>
                <w:szCs w:val="15"/>
                <w:color w:val="auto"/>
              </w:rPr>
            </w:pPr>
          </w:p>
        </w:tc>
        <w:tc>
          <w:tcPr>
            <w:tcW w:w="900" w:type="dxa"/>
            <w:vAlign w:val="bottom"/>
            <w:shd w:val="clear" w:color="auto" w:fill="E0EBED"/>
          </w:tcPr>
          <w:p>
            <w:pPr>
              <w:jc w:val="right"/>
              <w:ind w:right="22"/>
              <w:spacing w:after="0" w:line="182" w:lineRule="exact"/>
              <w:rPr>
                <w:sz w:val="20"/>
                <w:szCs w:val="20"/>
                <w:color w:val="auto"/>
              </w:rPr>
            </w:pPr>
            <w:r>
              <w:rPr>
                <w:rFonts w:ascii="Arial" w:cs="Arial" w:eastAsia="Arial" w:hAnsi="Arial"/>
                <w:sz w:val="16"/>
                <w:szCs w:val="16"/>
                <w:color w:val="auto"/>
              </w:rPr>
              <w:t>11,938</w:t>
            </w:r>
          </w:p>
        </w:tc>
        <w:tc>
          <w:tcPr>
            <w:tcW w:w="0" w:type="dxa"/>
            <w:vAlign w:val="bottom"/>
          </w:tcPr>
          <w:p>
            <w:pPr>
              <w:spacing w:after="0"/>
              <w:rPr>
                <w:sz w:val="1"/>
                <w:szCs w:val="1"/>
                <w:color w:val="auto"/>
              </w:rPr>
            </w:pPr>
          </w:p>
        </w:tc>
      </w:tr>
      <w:tr>
        <w:trPr>
          <w:trHeight w:val="182"/>
        </w:trPr>
        <w:tc>
          <w:tcPr>
            <w:tcW w:w="5740" w:type="dxa"/>
            <w:vAlign w:val="bottom"/>
            <w:gridSpan w:val="2"/>
          </w:tcPr>
          <w:p>
            <w:pPr>
              <w:spacing w:after="0" w:line="182" w:lineRule="exact"/>
              <w:rPr>
                <w:sz w:val="20"/>
                <w:szCs w:val="20"/>
                <w:color w:val="auto"/>
              </w:rPr>
            </w:pPr>
            <w:r>
              <w:rPr>
                <w:rFonts w:ascii="Arial" w:cs="Arial" w:eastAsia="Arial" w:hAnsi="Arial"/>
                <w:sz w:val="13"/>
                <w:szCs w:val="13"/>
                <w:color w:val="auto"/>
              </w:rPr>
              <w:t>Long-term debt</w:t>
            </w:r>
            <w:r>
              <w:rPr>
                <w:rFonts w:ascii="Arial" w:cs="Arial" w:eastAsia="Arial" w:hAnsi="Arial"/>
                <w:sz w:val="21"/>
                <w:szCs w:val="21"/>
                <w:color w:val="auto"/>
                <w:vertAlign w:val="superscript"/>
              </w:rPr>
              <w:t>2</w:t>
            </w:r>
          </w:p>
        </w:tc>
        <w:tc>
          <w:tcPr>
            <w:tcW w:w="80" w:type="dxa"/>
            <w:vAlign w:val="bottom"/>
            <w:shd w:val="clear" w:color="auto" w:fill="CDDEE7"/>
          </w:tcPr>
          <w:p>
            <w:pPr>
              <w:spacing w:after="0"/>
              <w:rPr>
                <w:sz w:val="15"/>
                <w:szCs w:val="15"/>
                <w:color w:val="auto"/>
              </w:rPr>
            </w:pPr>
          </w:p>
        </w:tc>
        <w:tc>
          <w:tcPr>
            <w:tcW w:w="80" w:type="dxa"/>
            <w:vAlign w:val="bottom"/>
            <w:shd w:val="clear" w:color="auto" w:fill="CDDEE7"/>
          </w:tcPr>
          <w:p>
            <w:pPr>
              <w:spacing w:after="0"/>
              <w:rPr>
                <w:sz w:val="15"/>
                <w:szCs w:val="15"/>
                <w:color w:val="auto"/>
              </w:rPr>
            </w:pPr>
          </w:p>
        </w:tc>
        <w:tc>
          <w:tcPr>
            <w:tcW w:w="900" w:type="dxa"/>
            <w:vAlign w:val="bottom"/>
            <w:shd w:val="clear" w:color="auto" w:fill="CDDEE7"/>
          </w:tcPr>
          <w:p>
            <w:pPr>
              <w:jc w:val="right"/>
              <w:ind w:right="22"/>
              <w:spacing w:after="0" w:line="182" w:lineRule="exact"/>
              <w:rPr>
                <w:sz w:val="20"/>
                <w:szCs w:val="20"/>
                <w:color w:val="auto"/>
              </w:rPr>
            </w:pPr>
            <w:r>
              <w:rPr>
                <w:rFonts w:ascii="Arial" w:cs="Arial" w:eastAsia="Arial" w:hAnsi="Arial"/>
                <w:sz w:val="16"/>
                <w:szCs w:val="16"/>
                <w:b w:val="1"/>
                <w:bCs w:val="1"/>
                <w:color w:val="auto"/>
              </w:rPr>
              <w:t>2,727,294</w:t>
            </w:r>
          </w:p>
        </w:tc>
        <w:tc>
          <w:tcPr>
            <w:tcW w:w="100" w:type="dxa"/>
            <w:vAlign w:val="bottom"/>
          </w:tcPr>
          <w:p>
            <w:pPr>
              <w:spacing w:after="0"/>
              <w:rPr>
                <w:sz w:val="15"/>
                <w:szCs w:val="15"/>
                <w:color w:val="auto"/>
              </w:rPr>
            </w:pPr>
          </w:p>
        </w:tc>
        <w:tc>
          <w:tcPr>
            <w:tcW w:w="180" w:type="dxa"/>
            <w:vAlign w:val="bottom"/>
            <w:shd w:val="clear" w:color="auto" w:fill="E0EBED"/>
          </w:tcPr>
          <w:p>
            <w:pPr>
              <w:spacing w:after="0"/>
              <w:rPr>
                <w:sz w:val="15"/>
                <w:szCs w:val="15"/>
                <w:color w:val="auto"/>
              </w:rPr>
            </w:pPr>
          </w:p>
        </w:tc>
        <w:tc>
          <w:tcPr>
            <w:tcW w:w="900" w:type="dxa"/>
            <w:vAlign w:val="bottom"/>
            <w:shd w:val="clear" w:color="auto" w:fill="E0EBED"/>
          </w:tcPr>
          <w:p>
            <w:pPr>
              <w:jc w:val="right"/>
              <w:ind w:right="42"/>
              <w:spacing w:after="0" w:line="182" w:lineRule="exact"/>
              <w:rPr>
                <w:sz w:val="20"/>
                <w:szCs w:val="20"/>
                <w:color w:val="auto"/>
              </w:rPr>
            </w:pPr>
            <w:r>
              <w:rPr>
                <w:rFonts w:ascii="Arial" w:cs="Arial" w:eastAsia="Arial" w:hAnsi="Arial"/>
                <w:sz w:val="16"/>
                <w:szCs w:val="16"/>
                <w:color w:val="auto"/>
              </w:rPr>
              <w:t>1,506,153</w:t>
            </w:r>
          </w:p>
        </w:tc>
        <w:tc>
          <w:tcPr>
            <w:tcW w:w="100" w:type="dxa"/>
            <w:vAlign w:val="bottom"/>
          </w:tcPr>
          <w:p>
            <w:pPr>
              <w:spacing w:after="0"/>
              <w:rPr>
                <w:sz w:val="15"/>
                <w:szCs w:val="15"/>
                <w:color w:val="auto"/>
              </w:rPr>
            </w:pPr>
          </w:p>
        </w:tc>
        <w:tc>
          <w:tcPr>
            <w:tcW w:w="160" w:type="dxa"/>
            <w:vAlign w:val="bottom"/>
            <w:shd w:val="clear" w:color="auto" w:fill="E0EBED"/>
          </w:tcPr>
          <w:p>
            <w:pPr>
              <w:spacing w:after="0"/>
              <w:rPr>
                <w:sz w:val="15"/>
                <w:szCs w:val="15"/>
                <w:color w:val="auto"/>
              </w:rPr>
            </w:pPr>
          </w:p>
        </w:tc>
        <w:tc>
          <w:tcPr>
            <w:tcW w:w="840" w:type="dxa"/>
            <w:vAlign w:val="bottom"/>
            <w:shd w:val="clear" w:color="auto" w:fill="E0EBED"/>
          </w:tcPr>
          <w:p>
            <w:pPr>
              <w:jc w:val="right"/>
              <w:spacing w:after="0" w:line="182" w:lineRule="exact"/>
              <w:rPr>
                <w:sz w:val="20"/>
                <w:szCs w:val="20"/>
                <w:color w:val="auto"/>
              </w:rPr>
            </w:pPr>
            <w:r>
              <w:rPr>
                <w:rFonts w:ascii="Arial" w:cs="Arial" w:eastAsia="Arial" w:hAnsi="Arial"/>
                <w:sz w:val="16"/>
                <w:szCs w:val="16"/>
                <w:color w:val="auto"/>
              </w:rPr>
              <w:t>1,550,061</w:t>
            </w:r>
          </w:p>
        </w:tc>
        <w:tc>
          <w:tcPr>
            <w:tcW w:w="120" w:type="dxa"/>
            <w:vAlign w:val="bottom"/>
          </w:tcPr>
          <w:p>
            <w:pPr>
              <w:spacing w:after="0"/>
              <w:rPr>
                <w:sz w:val="15"/>
                <w:szCs w:val="15"/>
                <w:color w:val="auto"/>
              </w:rPr>
            </w:pPr>
          </w:p>
        </w:tc>
        <w:tc>
          <w:tcPr>
            <w:tcW w:w="160" w:type="dxa"/>
            <w:vAlign w:val="bottom"/>
            <w:shd w:val="clear" w:color="auto" w:fill="E0EBED"/>
          </w:tcPr>
          <w:p>
            <w:pPr>
              <w:spacing w:after="0"/>
              <w:rPr>
                <w:sz w:val="15"/>
                <w:szCs w:val="15"/>
                <w:color w:val="auto"/>
              </w:rPr>
            </w:pPr>
          </w:p>
        </w:tc>
        <w:tc>
          <w:tcPr>
            <w:tcW w:w="900" w:type="dxa"/>
            <w:vAlign w:val="bottom"/>
            <w:shd w:val="clear" w:color="auto" w:fill="E0EBED"/>
          </w:tcPr>
          <w:p>
            <w:pPr>
              <w:jc w:val="right"/>
              <w:ind w:right="22"/>
              <w:spacing w:after="0" w:line="182" w:lineRule="exact"/>
              <w:rPr>
                <w:sz w:val="20"/>
                <w:szCs w:val="20"/>
                <w:color w:val="auto"/>
              </w:rPr>
            </w:pPr>
            <w:r>
              <w:rPr>
                <w:rFonts w:ascii="Arial" w:cs="Arial" w:eastAsia="Arial" w:hAnsi="Arial"/>
                <w:sz w:val="16"/>
                <w:szCs w:val="16"/>
                <w:color w:val="auto"/>
              </w:rPr>
              <w:t>1,566,355</w:t>
            </w:r>
          </w:p>
        </w:tc>
        <w:tc>
          <w:tcPr>
            <w:tcW w:w="100" w:type="dxa"/>
            <w:vAlign w:val="bottom"/>
          </w:tcPr>
          <w:p>
            <w:pPr>
              <w:spacing w:after="0"/>
              <w:rPr>
                <w:sz w:val="15"/>
                <w:szCs w:val="15"/>
                <w:color w:val="auto"/>
              </w:rPr>
            </w:pPr>
          </w:p>
        </w:tc>
        <w:tc>
          <w:tcPr>
            <w:tcW w:w="160" w:type="dxa"/>
            <w:vAlign w:val="bottom"/>
            <w:shd w:val="clear" w:color="auto" w:fill="E0EBED"/>
          </w:tcPr>
          <w:p>
            <w:pPr>
              <w:spacing w:after="0"/>
              <w:rPr>
                <w:sz w:val="15"/>
                <w:szCs w:val="15"/>
                <w:color w:val="auto"/>
              </w:rPr>
            </w:pPr>
          </w:p>
        </w:tc>
        <w:tc>
          <w:tcPr>
            <w:tcW w:w="900" w:type="dxa"/>
            <w:vAlign w:val="bottom"/>
            <w:shd w:val="clear" w:color="auto" w:fill="E0EBED"/>
          </w:tcPr>
          <w:p>
            <w:pPr>
              <w:jc w:val="right"/>
              <w:ind w:right="22"/>
              <w:spacing w:after="0" w:line="182" w:lineRule="exact"/>
              <w:rPr>
                <w:sz w:val="20"/>
                <w:szCs w:val="20"/>
                <w:color w:val="auto"/>
              </w:rPr>
            </w:pPr>
            <w:r>
              <w:rPr>
                <w:rFonts w:ascii="Arial" w:cs="Arial" w:eastAsia="Arial" w:hAnsi="Arial"/>
                <w:sz w:val="16"/>
                <w:szCs w:val="16"/>
                <w:color w:val="auto"/>
              </w:rPr>
              <w:t>1,015,249</w:t>
            </w:r>
          </w:p>
        </w:tc>
        <w:tc>
          <w:tcPr>
            <w:tcW w:w="0" w:type="dxa"/>
            <w:vAlign w:val="bottom"/>
          </w:tcPr>
          <w:p>
            <w:pPr>
              <w:spacing w:after="0"/>
              <w:rPr>
                <w:sz w:val="1"/>
                <w:szCs w:val="1"/>
                <w:color w:val="auto"/>
              </w:rPr>
            </w:pPr>
          </w:p>
        </w:tc>
      </w:tr>
      <w:tr>
        <w:trPr>
          <w:trHeight w:val="182"/>
        </w:trPr>
        <w:tc>
          <w:tcPr>
            <w:tcW w:w="5740" w:type="dxa"/>
            <w:vAlign w:val="bottom"/>
            <w:gridSpan w:val="2"/>
          </w:tcPr>
          <w:p>
            <w:pPr>
              <w:spacing w:after="0" w:line="182" w:lineRule="exact"/>
              <w:rPr>
                <w:sz w:val="20"/>
                <w:szCs w:val="20"/>
                <w:color w:val="auto"/>
              </w:rPr>
            </w:pPr>
            <w:r>
              <w:rPr>
                <w:rFonts w:ascii="Arial" w:cs="Arial" w:eastAsia="Arial" w:hAnsi="Arial"/>
                <w:sz w:val="16"/>
                <w:szCs w:val="16"/>
                <w:color w:val="auto"/>
              </w:rPr>
              <w:t>Pension, postretirement and postemployment benefits, noncurrent</w:t>
            </w:r>
          </w:p>
        </w:tc>
        <w:tc>
          <w:tcPr>
            <w:tcW w:w="80" w:type="dxa"/>
            <w:vAlign w:val="bottom"/>
            <w:shd w:val="clear" w:color="auto" w:fill="CDDEE7"/>
          </w:tcPr>
          <w:p>
            <w:pPr>
              <w:spacing w:after="0"/>
              <w:rPr>
                <w:sz w:val="15"/>
                <w:szCs w:val="15"/>
                <w:color w:val="auto"/>
              </w:rPr>
            </w:pPr>
          </w:p>
        </w:tc>
        <w:tc>
          <w:tcPr>
            <w:tcW w:w="80" w:type="dxa"/>
            <w:vAlign w:val="bottom"/>
            <w:shd w:val="clear" w:color="auto" w:fill="CDDEE7"/>
          </w:tcPr>
          <w:p>
            <w:pPr>
              <w:spacing w:after="0"/>
              <w:rPr>
                <w:sz w:val="15"/>
                <w:szCs w:val="15"/>
                <w:color w:val="auto"/>
              </w:rPr>
            </w:pPr>
          </w:p>
        </w:tc>
        <w:tc>
          <w:tcPr>
            <w:tcW w:w="900" w:type="dxa"/>
            <w:vAlign w:val="bottom"/>
            <w:shd w:val="clear" w:color="auto" w:fill="CDDEE7"/>
          </w:tcPr>
          <w:p>
            <w:pPr>
              <w:jc w:val="right"/>
              <w:ind w:right="22"/>
              <w:spacing w:after="0" w:line="182" w:lineRule="exact"/>
              <w:rPr>
                <w:sz w:val="20"/>
                <w:szCs w:val="20"/>
                <w:color w:val="auto"/>
              </w:rPr>
            </w:pPr>
            <w:r>
              <w:rPr>
                <w:rFonts w:ascii="Arial" w:cs="Arial" w:eastAsia="Arial" w:hAnsi="Arial"/>
                <w:sz w:val="16"/>
                <w:szCs w:val="16"/>
                <w:b w:val="1"/>
                <w:bCs w:val="1"/>
                <w:color w:val="auto"/>
              </w:rPr>
              <w:t>244,043</w:t>
            </w:r>
          </w:p>
        </w:tc>
        <w:tc>
          <w:tcPr>
            <w:tcW w:w="100" w:type="dxa"/>
            <w:vAlign w:val="bottom"/>
          </w:tcPr>
          <w:p>
            <w:pPr>
              <w:spacing w:after="0"/>
              <w:rPr>
                <w:sz w:val="15"/>
                <w:szCs w:val="15"/>
                <w:color w:val="auto"/>
              </w:rPr>
            </w:pPr>
          </w:p>
        </w:tc>
        <w:tc>
          <w:tcPr>
            <w:tcW w:w="180" w:type="dxa"/>
            <w:vAlign w:val="bottom"/>
            <w:shd w:val="clear" w:color="auto" w:fill="E0EBED"/>
          </w:tcPr>
          <w:p>
            <w:pPr>
              <w:spacing w:after="0"/>
              <w:rPr>
                <w:sz w:val="15"/>
                <w:szCs w:val="15"/>
                <w:color w:val="auto"/>
              </w:rPr>
            </w:pPr>
          </w:p>
        </w:tc>
        <w:tc>
          <w:tcPr>
            <w:tcW w:w="900" w:type="dxa"/>
            <w:vAlign w:val="bottom"/>
            <w:shd w:val="clear" w:color="auto" w:fill="E0EBED"/>
          </w:tcPr>
          <w:p>
            <w:pPr>
              <w:jc w:val="right"/>
              <w:ind w:right="42"/>
              <w:spacing w:after="0" w:line="182" w:lineRule="exact"/>
              <w:rPr>
                <w:sz w:val="20"/>
                <w:szCs w:val="20"/>
                <w:color w:val="auto"/>
              </w:rPr>
            </w:pPr>
            <w:r>
              <w:rPr>
                <w:rFonts w:ascii="Arial" w:cs="Arial" w:eastAsia="Arial" w:hAnsi="Arial"/>
                <w:sz w:val="16"/>
                <w:szCs w:val="16"/>
                <w:color w:val="auto"/>
              </w:rPr>
              <w:t>248,086</w:t>
            </w:r>
          </w:p>
        </w:tc>
        <w:tc>
          <w:tcPr>
            <w:tcW w:w="100" w:type="dxa"/>
            <w:vAlign w:val="bottom"/>
          </w:tcPr>
          <w:p>
            <w:pPr>
              <w:spacing w:after="0"/>
              <w:rPr>
                <w:sz w:val="15"/>
                <w:szCs w:val="15"/>
                <w:color w:val="auto"/>
              </w:rPr>
            </w:pPr>
          </w:p>
        </w:tc>
        <w:tc>
          <w:tcPr>
            <w:tcW w:w="160" w:type="dxa"/>
            <w:vAlign w:val="bottom"/>
            <w:shd w:val="clear" w:color="auto" w:fill="E0EBED"/>
          </w:tcPr>
          <w:p>
            <w:pPr>
              <w:spacing w:after="0"/>
              <w:rPr>
                <w:sz w:val="15"/>
                <w:szCs w:val="15"/>
                <w:color w:val="auto"/>
              </w:rPr>
            </w:pPr>
          </w:p>
        </w:tc>
        <w:tc>
          <w:tcPr>
            <w:tcW w:w="840" w:type="dxa"/>
            <w:vAlign w:val="bottom"/>
            <w:shd w:val="clear" w:color="auto" w:fill="E0EBED"/>
          </w:tcPr>
          <w:p>
            <w:pPr>
              <w:jc w:val="right"/>
              <w:spacing w:after="0" w:line="182" w:lineRule="exact"/>
              <w:rPr>
                <w:sz w:val="20"/>
                <w:szCs w:val="20"/>
                <w:color w:val="auto"/>
              </w:rPr>
            </w:pPr>
            <w:r>
              <w:rPr>
                <w:rFonts w:ascii="Arial" w:cs="Arial" w:eastAsia="Arial" w:hAnsi="Arial"/>
                <w:sz w:val="16"/>
                <w:szCs w:val="16"/>
                <w:color w:val="auto"/>
              </w:rPr>
              <w:t>224,538</w:t>
            </w:r>
          </w:p>
        </w:tc>
        <w:tc>
          <w:tcPr>
            <w:tcW w:w="120" w:type="dxa"/>
            <w:vAlign w:val="bottom"/>
          </w:tcPr>
          <w:p>
            <w:pPr>
              <w:spacing w:after="0"/>
              <w:rPr>
                <w:sz w:val="15"/>
                <w:szCs w:val="15"/>
                <w:color w:val="auto"/>
              </w:rPr>
            </w:pPr>
          </w:p>
        </w:tc>
        <w:tc>
          <w:tcPr>
            <w:tcW w:w="160" w:type="dxa"/>
            <w:vAlign w:val="bottom"/>
            <w:shd w:val="clear" w:color="auto" w:fill="E0EBED"/>
          </w:tcPr>
          <w:p>
            <w:pPr>
              <w:spacing w:after="0"/>
              <w:rPr>
                <w:sz w:val="15"/>
                <w:szCs w:val="15"/>
                <w:color w:val="auto"/>
              </w:rPr>
            </w:pPr>
          </w:p>
        </w:tc>
        <w:tc>
          <w:tcPr>
            <w:tcW w:w="900" w:type="dxa"/>
            <w:vAlign w:val="bottom"/>
            <w:shd w:val="clear" w:color="auto" w:fill="E0EBED"/>
          </w:tcPr>
          <w:p>
            <w:pPr>
              <w:jc w:val="right"/>
              <w:ind w:right="22"/>
              <w:spacing w:after="0" w:line="182" w:lineRule="exact"/>
              <w:rPr>
                <w:sz w:val="20"/>
                <w:szCs w:val="20"/>
                <w:color w:val="auto"/>
              </w:rPr>
            </w:pPr>
            <w:r>
              <w:rPr>
                <w:rFonts w:ascii="Arial" w:cs="Arial" w:eastAsia="Arial" w:hAnsi="Arial"/>
                <w:sz w:val="16"/>
                <w:szCs w:val="16"/>
                <w:color w:val="auto"/>
              </w:rPr>
              <w:t>249,333</w:t>
            </w:r>
          </w:p>
        </w:tc>
        <w:tc>
          <w:tcPr>
            <w:tcW w:w="100" w:type="dxa"/>
            <w:vAlign w:val="bottom"/>
          </w:tcPr>
          <w:p>
            <w:pPr>
              <w:spacing w:after="0"/>
              <w:rPr>
                <w:sz w:val="15"/>
                <w:szCs w:val="15"/>
                <w:color w:val="auto"/>
              </w:rPr>
            </w:pPr>
          </w:p>
        </w:tc>
        <w:tc>
          <w:tcPr>
            <w:tcW w:w="160" w:type="dxa"/>
            <w:vAlign w:val="bottom"/>
            <w:shd w:val="clear" w:color="auto" w:fill="E0EBED"/>
          </w:tcPr>
          <w:p>
            <w:pPr>
              <w:spacing w:after="0"/>
              <w:rPr>
                <w:sz w:val="15"/>
                <w:szCs w:val="15"/>
                <w:color w:val="auto"/>
              </w:rPr>
            </w:pPr>
          </w:p>
        </w:tc>
        <w:tc>
          <w:tcPr>
            <w:tcW w:w="900" w:type="dxa"/>
            <w:vAlign w:val="bottom"/>
            <w:shd w:val="clear" w:color="auto" w:fill="E0EBED"/>
          </w:tcPr>
          <w:p>
            <w:pPr>
              <w:jc w:val="right"/>
              <w:ind w:right="22"/>
              <w:spacing w:after="0" w:line="182" w:lineRule="exact"/>
              <w:rPr>
                <w:sz w:val="20"/>
                <w:szCs w:val="20"/>
                <w:color w:val="auto"/>
              </w:rPr>
            </w:pPr>
            <w:r>
              <w:rPr>
                <w:rFonts w:ascii="Arial" w:cs="Arial" w:eastAsia="Arial" w:hAnsi="Arial"/>
                <w:sz w:val="16"/>
                <w:szCs w:val="16"/>
                <w:color w:val="auto"/>
              </w:rPr>
              <w:t>78,489</w:t>
            </w:r>
          </w:p>
        </w:tc>
        <w:tc>
          <w:tcPr>
            <w:tcW w:w="0" w:type="dxa"/>
            <w:vAlign w:val="bottom"/>
          </w:tcPr>
          <w:p>
            <w:pPr>
              <w:spacing w:after="0"/>
              <w:rPr>
                <w:sz w:val="1"/>
                <w:szCs w:val="1"/>
                <w:color w:val="auto"/>
              </w:rPr>
            </w:pPr>
          </w:p>
        </w:tc>
      </w:tr>
      <w:tr>
        <w:trPr>
          <w:trHeight w:val="182"/>
        </w:trPr>
        <w:tc>
          <w:tcPr>
            <w:tcW w:w="5740" w:type="dxa"/>
            <w:vAlign w:val="bottom"/>
            <w:gridSpan w:val="2"/>
          </w:tcPr>
          <w:p>
            <w:pPr>
              <w:spacing w:after="0" w:line="182" w:lineRule="exact"/>
              <w:rPr>
                <w:sz w:val="20"/>
                <w:szCs w:val="20"/>
                <w:color w:val="auto"/>
              </w:rPr>
            </w:pPr>
            <w:r>
              <w:rPr>
                <w:rFonts w:ascii="Arial" w:cs="Arial" w:eastAsia="Arial" w:hAnsi="Arial"/>
                <w:sz w:val="16"/>
                <w:szCs w:val="16"/>
                <w:color w:val="auto"/>
              </w:rPr>
              <w:t>Deferred income taxes, net</w:t>
            </w:r>
          </w:p>
        </w:tc>
        <w:tc>
          <w:tcPr>
            <w:tcW w:w="80" w:type="dxa"/>
            <w:vAlign w:val="bottom"/>
            <w:shd w:val="clear" w:color="auto" w:fill="CDDEE7"/>
          </w:tcPr>
          <w:p>
            <w:pPr>
              <w:spacing w:after="0"/>
              <w:rPr>
                <w:sz w:val="15"/>
                <w:szCs w:val="15"/>
                <w:color w:val="auto"/>
              </w:rPr>
            </w:pPr>
          </w:p>
        </w:tc>
        <w:tc>
          <w:tcPr>
            <w:tcW w:w="80" w:type="dxa"/>
            <w:vAlign w:val="bottom"/>
            <w:shd w:val="clear" w:color="auto" w:fill="CDDEE7"/>
          </w:tcPr>
          <w:p>
            <w:pPr>
              <w:spacing w:after="0"/>
              <w:rPr>
                <w:sz w:val="15"/>
                <w:szCs w:val="15"/>
                <w:color w:val="auto"/>
              </w:rPr>
            </w:pPr>
          </w:p>
        </w:tc>
        <w:tc>
          <w:tcPr>
            <w:tcW w:w="900" w:type="dxa"/>
            <w:vAlign w:val="bottom"/>
            <w:shd w:val="clear" w:color="auto" w:fill="CDDEE7"/>
          </w:tcPr>
          <w:p>
            <w:pPr>
              <w:jc w:val="right"/>
              <w:ind w:right="22"/>
              <w:spacing w:after="0" w:line="182" w:lineRule="exact"/>
              <w:rPr>
                <w:sz w:val="20"/>
                <w:szCs w:val="20"/>
                <w:color w:val="auto"/>
              </w:rPr>
            </w:pPr>
            <w:r>
              <w:rPr>
                <w:rFonts w:ascii="Arial" w:cs="Arial" w:eastAsia="Arial" w:hAnsi="Arial"/>
                <w:sz w:val="16"/>
                <w:szCs w:val="16"/>
                <w:b w:val="1"/>
                <w:bCs w:val="1"/>
                <w:color w:val="auto"/>
              </w:rPr>
              <w:t>410,723</w:t>
            </w:r>
          </w:p>
        </w:tc>
        <w:tc>
          <w:tcPr>
            <w:tcW w:w="100" w:type="dxa"/>
            <w:vAlign w:val="bottom"/>
          </w:tcPr>
          <w:p>
            <w:pPr>
              <w:spacing w:after="0"/>
              <w:rPr>
                <w:sz w:val="15"/>
                <w:szCs w:val="15"/>
                <w:color w:val="auto"/>
              </w:rPr>
            </w:pPr>
          </w:p>
        </w:tc>
        <w:tc>
          <w:tcPr>
            <w:tcW w:w="180" w:type="dxa"/>
            <w:vAlign w:val="bottom"/>
            <w:shd w:val="clear" w:color="auto" w:fill="E0EBED"/>
          </w:tcPr>
          <w:p>
            <w:pPr>
              <w:spacing w:after="0"/>
              <w:rPr>
                <w:sz w:val="15"/>
                <w:szCs w:val="15"/>
                <w:color w:val="auto"/>
              </w:rPr>
            </w:pPr>
          </w:p>
        </w:tc>
        <w:tc>
          <w:tcPr>
            <w:tcW w:w="900" w:type="dxa"/>
            <w:vAlign w:val="bottom"/>
            <w:shd w:val="clear" w:color="auto" w:fill="E0EBED"/>
          </w:tcPr>
          <w:p>
            <w:pPr>
              <w:jc w:val="right"/>
              <w:ind w:right="42"/>
              <w:spacing w:after="0" w:line="182" w:lineRule="exact"/>
              <w:rPr>
                <w:sz w:val="20"/>
                <w:szCs w:val="20"/>
                <w:color w:val="auto"/>
              </w:rPr>
            </w:pPr>
            <w:r>
              <w:rPr>
                <w:rFonts w:ascii="Arial" w:cs="Arial" w:eastAsia="Arial" w:hAnsi="Arial"/>
                <w:sz w:val="16"/>
                <w:szCs w:val="16"/>
                <w:color w:val="auto"/>
              </w:rPr>
              <w:t>663,019</w:t>
            </w:r>
          </w:p>
        </w:tc>
        <w:tc>
          <w:tcPr>
            <w:tcW w:w="100" w:type="dxa"/>
            <w:vAlign w:val="bottom"/>
          </w:tcPr>
          <w:p>
            <w:pPr>
              <w:spacing w:after="0"/>
              <w:rPr>
                <w:sz w:val="15"/>
                <w:szCs w:val="15"/>
                <w:color w:val="auto"/>
              </w:rPr>
            </w:pPr>
          </w:p>
        </w:tc>
        <w:tc>
          <w:tcPr>
            <w:tcW w:w="160" w:type="dxa"/>
            <w:vAlign w:val="bottom"/>
            <w:shd w:val="clear" w:color="auto" w:fill="E0EBED"/>
          </w:tcPr>
          <w:p>
            <w:pPr>
              <w:spacing w:after="0"/>
              <w:rPr>
                <w:sz w:val="15"/>
                <w:szCs w:val="15"/>
                <w:color w:val="auto"/>
              </w:rPr>
            </w:pPr>
          </w:p>
        </w:tc>
        <w:tc>
          <w:tcPr>
            <w:tcW w:w="840" w:type="dxa"/>
            <w:vAlign w:val="bottom"/>
            <w:shd w:val="clear" w:color="auto" w:fill="E0EBED"/>
          </w:tcPr>
          <w:p>
            <w:pPr>
              <w:jc w:val="right"/>
              <w:spacing w:after="0" w:line="182" w:lineRule="exact"/>
              <w:rPr>
                <w:sz w:val="20"/>
                <w:szCs w:val="20"/>
                <w:color w:val="auto"/>
              </w:rPr>
            </w:pPr>
            <w:r>
              <w:rPr>
                <w:rFonts w:ascii="Arial" w:cs="Arial" w:eastAsia="Arial" w:hAnsi="Arial"/>
                <w:sz w:val="16"/>
                <w:szCs w:val="16"/>
                <w:color w:val="auto"/>
              </w:rPr>
              <w:t>583,459</w:t>
            </w:r>
          </w:p>
        </w:tc>
        <w:tc>
          <w:tcPr>
            <w:tcW w:w="120" w:type="dxa"/>
            <w:vAlign w:val="bottom"/>
          </w:tcPr>
          <w:p>
            <w:pPr>
              <w:spacing w:after="0"/>
              <w:rPr>
                <w:sz w:val="15"/>
                <w:szCs w:val="15"/>
                <w:color w:val="auto"/>
              </w:rPr>
            </w:pPr>
          </w:p>
        </w:tc>
        <w:tc>
          <w:tcPr>
            <w:tcW w:w="160" w:type="dxa"/>
            <w:vAlign w:val="bottom"/>
            <w:shd w:val="clear" w:color="auto" w:fill="E0EBED"/>
          </w:tcPr>
          <w:p>
            <w:pPr>
              <w:spacing w:after="0"/>
              <w:rPr>
                <w:sz w:val="15"/>
                <w:szCs w:val="15"/>
                <w:color w:val="auto"/>
              </w:rPr>
            </w:pPr>
          </w:p>
        </w:tc>
        <w:tc>
          <w:tcPr>
            <w:tcW w:w="900" w:type="dxa"/>
            <w:vAlign w:val="bottom"/>
            <w:shd w:val="clear" w:color="auto" w:fill="E0EBED"/>
          </w:tcPr>
          <w:p>
            <w:pPr>
              <w:jc w:val="right"/>
              <w:ind w:right="22"/>
              <w:spacing w:after="0" w:line="182" w:lineRule="exact"/>
              <w:rPr>
                <w:sz w:val="20"/>
                <w:szCs w:val="20"/>
                <w:color w:val="auto"/>
              </w:rPr>
            </w:pPr>
            <w:r>
              <w:rPr>
                <w:rFonts w:ascii="Arial" w:cs="Arial" w:eastAsia="Arial" w:hAnsi="Arial"/>
                <w:sz w:val="16"/>
                <w:szCs w:val="16"/>
                <w:color w:val="auto"/>
              </w:rPr>
              <w:t>489,945</w:t>
            </w:r>
          </w:p>
        </w:tc>
        <w:tc>
          <w:tcPr>
            <w:tcW w:w="100" w:type="dxa"/>
            <w:vAlign w:val="bottom"/>
          </w:tcPr>
          <w:p>
            <w:pPr>
              <w:spacing w:after="0"/>
              <w:rPr>
                <w:sz w:val="15"/>
                <w:szCs w:val="15"/>
                <w:color w:val="auto"/>
              </w:rPr>
            </w:pPr>
          </w:p>
        </w:tc>
        <w:tc>
          <w:tcPr>
            <w:tcW w:w="160" w:type="dxa"/>
            <w:vAlign w:val="bottom"/>
            <w:shd w:val="clear" w:color="auto" w:fill="E0EBED"/>
          </w:tcPr>
          <w:p>
            <w:pPr>
              <w:spacing w:after="0"/>
              <w:rPr>
                <w:sz w:val="15"/>
                <w:szCs w:val="15"/>
                <w:color w:val="auto"/>
              </w:rPr>
            </w:pPr>
          </w:p>
        </w:tc>
        <w:tc>
          <w:tcPr>
            <w:tcW w:w="900" w:type="dxa"/>
            <w:vAlign w:val="bottom"/>
            <w:shd w:val="clear" w:color="auto" w:fill="E0EBED"/>
          </w:tcPr>
          <w:p>
            <w:pPr>
              <w:jc w:val="right"/>
              <w:ind w:right="22"/>
              <w:spacing w:after="0" w:line="182" w:lineRule="exact"/>
              <w:rPr>
                <w:sz w:val="20"/>
                <w:szCs w:val="20"/>
                <w:color w:val="auto"/>
              </w:rPr>
            </w:pPr>
            <w:r>
              <w:rPr>
                <w:rFonts w:ascii="Arial" w:cs="Arial" w:eastAsia="Arial" w:hAnsi="Arial"/>
                <w:sz w:val="16"/>
                <w:szCs w:val="16"/>
                <w:color w:val="auto"/>
              </w:rPr>
              <w:t>205,178</w:t>
            </w:r>
          </w:p>
        </w:tc>
        <w:tc>
          <w:tcPr>
            <w:tcW w:w="0" w:type="dxa"/>
            <w:vAlign w:val="bottom"/>
          </w:tcPr>
          <w:p>
            <w:pPr>
              <w:spacing w:after="0"/>
              <w:rPr>
                <w:sz w:val="1"/>
                <w:szCs w:val="1"/>
                <w:color w:val="auto"/>
              </w:rPr>
            </w:pPr>
          </w:p>
        </w:tc>
      </w:tr>
      <w:tr>
        <w:trPr>
          <w:trHeight w:val="182"/>
        </w:trPr>
        <w:tc>
          <w:tcPr>
            <w:tcW w:w="5740" w:type="dxa"/>
            <w:vAlign w:val="bottom"/>
            <w:gridSpan w:val="2"/>
          </w:tcPr>
          <w:p>
            <w:pPr>
              <w:spacing w:after="0" w:line="182" w:lineRule="exact"/>
              <w:rPr>
                <w:sz w:val="20"/>
                <w:szCs w:val="20"/>
                <w:color w:val="auto"/>
              </w:rPr>
            </w:pPr>
            <w:r>
              <w:rPr>
                <w:rFonts w:ascii="Arial" w:cs="Arial" w:eastAsia="Arial" w:hAnsi="Arial"/>
                <w:sz w:val="16"/>
                <w:szCs w:val="16"/>
                <w:color w:val="auto"/>
              </w:rPr>
              <w:t>Other noncurrent liabilities</w:t>
            </w:r>
          </w:p>
        </w:tc>
        <w:tc>
          <w:tcPr>
            <w:tcW w:w="80" w:type="dxa"/>
            <w:vAlign w:val="bottom"/>
            <w:shd w:val="clear" w:color="auto" w:fill="CDDEE7"/>
          </w:tcPr>
          <w:p>
            <w:pPr>
              <w:spacing w:after="0"/>
              <w:rPr>
                <w:sz w:val="15"/>
                <w:szCs w:val="15"/>
                <w:color w:val="auto"/>
              </w:rPr>
            </w:pPr>
          </w:p>
        </w:tc>
        <w:tc>
          <w:tcPr>
            <w:tcW w:w="80" w:type="dxa"/>
            <w:vAlign w:val="bottom"/>
            <w:shd w:val="clear" w:color="auto" w:fill="CDDEE7"/>
          </w:tcPr>
          <w:p>
            <w:pPr>
              <w:spacing w:after="0"/>
              <w:rPr>
                <w:sz w:val="15"/>
                <w:szCs w:val="15"/>
                <w:color w:val="auto"/>
              </w:rPr>
            </w:pPr>
          </w:p>
        </w:tc>
        <w:tc>
          <w:tcPr>
            <w:tcW w:w="900" w:type="dxa"/>
            <w:vAlign w:val="bottom"/>
            <w:shd w:val="clear" w:color="auto" w:fill="CDDEE7"/>
          </w:tcPr>
          <w:p>
            <w:pPr>
              <w:jc w:val="right"/>
              <w:ind w:right="22"/>
              <w:spacing w:after="0" w:line="182" w:lineRule="exact"/>
              <w:rPr>
                <w:sz w:val="20"/>
                <w:szCs w:val="20"/>
                <w:color w:val="auto"/>
              </w:rPr>
            </w:pPr>
            <w:r>
              <w:rPr>
                <w:rFonts w:ascii="Arial" w:cs="Arial" w:eastAsia="Arial" w:hAnsi="Arial"/>
                <w:sz w:val="16"/>
                <w:szCs w:val="16"/>
                <w:b w:val="1"/>
                <w:bCs w:val="1"/>
                <w:color w:val="auto"/>
              </w:rPr>
              <w:t>233,758</w:t>
            </w:r>
          </w:p>
        </w:tc>
        <w:tc>
          <w:tcPr>
            <w:tcW w:w="100" w:type="dxa"/>
            <w:vAlign w:val="bottom"/>
          </w:tcPr>
          <w:p>
            <w:pPr>
              <w:spacing w:after="0"/>
              <w:rPr>
                <w:sz w:val="15"/>
                <w:szCs w:val="15"/>
                <w:color w:val="auto"/>
              </w:rPr>
            </w:pPr>
          </w:p>
        </w:tc>
        <w:tc>
          <w:tcPr>
            <w:tcW w:w="180" w:type="dxa"/>
            <w:vAlign w:val="bottom"/>
            <w:shd w:val="clear" w:color="auto" w:fill="E0EBED"/>
          </w:tcPr>
          <w:p>
            <w:pPr>
              <w:spacing w:after="0"/>
              <w:rPr>
                <w:sz w:val="15"/>
                <w:szCs w:val="15"/>
                <w:color w:val="auto"/>
              </w:rPr>
            </w:pPr>
          </w:p>
        </w:tc>
        <w:tc>
          <w:tcPr>
            <w:tcW w:w="900" w:type="dxa"/>
            <w:vAlign w:val="bottom"/>
            <w:shd w:val="clear" w:color="auto" w:fill="E0EBED"/>
          </w:tcPr>
          <w:p>
            <w:pPr>
              <w:jc w:val="right"/>
              <w:ind w:right="42"/>
              <w:spacing w:after="0" w:line="182" w:lineRule="exact"/>
              <w:rPr>
                <w:sz w:val="20"/>
                <w:szCs w:val="20"/>
                <w:color w:val="auto"/>
              </w:rPr>
            </w:pPr>
            <w:r>
              <w:rPr>
                <w:rFonts w:ascii="Arial" w:cs="Arial" w:eastAsia="Arial" w:hAnsi="Arial"/>
                <w:sz w:val="16"/>
                <w:szCs w:val="16"/>
                <w:color w:val="auto"/>
              </w:rPr>
              <w:t>194,469</w:t>
            </w:r>
          </w:p>
        </w:tc>
        <w:tc>
          <w:tcPr>
            <w:tcW w:w="100" w:type="dxa"/>
            <w:vAlign w:val="bottom"/>
          </w:tcPr>
          <w:p>
            <w:pPr>
              <w:spacing w:after="0"/>
              <w:rPr>
                <w:sz w:val="15"/>
                <w:szCs w:val="15"/>
                <w:color w:val="auto"/>
              </w:rPr>
            </w:pPr>
          </w:p>
        </w:tc>
        <w:tc>
          <w:tcPr>
            <w:tcW w:w="160" w:type="dxa"/>
            <w:vAlign w:val="bottom"/>
            <w:shd w:val="clear" w:color="auto" w:fill="E0EBED"/>
          </w:tcPr>
          <w:p>
            <w:pPr>
              <w:spacing w:after="0"/>
              <w:rPr>
                <w:sz w:val="15"/>
                <w:szCs w:val="15"/>
                <w:color w:val="auto"/>
              </w:rPr>
            </w:pPr>
          </w:p>
        </w:tc>
        <w:tc>
          <w:tcPr>
            <w:tcW w:w="840" w:type="dxa"/>
            <w:vAlign w:val="bottom"/>
            <w:shd w:val="clear" w:color="auto" w:fill="E0EBED"/>
          </w:tcPr>
          <w:p>
            <w:pPr>
              <w:jc w:val="right"/>
              <w:spacing w:after="0" w:line="182" w:lineRule="exact"/>
              <w:rPr>
                <w:sz w:val="20"/>
                <w:szCs w:val="20"/>
                <w:color w:val="auto"/>
              </w:rPr>
            </w:pPr>
            <w:r>
              <w:rPr>
                <w:rFonts w:ascii="Arial" w:cs="Arial" w:eastAsia="Arial" w:hAnsi="Arial"/>
                <w:sz w:val="16"/>
                <w:szCs w:val="16"/>
                <w:color w:val="auto"/>
              </w:rPr>
              <w:t>172,718</w:t>
            </w:r>
          </w:p>
        </w:tc>
        <w:tc>
          <w:tcPr>
            <w:tcW w:w="120" w:type="dxa"/>
            <w:vAlign w:val="bottom"/>
          </w:tcPr>
          <w:p>
            <w:pPr>
              <w:spacing w:after="0"/>
              <w:rPr>
                <w:sz w:val="15"/>
                <w:szCs w:val="15"/>
                <w:color w:val="auto"/>
              </w:rPr>
            </w:pPr>
          </w:p>
        </w:tc>
        <w:tc>
          <w:tcPr>
            <w:tcW w:w="160" w:type="dxa"/>
            <w:vAlign w:val="bottom"/>
            <w:shd w:val="clear" w:color="auto" w:fill="E0EBED"/>
          </w:tcPr>
          <w:p>
            <w:pPr>
              <w:spacing w:after="0"/>
              <w:rPr>
                <w:sz w:val="15"/>
                <w:szCs w:val="15"/>
                <w:color w:val="auto"/>
              </w:rPr>
            </w:pPr>
          </w:p>
        </w:tc>
        <w:tc>
          <w:tcPr>
            <w:tcW w:w="900" w:type="dxa"/>
            <w:vAlign w:val="bottom"/>
            <w:shd w:val="clear" w:color="auto" w:fill="E0EBED"/>
          </w:tcPr>
          <w:p>
            <w:pPr>
              <w:jc w:val="right"/>
              <w:ind w:right="22"/>
              <w:spacing w:after="0" w:line="182" w:lineRule="exact"/>
              <w:rPr>
                <w:sz w:val="20"/>
                <w:szCs w:val="20"/>
                <w:color w:val="auto"/>
              </w:rPr>
            </w:pPr>
            <w:r>
              <w:rPr>
                <w:rFonts w:ascii="Arial" w:cs="Arial" w:eastAsia="Arial" w:hAnsi="Arial"/>
                <w:sz w:val="16"/>
                <w:szCs w:val="16"/>
                <w:color w:val="auto"/>
              </w:rPr>
              <w:t>160,021</w:t>
            </w:r>
          </w:p>
        </w:tc>
        <w:tc>
          <w:tcPr>
            <w:tcW w:w="100" w:type="dxa"/>
            <w:vAlign w:val="bottom"/>
          </w:tcPr>
          <w:p>
            <w:pPr>
              <w:spacing w:after="0"/>
              <w:rPr>
                <w:sz w:val="15"/>
                <w:szCs w:val="15"/>
                <w:color w:val="auto"/>
              </w:rPr>
            </w:pPr>
          </w:p>
        </w:tc>
        <w:tc>
          <w:tcPr>
            <w:tcW w:w="160" w:type="dxa"/>
            <w:vAlign w:val="bottom"/>
            <w:shd w:val="clear" w:color="auto" w:fill="E0EBED"/>
          </w:tcPr>
          <w:p>
            <w:pPr>
              <w:spacing w:after="0"/>
              <w:rPr>
                <w:sz w:val="15"/>
                <w:szCs w:val="15"/>
                <w:color w:val="auto"/>
              </w:rPr>
            </w:pPr>
          </w:p>
        </w:tc>
        <w:tc>
          <w:tcPr>
            <w:tcW w:w="900" w:type="dxa"/>
            <w:vAlign w:val="bottom"/>
            <w:shd w:val="clear" w:color="auto" w:fill="E0EBED"/>
          </w:tcPr>
          <w:p>
            <w:pPr>
              <w:jc w:val="right"/>
              <w:ind w:right="22"/>
              <w:spacing w:after="0" w:line="182" w:lineRule="exact"/>
              <w:rPr>
                <w:sz w:val="20"/>
                <w:szCs w:val="20"/>
                <w:color w:val="auto"/>
              </w:rPr>
            </w:pPr>
            <w:r>
              <w:rPr>
                <w:rFonts w:ascii="Arial" w:cs="Arial" w:eastAsia="Arial" w:hAnsi="Arial"/>
                <w:sz w:val="16"/>
                <w:szCs w:val="16"/>
                <w:color w:val="auto"/>
              </w:rPr>
              <w:t>97,352</w:t>
            </w:r>
          </w:p>
        </w:tc>
        <w:tc>
          <w:tcPr>
            <w:tcW w:w="0" w:type="dxa"/>
            <w:vAlign w:val="bottom"/>
          </w:tcPr>
          <w:p>
            <w:pPr>
              <w:spacing w:after="0"/>
              <w:rPr>
                <w:sz w:val="1"/>
                <w:szCs w:val="1"/>
                <w:color w:val="auto"/>
              </w:rPr>
            </w:pPr>
          </w:p>
        </w:tc>
      </w:tr>
      <w:tr>
        <w:trPr>
          <w:trHeight w:val="182"/>
        </w:trPr>
        <w:tc>
          <w:tcPr>
            <w:tcW w:w="5740" w:type="dxa"/>
            <w:vAlign w:val="bottom"/>
            <w:gridSpan w:val="2"/>
          </w:tcPr>
          <w:p>
            <w:pPr>
              <w:spacing w:after="0" w:line="182" w:lineRule="exact"/>
              <w:rPr>
                <w:sz w:val="20"/>
                <w:szCs w:val="20"/>
                <w:color w:val="auto"/>
              </w:rPr>
            </w:pPr>
            <w:r>
              <w:rPr>
                <w:rFonts w:ascii="Arial" w:cs="Arial" w:eastAsia="Arial" w:hAnsi="Arial"/>
                <w:sz w:val="16"/>
                <w:szCs w:val="16"/>
                <w:color w:val="auto"/>
              </w:rPr>
              <w:t>Shareholders’ equity</w:t>
            </w:r>
          </w:p>
        </w:tc>
        <w:tc>
          <w:tcPr>
            <w:tcW w:w="80" w:type="dxa"/>
            <w:vAlign w:val="bottom"/>
            <w:shd w:val="clear" w:color="auto" w:fill="CDDEE7"/>
          </w:tcPr>
          <w:p>
            <w:pPr>
              <w:spacing w:after="0"/>
              <w:rPr>
                <w:sz w:val="15"/>
                <w:szCs w:val="15"/>
                <w:color w:val="auto"/>
              </w:rPr>
            </w:pPr>
          </w:p>
        </w:tc>
        <w:tc>
          <w:tcPr>
            <w:tcW w:w="80" w:type="dxa"/>
            <w:vAlign w:val="bottom"/>
            <w:shd w:val="clear" w:color="auto" w:fill="CDDEE7"/>
          </w:tcPr>
          <w:p>
            <w:pPr>
              <w:spacing w:after="0"/>
              <w:rPr>
                <w:sz w:val="15"/>
                <w:szCs w:val="15"/>
                <w:color w:val="auto"/>
              </w:rPr>
            </w:pPr>
          </w:p>
        </w:tc>
        <w:tc>
          <w:tcPr>
            <w:tcW w:w="900" w:type="dxa"/>
            <w:vAlign w:val="bottom"/>
            <w:shd w:val="clear" w:color="auto" w:fill="CDDEE7"/>
          </w:tcPr>
          <w:p>
            <w:pPr>
              <w:jc w:val="right"/>
              <w:ind w:right="22"/>
              <w:spacing w:after="0" w:line="182" w:lineRule="exact"/>
              <w:rPr>
                <w:sz w:val="20"/>
                <w:szCs w:val="20"/>
                <w:color w:val="auto"/>
              </w:rPr>
            </w:pPr>
            <w:r>
              <w:rPr>
                <w:rFonts w:ascii="Arial" w:cs="Arial" w:eastAsia="Arial" w:hAnsi="Arial"/>
                <w:sz w:val="16"/>
                <w:szCs w:val="16"/>
                <w:b w:val="1"/>
                <w:bCs w:val="1"/>
                <w:color w:val="auto"/>
              </w:rPr>
              <w:t>4,679,600</w:t>
            </w:r>
          </w:p>
        </w:tc>
        <w:tc>
          <w:tcPr>
            <w:tcW w:w="100" w:type="dxa"/>
            <w:vAlign w:val="bottom"/>
          </w:tcPr>
          <w:p>
            <w:pPr>
              <w:spacing w:after="0"/>
              <w:rPr>
                <w:sz w:val="15"/>
                <w:szCs w:val="15"/>
                <w:color w:val="auto"/>
              </w:rPr>
            </w:pPr>
          </w:p>
        </w:tc>
        <w:tc>
          <w:tcPr>
            <w:tcW w:w="180" w:type="dxa"/>
            <w:vAlign w:val="bottom"/>
            <w:shd w:val="clear" w:color="auto" w:fill="E0EBED"/>
          </w:tcPr>
          <w:p>
            <w:pPr>
              <w:spacing w:after="0"/>
              <w:rPr>
                <w:sz w:val="15"/>
                <w:szCs w:val="15"/>
                <w:color w:val="auto"/>
              </w:rPr>
            </w:pPr>
          </w:p>
        </w:tc>
        <w:tc>
          <w:tcPr>
            <w:tcW w:w="900" w:type="dxa"/>
            <w:vAlign w:val="bottom"/>
            <w:shd w:val="clear" w:color="auto" w:fill="E0EBED"/>
          </w:tcPr>
          <w:p>
            <w:pPr>
              <w:jc w:val="right"/>
              <w:ind w:right="42"/>
              <w:spacing w:after="0" w:line="182" w:lineRule="exact"/>
              <w:rPr>
                <w:sz w:val="20"/>
                <w:szCs w:val="20"/>
                <w:color w:val="auto"/>
              </w:rPr>
            </w:pPr>
            <w:r>
              <w:rPr>
                <w:rFonts w:ascii="Arial" w:cs="Arial" w:eastAsia="Arial" w:hAnsi="Arial"/>
                <w:sz w:val="16"/>
                <w:szCs w:val="16"/>
                <w:color w:val="auto"/>
              </w:rPr>
              <w:t>4,139,978</w:t>
            </w:r>
          </w:p>
        </w:tc>
        <w:tc>
          <w:tcPr>
            <w:tcW w:w="100" w:type="dxa"/>
            <w:vAlign w:val="bottom"/>
          </w:tcPr>
          <w:p>
            <w:pPr>
              <w:spacing w:after="0"/>
              <w:rPr>
                <w:sz w:val="15"/>
                <w:szCs w:val="15"/>
                <w:color w:val="auto"/>
              </w:rPr>
            </w:pPr>
          </w:p>
        </w:tc>
        <w:tc>
          <w:tcPr>
            <w:tcW w:w="160" w:type="dxa"/>
            <w:vAlign w:val="bottom"/>
            <w:shd w:val="clear" w:color="auto" w:fill="E0EBED"/>
          </w:tcPr>
          <w:p>
            <w:pPr>
              <w:spacing w:after="0"/>
              <w:rPr>
                <w:sz w:val="15"/>
                <w:szCs w:val="15"/>
                <w:color w:val="auto"/>
              </w:rPr>
            </w:pPr>
          </w:p>
        </w:tc>
        <w:tc>
          <w:tcPr>
            <w:tcW w:w="840" w:type="dxa"/>
            <w:vAlign w:val="bottom"/>
            <w:shd w:val="clear" w:color="auto" w:fill="E0EBED"/>
          </w:tcPr>
          <w:p>
            <w:pPr>
              <w:jc w:val="right"/>
              <w:spacing w:after="0" w:line="182" w:lineRule="exact"/>
              <w:rPr>
                <w:sz w:val="20"/>
                <w:szCs w:val="20"/>
                <w:color w:val="auto"/>
              </w:rPr>
            </w:pPr>
            <w:r>
              <w:rPr>
                <w:rFonts w:ascii="Arial" w:cs="Arial" w:eastAsia="Arial" w:hAnsi="Arial"/>
                <w:sz w:val="16"/>
                <w:szCs w:val="16"/>
                <w:color w:val="auto"/>
              </w:rPr>
              <w:t>4,057,284</w:t>
            </w:r>
          </w:p>
        </w:tc>
        <w:tc>
          <w:tcPr>
            <w:tcW w:w="120" w:type="dxa"/>
            <w:vAlign w:val="bottom"/>
          </w:tcPr>
          <w:p>
            <w:pPr>
              <w:spacing w:after="0"/>
              <w:rPr>
                <w:sz w:val="15"/>
                <w:szCs w:val="15"/>
                <w:color w:val="auto"/>
              </w:rPr>
            </w:pPr>
          </w:p>
        </w:tc>
        <w:tc>
          <w:tcPr>
            <w:tcW w:w="160" w:type="dxa"/>
            <w:vAlign w:val="bottom"/>
            <w:shd w:val="clear" w:color="auto" w:fill="E0EBED"/>
          </w:tcPr>
          <w:p>
            <w:pPr>
              <w:spacing w:after="0"/>
              <w:rPr>
                <w:sz w:val="15"/>
                <w:szCs w:val="15"/>
                <w:color w:val="auto"/>
              </w:rPr>
            </w:pPr>
          </w:p>
        </w:tc>
        <w:tc>
          <w:tcPr>
            <w:tcW w:w="900" w:type="dxa"/>
            <w:vAlign w:val="bottom"/>
            <w:shd w:val="clear" w:color="auto" w:fill="E0EBED"/>
          </w:tcPr>
          <w:p>
            <w:pPr>
              <w:jc w:val="right"/>
              <w:ind w:right="22"/>
              <w:spacing w:after="0" w:line="182" w:lineRule="exact"/>
              <w:rPr>
                <w:sz w:val="20"/>
                <w:szCs w:val="20"/>
                <w:color w:val="auto"/>
              </w:rPr>
            </w:pPr>
            <w:r>
              <w:rPr>
                <w:rFonts w:ascii="Arial" w:cs="Arial" w:eastAsia="Arial" w:hAnsi="Arial"/>
                <w:sz w:val="16"/>
                <w:szCs w:val="16"/>
                <w:color w:val="auto"/>
              </w:rPr>
              <w:t>4,351,166</w:t>
            </w:r>
          </w:p>
        </w:tc>
        <w:tc>
          <w:tcPr>
            <w:tcW w:w="100" w:type="dxa"/>
            <w:vAlign w:val="bottom"/>
          </w:tcPr>
          <w:p>
            <w:pPr>
              <w:spacing w:after="0"/>
              <w:rPr>
                <w:sz w:val="15"/>
                <w:szCs w:val="15"/>
                <w:color w:val="auto"/>
              </w:rPr>
            </w:pPr>
          </w:p>
        </w:tc>
        <w:tc>
          <w:tcPr>
            <w:tcW w:w="160" w:type="dxa"/>
            <w:vAlign w:val="bottom"/>
            <w:shd w:val="clear" w:color="auto" w:fill="E0EBED"/>
          </w:tcPr>
          <w:p>
            <w:pPr>
              <w:spacing w:after="0"/>
              <w:rPr>
                <w:sz w:val="15"/>
                <w:szCs w:val="15"/>
                <w:color w:val="auto"/>
              </w:rPr>
            </w:pPr>
          </w:p>
        </w:tc>
        <w:tc>
          <w:tcPr>
            <w:tcW w:w="900" w:type="dxa"/>
            <w:vAlign w:val="bottom"/>
            <w:shd w:val="clear" w:color="auto" w:fill="E0EBED"/>
          </w:tcPr>
          <w:p>
            <w:pPr>
              <w:jc w:val="right"/>
              <w:ind w:right="22"/>
              <w:spacing w:after="0" w:line="182" w:lineRule="exact"/>
              <w:rPr>
                <w:sz w:val="20"/>
                <w:szCs w:val="20"/>
                <w:color w:val="auto"/>
              </w:rPr>
            </w:pPr>
            <w:r>
              <w:rPr>
                <w:rFonts w:ascii="Arial" w:cs="Arial" w:eastAsia="Arial" w:hAnsi="Arial"/>
                <w:sz w:val="16"/>
                <w:szCs w:val="16"/>
                <w:color w:val="auto"/>
              </w:rPr>
              <w:t>1,537,877</w:t>
            </w:r>
          </w:p>
        </w:tc>
        <w:tc>
          <w:tcPr>
            <w:tcW w:w="0" w:type="dxa"/>
            <w:vAlign w:val="bottom"/>
          </w:tcPr>
          <w:p>
            <w:pPr>
              <w:spacing w:after="0"/>
              <w:rPr>
                <w:sz w:val="1"/>
                <w:szCs w:val="1"/>
                <w:color w:val="auto"/>
              </w:rPr>
            </w:pPr>
          </w:p>
        </w:tc>
      </w:tr>
      <w:tr>
        <w:trPr>
          <w:trHeight w:val="198"/>
        </w:trPr>
        <w:tc>
          <w:tcPr>
            <w:tcW w:w="574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Noncontrolling interests</w:t>
            </w:r>
          </w:p>
        </w:tc>
        <w:tc>
          <w:tcPr>
            <w:tcW w:w="80" w:type="dxa"/>
            <w:vAlign w:val="bottom"/>
            <w:tcBorders>
              <w:bottom w:val="single" w:sz="8" w:color="auto"/>
            </w:tcBorders>
            <w:shd w:val="clear" w:color="auto" w:fill="CDDEE7"/>
          </w:tcPr>
          <w:p>
            <w:pPr>
              <w:spacing w:after="0"/>
              <w:rPr>
                <w:sz w:val="17"/>
                <w:szCs w:val="17"/>
                <w:color w:val="auto"/>
              </w:rPr>
            </w:pPr>
          </w:p>
        </w:tc>
        <w:tc>
          <w:tcPr>
            <w:tcW w:w="80" w:type="dxa"/>
            <w:vAlign w:val="bottom"/>
            <w:tcBorders>
              <w:bottom w:val="single" w:sz="8" w:color="auto"/>
            </w:tcBorders>
            <w:shd w:val="clear" w:color="auto" w:fill="CDDEE7"/>
          </w:tcPr>
          <w:p>
            <w:pPr>
              <w:spacing w:after="0"/>
              <w:rPr>
                <w:sz w:val="17"/>
                <w:szCs w:val="17"/>
                <w:color w:val="auto"/>
              </w:rPr>
            </w:pPr>
          </w:p>
        </w:tc>
        <w:tc>
          <w:tcPr>
            <w:tcW w:w="900" w:type="dxa"/>
            <w:vAlign w:val="bottom"/>
            <w:tcBorders>
              <w:bottom w:val="single" w:sz="8" w:color="auto"/>
            </w:tcBorders>
            <w:shd w:val="clear" w:color="auto" w:fill="CDDEE7"/>
          </w:tcPr>
          <w:p>
            <w:pPr>
              <w:jc w:val="right"/>
              <w:ind w:right="22"/>
              <w:spacing w:after="0"/>
              <w:rPr>
                <w:sz w:val="20"/>
                <w:szCs w:val="20"/>
                <w:color w:val="auto"/>
              </w:rPr>
            </w:pPr>
            <w:r>
              <w:rPr>
                <w:rFonts w:ascii="Arial" w:cs="Arial" w:eastAsia="Arial" w:hAnsi="Arial"/>
                <w:sz w:val="16"/>
                <w:szCs w:val="16"/>
                <w:b w:val="1"/>
                <w:bCs w:val="1"/>
                <w:color w:val="auto"/>
              </w:rPr>
              <w:t>2,877</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shd w:val="clear" w:color="auto" w:fill="E0EBED"/>
          </w:tcPr>
          <w:p>
            <w:pPr>
              <w:spacing w:after="0"/>
              <w:rPr>
                <w:sz w:val="17"/>
                <w:szCs w:val="17"/>
                <w:color w:val="auto"/>
              </w:rPr>
            </w:pPr>
          </w:p>
        </w:tc>
        <w:tc>
          <w:tcPr>
            <w:tcW w:w="900" w:type="dxa"/>
            <w:vAlign w:val="bottom"/>
            <w:tcBorders>
              <w:bottom w:val="single" w:sz="8" w:color="auto"/>
            </w:tcBorders>
            <w:shd w:val="clear" w:color="auto" w:fill="E0EBED"/>
          </w:tcPr>
          <w:p>
            <w:pPr>
              <w:jc w:val="right"/>
              <w:ind w:right="42"/>
              <w:spacing w:after="0"/>
              <w:rPr>
                <w:sz w:val="20"/>
                <w:szCs w:val="20"/>
                <w:color w:val="auto"/>
              </w:rPr>
            </w:pPr>
            <w:r>
              <w:rPr>
                <w:rFonts w:ascii="Arial" w:cs="Arial" w:eastAsia="Arial" w:hAnsi="Arial"/>
                <w:sz w:val="16"/>
                <w:szCs w:val="16"/>
                <w:color w:val="auto"/>
              </w:rPr>
              <w:t>2,612</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shd w:val="clear" w:color="auto" w:fill="E0EBED"/>
          </w:tcPr>
          <w:p>
            <w:pPr>
              <w:spacing w:after="0"/>
              <w:rPr>
                <w:sz w:val="17"/>
                <w:szCs w:val="17"/>
                <w:color w:val="auto"/>
              </w:rPr>
            </w:pPr>
          </w:p>
        </w:tc>
        <w:tc>
          <w:tcPr>
            <w:tcW w:w="840" w:type="dxa"/>
            <w:vAlign w:val="bottom"/>
            <w:tcBorders>
              <w:bottom w:val="single" w:sz="8" w:color="auto"/>
            </w:tcBorders>
            <w:shd w:val="clear" w:color="auto" w:fill="E0EBED"/>
          </w:tcPr>
          <w:p>
            <w:pPr>
              <w:jc w:val="right"/>
              <w:spacing w:after="0"/>
              <w:rPr>
                <w:sz w:val="20"/>
                <w:szCs w:val="20"/>
                <w:color w:val="auto"/>
              </w:rPr>
            </w:pPr>
            <w:r>
              <w:rPr>
                <w:rFonts w:ascii="Arial" w:cs="Arial" w:eastAsia="Arial" w:hAnsi="Arial"/>
                <w:sz w:val="16"/>
                <w:szCs w:val="16"/>
                <w:color w:val="auto"/>
              </w:rPr>
              <w:t>2,893</w:t>
            </w: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shd w:val="clear" w:color="auto" w:fill="E0EBED"/>
          </w:tcPr>
          <w:p>
            <w:pPr>
              <w:spacing w:after="0"/>
              <w:rPr>
                <w:sz w:val="17"/>
                <w:szCs w:val="17"/>
                <w:color w:val="auto"/>
              </w:rPr>
            </w:pPr>
          </w:p>
        </w:tc>
        <w:tc>
          <w:tcPr>
            <w:tcW w:w="900" w:type="dxa"/>
            <w:vAlign w:val="bottom"/>
            <w:tcBorders>
              <w:bottom w:val="single" w:sz="8" w:color="auto"/>
            </w:tcBorders>
            <w:shd w:val="clear" w:color="auto" w:fill="E0EBED"/>
          </w:tcPr>
          <w:p>
            <w:pPr>
              <w:jc w:val="right"/>
              <w:ind w:right="22"/>
              <w:spacing w:after="0"/>
              <w:rPr>
                <w:sz w:val="20"/>
                <w:szCs w:val="20"/>
                <w:color w:val="auto"/>
              </w:rPr>
            </w:pPr>
            <w:r>
              <w:rPr>
                <w:rFonts w:ascii="Arial" w:cs="Arial" w:eastAsia="Arial" w:hAnsi="Arial"/>
                <w:sz w:val="16"/>
                <w:szCs w:val="16"/>
                <w:color w:val="auto"/>
              </w:rPr>
              <w:t>1,582</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shd w:val="clear" w:color="auto" w:fill="E0EBED"/>
          </w:tcPr>
          <w:p>
            <w:pPr>
              <w:spacing w:after="0"/>
              <w:rPr>
                <w:sz w:val="17"/>
                <w:szCs w:val="17"/>
                <w:color w:val="auto"/>
              </w:rPr>
            </w:pPr>
          </w:p>
        </w:tc>
        <w:tc>
          <w:tcPr>
            <w:tcW w:w="900" w:type="dxa"/>
            <w:vAlign w:val="bottom"/>
            <w:tcBorders>
              <w:bottom w:val="single" w:sz="8" w:color="auto"/>
            </w:tcBorders>
            <w:shd w:val="clear" w:color="auto" w:fill="E0EBED"/>
          </w:tcPr>
          <w:p>
            <w:pPr>
              <w:jc w:val="right"/>
              <w:ind w:right="22"/>
              <w:spacing w:after="0"/>
              <w:rPr>
                <w:sz w:val="20"/>
                <w:szCs w:val="20"/>
                <w:color w:val="auto"/>
              </w:rPr>
            </w:pPr>
            <w:r>
              <w:rPr>
                <w:rFonts w:ascii="Arial" w:cs="Arial" w:eastAsia="Arial" w:hAnsi="Arial"/>
                <w:sz w:val="16"/>
                <w:szCs w:val="16"/>
                <w:color w:val="auto"/>
              </w:rPr>
              <w:t>37,042</w:t>
            </w:r>
          </w:p>
        </w:tc>
        <w:tc>
          <w:tcPr>
            <w:tcW w:w="0" w:type="dxa"/>
            <w:vAlign w:val="bottom"/>
          </w:tcPr>
          <w:p>
            <w:pPr>
              <w:spacing w:after="0"/>
              <w:rPr>
                <w:sz w:val="1"/>
                <w:szCs w:val="1"/>
                <w:color w:val="auto"/>
              </w:rPr>
            </w:pPr>
          </w:p>
        </w:tc>
      </w:tr>
      <w:tr>
        <w:trPr>
          <w:trHeight w:val="175"/>
        </w:trPr>
        <w:tc>
          <w:tcPr>
            <w:tcW w:w="574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Total Liabilities and Equity</w:t>
            </w:r>
          </w:p>
        </w:tc>
        <w:tc>
          <w:tcPr>
            <w:tcW w:w="80" w:type="dxa"/>
            <w:vAlign w:val="bottom"/>
            <w:shd w:val="clear" w:color="auto" w:fill="CDDEE7"/>
          </w:tcPr>
          <w:p>
            <w:pPr>
              <w:spacing w:after="0"/>
              <w:rPr>
                <w:sz w:val="15"/>
                <w:szCs w:val="15"/>
                <w:color w:val="auto"/>
              </w:rPr>
            </w:pPr>
          </w:p>
        </w:tc>
        <w:tc>
          <w:tcPr>
            <w:tcW w:w="80" w:type="dxa"/>
            <w:vAlign w:val="bottom"/>
            <w:shd w:val="clear" w:color="auto" w:fill="CDDEE7"/>
          </w:tcPr>
          <w:p>
            <w:pPr>
              <w:jc w:val="right"/>
              <w:spacing w:after="0"/>
              <w:rPr>
                <w:sz w:val="20"/>
                <w:szCs w:val="20"/>
                <w:color w:val="auto"/>
              </w:rPr>
            </w:pPr>
            <w:r>
              <w:rPr>
                <w:rFonts w:ascii="Arial" w:cs="Arial" w:eastAsia="Arial" w:hAnsi="Arial"/>
                <w:sz w:val="14"/>
                <w:szCs w:val="14"/>
                <w:b w:val="1"/>
                <w:bCs w:val="1"/>
                <w:color w:val="auto"/>
                <w:w w:val="76"/>
              </w:rPr>
              <w:t>$</w:t>
            </w:r>
          </w:p>
        </w:tc>
        <w:tc>
          <w:tcPr>
            <w:tcW w:w="900" w:type="dxa"/>
            <w:vAlign w:val="bottom"/>
            <w:shd w:val="clear" w:color="auto" w:fill="CDDEE7"/>
          </w:tcPr>
          <w:p>
            <w:pPr>
              <w:jc w:val="right"/>
              <w:ind w:right="22"/>
              <w:spacing w:after="0" w:line="175" w:lineRule="exact"/>
              <w:rPr>
                <w:sz w:val="20"/>
                <w:szCs w:val="20"/>
                <w:color w:val="auto"/>
              </w:rPr>
            </w:pPr>
            <w:r>
              <w:rPr>
                <w:rFonts w:ascii="Arial" w:cs="Arial" w:eastAsia="Arial" w:hAnsi="Arial"/>
                <w:sz w:val="16"/>
                <w:szCs w:val="16"/>
                <w:b w:val="1"/>
                <w:bCs w:val="1"/>
                <w:color w:val="auto"/>
              </w:rPr>
              <w:t>8,992,511</w:t>
            </w:r>
          </w:p>
        </w:tc>
        <w:tc>
          <w:tcPr>
            <w:tcW w:w="100" w:type="dxa"/>
            <w:vAlign w:val="bottom"/>
          </w:tcPr>
          <w:p>
            <w:pPr>
              <w:spacing w:after="0"/>
              <w:rPr>
                <w:sz w:val="15"/>
                <w:szCs w:val="15"/>
                <w:color w:val="auto"/>
              </w:rPr>
            </w:pPr>
          </w:p>
        </w:tc>
        <w:tc>
          <w:tcPr>
            <w:tcW w:w="180" w:type="dxa"/>
            <w:vAlign w:val="bottom"/>
            <w:shd w:val="clear" w:color="auto" w:fill="E0EBED"/>
          </w:tcPr>
          <w:p>
            <w:pPr>
              <w:jc w:val="right"/>
              <w:spacing w:after="0" w:line="175" w:lineRule="exact"/>
              <w:rPr>
                <w:sz w:val="20"/>
                <w:szCs w:val="20"/>
                <w:color w:val="auto"/>
              </w:rPr>
            </w:pPr>
            <w:r>
              <w:rPr>
                <w:rFonts w:ascii="Arial" w:cs="Arial" w:eastAsia="Arial" w:hAnsi="Arial"/>
                <w:sz w:val="16"/>
                <w:szCs w:val="16"/>
                <w:color w:val="auto"/>
              </w:rPr>
              <w:t>$</w:t>
            </w:r>
          </w:p>
        </w:tc>
        <w:tc>
          <w:tcPr>
            <w:tcW w:w="900" w:type="dxa"/>
            <w:vAlign w:val="bottom"/>
            <w:shd w:val="clear" w:color="auto" w:fill="E0EBED"/>
          </w:tcPr>
          <w:p>
            <w:pPr>
              <w:jc w:val="right"/>
              <w:ind w:right="42"/>
              <w:spacing w:after="0" w:line="175" w:lineRule="exact"/>
              <w:rPr>
                <w:sz w:val="20"/>
                <w:szCs w:val="20"/>
                <w:color w:val="auto"/>
              </w:rPr>
            </w:pPr>
            <w:r>
              <w:rPr>
                <w:rFonts w:ascii="Arial" w:cs="Arial" w:eastAsia="Arial" w:hAnsi="Arial"/>
                <w:sz w:val="16"/>
                <w:szCs w:val="16"/>
                <w:color w:val="auto"/>
              </w:rPr>
              <w:t>7,300,905</w:t>
            </w:r>
          </w:p>
        </w:tc>
        <w:tc>
          <w:tcPr>
            <w:tcW w:w="100" w:type="dxa"/>
            <w:vAlign w:val="bottom"/>
          </w:tcPr>
          <w:p>
            <w:pPr>
              <w:spacing w:after="0"/>
              <w:rPr>
                <w:sz w:val="15"/>
                <w:szCs w:val="15"/>
                <w:color w:val="auto"/>
              </w:rPr>
            </w:pPr>
          </w:p>
        </w:tc>
        <w:tc>
          <w:tcPr>
            <w:tcW w:w="160" w:type="dxa"/>
            <w:vAlign w:val="bottom"/>
            <w:shd w:val="clear" w:color="auto" w:fill="E0EBED"/>
          </w:tcPr>
          <w:p>
            <w:pPr>
              <w:jc w:val="right"/>
              <w:spacing w:after="0" w:line="175" w:lineRule="exact"/>
              <w:rPr>
                <w:sz w:val="20"/>
                <w:szCs w:val="20"/>
                <w:color w:val="auto"/>
              </w:rPr>
            </w:pPr>
            <w:r>
              <w:rPr>
                <w:rFonts w:ascii="Arial" w:cs="Arial" w:eastAsia="Arial" w:hAnsi="Arial"/>
                <w:sz w:val="16"/>
                <w:szCs w:val="16"/>
                <w:color w:val="auto"/>
              </w:rPr>
              <w:t>$</w:t>
            </w:r>
          </w:p>
        </w:tc>
        <w:tc>
          <w:tcPr>
            <w:tcW w:w="840" w:type="dxa"/>
            <w:vAlign w:val="bottom"/>
            <w:shd w:val="clear" w:color="auto" w:fill="E0EBED"/>
          </w:tcPr>
          <w:p>
            <w:pPr>
              <w:jc w:val="right"/>
              <w:spacing w:after="0" w:line="175" w:lineRule="exact"/>
              <w:rPr>
                <w:sz w:val="20"/>
                <w:szCs w:val="20"/>
                <w:color w:val="auto"/>
              </w:rPr>
            </w:pPr>
            <w:r>
              <w:rPr>
                <w:rFonts w:ascii="Arial" w:cs="Arial" w:eastAsia="Arial" w:hAnsi="Arial"/>
                <w:sz w:val="16"/>
                <w:szCs w:val="16"/>
                <w:color w:val="auto"/>
              </w:rPr>
              <w:t>6,957,611</w:t>
            </w:r>
          </w:p>
        </w:tc>
        <w:tc>
          <w:tcPr>
            <w:tcW w:w="120" w:type="dxa"/>
            <w:vAlign w:val="bottom"/>
          </w:tcPr>
          <w:p>
            <w:pPr>
              <w:spacing w:after="0"/>
              <w:rPr>
                <w:sz w:val="15"/>
                <w:szCs w:val="15"/>
                <w:color w:val="auto"/>
              </w:rPr>
            </w:pPr>
          </w:p>
        </w:tc>
        <w:tc>
          <w:tcPr>
            <w:tcW w:w="160" w:type="dxa"/>
            <w:vAlign w:val="bottom"/>
            <w:shd w:val="clear" w:color="auto" w:fill="E0EBED"/>
          </w:tcPr>
          <w:p>
            <w:pPr>
              <w:jc w:val="right"/>
              <w:spacing w:after="0" w:line="175" w:lineRule="exact"/>
              <w:rPr>
                <w:sz w:val="20"/>
                <w:szCs w:val="20"/>
                <w:color w:val="auto"/>
              </w:rPr>
            </w:pPr>
            <w:r>
              <w:rPr>
                <w:rFonts w:ascii="Arial" w:cs="Arial" w:eastAsia="Arial" w:hAnsi="Arial"/>
                <w:sz w:val="16"/>
                <w:szCs w:val="16"/>
                <w:color w:val="auto"/>
              </w:rPr>
              <w:t>$</w:t>
            </w:r>
          </w:p>
        </w:tc>
        <w:tc>
          <w:tcPr>
            <w:tcW w:w="900" w:type="dxa"/>
            <w:vAlign w:val="bottom"/>
            <w:shd w:val="clear" w:color="auto" w:fill="E0EBED"/>
          </w:tcPr>
          <w:p>
            <w:pPr>
              <w:jc w:val="right"/>
              <w:ind w:right="22"/>
              <w:spacing w:after="0" w:line="175" w:lineRule="exact"/>
              <w:rPr>
                <w:sz w:val="20"/>
                <w:szCs w:val="20"/>
                <w:color w:val="auto"/>
              </w:rPr>
            </w:pPr>
            <w:r>
              <w:rPr>
                <w:rFonts w:ascii="Arial" w:cs="Arial" w:eastAsia="Arial" w:hAnsi="Arial"/>
                <w:sz w:val="16"/>
                <w:szCs w:val="16"/>
                <w:color w:val="auto"/>
              </w:rPr>
              <w:t>7,214,517</w:t>
            </w:r>
          </w:p>
        </w:tc>
        <w:tc>
          <w:tcPr>
            <w:tcW w:w="100" w:type="dxa"/>
            <w:vAlign w:val="bottom"/>
          </w:tcPr>
          <w:p>
            <w:pPr>
              <w:spacing w:after="0"/>
              <w:rPr>
                <w:sz w:val="15"/>
                <w:szCs w:val="15"/>
                <w:color w:val="auto"/>
              </w:rPr>
            </w:pPr>
          </w:p>
        </w:tc>
        <w:tc>
          <w:tcPr>
            <w:tcW w:w="160" w:type="dxa"/>
            <w:vAlign w:val="bottom"/>
            <w:shd w:val="clear" w:color="auto" w:fill="E0EBED"/>
          </w:tcPr>
          <w:p>
            <w:pPr>
              <w:jc w:val="right"/>
              <w:spacing w:after="0" w:line="175" w:lineRule="exact"/>
              <w:rPr>
                <w:sz w:val="20"/>
                <w:szCs w:val="20"/>
                <w:color w:val="auto"/>
              </w:rPr>
            </w:pPr>
            <w:r>
              <w:rPr>
                <w:rFonts w:ascii="Arial" w:cs="Arial" w:eastAsia="Arial" w:hAnsi="Arial"/>
                <w:sz w:val="16"/>
                <w:szCs w:val="16"/>
                <w:color w:val="auto"/>
              </w:rPr>
              <w:t>$</w:t>
            </w:r>
          </w:p>
        </w:tc>
        <w:tc>
          <w:tcPr>
            <w:tcW w:w="900" w:type="dxa"/>
            <w:vAlign w:val="bottom"/>
            <w:shd w:val="clear" w:color="auto" w:fill="E0EBED"/>
          </w:tcPr>
          <w:p>
            <w:pPr>
              <w:jc w:val="right"/>
              <w:ind w:right="22"/>
              <w:spacing w:after="0" w:line="175" w:lineRule="exact"/>
              <w:rPr>
                <w:sz w:val="20"/>
                <w:szCs w:val="20"/>
                <w:color w:val="auto"/>
              </w:rPr>
            </w:pPr>
            <w:r>
              <w:rPr>
                <w:rFonts w:ascii="Arial" w:cs="Arial" w:eastAsia="Arial" w:hAnsi="Arial"/>
                <w:sz w:val="16"/>
                <w:szCs w:val="16"/>
                <w:color w:val="auto"/>
              </w:rPr>
              <w:t>3,181,271</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7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11" w:lineRule="exact"/>
        <w:rPr>
          <w:sz w:val="20"/>
          <w:szCs w:val="20"/>
          <w:color w:val="auto"/>
        </w:rPr>
      </w:pPr>
    </w:p>
    <w:p>
      <w:pPr>
        <w:ind w:left="100" w:hanging="96"/>
        <w:spacing w:after="0" w:line="239" w:lineRule="auto"/>
        <w:tabs>
          <w:tab w:leader="none" w:pos="100" w:val="left"/>
        </w:tabs>
        <w:numPr>
          <w:ilvl w:val="0"/>
          <w:numId w:val="44"/>
        </w:numPr>
        <w:rPr>
          <w:rFonts w:ascii="Arial" w:cs="Arial" w:eastAsia="Arial" w:hAnsi="Arial"/>
          <w:sz w:val="10"/>
          <w:szCs w:val="10"/>
          <w:color w:val="auto"/>
        </w:rPr>
      </w:pPr>
      <w:r>
        <w:rPr>
          <w:rFonts w:ascii="Arial" w:cs="Arial" w:eastAsia="Arial" w:hAnsi="Arial"/>
          <w:sz w:val="12"/>
          <w:szCs w:val="12"/>
          <w:color w:val="auto"/>
        </w:rPr>
        <w:t xml:space="preserve">Amounts for 2013-2016 may not equal amounts reported in the Company’s prior years’ Forms 10-K as amounts have been reclassified to reflect the adoption of the Accounting Standards Update 2017-07, </w:t>
      </w:r>
      <w:r>
        <w:rPr>
          <w:rFonts w:ascii="Arial" w:cs="Arial" w:eastAsia="Arial" w:hAnsi="Arial"/>
          <w:sz w:val="12"/>
          <w:szCs w:val="12"/>
          <w:i w:val="1"/>
          <w:iCs w:val="1"/>
          <w:color w:val="auto"/>
        </w:rPr>
        <w:t>Improving the Presentation of Net Periodic Pension Cost and Net Periodic Postretirement Benefit Cost.</w:t>
      </w:r>
    </w:p>
    <w:p>
      <w:pPr>
        <w:spacing w:after="0" w:line="12" w:lineRule="exact"/>
        <w:rPr>
          <w:sz w:val="20"/>
          <w:szCs w:val="20"/>
          <w:color w:val="auto"/>
        </w:rPr>
      </w:pPr>
    </w:p>
    <w:p>
      <w:pPr>
        <w:ind w:left="100" w:hanging="96"/>
        <w:spacing w:after="0"/>
        <w:tabs>
          <w:tab w:leader="none" w:pos="100" w:val="left"/>
        </w:tabs>
        <w:numPr>
          <w:ilvl w:val="0"/>
          <w:numId w:val="45"/>
        </w:numPr>
        <w:rPr>
          <w:rFonts w:ascii="Arial" w:cs="Arial" w:eastAsia="Arial" w:hAnsi="Arial"/>
          <w:sz w:val="10"/>
          <w:szCs w:val="10"/>
          <w:color w:val="auto"/>
        </w:rPr>
      </w:pPr>
      <w:r>
        <w:rPr>
          <w:rFonts w:ascii="Arial" w:cs="Arial" w:eastAsia="Arial" w:hAnsi="Arial"/>
          <w:sz w:val="12"/>
          <w:szCs w:val="12"/>
          <w:color w:val="auto"/>
        </w:rPr>
        <w:t xml:space="preserve">Balance sheets reflect the adoption of Accounting Standards Update 2015-03, </w:t>
      </w:r>
      <w:r>
        <w:rPr>
          <w:rFonts w:ascii="Arial" w:cs="Arial" w:eastAsia="Arial" w:hAnsi="Arial"/>
          <w:sz w:val="12"/>
          <w:szCs w:val="12"/>
          <w:i w:val="1"/>
          <w:iCs w:val="1"/>
          <w:color w:val="auto"/>
        </w:rPr>
        <w:t>Simplifying the Presentation of Debt Issuance Costs.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87</w:t>
      </w:r>
    </w:p>
    <w:p>
      <w:pPr>
        <w:sectPr>
          <w:pgSz w:w="11900" w:h="16838" w:orient="portrait"/>
          <w:cols w:equalWidth="0" w:num="1">
            <w:col w:w="11420"/>
          </w:cols>
          <w:pgMar w:left="240" w:top="376" w:right="239" w:bottom="1440" w:gutter="0" w:footer="0" w:header="0"/>
        </w:sectPr>
      </w:pPr>
    </w:p>
    <w:bookmarkStart w:id="140" w:name="page141"/>
    <w:bookmarkEnd w:id="140"/>
    <w:p>
      <w:pPr>
        <w:jc w:val="center"/>
        <w:ind w:right="20"/>
        <w:spacing w:after="0"/>
        <w:rPr>
          <w:sz w:val="20"/>
          <w:szCs w:val="20"/>
          <w:color w:val="auto"/>
        </w:rPr>
      </w:pPr>
      <w:r>
        <w:rPr>
          <w:rFonts w:ascii="Arial" w:cs="Arial" w:eastAsia="Arial" w:hAnsi="Arial"/>
          <w:sz w:val="17"/>
          <w:szCs w:val="17"/>
          <w:b w:val="1"/>
          <w:bCs w:val="1"/>
          <w:color w:val="49B28F"/>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7">
                      <a:extLst>
                        <a:ext uri="{28A0092B-C50C-407E-A947-70E740481C1C}"/>
                      </a:extLst>
                    </a:blip>
                    <a:srcRect/>
                    <a:stretch>
                      <a:fillRect/>
                    </a:stretch>
                  </pic:blipFill>
                  <pic:spPr bwMode="auto">
                    <a:xfrm>
                      <a:off x="0" y="0"/>
                      <a:ext cx="7293610" cy="37465"/>
                    </a:xfrm>
                    <a:prstGeom prst="rect">
                      <a:avLst/>
                    </a:prstGeom>
                    <a:noFill/>
                  </pic:spPr>
                </pic:pic>
              </a:graphicData>
            </a:graphic>
          </wp:anchor>
        </w:drawing>
        <w:t>COMMON STOCK PERFORMANCE GRAPH</w:t>
      </w:r>
    </w:p>
    <w:p>
      <w:pPr>
        <w:spacing w:after="0" w:line="200" w:lineRule="exact"/>
        <w:rPr>
          <w:sz w:val="20"/>
          <w:szCs w:val="20"/>
          <w:color w:val="auto"/>
        </w:rPr>
      </w:pPr>
    </w:p>
    <w:p>
      <w:pPr>
        <w:spacing w:after="0" w:line="231"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The following graph compares the performance of the Company’s common stock to that of the Standard and Poor’s (S&amp;P) 500 Index and the S&amp;P 500 Materials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136525</wp:posOffset>
            </wp:positionV>
            <wp:extent cx="5801360" cy="48539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8">
                      <a:extLst>
                        <a:ext uri="{28A0092B-C50C-407E-A947-70E740481C1C}"/>
                      </a:extLst>
                    </a:blip>
                    <a:srcRect/>
                    <a:stretch>
                      <a:fillRect/>
                    </a:stretch>
                  </pic:blipFill>
                  <pic:spPr bwMode="auto">
                    <a:xfrm>
                      <a:off x="0" y="0"/>
                      <a:ext cx="5801360" cy="4853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4300" w:type="dxa"/>
            <w:vAlign w:val="bottom"/>
            <w:tcBorders>
              <w:top w:val="single" w:sz="8" w:color="AAA2A7"/>
              <w:left w:val="single" w:sz="8" w:color="AAA2A7"/>
              <w:right w:val="single" w:sz="8" w:color="AAA2A7"/>
            </w:tcBorders>
          </w:tcPr>
          <w:p>
            <w:pPr>
              <w:spacing w:after="0"/>
              <w:rPr>
                <w:sz w:val="21"/>
                <w:szCs w:val="21"/>
                <w:color w:val="auto"/>
              </w:rPr>
            </w:pPr>
          </w:p>
        </w:tc>
        <w:tc>
          <w:tcPr>
            <w:tcW w:w="880" w:type="dxa"/>
            <w:vAlign w:val="bottom"/>
            <w:tcBorders>
              <w:top w:val="single" w:sz="8" w:color="AAA2A7"/>
              <w:right w:val="single" w:sz="8" w:color="AAA2A7"/>
            </w:tcBorders>
            <w:vMerge w:val="restart"/>
            <w:shd w:val="clear" w:color="auto" w:fill="0085CD"/>
          </w:tcPr>
          <w:p>
            <w:pPr>
              <w:jc w:val="center"/>
              <w:spacing w:after="0"/>
              <w:rPr>
                <w:sz w:val="20"/>
                <w:szCs w:val="20"/>
                <w:color w:val="auto"/>
              </w:rPr>
            </w:pPr>
            <w:r>
              <w:rPr>
                <w:rFonts w:ascii="Arial" w:cs="Arial" w:eastAsia="Arial" w:hAnsi="Arial"/>
                <w:sz w:val="17"/>
                <w:szCs w:val="17"/>
                <w:b w:val="1"/>
                <w:bCs w:val="1"/>
                <w:color w:val="FFFFFF"/>
              </w:rPr>
              <w:t>2010</w:t>
            </w:r>
          </w:p>
        </w:tc>
        <w:tc>
          <w:tcPr>
            <w:tcW w:w="900" w:type="dxa"/>
            <w:vAlign w:val="bottom"/>
            <w:tcBorders>
              <w:top w:val="single" w:sz="8" w:color="AAA2A7"/>
              <w:right w:val="single" w:sz="8" w:color="AAA2A7"/>
            </w:tcBorders>
            <w:vMerge w:val="restart"/>
            <w:shd w:val="clear" w:color="auto" w:fill="0085CD"/>
          </w:tcPr>
          <w:p>
            <w:pPr>
              <w:jc w:val="center"/>
              <w:spacing w:after="0"/>
              <w:rPr>
                <w:sz w:val="20"/>
                <w:szCs w:val="20"/>
                <w:color w:val="auto"/>
              </w:rPr>
            </w:pPr>
            <w:r>
              <w:rPr>
                <w:rFonts w:ascii="Arial" w:cs="Arial" w:eastAsia="Arial" w:hAnsi="Arial"/>
                <w:sz w:val="17"/>
                <w:szCs w:val="17"/>
                <w:b w:val="1"/>
                <w:bCs w:val="1"/>
                <w:color w:val="FFFFFF"/>
              </w:rPr>
              <w:t>2011</w:t>
            </w:r>
          </w:p>
        </w:tc>
        <w:tc>
          <w:tcPr>
            <w:tcW w:w="900" w:type="dxa"/>
            <w:vAlign w:val="bottom"/>
            <w:tcBorders>
              <w:top w:val="single" w:sz="8" w:color="AAA2A7"/>
              <w:right w:val="single" w:sz="8" w:color="AAA2A7"/>
            </w:tcBorders>
            <w:vMerge w:val="restart"/>
            <w:shd w:val="clear" w:color="auto" w:fill="0085CD"/>
          </w:tcPr>
          <w:p>
            <w:pPr>
              <w:jc w:val="center"/>
              <w:spacing w:after="0"/>
              <w:rPr>
                <w:sz w:val="20"/>
                <w:szCs w:val="20"/>
                <w:color w:val="auto"/>
              </w:rPr>
            </w:pPr>
            <w:r>
              <w:rPr>
                <w:rFonts w:ascii="Arial" w:cs="Arial" w:eastAsia="Arial" w:hAnsi="Arial"/>
                <w:sz w:val="17"/>
                <w:szCs w:val="17"/>
                <w:b w:val="1"/>
                <w:bCs w:val="1"/>
                <w:color w:val="FFFFFF"/>
              </w:rPr>
              <w:t>2012</w:t>
            </w:r>
          </w:p>
        </w:tc>
        <w:tc>
          <w:tcPr>
            <w:tcW w:w="900" w:type="dxa"/>
            <w:vAlign w:val="bottom"/>
            <w:tcBorders>
              <w:top w:val="single" w:sz="8" w:color="AAA2A7"/>
              <w:right w:val="single" w:sz="8" w:color="AAA2A7"/>
            </w:tcBorders>
            <w:vMerge w:val="restart"/>
            <w:shd w:val="clear" w:color="auto" w:fill="0085CD"/>
          </w:tcPr>
          <w:p>
            <w:pPr>
              <w:jc w:val="center"/>
              <w:spacing w:after="0"/>
              <w:rPr>
                <w:sz w:val="20"/>
                <w:szCs w:val="20"/>
                <w:color w:val="auto"/>
              </w:rPr>
            </w:pPr>
            <w:r>
              <w:rPr>
                <w:rFonts w:ascii="Arial" w:cs="Arial" w:eastAsia="Arial" w:hAnsi="Arial"/>
                <w:sz w:val="17"/>
                <w:szCs w:val="17"/>
                <w:b w:val="1"/>
                <w:bCs w:val="1"/>
                <w:color w:val="FFFFFF"/>
              </w:rPr>
              <w:t>2013</w:t>
            </w:r>
          </w:p>
        </w:tc>
        <w:tc>
          <w:tcPr>
            <w:tcW w:w="900" w:type="dxa"/>
            <w:vAlign w:val="bottom"/>
            <w:tcBorders>
              <w:top w:val="single" w:sz="8" w:color="AAA2A7"/>
              <w:right w:val="single" w:sz="8" w:color="AAA2A7"/>
            </w:tcBorders>
            <w:vMerge w:val="restart"/>
            <w:shd w:val="clear" w:color="auto" w:fill="0085CD"/>
          </w:tcPr>
          <w:p>
            <w:pPr>
              <w:jc w:val="center"/>
              <w:spacing w:after="0"/>
              <w:rPr>
                <w:sz w:val="20"/>
                <w:szCs w:val="20"/>
                <w:color w:val="auto"/>
              </w:rPr>
            </w:pPr>
            <w:r>
              <w:rPr>
                <w:rFonts w:ascii="Arial" w:cs="Arial" w:eastAsia="Arial" w:hAnsi="Arial"/>
                <w:sz w:val="17"/>
                <w:szCs w:val="17"/>
                <w:b w:val="1"/>
                <w:bCs w:val="1"/>
                <w:color w:val="FFFFFF"/>
              </w:rPr>
              <w:t>2014</w:t>
            </w:r>
          </w:p>
        </w:tc>
        <w:tc>
          <w:tcPr>
            <w:tcW w:w="880" w:type="dxa"/>
            <w:vAlign w:val="bottom"/>
            <w:tcBorders>
              <w:top w:val="single" w:sz="8" w:color="AAA2A7"/>
              <w:right w:val="single" w:sz="8" w:color="AAA2A7"/>
            </w:tcBorders>
            <w:vMerge w:val="restart"/>
            <w:shd w:val="clear" w:color="auto" w:fill="0085CD"/>
          </w:tcPr>
          <w:p>
            <w:pPr>
              <w:jc w:val="center"/>
              <w:spacing w:after="0"/>
              <w:rPr>
                <w:sz w:val="20"/>
                <w:szCs w:val="20"/>
                <w:color w:val="auto"/>
              </w:rPr>
            </w:pPr>
            <w:r>
              <w:rPr>
                <w:rFonts w:ascii="Arial" w:cs="Arial" w:eastAsia="Arial" w:hAnsi="Arial"/>
                <w:sz w:val="17"/>
                <w:szCs w:val="17"/>
                <w:b w:val="1"/>
                <w:bCs w:val="1"/>
                <w:color w:val="FFFFFF"/>
              </w:rPr>
              <w:t>2015</w:t>
            </w:r>
          </w:p>
        </w:tc>
        <w:tc>
          <w:tcPr>
            <w:tcW w:w="900" w:type="dxa"/>
            <w:vAlign w:val="bottom"/>
            <w:tcBorders>
              <w:top w:val="single" w:sz="8" w:color="AAA2A7"/>
              <w:right w:val="single" w:sz="8" w:color="AAA2A7"/>
            </w:tcBorders>
            <w:vMerge w:val="restart"/>
            <w:shd w:val="clear" w:color="auto" w:fill="0085CD"/>
          </w:tcPr>
          <w:p>
            <w:pPr>
              <w:jc w:val="center"/>
              <w:spacing w:after="0"/>
              <w:rPr>
                <w:sz w:val="20"/>
                <w:szCs w:val="20"/>
                <w:color w:val="auto"/>
              </w:rPr>
            </w:pPr>
            <w:r>
              <w:rPr>
                <w:rFonts w:ascii="Arial" w:cs="Arial" w:eastAsia="Arial" w:hAnsi="Arial"/>
                <w:sz w:val="17"/>
                <w:szCs w:val="17"/>
                <w:b w:val="1"/>
                <w:bCs w:val="1"/>
                <w:color w:val="FFFFFF"/>
              </w:rPr>
              <w:t>2016</w:t>
            </w:r>
          </w:p>
        </w:tc>
        <w:tc>
          <w:tcPr>
            <w:tcW w:w="880" w:type="dxa"/>
            <w:vAlign w:val="bottom"/>
            <w:tcBorders>
              <w:top w:val="single" w:sz="8" w:color="AAA2A7"/>
              <w:right w:val="single" w:sz="8" w:color="AAA2A7"/>
            </w:tcBorders>
            <w:shd w:val="clear" w:color="auto" w:fill="0085CD"/>
          </w:tcPr>
          <w:p>
            <w:pPr>
              <w:jc w:val="center"/>
              <w:ind w:left="20"/>
              <w:spacing w:after="0"/>
              <w:rPr>
                <w:sz w:val="20"/>
                <w:szCs w:val="20"/>
                <w:color w:val="auto"/>
              </w:rPr>
            </w:pPr>
            <w:r>
              <w:rPr>
                <w:rFonts w:ascii="Arial" w:cs="Arial" w:eastAsia="Arial" w:hAnsi="Arial"/>
                <w:sz w:val="17"/>
                <w:szCs w:val="17"/>
                <w:b w:val="1"/>
                <w:bCs w:val="1"/>
                <w:color w:val="FFFFFF"/>
              </w:rPr>
              <w:t>2017</w:t>
            </w:r>
          </w:p>
        </w:tc>
        <w:tc>
          <w:tcPr>
            <w:tcW w:w="0" w:type="dxa"/>
            <w:vAlign w:val="bottom"/>
          </w:tcPr>
          <w:p>
            <w:pPr>
              <w:spacing w:after="0"/>
              <w:rPr>
                <w:sz w:val="1"/>
                <w:szCs w:val="1"/>
                <w:color w:val="auto"/>
              </w:rPr>
            </w:pPr>
          </w:p>
        </w:tc>
      </w:tr>
      <w:tr>
        <w:trPr>
          <w:trHeight w:val="159"/>
        </w:trPr>
        <w:tc>
          <w:tcPr>
            <w:tcW w:w="4300" w:type="dxa"/>
            <w:vAlign w:val="bottom"/>
            <w:tcBorders>
              <w:left w:val="single" w:sz="8" w:color="AAA2A7"/>
              <w:bottom w:val="single" w:sz="8" w:color="AAA2A7"/>
              <w:right w:val="single" w:sz="8" w:color="AAA2A7"/>
            </w:tcBorders>
          </w:tcPr>
          <w:p>
            <w:pPr>
              <w:spacing w:after="0"/>
              <w:rPr>
                <w:sz w:val="13"/>
                <w:szCs w:val="13"/>
                <w:color w:val="auto"/>
              </w:rPr>
            </w:pPr>
          </w:p>
        </w:tc>
        <w:tc>
          <w:tcPr>
            <w:tcW w:w="880" w:type="dxa"/>
            <w:vAlign w:val="bottom"/>
            <w:tcBorders>
              <w:bottom w:val="single" w:sz="8" w:color="AAA2A7"/>
              <w:right w:val="single" w:sz="8" w:color="AAA2A7"/>
            </w:tcBorders>
            <w:vMerge w:val="continue"/>
            <w:shd w:val="clear" w:color="auto" w:fill="0085CD"/>
          </w:tcPr>
          <w:p>
            <w:pPr>
              <w:spacing w:after="0"/>
              <w:rPr>
                <w:sz w:val="13"/>
                <w:szCs w:val="13"/>
                <w:color w:val="auto"/>
              </w:rPr>
            </w:pPr>
          </w:p>
        </w:tc>
        <w:tc>
          <w:tcPr>
            <w:tcW w:w="900" w:type="dxa"/>
            <w:vAlign w:val="bottom"/>
            <w:tcBorders>
              <w:bottom w:val="single" w:sz="8" w:color="AAA2A7"/>
              <w:right w:val="single" w:sz="8" w:color="AAA2A7"/>
            </w:tcBorders>
            <w:vMerge w:val="continue"/>
            <w:shd w:val="clear" w:color="auto" w:fill="0085CD"/>
          </w:tcPr>
          <w:p>
            <w:pPr>
              <w:spacing w:after="0"/>
              <w:rPr>
                <w:sz w:val="13"/>
                <w:szCs w:val="13"/>
                <w:color w:val="auto"/>
              </w:rPr>
            </w:pPr>
          </w:p>
        </w:tc>
        <w:tc>
          <w:tcPr>
            <w:tcW w:w="900" w:type="dxa"/>
            <w:vAlign w:val="bottom"/>
            <w:tcBorders>
              <w:bottom w:val="single" w:sz="8" w:color="AAA2A7"/>
              <w:right w:val="single" w:sz="8" w:color="AAA2A7"/>
            </w:tcBorders>
            <w:vMerge w:val="continue"/>
            <w:shd w:val="clear" w:color="auto" w:fill="0085CD"/>
          </w:tcPr>
          <w:p>
            <w:pPr>
              <w:spacing w:after="0"/>
              <w:rPr>
                <w:sz w:val="13"/>
                <w:szCs w:val="13"/>
                <w:color w:val="auto"/>
              </w:rPr>
            </w:pPr>
          </w:p>
        </w:tc>
        <w:tc>
          <w:tcPr>
            <w:tcW w:w="900" w:type="dxa"/>
            <w:vAlign w:val="bottom"/>
            <w:tcBorders>
              <w:bottom w:val="single" w:sz="8" w:color="AAA2A7"/>
              <w:right w:val="single" w:sz="8" w:color="AAA2A7"/>
            </w:tcBorders>
            <w:vMerge w:val="continue"/>
            <w:shd w:val="clear" w:color="auto" w:fill="0085CD"/>
          </w:tcPr>
          <w:p>
            <w:pPr>
              <w:spacing w:after="0"/>
              <w:rPr>
                <w:sz w:val="13"/>
                <w:szCs w:val="13"/>
                <w:color w:val="auto"/>
              </w:rPr>
            </w:pPr>
          </w:p>
        </w:tc>
        <w:tc>
          <w:tcPr>
            <w:tcW w:w="900" w:type="dxa"/>
            <w:vAlign w:val="bottom"/>
            <w:tcBorders>
              <w:bottom w:val="single" w:sz="8" w:color="AAA2A7"/>
              <w:right w:val="single" w:sz="8" w:color="AAA2A7"/>
            </w:tcBorders>
            <w:vMerge w:val="continue"/>
            <w:shd w:val="clear" w:color="auto" w:fill="0085CD"/>
          </w:tcPr>
          <w:p>
            <w:pPr>
              <w:spacing w:after="0"/>
              <w:rPr>
                <w:sz w:val="13"/>
                <w:szCs w:val="13"/>
                <w:color w:val="auto"/>
              </w:rPr>
            </w:pPr>
          </w:p>
        </w:tc>
        <w:tc>
          <w:tcPr>
            <w:tcW w:w="880" w:type="dxa"/>
            <w:vAlign w:val="bottom"/>
            <w:tcBorders>
              <w:bottom w:val="single" w:sz="8" w:color="AAA2A7"/>
              <w:right w:val="single" w:sz="8" w:color="AAA2A7"/>
            </w:tcBorders>
            <w:vMerge w:val="continue"/>
            <w:shd w:val="clear" w:color="auto" w:fill="0085CD"/>
          </w:tcPr>
          <w:p>
            <w:pPr>
              <w:spacing w:after="0"/>
              <w:rPr>
                <w:sz w:val="13"/>
                <w:szCs w:val="13"/>
                <w:color w:val="auto"/>
              </w:rPr>
            </w:pPr>
          </w:p>
        </w:tc>
        <w:tc>
          <w:tcPr>
            <w:tcW w:w="900" w:type="dxa"/>
            <w:vAlign w:val="bottom"/>
            <w:tcBorders>
              <w:bottom w:val="single" w:sz="8" w:color="AAA2A7"/>
              <w:right w:val="single" w:sz="8" w:color="AAA2A7"/>
            </w:tcBorders>
            <w:vMerge w:val="continue"/>
            <w:shd w:val="clear" w:color="auto" w:fill="0085CD"/>
          </w:tcPr>
          <w:p>
            <w:pPr>
              <w:spacing w:after="0"/>
              <w:rPr>
                <w:sz w:val="13"/>
                <w:szCs w:val="13"/>
                <w:color w:val="auto"/>
              </w:rPr>
            </w:pPr>
          </w:p>
        </w:tc>
        <w:tc>
          <w:tcPr>
            <w:tcW w:w="880" w:type="dxa"/>
            <w:vAlign w:val="bottom"/>
            <w:tcBorders>
              <w:bottom w:val="single" w:sz="8" w:color="AAA2A7"/>
              <w:right w:val="single" w:sz="8" w:color="AAA2A7"/>
            </w:tcBorders>
            <w:shd w:val="clear" w:color="auto" w:fill="0085CD"/>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300" w:type="dxa"/>
            <w:vAlign w:val="bottom"/>
            <w:tcBorders>
              <w:left w:val="single" w:sz="8" w:color="AAA2A7"/>
              <w:bottom w:val="single" w:sz="8" w:color="AAA2A7"/>
              <w:right w:val="single" w:sz="8" w:color="AAA2A7"/>
            </w:tcBorders>
          </w:tcPr>
          <w:p>
            <w:pPr>
              <w:jc w:val="center"/>
              <w:ind w:left="42"/>
              <w:spacing w:after="0" w:line="175" w:lineRule="exact"/>
              <w:rPr>
                <w:sz w:val="20"/>
                <w:szCs w:val="20"/>
                <w:color w:val="auto"/>
              </w:rPr>
            </w:pPr>
            <w:r>
              <w:rPr>
                <w:rFonts w:ascii="Arial" w:cs="Arial" w:eastAsia="Arial" w:hAnsi="Arial"/>
                <w:sz w:val="16"/>
                <w:szCs w:val="16"/>
                <w:b w:val="1"/>
                <w:bCs w:val="1"/>
                <w:color w:val="6E646C"/>
                <w:w w:val="96"/>
              </w:rPr>
              <w:t>Martin Marietta</w:t>
            </w:r>
          </w:p>
        </w:tc>
        <w:tc>
          <w:tcPr>
            <w:tcW w:w="880" w:type="dxa"/>
            <w:vAlign w:val="bottom"/>
            <w:tcBorders>
              <w:bottom w:val="single" w:sz="8" w:color="AAA2A7"/>
              <w:right w:val="single" w:sz="8" w:color="AAA2A7"/>
            </w:tcBorders>
          </w:tcPr>
          <w:p>
            <w:pPr>
              <w:jc w:val="center"/>
              <w:spacing w:after="0" w:line="175" w:lineRule="exact"/>
              <w:rPr>
                <w:sz w:val="20"/>
                <w:szCs w:val="20"/>
                <w:color w:val="auto"/>
              </w:rPr>
            </w:pPr>
            <w:r>
              <w:rPr>
                <w:rFonts w:ascii="Arial" w:cs="Arial" w:eastAsia="Arial" w:hAnsi="Arial"/>
                <w:sz w:val="16"/>
                <w:szCs w:val="16"/>
                <w:b w:val="1"/>
                <w:bCs w:val="1"/>
                <w:color w:val="6E646C"/>
                <w:w w:val="96"/>
              </w:rPr>
              <w:t>$100.00</w:t>
            </w:r>
          </w:p>
        </w:tc>
        <w:tc>
          <w:tcPr>
            <w:tcW w:w="900" w:type="dxa"/>
            <w:vAlign w:val="bottom"/>
            <w:tcBorders>
              <w:bottom w:val="single" w:sz="8" w:color="AAA2A7"/>
              <w:right w:val="single" w:sz="8" w:color="AAA2A7"/>
            </w:tcBorders>
          </w:tcPr>
          <w:p>
            <w:pPr>
              <w:jc w:val="center"/>
              <w:ind w:left="20"/>
              <w:spacing w:after="0" w:line="175" w:lineRule="exact"/>
              <w:rPr>
                <w:sz w:val="20"/>
                <w:szCs w:val="20"/>
                <w:color w:val="auto"/>
              </w:rPr>
            </w:pPr>
            <w:r>
              <w:rPr>
                <w:rFonts w:ascii="Arial" w:cs="Arial" w:eastAsia="Arial" w:hAnsi="Arial"/>
                <w:sz w:val="16"/>
                <w:szCs w:val="16"/>
                <w:b w:val="1"/>
                <w:bCs w:val="1"/>
                <w:color w:val="6E646C"/>
                <w:w w:val="98"/>
              </w:rPr>
              <w:t>$83.44</w:t>
            </w:r>
          </w:p>
        </w:tc>
        <w:tc>
          <w:tcPr>
            <w:tcW w:w="900" w:type="dxa"/>
            <w:vAlign w:val="bottom"/>
            <w:tcBorders>
              <w:bottom w:val="single" w:sz="8" w:color="AAA2A7"/>
              <w:right w:val="single" w:sz="8" w:color="AAA2A7"/>
            </w:tcBorders>
          </w:tcPr>
          <w:p>
            <w:pPr>
              <w:jc w:val="center"/>
              <w:spacing w:after="0" w:line="175" w:lineRule="exact"/>
              <w:rPr>
                <w:sz w:val="20"/>
                <w:szCs w:val="20"/>
                <w:color w:val="auto"/>
              </w:rPr>
            </w:pPr>
            <w:r>
              <w:rPr>
                <w:rFonts w:ascii="Arial" w:cs="Arial" w:eastAsia="Arial" w:hAnsi="Arial"/>
                <w:sz w:val="16"/>
                <w:szCs w:val="16"/>
                <w:b w:val="1"/>
                <w:bCs w:val="1"/>
                <w:color w:val="6E646C"/>
              </w:rPr>
              <w:t>$106.47</w:t>
            </w:r>
          </w:p>
        </w:tc>
        <w:tc>
          <w:tcPr>
            <w:tcW w:w="900" w:type="dxa"/>
            <w:vAlign w:val="bottom"/>
            <w:tcBorders>
              <w:bottom w:val="single" w:sz="8" w:color="AAA2A7"/>
              <w:right w:val="single" w:sz="8" w:color="AAA2A7"/>
            </w:tcBorders>
          </w:tcPr>
          <w:p>
            <w:pPr>
              <w:jc w:val="center"/>
              <w:spacing w:after="0" w:line="175" w:lineRule="exact"/>
              <w:rPr>
                <w:sz w:val="20"/>
                <w:szCs w:val="20"/>
                <w:color w:val="auto"/>
              </w:rPr>
            </w:pPr>
            <w:r>
              <w:rPr>
                <w:rFonts w:ascii="Arial" w:cs="Arial" w:eastAsia="Arial" w:hAnsi="Arial"/>
                <w:sz w:val="16"/>
                <w:szCs w:val="16"/>
                <w:b w:val="1"/>
                <w:bCs w:val="1"/>
                <w:color w:val="6E646C"/>
                <w:w w:val="96"/>
              </w:rPr>
              <w:t>$114.69</w:t>
            </w:r>
          </w:p>
        </w:tc>
        <w:tc>
          <w:tcPr>
            <w:tcW w:w="900" w:type="dxa"/>
            <w:vAlign w:val="bottom"/>
            <w:tcBorders>
              <w:bottom w:val="single" w:sz="8" w:color="AAA2A7"/>
              <w:right w:val="single" w:sz="8" w:color="AAA2A7"/>
            </w:tcBorders>
          </w:tcPr>
          <w:p>
            <w:pPr>
              <w:jc w:val="center"/>
              <w:spacing w:after="0" w:line="175" w:lineRule="exact"/>
              <w:rPr>
                <w:sz w:val="20"/>
                <w:szCs w:val="20"/>
                <w:color w:val="auto"/>
              </w:rPr>
            </w:pPr>
            <w:r>
              <w:rPr>
                <w:rFonts w:ascii="Arial" w:cs="Arial" w:eastAsia="Arial" w:hAnsi="Arial"/>
                <w:sz w:val="16"/>
                <w:szCs w:val="16"/>
                <w:b w:val="1"/>
                <w:bCs w:val="1"/>
                <w:color w:val="6E646C"/>
                <w:w w:val="96"/>
              </w:rPr>
              <w:t>$128.22</w:t>
            </w:r>
          </w:p>
        </w:tc>
        <w:tc>
          <w:tcPr>
            <w:tcW w:w="880" w:type="dxa"/>
            <w:vAlign w:val="bottom"/>
            <w:tcBorders>
              <w:bottom w:val="single" w:sz="8" w:color="AAA2A7"/>
              <w:right w:val="single" w:sz="8" w:color="AAA2A7"/>
            </w:tcBorders>
          </w:tcPr>
          <w:p>
            <w:pPr>
              <w:jc w:val="center"/>
              <w:spacing w:after="0" w:line="175" w:lineRule="exact"/>
              <w:rPr>
                <w:sz w:val="20"/>
                <w:szCs w:val="20"/>
                <w:color w:val="auto"/>
              </w:rPr>
            </w:pPr>
            <w:r>
              <w:rPr>
                <w:rFonts w:ascii="Arial" w:cs="Arial" w:eastAsia="Arial" w:hAnsi="Arial"/>
                <w:sz w:val="16"/>
                <w:szCs w:val="16"/>
                <w:b w:val="1"/>
                <w:bCs w:val="1"/>
                <w:color w:val="6E646C"/>
                <w:w w:val="96"/>
              </w:rPr>
              <w:t>$160.39</w:t>
            </w:r>
          </w:p>
        </w:tc>
        <w:tc>
          <w:tcPr>
            <w:tcW w:w="900" w:type="dxa"/>
            <w:vAlign w:val="bottom"/>
            <w:tcBorders>
              <w:bottom w:val="single" w:sz="8" w:color="AAA2A7"/>
              <w:right w:val="single" w:sz="8" w:color="AAA2A7"/>
            </w:tcBorders>
          </w:tcPr>
          <w:p>
            <w:pPr>
              <w:jc w:val="center"/>
              <w:ind w:left="20"/>
              <w:spacing w:after="0" w:line="175" w:lineRule="exact"/>
              <w:rPr>
                <w:sz w:val="20"/>
                <w:szCs w:val="20"/>
                <w:color w:val="auto"/>
              </w:rPr>
            </w:pPr>
            <w:r>
              <w:rPr>
                <w:rFonts w:ascii="Arial" w:cs="Arial" w:eastAsia="Arial" w:hAnsi="Arial"/>
                <w:sz w:val="16"/>
                <w:szCs w:val="16"/>
                <w:b w:val="1"/>
                <w:bCs w:val="1"/>
                <w:color w:val="6E646C"/>
                <w:w w:val="96"/>
              </w:rPr>
              <w:t>$262.51</w:t>
            </w:r>
          </w:p>
        </w:tc>
        <w:tc>
          <w:tcPr>
            <w:tcW w:w="880" w:type="dxa"/>
            <w:vAlign w:val="bottom"/>
            <w:tcBorders>
              <w:bottom w:val="single" w:sz="8" w:color="AAA2A7"/>
              <w:right w:val="single" w:sz="8" w:color="AAA2A7"/>
            </w:tcBorders>
          </w:tcPr>
          <w:p>
            <w:pPr>
              <w:jc w:val="center"/>
              <w:spacing w:after="0" w:line="175" w:lineRule="exact"/>
              <w:rPr>
                <w:sz w:val="20"/>
                <w:szCs w:val="20"/>
                <w:color w:val="auto"/>
              </w:rPr>
            </w:pPr>
            <w:r>
              <w:rPr>
                <w:rFonts w:ascii="Arial" w:cs="Arial" w:eastAsia="Arial" w:hAnsi="Arial"/>
                <w:sz w:val="16"/>
                <w:szCs w:val="16"/>
                <w:b w:val="1"/>
                <w:bCs w:val="1"/>
                <w:color w:val="6E646C"/>
                <w:w w:val="96"/>
              </w:rPr>
              <w:t>$264.02</w:t>
            </w:r>
          </w:p>
        </w:tc>
        <w:tc>
          <w:tcPr>
            <w:tcW w:w="0" w:type="dxa"/>
            <w:vAlign w:val="bottom"/>
          </w:tcPr>
          <w:p>
            <w:pPr>
              <w:spacing w:after="0"/>
              <w:rPr>
                <w:sz w:val="1"/>
                <w:szCs w:val="1"/>
                <w:color w:val="auto"/>
              </w:rPr>
            </w:pPr>
          </w:p>
        </w:tc>
      </w:tr>
      <w:tr>
        <w:trPr>
          <w:trHeight w:val="175"/>
        </w:trPr>
        <w:tc>
          <w:tcPr>
            <w:tcW w:w="4300" w:type="dxa"/>
            <w:vAlign w:val="bottom"/>
            <w:tcBorders>
              <w:left w:val="single" w:sz="8" w:color="AAA2A7"/>
              <w:bottom w:val="single" w:sz="8" w:color="AAA2A7"/>
              <w:right w:val="single" w:sz="8" w:color="AAA2A7"/>
            </w:tcBorders>
            <w:shd w:val="clear" w:color="auto" w:fill="E2E4E6"/>
          </w:tcPr>
          <w:p>
            <w:pPr>
              <w:jc w:val="center"/>
              <w:ind w:left="62"/>
              <w:spacing w:after="0" w:line="175" w:lineRule="exact"/>
              <w:rPr>
                <w:sz w:val="20"/>
                <w:szCs w:val="20"/>
                <w:color w:val="auto"/>
              </w:rPr>
            </w:pPr>
            <w:r>
              <w:rPr>
                <w:rFonts w:ascii="Arial" w:cs="Arial" w:eastAsia="Arial" w:hAnsi="Arial"/>
                <w:sz w:val="16"/>
                <w:szCs w:val="16"/>
                <w:b w:val="1"/>
                <w:bCs w:val="1"/>
                <w:color w:val="6E646C"/>
                <w:w w:val="97"/>
              </w:rPr>
              <w:t>S&amp;P 500 Index</w:t>
            </w:r>
          </w:p>
        </w:tc>
        <w:tc>
          <w:tcPr>
            <w:tcW w:w="880" w:type="dxa"/>
            <w:vAlign w:val="bottom"/>
            <w:tcBorders>
              <w:bottom w:val="single" w:sz="8" w:color="AAA2A7"/>
              <w:right w:val="single" w:sz="8" w:color="AAA2A7"/>
            </w:tcBorders>
            <w:shd w:val="clear" w:color="auto" w:fill="E2E4E6"/>
          </w:tcPr>
          <w:p>
            <w:pPr>
              <w:jc w:val="center"/>
              <w:spacing w:after="0" w:line="175" w:lineRule="exact"/>
              <w:rPr>
                <w:sz w:val="20"/>
                <w:szCs w:val="20"/>
                <w:color w:val="auto"/>
              </w:rPr>
            </w:pPr>
            <w:r>
              <w:rPr>
                <w:rFonts w:ascii="Arial" w:cs="Arial" w:eastAsia="Arial" w:hAnsi="Arial"/>
                <w:sz w:val="16"/>
                <w:szCs w:val="16"/>
                <w:b w:val="1"/>
                <w:bCs w:val="1"/>
                <w:color w:val="6E646C"/>
                <w:w w:val="96"/>
              </w:rPr>
              <w:t>$100.00</w:t>
            </w:r>
          </w:p>
        </w:tc>
        <w:tc>
          <w:tcPr>
            <w:tcW w:w="900" w:type="dxa"/>
            <w:vAlign w:val="bottom"/>
            <w:tcBorders>
              <w:bottom w:val="single" w:sz="8" w:color="AAA2A7"/>
              <w:right w:val="single" w:sz="8" w:color="AAA2A7"/>
            </w:tcBorders>
            <w:shd w:val="clear" w:color="auto" w:fill="E2E4E6"/>
          </w:tcPr>
          <w:p>
            <w:pPr>
              <w:jc w:val="center"/>
              <w:ind w:left="20"/>
              <w:spacing w:after="0" w:line="175" w:lineRule="exact"/>
              <w:rPr>
                <w:sz w:val="20"/>
                <w:szCs w:val="20"/>
                <w:color w:val="auto"/>
              </w:rPr>
            </w:pPr>
            <w:r>
              <w:rPr>
                <w:rFonts w:ascii="Arial" w:cs="Arial" w:eastAsia="Arial" w:hAnsi="Arial"/>
                <w:sz w:val="16"/>
                <w:szCs w:val="16"/>
                <w:b w:val="1"/>
                <w:bCs w:val="1"/>
                <w:color w:val="6E646C"/>
                <w:w w:val="96"/>
              </w:rPr>
              <w:t>$102.11</w:t>
            </w:r>
          </w:p>
        </w:tc>
        <w:tc>
          <w:tcPr>
            <w:tcW w:w="900" w:type="dxa"/>
            <w:vAlign w:val="bottom"/>
            <w:tcBorders>
              <w:bottom w:val="single" w:sz="8" w:color="AAA2A7"/>
              <w:right w:val="single" w:sz="8" w:color="AAA2A7"/>
            </w:tcBorders>
            <w:shd w:val="clear" w:color="auto" w:fill="E2E4E6"/>
          </w:tcPr>
          <w:p>
            <w:pPr>
              <w:jc w:val="center"/>
              <w:spacing w:after="0" w:line="175" w:lineRule="exact"/>
              <w:rPr>
                <w:sz w:val="20"/>
                <w:szCs w:val="20"/>
                <w:color w:val="auto"/>
              </w:rPr>
            </w:pPr>
            <w:r>
              <w:rPr>
                <w:rFonts w:ascii="Arial" w:cs="Arial" w:eastAsia="Arial" w:hAnsi="Arial"/>
                <w:sz w:val="16"/>
                <w:szCs w:val="16"/>
                <w:b w:val="1"/>
                <w:bCs w:val="1"/>
                <w:color w:val="6E646C"/>
              </w:rPr>
              <w:t>$118.45</w:t>
            </w:r>
          </w:p>
        </w:tc>
        <w:tc>
          <w:tcPr>
            <w:tcW w:w="900" w:type="dxa"/>
            <w:vAlign w:val="bottom"/>
            <w:tcBorders>
              <w:bottom w:val="single" w:sz="8" w:color="AAA2A7"/>
              <w:right w:val="single" w:sz="8" w:color="AAA2A7"/>
            </w:tcBorders>
            <w:shd w:val="clear" w:color="auto" w:fill="E2E4E6"/>
          </w:tcPr>
          <w:p>
            <w:pPr>
              <w:jc w:val="center"/>
              <w:spacing w:after="0" w:line="175" w:lineRule="exact"/>
              <w:rPr>
                <w:sz w:val="20"/>
                <w:szCs w:val="20"/>
                <w:color w:val="auto"/>
              </w:rPr>
            </w:pPr>
            <w:r>
              <w:rPr>
                <w:rFonts w:ascii="Arial" w:cs="Arial" w:eastAsia="Arial" w:hAnsi="Arial"/>
                <w:sz w:val="16"/>
                <w:szCs w:val="16"/>
                <w:b w:val="1"/>
                <w:bCs w:val="1"/>
                <w:color w:val="6E646C"/>
                <w:w w:val="96"/>
              </w:rPr>
              <w:t>$156.82</w:t>
            </w:r>
          </w:p>
        </w:tc>
        <w:tc>
          <w:tcPr>
            <w:tcW w:w="900" w:type="dxa"/>
            <w:vAlign w:val="bottom"/>
            <w:tcBorders>
              <w:bottom w:val="single" w:sz="8" w:color="AAA2A7"/>
              <w:right w:val="single" w:sz="8" w:color="AAA2A7"/>
            </w:tcBorders>
            <w:shd w:val="clear" w:color="auto" w:fill="E2E4E6"/>
          </w:tcPr>
          <w:p>
            <w:pPr>
              <w:jc w:val="center"/>
              <w:spacing w:after="0" w:line="175" w:lineRule="exact"/>
              <w:rPr>
                <w:sz w:val="20"/>
                <w:szCs w:val="20"/>
                <w:color w:val="auto"/>
              </w:rPr>
            </w:pPr>
            <w:r>
              <w:rPr>
                <w:rFonts w:ascii="Arial" w:cs="Arial" w:eastAsia="Arial" w:hAnsi="Arial"/>
                <w:sz w:val="16"/>
                <w:szCs w:val="16"/>
                <w:b w:val="1"/>
                <w:bCs w:val="1"/>
                <w:color w:val="6E646C"/>
                <w:w w:val="96"/>
              </w:rPr>
              <w:t>$178.28</w:t>
            </w:r>
          </w:p>
        </w:tc>
        <w:tc>
          <w:tcPr>
            <w:tcW w:w="880" w:type="dxa"/>
            <w:vAlign w:val="bottom"/>
            <w:tcBorders>
              <w:bottom w:val="single" w:sz="8" w:color="AAA2A7"/>
              <w:right w:val="single" w:sz="8" w:color="AAA2A7"/>
            </w:tcBorders>
            <w:shd w:val="clear" w:color="auto" w:fill="E2E4E6"/>
          </w:tcPr>
          <w:p>
            <w:pPr>
              <w:jc w:val="center"/>
              <w:spacing w:after="0" w:line="175" w:lineRule="exact"/>
              <w:rPr>
                <w:sz w:val="20"/>
                <w:szCs w:val="20"/>
                <w:color w:val="auto"/>
              </w:rPr>
            </w:pPr>
            <w:r>
              <w:rPr>
                <w:rFonts w:ascii="Arial" w:cs="Arial" w:eastAsia="Arial" w:hAnsi="Arial"/>
                <w:sz w:val="16"/>
                <w:szCs w:val="16"/>
                <w:b w:val="1"/>
                <w:bCs w:val="1"/>
                <w:color w:val="6E646C"/>
                <w:w w:val="96"/>
              </w:rPr>
              <w:t>$180.75</w:t>
            </w:r>
          </w:p>
        </w:tc>
        <w:tc>
          <w:tcPr>
            <w:tcW w:w="900" w:type="dxa"/>
            <w:vAlign w:val="bottom"/>
            <w:tcBorders>
              <w:bottom w:val="single" w:sz="8" w:color="AAA2A7"/>
              <w:right w:val="single" w:sz="8" w:color="AAA2A7"/>
            </w:tcBorders>
            <w:shd w:val="clear" w:color="auto" w:fill="E2E4E6"/>
          </w:tcPr>
          <w:p>
            <w:pPr>
              <w:jc w:val="center"/>
              <w:ind w:left="20"/>
              <w:spacing w:after="0" w:line="175" w:lineRule="exact"/>
              <w:rPr>
                <w:sz w:val="20"/>
                <w:szCs w:val="20"/>
                <w:color w:val="auto"/>
              </w:rPr>
            </w:pPr>
            <w:r>
              <w:rPr>
                <w:rFonts w:ascii="Arial" w:cs="Arial" w:eastAsia="Arial" w:hAnsi="Arial"/>
                <w:sz w:val="16"/>
                <w:szCs w:val="16"/>
                <w:b w:val="1"/>
                <w:bCs w:val="1"/>
                <w:color w:val="6E646C"/>
                <w:w w:val="96"/>
              </w:rPr>
              <w:t>$202.37</w:t>
            </w:r>
          </w:p>
        </w:tc>
        <w:tc>
          <w:tcPr>
            <w:tcW w:w="880" w:type="dxa"/>
            <w:vAlign w:val="bottom"/>
            <w:tcBorders>
              <w:bottom w:val="single" w:sz="8" w:color="AAA2A7"/>
              <w:right w:val="single" w:sz="8" w:color="AAA2A7"/>
            </w:tcBorders>
            <w:shd w:val="clear" w:color="auto" w:fill="E2E4E6"/>
          </w:tcPr>
          <w:p>
            <w:pPr>
              <w:jc w:val="center"/>
              <w:spacing w:after="0" w:line="175" w:lineRule="exact"/>
              <w:rPr>
                <w:sz w:val="20"/>
                <w:szCs w:val="20"/>
                <w:color w:val="auto"/>
              </w:rPr>
            </w:pPr>
            <w:r>
              <w:rPr>
                <w:rFonts w:ascii="Arial" w:cs="Arial" w:eastAsia="Arial" w:hAnsi="Arial"/>
                <w:sz w:val="16"/>
                <w:szCs w:val="16"/>
                <w:b w:val="1"/>
                <w:bCs w:val="1"/>
                <w:color w:val="6E646C"/>
                <w:w w:val="96"/>
              </w:rPr>
              <w:t>$246.55</w:t>
            </w:r>
          </w:p>
        </w:tc>
        <w:tc>
          <w:tcPr>
            <w:tcW w:w="0" w:type="dxa"/>
            <w:vAlign w:val="bottom"/>
          </w:tcPr>
          <w:p>
            <w:pPr>
              <w:spacing w:after="0"/>
              <w:rPr>
                <w:sz w:val="1"/>
                <w:szCs w:val="1"/>
                <w:color w:val="auto"/>
              </w:rPr>
            </w:pPr>
          </w:p>
        </w:tc>
      </w:tr>
      <w:tr>
        <w:trPr>
          <w:trHeight w:val="175"/>
        </w:trPr>
        <w:tc>
          <w:tcPr>
            <w:tcW w:w="4300" w:type="dxa"/>
            <w:vAlign w:val="bottom"/>
            <w:tcBorders>
              <w:left w:val="single" w:sz="8" w:color="AAA2A7"/>
              <w:bottom w:val="single" w:sz="8" w:color="AAA2A7"/>
              <w:right w:val="single" w:sz="8" w:color="AAA2A7"/>
            </w:tcBorders>
          </w:tcPr>
          <w:p>
            <w:pPr>
              <w:jc w:val="center"/>
              <w:ind w:left="62"/>
              <w:spacing w:after="0" w:line="175" w:lineRule="exact"/>
              <w:rPr>
                <w:sz w:val="20"/>
                <w:szCs w:val="20"/>
                <w:color w:val="auto"/>
              </w:rPr>
            </w:pPr>
            <w:r>
              <w:rPr>
                <w:rFonts w:ascii="Arial" w:cs="Arial" w:eastAsia="Arial" w:hAnsi="Arial"/>
                <w:sz w:val="16"/>
                <w:szCs w:val="16"/>
                <w:b w:val="1"/>
                <w:bCs w:val="1"/>
                <w:color w:val="6E646C"/>
                <w:w w:val="97"/>
              </w:rPr>
              <w:t>S&amp;P 500 Materials Index</w:t>
            </w:r>
          </w:p>
        </w:tc>
        <w:tc>
          <w:tcPr>
            <w:tcW w:w="880" w:type="dxa"/>
            <w:vAlign w:val="bottom"/>
            <w:tcBorders>
              <w:bottom w:val="single" w:sz="8" w:color="AAA2A7"/>
              <w:right w:val="single" w:sz="8" w:color="AAA2A7"/>
            </w:tcBorders>
          </w:tcPr>
          <w:p>
            <w:pPr>
              <w:jc w:val="center"/>
              <w:spacing w:after="0" w:line="175" w:lineRule="exact"/>
              <w:rPr>
                <w:sz w:val="20"/>
                <w:szCs w:val="20"/>
                <w:color w:val="auto"/>
              </w:rPr>
            </w:pPr>
            <w:r>
              <w:rPr>
                <w:rFonts w:ascii="Arial" w:cs="Arial" w:eastAsia="Arial" w:hAnsi="Arial"/>
                <w:sz w:val="16"/>
                <w:szCs w:val="16"/>
                <w:b w:val="1"/>
                <w:bCs w:val="1"/>
                <w:color w:val="6E646C"/>
                <w:w w:val="96"/>
              </w:rPr>
              <w:t>$100.00</w:t>
            </w:r>
          </w:p>
        </w:tc>
        <w:tc>
          <w:tcPr>
            <w:tcW w:w="900" w:type="dxa"/>
            <w:vAlign w:val="bottom"/>
            <w:tcBorders>
              <w:bottom w:val="single" w:sz="8" w:color="AAA2A7"/>
              <w:right w:val="single" w:sz="8" w:color="AAA2A7"/>
            </w:tcBorders>
          </w:tcPr>
          <w:p>
            <w:pPr>
              <w:jc w:val="center"/>
              <w:ind w:left="20"/>
              <w:spacing w:after="0" w:line="175" w:lineRule="exact"/>
              <w:rPr>
                <w:sz w:val="20"/>
                <w:szCs w:val="20"/>
                <w:color w:val="auto"/>
              </w:rPr>
            </w:pPr>
            <w:r>
              <w:rPr>
                <w:rFonts w:ascii="Arial" w:cs="Arial" w:eastAsia="Arial" w:hAnsi="Arial"/>
                <w:sz w:val="16"/>
                <w:szCs w:val="16"/>
                <w:b w:val="1"/>
                <w:bCs w:val="1"/>
                <w:color w:val="6E646C"/>
                <w:w w:val="98"/>
              </w:rPr>
              <w:t>$90.25</w:t>
            </w:r>
          </w:p>
        </w:tc>
        <w:tc>
          <w:tcPr>
            <w:tcW w:w="900" w:type="dxa"/>
            <w:vAlign w:val="bottom"/>
            <w:tcBorders>
              <w:bottom w:val="single" w:sz="8" w:color="AAA2A7"/>
              <w:right w:val="single" w:sz="8" w:color="AAA2A7"/>
            </w:tcBorders>
          </w:tcPr>
          <w:p>
            <w:pPr>
              <w:jc w:val="center"/>
              <w:spacing w:after="0" w:line="175" w:lineRule="exact"/>
              <w:rPr>
                <w:sz w:val="20"/>
                <w:szCs w:val="20"/>
                <w:color w:val="auto"/>
              </w:rPr>
            </w:pPr>
            <w:r>
              <w:rPr>
                <w:rFonts w:ascii="Arial" w:cs="Arial" w:eastAsia="Arial" w:hAnsi="Arial"/>
                <w:sz w:val="16"/>
                <w:szCs w:val="16"/>
                <w:b w:val="1"/>
                <w:bCs w:val="1"/>
                <w:color w:val="6E646C"/>
              </w:rPr>
              <w:t>$103.76</w:t>
            </w:r>
          </w:p>
        </w:tc>
        <w:tc>
          <w:tcPr>
            <w:tcW w:w="900" w:type="dxa"/>
            <w:vAlign w:val="bottom"/>
            <w:tcBorders>
              <w:bottom w:val="single" w:sz="8" w:color="AAA2A7"/>
              <w:right w:val="single" w:sz="8" w:color="AAA2A7"/>
            </w:tcBorders>
          </w:tcPr>
          <w:p>
            <w:pPr>
              <w:jc w:val="center"/>
              <w:spacing w:after="0" w:line="175" w:lineRule="exact"/>
              <w:rPr>
                <w:sz w:val="20"/>
                <w:szCs w:val="20"/>
                <w:color w:val="auto"/>
              </w:rPr>
            </w:pPr>
            <w:r>
              <w:rPr>
                <w:rFonts w:ascii="Arial" w:cs="Arial" w:eastAsia="Arial" w:hAnsi="Arial"/>
                <w:sz w:val="16"/>
                <w:szCs w:val="16"/>
                <w:b w:val="1"/>
                <w:bCs w:val="1"/>
                <w:color w:val="6E646C"/>
                <w:w w:val="96"/>
              </w:rPr>
              <w:t>$130.32</w:t>
            </w:r>
          </w:p>
        </w:tc>
        <w:tc>
          <w:tcPr>
            <w:tcW w:w="900" w:type="dxa"/>
            <w:vAlign w:val="bottom"/>
            <w:tcBorders>
              <w:bottom w:val="single" w:sz="8" w:color="AAA2A7"/>
              <w:right w:val="single" w:sz="8" w:color="AAA2A7"/>
            </w:tcBorders>
          </w:tcPr>
          <w:p>
            <w:pPr>
              <w:jc w:val="center"/>
              <w:spacing w:after="0" w:line="175" w:lineRule="exact"/>
              <w:rPr>
                <w:sz w:val="20"/>
                <w:szCs w:val="20"/>
                <w:color w:val="auto"/>
              </w:rPr>
            </w:pPr>
            <w:r>
              <w:rPr>
                <w:rFonts w:ascii="Arial" w:cs="Arial" w:eastAsia="Arial" w:hAnsi="Arial"/>
                <w:sz w:val="16"/>
                <w:szCs w:val="16"/>
                <w:b w:val="1"/>
                <w:bCs w:val="1"/>
                <w:color w:val="6E646C"/>
                <w:w w:val="96"/>
              </w:rPr>
              <w:t>$139.33</w:t>
            </w:r>
          </w:p>
        </w:tc>
        <w:tc>
          <w:tcPr>
            <w:tcW w:w="880" w:type="dxa"/>
            <w:vAlign w:val="bottom"/>
            <w:tcBorders>
              <w:bottom w:val="single" w:sz="8" w:color="AAA2A7"/>
              <w:right w:val="single" w:sz="8" w:color="AAA2A7"/>
            </w:tcBorders>
          </w:tcPr>
          <w:p>
            <w:pPr>
              <w:jc w:val="center"/>
              <w:spacing w:after="0" w:line="175" w:lineRule="exact"/>
              <w:rPr>
                <w:sz w:val="20"/>
                <w:szCs w:val="20"/>
                <w:color w:val="auto"/>
              </w:rPr>
            </w:pPr>
            <w:r>
              <w:rPr>
                <w:rFonts w:ascii="Arial" w:cs="Arial" w:eastAsia="Arial" w:hAnsi="Arial"/>
                <w:sz w:val="16"/>
                <w:szCs w:val="16"/>
                <w:b w:val="1"/>
                <w:bCs w:val="1"/>
                <w:color w:val="6E646C"/>
                <w:w w:val="96"/>
              </w:rPr>
              <w:t>$127.65</w:t>
            </w:r>
          </w:p>
        </w:tc>
        <w:tc>
          <w:tcPr>
            <w:tcW w:w="900" w:type="dxa"/>
            <w:vAlign w:val="bottom"/>
            <w:tcBorders>
              <w:bottom w:val="single" w:sz="8" w:color="AAA2A7"/>
              <w:right w:val="single" w:sz="8" w:color="AAA2A7"/>
            </w:tcBorders>
          </w:tcPr>
          <w:p>
            <w:pPr>
              <w:jc w:val="center"/>
              <w:ind w:left="20"/>
              <w:spacing w:after="0" w:line="175" w:lineRule="exact"/>
              <w:rPr>
                <w:sz w:val="20"/>
                <w:szCs w:val="20"/>
                <w:color w:val="auto"/>
              </w:rPr>
            </w:pPr>
            <w:r>
              <w:rPr>
                <w:rFonts w:ascii="Arial" w:cs="Arial" w:eastAsia="Arial" w:hAnsi="Arial"/>
                <w:sz w:val="16"/>
                <w:szCs w:val="16"/>
                <w:b w:val="1"/>
                <w:bCs w:val="1"/>
                <w:color w:val="6E646C"/>
                <w:w w:val="96"/>
              </w:rPr>
              <w:t>$148.95</w:t>
            </w:r>
          </w:p>
        </w:tc>
        <w:tc>
          <w:tcPr>
            <w:tcW w:w="880" w:type="dxa"/>
            <w:vAlign w:val="bottom"/>
            <w:tcBorders>
              <w:bottom w:val="single" w:sz="8" w:color="AAA2A7"/>
              <w:right w:val="single" w:sz="8" w:color="AAA2A7"/>
            </w:tcBorders>
          </w:tcPr>
          <w:p>
            <w:pPr>
              <w:jc w:val="center"/>
              <w:spacing w:after="0" w:line="175" w:lineRule="exact"/>
              <w:rPr>
                <w:sz w:val="20"/>
                <w:szCs w:val="20"/>
                <w:color w:val="auto"/>
              </w:rPr>
            </w:pPr>
            <w:r>
              <w:rPr>
                <w:rFonts w:ascii="Arial" w:cs="Arial" w:eastAsia="Arial" w:hAnsi="Arial"/>
                <w:sz w:val="16"/>
                <w:szCs w:val="16"/>
                <w:b w:val="1"/>
                <w:bCs w:val="1"/>
                <w:color w:val="6E646C"/>
                <w:w w:val="96"/>
              </w:rPr>
              <w:t>$184.47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00" w:hanging="96"/>
        <w:spacing w:after="0"/>
        <w:tabs>
          <w:tab w:leader="none" w:pos="100" w:val="left"/>
        </w:tabs>
        <w:numPr>
          <w:ilvl w:val="0"/>
          <w:numId w:val="46"/>
        </w:numPr>
        <w:rPr>
          <w:rFonts w:ascii="Arial" w:cs="Arial" w:eastAsia="Arial" w:hAnsi="Arial"/>
          <w:sz w:val="10"/>
          <w:szCs w:val="10"/>
          <w:color w:val="auto"/>
        </w:rPr>
      </w:pPr>
      <w:r>
        <w:rPr>
          <w:rFonts w:ascii="Arial" w:cs="Arial" w:eastAsia="Arial" w:hAnsi="Arial"/>
          <w:sz w:val="12"/>
          <w:szCs w:val="12"/>
          <w:color w:val="auto"/>
        </w:rPr>
        <w:t>Assumes that the investment in the Company’s common stock and each index was $100, with quarterly reinvestment of dividends.</w:t>
      </w:r>
    </w:p>
    <w:p>
      <w:pPr>
        <w:spacing w:after="0" w:line="119"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88</w:t>
      </w:r>
    </w:p>
    <w:p>
      <w:pPr>
        <w:sectPr>
          <w:pgSz w:w="11900" w:h="16838" w:orient="portrait"/>
          <w:cols w:equalWidth="0" w:num="1">
            <w:col w:w="11440"/>
          </w:cols>
          <w:pgMar w:left="240" w:top="259" w:right="219" w:bottom="1440" w:gutter="0" w:footer="0" w:header="0"/>
        </w:sectPr>
      </w:pPr>
    </w:p>
    <w:bookmarkStart w:id="141" w:name="page142"/>
    <w:bookmarkEnd w:id="141"/>
    <w:tbl>
      <w:tblPr>
        <w:tblLayout w:type="fixed"/>
        <w:tblInd w:w="0" w:type="dxa"/>
        <w:tblCellMar>
          <w:top w:w="0" w:type="dxa"/>
          <w:left w:w="0" w:type="dxa"/>
          <w:bottom w:w="0" w:type="dxa"/>
          <w:right w:w="0" w:type="dxa"/>
        </w:tblCellMar>
      </w:tblPr>
      <w:tr>
        <w:trPr>
          <w:trHeight w:val="226"/>
        </w:trPr>
        <w:tc>
          <w:tcPr>
            <w:tcW w:w="1180" w:type="dxa"/>
            <w:vAlign w:val="bottom"/>
          </w:tcPr>
          <w:p>
            <w:pPr>
              <w:spacing w:after="0"/>
              <w:rPr>
                <w:sz w:val="19"/>
                <w:szCs w:val="19"/>
                <w:color w:val="auto"/>
              </w:rPr>
            </w:pPr>
          </w:p>
        </w:tc>
        <w:tc>
          <w:tcPr>
            <w:tcW w:w="8000" w:type="dxa"/>
            <w:vAlign w:val="bottom"/>
          </w:tcPr>
          <w:p>
            <w:pPr>
              <w:spacing w:after="0"/>
              <w:rPr>
                <w:sz w:val="19"/>
                <w:szCs w:val="19"/>
                <w:color w:val="auto"/>
              </w:rPr>
            </w:pPr>
          </w:p>
        </w:tc>
        <w:tc>
          <w:tcPr>
            <w:tcW w:w="2240" w:type="dxa"/>
            <w:vAlign w:val="bottom"/>
            <w:gridSpan w:val="3"/>
          </w:tcPr>
          <w:p>
            <w:pPr>
              <w:jc w:val="right"/>
              <w:spacing w:after="0"/>
              <w:rPr>
                <w:sz w:val="20"/>
                <w:szCs w:val="20"/>
                <w:color w:val="auto"/>
              </w:rPr>
            </w:pPr>
            <w:r>
              <w:rPr>
                <w:rFonts w:ascii="Arial" w:cs="Arial" w:eastAsia="Arial" w:hAnsi="Arial"/>
                <w:sz w:val="17"/>
                <w:szCs w:val="17"/>
                <w:b w:val="1"/>
                <w:bCs w:val="1"/>
                <w:color w:val="auto"/>
              </w:rPr>
              <w:t>EXHIBIT 21.01</w:t>
            </w:r>
          </w:p>
        </w:tc>
        <w:tc>
          <w:tcPr>
            <w:tcW w:w="0" w:type="dxa"/>
            <w:vAlign w:val="bottom"/>
          </w:tcPr>
          <w:p>
            <w:pPr>
              <w:spacing w:after="0"/>
              <w:rPr>
                <w:sz w:val="1"/>
                <w:szCs w:val="1"/>
                <w:color w:val="auto"/>
              </w:rPr>
            </w:pPr>
          </w:p>
        </w:tc>
      </w:tr>
      <w:tr>
        <w:trPr>
          <w:trHeight w:val="415"/>
        </w:trPr>
        <w:tc>
          <w:tcPr>
            <w:tcW w:w="1180" w:type="dxa"/>
            <w:vAlign w:val="bottom"/>
          </w:tcPr>
          <w:p>
            <w:pPr>
              <w:spacing w:after="0"/>
              <w:rPr>
                <w:sz w:val="24"/>
                <w:szCs w:val="24"/>
                <w:color w:val="auto"/>
              </w:rPr>
            </w:pPr>
          </w:p>
        </w:tc>
        <w:tc>
          <w:tcPr>
            <w:tcW w:w="8000" w:type="dxa"/>
            <w:vAlign w:val="bottom"/>
          </w:tcPr>
          <w:p>
            <w:pPr>
              <w:jc w:val="center"/>
              <w:ind w:left="974"/>
              <w:spacing w:after="0"/>
              <w:rPr>
                <w:sz w:val="20"/>
                <w:szCs w:val="20"/>
                <w:color w:val="auto"/>
              </w:rPr>
            </w:pPr>
            <w:r>
              <w:rPr>
                <w:rFonts w:ascii="Arial" w:cs="Arial" w:eastAsia="Arial" w:hAnsi="Arial"/>
                <w:sz w:val="17"/>
                <w:szCs w:val="17"/>
                <w:b w:val="1"/>
                <w:bCs w:val="1"/>
                <w:color w:val="auto"/>
              </w:rPr>
              <w:t>SUBSIDIARIES OF MARTIN MARIETTA MATERIALS, INC.</w:t>
            </w:r>
          </w:p>
        </w:tc>
        <w:tc>
          <w:tcPr>
            <w:tcW w:w="1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1180" w:type="dxa"/>
            <w:vAlign w:val="bottom"/>
          </w:tcPr>
          <w:p>
            <w:pPr>
              <w:spacing w:after="0"/>
              <w:rPr>
                <w:sz w:val="24"/>
                <w:szCs w:val="24"/>
                <w:color w:val="auto"/>
              </w:rPr>
            </w:pPr>
          </w:p>
        </w:tc>
        <w:tc>
          <w:tcPr>
            <w:tcW w:w="8000" w:type="dxa"/>
            <w:vAlign w:val="bottom"/>
          </w:tcPr>
          <w:p>
            <w:pPr>
              <w:jc w:val="center"/>
              <w:ind w:left="974"/>
              <w:spacing w:after="0"/>
              <w:rPr>
                <w:sz w:val="20"/>
                <w:szCs w:val="20"/>
                <w:color w:val="auto"/>
              </w:rPr>
            </w:pPr>
            <w:r>
              <w:rPr>
                <w:rFonts w:ascii="Arial" w:cs="Arial" w:eastAsia="Arial" w:hAnsi="Arial"/>
                <w:sz w:val="17"/>
                <w:szCs w:val="17"/>
                <w:b w:val="1"/>
                <w:bCs w:val="1"/>
                <w:color w:val="auto"/>
                <w:w w:val="96"/>
              </w:rPr>
              <w:t>AS OF JANUARY 31, 2018</w:t>
            </w:r>
          </w:p>
        </w:tc>
        <w:tc>
          <w:tcPr>
            <w:tcW w:w="1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1180" w:type="dxa"/>
            <w:vAlign w:val="bottom"/>
            <w:vMerge w:val="restart"/>
          </w:tcPr>
          <w:p>
            <w:pPr>
              <w:spacing w:after="0"/>
              <w:rPr>
                <w:sz w:val="20"/>
                <w:szCs w:val="20"/>
                <w:color w:val="auto"/>
              </w:rPr>
            </w:pPr>
            <w:r>
              <w:rPr>
                <w:rFonts w:ascii="Arial" w:cs="Arial" w:eastAsia="Arial" w:hAnsi="Arial"/>
                <w:sz w:val="14"/>
                <w:szCs w:val="14"/>
                <w:b w:val="1"/>
                <w:bCs w:val="1"/>
                <w:color w:val="auto"/>
                <w:w w:val="88"/>
              </w:rPr>
              <w:t>Name of Subsidiary</w:t>
            </w:r>
          </w:p>
        </w:tc>
        <w:tc>
          <w:tcPr>
            <w:tcW w:w="8000" w:type="dxa"/>
            <w:vAlign w:val="bottom"/>
            <w:vMerge w:val="restart"/>
          </w:tcPr>
          <w:p>
            <w:pPr>
              <w:spacing w:after="0"/>
              <w:rPr>
                <w:sz w:val="24"/>
                <w:szCs w:val="24"/>
                <w:color w:val="auto"/>
              </w:rPr>
            </w:pPr>
          </w:p>
        </w:tc>
        <w:tc>
          <w:tcPr>
            <w:tcW w:w="146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65"/>
        </w:trPr>
        <w:tc>
          <w:tcPr>
            <w:tcW w:w="1180" w:type="dxa"/>
            <w:vAlign w:val="bottom"/>
            <w:tcBorders>
              <w:bottom w:val="single" w:sz="8" w:color="auto"/>
            </w:tcBorders>
            <w:vMerge w:val="continue"/>
          </w:tcPr>
          <w:p>
            <w:pPr>
              <w:spacing w:after="0"/>
              <w:rPr>
                <w:sz w:val="14"/>
                <w:szCs w:val="14"/>
                <w:color w:val="auto"/>
              </w:rPr>
            </w:pPr>
          </w:p>
        </w:tc>
        <w:tc>
          <w:tcPr>
            <w:tcW w:w="8000" w:type="dxa"/>
            <w:vAlign w:val="bottom"/>
            <w:tcBorders>
              <w:bottom w:val="single" w:sz="8" w:color="CCEEFF"/>
            </w:tcBorders>
            <w:vMerge w:val="continue"/>
          </w:tcPr>
          <w:p>
            <w:pPr>
              <w:spacing w:after="0"/>
              <w:rPr>
                <w:sz w:val="14"/>
                <w:szCs w:val="14"/>
                <w:color w:val="auto"/>
              </w:rPr>
            </w:pPr>
          </w:p>
        </w:tc>
        <w:tc>
          <w:tcPr>
            <w:tcW w:w="146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Owned</w:t>
            </w:r>
          </w:p>
        </w:tc>
        <w:tc>
          <w:tcPr>
            <w:tcW w:w="3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9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Alamo Gulf Coast Railroad Company, a Texas corporation</w:t>
            </w:r>
          </w:p>
        </w:tc>
        <w:tc>
          <w:tcPr>
            <w:tcW w:w="14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99.5%</w:t>
            </w: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8"/>
        </w:trPr>
        <w:tc>
          <w:tcPr>
            <w:tcW w:w="9180" w:type="dxa"/>
            <w:vAlign w:val="bottom"/>
            <w:gridSpan w:val="2"/>
          </w:tcPr>
          <w:p>
            <w:pPr>
              <w:spacing w:after="0"/>
              <w:rPr>
                <w:sz w:val="20"/>
                <w:szCs w:val="20"/>
                <w:color w:val="auto"/>
              </w:rPr>
            </w:pPr>
            <w:r>
              <w:rPr>
                <w:rFonts w:ascii="Arial" w:cs="Arial" w:eastAsia="Arial" w:hAnsi="Arial"/>
                <w:sz w:val="17"/>
                <w:szCs w:val="17"/>
                <w:color w:val="auto"/>
              </w:rPr>
              <w:t>Alamo North Texas Railroad Company, a Texas corporation</w:t>
            </w:r>
          </w:p>
        </w:tc>
        <w:tc>
          <w:tcPr>
            <w:tcW w:w="2240" w:type="dxa"/>
            <w:vAlign w:val="bottom"/>
            <w:gridSpan w:val="3"/>
          </w:tcPr>
          <w:p>
            <w:pPr>
              <w:jc w:val="right"/>
              <w:ind w:right="120"/>
              <w:spacing w:after="0"/>
              <w:rPr>
                <w:sz w:val="20"/>
                <w:szCs w:val="20"/>
                <w:color w:val="auto"/>
              </w:rPr>
            </w:pPr>
            <w:r>
              <w:rPr>
                <w:rFonts w:ascii="Arial" w:cs="Arial" w:eastAsia="Arial" w:hAnsi="Arial"/>
                <w:sz w:val="17"/>
                <w:szCs w:val="17"/>
                <w:color w:val="auto"/>
              </w:rPr>
              <w:t>99.5%</w:t>
            </w: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8"/>
        </w:trPr>
        <w:tc>
          <w:tcPr>
            <w:tcW w:w="9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American Aggregates Corporation, a North Carolina corporation</w:t>
            </w:r>
          </w:p>
        </w:tc>
        <w:tc>
          <w:tcPr>
            <w:tcW w:w="224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8"/>
        </w:trPr>
        <w:tc>
          <w:tcPr>
            <w:tcW w:w="9180" w:type="dxa"/>
            <w:vAlign w:val="bottom"/>
            <w:gridSpan w:val="2"/>
          </w:tcPr>
          <w:p>
            <w:pPr>
              <w:spacing w:after="0"/>
              <w:rPr>
                <w:sz w:val="20"/>
                <w:szCs w:val="20"/>
                <w:color w:val="auto"/>
              </w:rPr>
            </w:pPr>
            <w:r>
              <w:rPr>
                <w:rFonts w:ascii="Arial" w:cs="Arial" w:eastAsia="Arial" w:hAnsi="Arial"/>
                <w:sz w:val="17"/>
                <w:szCs w:val="17"/>
                <w:color w:val="auto"/>
              </w:rPr>
              <w:t>American Materials Technologies, LLC, a Tennessee limited liability company</w:t>
            </w:r>
          </w:p>
        </w:tc>
        <w:tc>
          <w:tcPr>
            <w:tcW w:w="2240" w:type="dxa"/>
            <w:vAlign w:val="bottom"/>
            <w:gridSpan w:val="3"/>
          </w:tcPr>
          <w:p>
            <w:pPr>
              <w:jc w:val="right"/>
              <w:ind w:right="120"/>
              <w:spacing w:after="0"/>
              <w:rPr>
                <w:sz w:val="20"/>
                <w:szCs w:val="20"/>
                <w:color w:val="auto"/>
              </w:rPr>
            </w:pPr>
            <w:r>
              <w:rPr>
                <w:rFonts w:ascii="Arial" w:cs="Arial" w:eastAsia="Arial" w:hAnsi="Arial"/>
                <w:sz w:val="17"/>
                <w:szCs w:val="17"/>
                <w:color w:val="auto"/>
              </w:rPr>
              <w:t>100%</w:t>
            </w: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8"/>
        </w:trPr>
        <w:tc>
          <w:tcPr>
            <w:tcW w:w="9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American Stone Company, a North Carolina corporation</w:t>
            </w:r>
          </w:p>
        </w:tc>
        <w:tc>
          <w:tcPr>
            <w:tcW w:w="224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50%</w:t>
            </w: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8"/>
        </w:trPr>
        <w:tc>
          <w:tcPr>
            <w:tcW w:w="9180" w:type="dxa"/>
            <w:vAlign w:val="bottom"/>
            <w:gridSpan w:val="2"/>
          </w:tcPr>
          <w:p>
            <w:pPr>
              <w:spacing w:after="0"/>
              <w:rPr>
                <w:sz w:val="20"/>
                <w:szCs w:val="20"/>
                <w:color w:val="auto"/>
              </w:rPr>
            </w:pPr>
            <w:r>
              <w:rPr>
                <w:rFonts w:ascii="Arial" w:cs="Arial" w:eastAsia="Arial" w:hAnsi="Arial"/>
                <w:sz w:val="17"/>
                <w:szCs w:val="17"/>
                <w:color w:val="auto"/>
              </w:rPr>
              <w:t>Bahama Rock Limited, a Bahamas corporation</w:t>
            </w:r>
          </w:p>
        </w:tc>
        <w:tc>
          <w:tcPr>
            <w:tcW w:w="2240" w:type="dxa"/>
            <w:vAlign w:val="bottom"/>
            <w:gridSpan w:val="3"/>
          </w:tcPr>
          <w:p>
            <w:pPr>
              <w:jc w:val="right"/>
              <w:ind w:right="18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8"/>
        </w:trPr>
        <w:tc>
          <w:tcPr>
            <w:tcW w:w="9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Brookhollow of Alexandria, Inc., a Louisiana corporation</w:t>
            </w:r>
          </w:p>
        </w:tc>
        <w:tc>
          <w:tcPr>
            <w:tcW w:w="224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100%</w:t>
            </w: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8"/>
        </w:trPr>
        <w:tc>
          <w:tcPr>
            <w:tcW w:w="9180" w:type="dxa"/>
            <w:vAlign w:val="bottom"/>
            <w:gridSpan w:val="2"/>
          </w:tcPr>
          <w:p>
            <w:pPr>
              <w:spacing w:after="0"/>
              <w:rPr>
                <w:sz w:val="20"/>
                <w:szCs w:val="20"/>
                <w:color w:val="auto"/>
              </w:rPr>
            </w:pPr>
            <w:r>
              <w:rPr>
                <w:rFonts w:ascii="Arial" w:cs="Arial" w:eastAsia="Arial" w:hAnsi="Arial"/>
                <w:sz w:val="17"/>
                <w:szCs w:val="17"/>
                <w:color w:val="auto"/>
              </w:rPr>
              <w:t>Brookhollow Corporation, a Delaware corporation</w:t>
            </w:r>
          </w:p>
        </w:tc>
        <w:tc>
          <w:tcPr>
            <w:tcW w:w="2240" w:type="dxa"/>
            <w:vAlign w:val="bottom"/>
            <w:gridSpan w:val="3"/>
          </w:tcPr>
          <w:p>
            <w:pPr>
              <w:jc w:val="right"/>
              <w:ind w:right="120"/>
              <w:spacing w:after="0"/>
              <w:rPr>
                <w:sz w:val="20"/>
                <w:szCs w:val="20"/>
                <w:color w:val="auto"/>
              </w:rPr>
            </w:pPr>
            <w:r>
              <w:rPr>
                <w:rFonts w:ascii="Arial" w:cs="Arial" w:eastAsia="Arial" w:hAnsi="Arial"/>
                <w:sz w:val="17"/>
                <w:szCs w:val="17"/>
                <w:color w:val="auto"/>
              </w:rPr>
              <w:t>100%</w:t>
            </w: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08"/>
        </w:trPr>
        <w:tc>
          <w:tcPr>
            <w:tcW w:w="9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Brook Hollow Properties, Inc., a Texas corporation</w:t>
            </w:r>
          </w:p>
        </w:tc>
        <w:tc>
          <w:tcPr>
            <w:tcW w:w="224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100%</w:t>
            </w: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08"/>
        </w:trPr>
        <w:tc>
          <w:tcPr>
            <w:tcW w:w="9180" w:type="dxa"/>
            <w:vAlign w:val="bottom"/>
            <w:gridSpan w:val="2"/>
          </w:tcPr>
          <w:p>
            <w:pPr>
              <w:spacing w:after="0"/>
              <w:rPr>
                <w:sz w:val="20"/>
                <w:szCs w:val="20"/>
                <w:color w:val="auto"/>
              </w:rPr>
            </w:pPr>
            <w:r>
              <w:rPr>
                <w:rFonts w:ascii="Arial" w:cs="Arial" w:eastAsia="Arial" w:hAnsi="Arial"/>
                <w:sz w:val="17"/>
                <w:szCs w:val="17"/>
                <w:color w:val="auto"/>
              </w:rPr>
              <w:t>Brookhollow of Virginia, Inc., a Virginia corporation</w:t>
            </w:r>
          </w:p>
        </w:tc>
        <w:tc>
          <w:tcPr>
            <w:tcW w:w="2240" w:type="dxa"/>
            <w:vAlign w:val="bottom"/>
            <w:gridSpan w:val="3"/>
          </w:tcPr>
          <w:p>
            <w:pPr>
              <w:jc w:val="right"/>
              <w:ind w:right="120"/>
              <w:spacing w:after="0"/>
              <w:rPr>
                <w:sz w:val="20"/>
                <w:szCs w:val="20"/>
                <w:color w:val="auto"/>
              </w:rPr>
            </w:pPr>
            <w:r>
              <w:rPr>
                <w:rFonts w:ascii="Arial" w:cs="Arial" w:eastAsia="Arial" w:hAnsi="Arial"/>
                <w:sz w:val="17"/>
                <w:szCs w:val="17"/>
                <w:color w:val="auto"/>
              </w:rPr>
              <w:t>100%</w:t>
            </w: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08"/>
        </w:trPr>
        <w:tc>
          <w:tcPr>
            <w:tcW w:w="9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California Natural Aggregates, Inc., a California corporation</w:t>
            </w:r>
          </w:p>
        </w:tc>
        <w:tc>
          <w:tcPr>
            <w:tcW w:w="224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100%</w:t>
            </w: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20"/>
        </w:trPr>
        <w:tc>
          <w:tcPr>
            <w:tcW w:w="9180" w:type="dxa"/>
            <w:vAlign w:val="bottom"/>
            <w:gridSpan w:val="2"/>
          </w:tcPr>
          <w:p>
            <w:pPr>
              <w:spacing w:after="0"/>
              <w:rPr>
                <w:sz w:val="20"/>
                <w:szCs w:val="20"/>
                <w:color w:val="auto"/>
              </w:rPr>
            </w:pPr>
            <w:r>
              <w:rPr>
                <w:rFonts w:ascii="Arial" w:cs="Arial" w:eastAsia="Arial" w:hAnsi="Arial"/>
                <w:sz w:val="17"/>
                <w:szCs w:val="17"/>
                <w:color w:val="auto"/>
              </w:rPr>
              <w:t>Campbell’s C-Ment Contracting, Inc., a Colorado corporation</w:t>
            </w:r>
          </w:p>
        </w:tc>
        <w:tc>
          <w:tcPr>
            <w:tcW w:w="2240" w:type="dxa"/>
            <w:vAlign w:val="bottom"/>
            <w:gridSpan w:val="3"/>
          </w:tcPr>
          <w:p>
            <w:pPr>
              <w:jc w:val="right"/>
              <w:ind w:right="40"/>
              <w:spacing w:after="0"/>
              <w:rPr>
                <w:sz w:val="20"/>
                <w:szCs w:val="20"/>
                <w:color w:val="auto"/>
              </w:rPr>
            </w:pPr>
            <w:r>
              <w:rPr>
                <w:rFonts w:ascii="Arial" w:cs="Arial" w:eastAsia="Arial" w:hAnsi="Arial"/>
                <w:sz w:val="17"/>
                <w:szCs w:val="17"/>
                <w:color w:val="auto"/>
              </w:rPr>
              <w:t>100%</w:t>
            </w:r>
            <w:r>
              <w:rPr>
                <w:rFonts w:ascii="Arial" w:cs="Arial" w:eastAsia="Arial" w:hAnsi="Arial"/>
                <w:sz w:val="14"/>
                <w:szCs w:val="14"/>
                <w:color w:val="auto"/>
              </w:rPr>
              <w:t>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72517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9">
                      <a:extLst>
                        <a:ext uri="{28A0092B-C50C-407E-A947-70E740481C1C}"/>
                      </a:extLst>
                    </a:blip>
                    <a:srcRect/>
                    <a:stretch>
                      <a:fillRect/>
                    </a:stretch>
                  </pic:blipFill>
                  <pic:spPr bwMode="auto">
                    <a:xfrm>
                      <a:off x="0" y="0"/>
                      <a:ext cx="725170" cy="8255"/>
                    </a:xfrm>
                    <a:prstGeom prst="rect">
                      <a:avLst/>
                    </a:prstGeom>
                    <a:noFill/>
                  </pic:spPr>
                </pic:pic>
              </a:graphicData>
            </a:graphic>
          </wp:anchor>
        </w:drawing>
      </w:r>
    </w:p>
    <w:p>
      <w:pPr>
        <w:spacing w:after="0" w:line="137" w:lineRule="exact"/>
        <w:rPr>
          <w:sz w:val="20"/>
          <w:szCs w:val="20"/>
          <w:color w:val="auto"/>
        </w:rPr>
      </w:pPr>
    </w:p>
    <w:p>
      <w:pPr>
        <w:ind w:left="460" w:hanging="456"/>
        <w:spacing w:after="0"/>
        <w:tabs>
          <w:tab w:leader="none" w:pos="460" w:val="left"/>
        </w:tabs>
        <w:numPr>
          <w:ilvl w:val="0"/>
          <w:numId w:val="47"/>
        </w:numPr>
        <w:rPr>
          <w:rFonts w:ascii="Arial" w:cs="Arial" w:eastAsia="Arial" w:hAnsi="Arial"/>
          <w:sz w:val="15"/>
          <w:szCs w:val="15"/>
          <w:color w:val="auto"/>
        </w:rPr>
      </w:pPr>
      <w:r>
        <w:rPr>
          <w:rFonts w:ascii="Arial" w:cs="Arial" w:eastAsia="Arial" w:hAnsi="Arial"/>
          <w:sz w:val="17"/>
          <w:szCs w:val="17"/>
          <w:color w:val="auto"/>
        </w:rPr>
        <w:t>Alamo Gulf Coast Railroad Company is owned by Martin Marietta Materials Southwest, LLC, (99.5%) and certain individuals (0.5%).</w:t>
      </w:r>
    </w:p>
    <w:p>
      <w:pPr>
        <w:spacing w:after="0" w:line="23" w:lineRule="exact"/>
        <w:rPr>
          <w:sz w:val="20"/>
          <w:szCs w:val="20"/>
          <w:color w:val="auto"/>
        </w:rPr>
      </w:pPr>
    </w:p>
    <w:p>
      <w:pPr>
        <w:ind w:left="460" w:hanging="456"/>
        <w:spacing w:after="0"/>
        <w:tabs>
          <w:tab w:leader="none" w:pos="460" w:val="left"/>
        </w:tabs>
        <w:numPr>
          <w:ilvl w:val="0"/>
          <w:numId w:val="48"/>
        </w:numPr>
        <w:rPr>
          <w:rFonts w:ascii="Arial" w:cs="Arial" w:eastAsia="Arial" w:hAnsi="Arial"/>
          <w:sz w:val="15"/>
          <w:szCs w:val="15"/>
          <w:color w:val="auto"/>
        </w:rPr>
      </w:pPr>
      <w:r>
        <w:rPr>
          <w:rFonts w:ascii="Arial" w:cs="Arial" w:eastAsia="Arial" w:hAnsi="Arial"/>
          <w:sz w:val="17"/>
          <w:szCs w:val="17"/>
          <w:color w:val="auto"/>
        </w:rPr>
        <w:t>Alamo North Texas Railroad Company is owned by Martin Marietta Materials Southwest, LLC, (99.5%) and certain individuals (0.5%).</w:t>
      </w:r>
    </w:p>
    <w:p>
      <w:pPr>
        <w:spacing w:after="0" w:line="12" w:lineRule="exact"/>
        <w:rPr>
          <w:sz w:val="20"/>
          <w:szCs w:val="20"/>
          <w:color w:val="auto"/>
        </w:rPr>
      </w:pPr>
    </w:p>
    <w:p>
      <w:pPr>
        <w:ind w:left="460" w:hanging="456"/>
        <w:spacing w:after="0"/>
        <w:tabs>
          <w:tab w:leader="none" w:pos="460" w:val="left"/>
        </w:tabs>
        <w:numPr>
          <w:ilvl w:val="0"/>
          <w:numId w:val="49"/>
        </w:numPr>
        <w:rPr>
          <w:rFonts w:ascii="Arial" w:cs="Arial" w:eastAsia="Arial" w:hAnsi="Arial"/>
          <w:sz w:val="15"/>
          <w:szCs w:val="15"/>
          <w:color w:val="auto"/>
        </w:rPr>
      </w:pPr>
      <w:r>
        <w:rPr>
          <w:rFonts w:ascii="Arial" w:cs="Arial" w:eastAsia="Arial" w:hAnsi="Arial"/>
          <w:sz w:val="17"/>
          <w:szCs w:val="17"/>
          <w:color w:val="auto"/>
        </w:rPr>
        <w:t>American Materials Technologies, LLC is a wholly owned subsidiary of Meridian Aggregates Company, a Limited Partnership.</w:t>
      </w:r>
    </w:p>
    <w:p>
      <w:pPr>
        <w:spacing w:after="0" w:line="12" w:lineRule="exact"/>
        <w:rPr>
          <w:sz w:val="20"/>
          <w:szCs w:val="20"/>
          <w:color w:val="auto"/>
        </w:rPr>
      </w:pPr>
    </w:p>
    <w:p>
      <w:pPr>
        <w:ind w:left="460" w:hanging="456"/>
        <w:spacing w:after="0"/>
        <w:tabs>
          <w:tab w:leader="none" w:pos="460" w:val="left"/>
        </w:tabs>
        <w:numPr>
          <w:ilvl w:val="0"/>
          <w:numId w:val="50"/>
        </w:numPr>
        <w:rPr>
          <w:rFonts w:ascii="Arial" w:cs="Arial" w:eastAsia="Arial" w:hAnsi="Arial"/>
          <w:sz w:val="15"/>
          <w:szCs w:val="15"/>
          <w:color w:val="auto"/>
        </w:rPr>
      </w:pPr>
      <w:r>
        <w:rPr>
          <w:rFonts w:ascii="Arial" w:cs="Arial" w:eastAsia="Arial" w:hAnsi="Arial"/>
          <w:sz w:val="17"/>
          <w:szCs w:val="17"/>
          <w:color w:val="auto"/>
        </w:rPr>
        <w:t>Martin Marietta Materials, Inc. owns a 50% interest in American Stone Company.</w:t>
      </w:r>
    </w:p>
    <w:p>
      <w:pPr>
        <w:spacing w:after="0" w:line="12" w:lineRule="exact"/>
        <w:rPr>
          <w:sz w:val="20"/>
          <w:szCs w:val="20"/>
          <w:color w:val="auto"/>
        </w:rPr>
      </w:pPr>
    </w:p>
    <w:p>
      <w:pPr>
        <w:ind w:left="460" w:hanging="456"/>
        <w:spacing w:after="0"/>
        <w:tabs>
          <w:tab w:leader="none" w:pos="460" w:val="left"/>
        </w:tabs>
        <w:numPr>
          <w:ilvl w:val="0"/>
          <w:numId w:val="51"/>
        </w:numPr>
        <w:rPr>
          <w:rFonts w:ascii="Arial" w:cs="Arial" w:eastAsia="Arial" w:hAnsi="Arial"/>
          <w:sz w:val="15"/>
          <w:szCs w:val="15"/>
          <w:color w:val="auto"/>
        </w:rPr>
      </w:pPr>
      <w:r>
        <w:rPr>
          <w:rFonts w:ascii="Arial" w:cs="Arial" w:eastAsia="Arial" w:hAnsi="Arial"/>
          <w:sz w:val="17"/>
          <w:szCs w:val="17"/>
          <w:color w:val="auto"/>
        </w:rPr>
        <w:t>Brookhollow of Alexandria, Inc. is a wholly owned subsidiary of Brookhollow Corporation.</w:t>
      </w:r>
    </w:p>
    <w:p>
      <w:pPr>
        <w:spacing w:after="0" w:line="12" w:lineRule="exact"/>
        <w:rPr>
          <w:sz w:val="20"/>
          <w:szCs w:val="20"/>
          <w:color w:val="auto"/>
        </w:rPr>
      </w:pPr>
    </w:p>
    <w:p>
      <w:pPr>
        <w:ind w:left="460" w:hanging="456"/>
        <w:spacing w:after="0"/>
        <w:tabs>
          <w:tab w:leader="none" w:pos="460" w:val="left"/>
        </w:tabs>
        <w:numPr>
          <w:ilvl w:val="0"/>
          <w:numId w:val="52"/>
        </w:numPr>
        <w:rPr>
          <w:rFonts w:ascii="Arial" w:cs="Arial" w:eastAsia="Arial" w:hAnsi="Arial"/>
          <w:sz w:val="15"/>
          <w:szCs w:val="15"/>
          <w:color w:val="auto"/>
        </w:rPr>
      </w:pPr>
      <w:r>
        <w:rPr>
          <w:rFonts w:ascii="Arial" w:cs="Arial" w:eastAsia="Arial" w:hAnsi="Arial"/>
          <w:sz w:val="17"/>
          <w:szCs w:val="17"/>
          <w:color w:val="auto"/>
        </w:rPr>
        <w:t>Brookhollow Corporation is a wholly owned subsidiary of Texas Industries, Inc.</w:t>
      </w:r>
    </w:p>
    <w:p>
      <w:pPr>
        <w:spacing w:after="0" w:line="12" w:lineRule="exact"/>
        <w:rPr>
          <w:sz w:val="20"/>
          <w:szCs w:val="20"/>
          <w:color w:val="auto"/>
        </w:rPr>
      </w:pPr>
    </w:p>
    <w:p>
      <w:pPr>
        <w:ind w:left="460" w:hanging="456"/>
        <w:spacing w:after="0"/>
        <w:tabs>
          <w:tab w:leader="none" w:pos="460" w:val="left"/>
        </w:tabs>
        <w:numPr>
          <w:ilvl w:val="0"/>
          <w:numId w:val="53"/>
        </w:numPr>
        <w:rPr>
          <w:rFonts w:ascii="Arial" w:cs="Arial" w:eastAsia="Arial" w:hAnsi="Arial"/>
          <w:sz w:val="15"/>
          <w:szCs w:val="15"/>
          <w:color w:val="auto"/>
        </w:rPr>
      </w:pPr>
      <w:r>
        <w:rPr>
          <w:rFonts w:ascii="Arial" w:cs="Arial" w:eastAsia="Arial" w:hAnsi="Arial"/>
          <w:sz w:val="17"/>
          <w:szCs w:val="17"/>
          <w:color w:val="auto"/>
        </w:rPr>
        <w:t>Brook Hollow Properties, Inc. is a wholly owned subsidiary of Brookhollow Corporation.</w:t>
      </w:r>
    </w:p>
    <w:p>
      <w:pPr>
        <w:spacing w:after="0" w:line="12" w:lineRule="exact"/>
        <w:rPr>
          <w:sz w:val="20"/>
          <w:szCs w:val="20"/>
          <w:color w:val="auto"/>
        </w:rPr>
      </w:pPr>
    </w:p>
    <w:p>
      <w:pPr>
        <w:ind w:left="460" w:hanging="456"/>
        <w:spacing w:after="0"/>
        <w:tabs>
          <w:tab w:leader="none" w:pos="460" w:val="left"/>
        </w:tabs>
        <w:numPr>
          <w:ilvl w:val="0"/>
          <w:numId w:val="54"/>
        </w:numPr>
        <w:rPr>
          <w:rFonts w:ascii="Arial" w:cs="Arial" w:eastAsia="Arial" w:hAnsi="Arial"/>
          <w:sz w:val="15"/>
          <w:szCs w:val="15"/>
          <w:color w:val="auto"/>
        </w:rPr>
      </w:pPr>
      <w:r>
        <w:rPr>
          <w:rFonts w:ascii="Arial" w:cs="Arial" w:eastAsia="Arial" w:hAnsi="Arial"/>
          <w:sz w:val="17"/>
          <w:szCs w:val="17"/>
          <w:color w:val="auto"/>
        </w:rPr>
        <w:t>Brookhollow of Virginia is a wholly owned subsidiary of Brookhollow Corporation.</w:t>
      </w:r>
    </w:p>
    <w:p>
      <w:pPr>
        <w:spacing w:after="0" w:line="12" w:lineRule="exact"/>
        <w:rPr>
          <w:sz w:val="20"/>
          <w:szCs w:val="20"/>
          <w:color w:val="auto"/>
        </w:rPr>
      </w:pPr>
    </w:p>
    <w:p>
      <w:pPr>
        <w:ind w:left="460" w:hanging="456"/>
        <w:spacing w:after="0"/>
        <w:tabs>
          <w:tab w:leader="none" w:pos="460" w:val="left"/>
        </w:tabs>
        <w:numPr>
          <w:ilvl w:val="0"/>
          <w:numId w:val="55"/>
        </w:numPr>
        <w:rPr>
          <w:rFonts w:ascii="Arial" w:cs="Arial" w:eastAsia="Arial" w:hAnsi="Arial"/>
          <w:sz w:val="15"/>
          <w:szCs w:val="15"/>
          <w:color w:val="auto"/>
        </w:rPr>
      </w:pPr>
      <w:r>
        <w:rPr>
          <w:rFonts w:ascii="Arial" w:cs="Arial" w:eastAsia="Arial" w:hAnsi="Arial"/>
          <w:sz w:val="17"/>
          <w:szCs w:val="17"/>
          <w:color w:val="auto"/>
        </w:rPr>
        <w:t>California Natural Aggregates, Inc. is a wholly owned subsidiary of Texas Industries, Inc.</w:t>
      </w:r>
    </w:p>
    <w:p>
      <w:pPr>
        <w:spacing w:after="0" w:line="12" w:lineRule="exact"/>
        <w:rPr>
          <w:sz w:val="20"/>
          <w:szCs w:val="20"/>
          <w:color w:val="auto"/>
        </w:rPr>
      </w:pPr>
    </w:p>
    <w:p>
      <w:pPr>
        <w:ind w:left="460" w:hanging="456"/>
        <w:spacing w:after="0"/>
        <w:tabs>
          <w:tab w:leader="none" w:pos="460" w:val="left"/>
        </w:tabs>
        <w:numPr>
          <w:ilvl w:val="0"/>
          <w:numId w:val="56"/>
        </w:numPr>
        <w:rPr>
          <w:rFonts w:ascii="Arial" w:cs="Arial" w:eastAsia="Arial" w:hAnsi="Arial"/>
          <w:sz w:val="15"/>
          <w:szCs w:val="15"/>
          <w:color w:val="auto"/>
        </w:rPr>
      </w:pPr>
      <w:r>
        <w:rPr>
          <w:rFonts w:ascii="Arial" w:cs="Arial" w:eastAsia="Arial" w:hAnsi="Arial"/>
          <w:sz w:val="17"/>
          <w:szCs w:val="17"/>
          <w:color w:val="auto"/>
        </w:rPr>
        <w:t>Campbell’s C-Ment Contracting, Inc. is a wholly-owned subsidiary of Suburban Acquisition Company.</w:t>
      </w:r>
    </w:p>
    <w:p>
      <w:pPr>
        <w:sectPr>
          <w:pgSz w:w="11900" w:h="16838" w:orient="portrait"/>
          <w:cols w:equalWidth="0" w:num="1">
            <w:col w:w="11420"/>
          </w:cols>
          <w:pgMar w:left="240" w:top="121" w:right="239" w:bottom="1440" w:gutter="0" w:footer="0" w:header="0"/>
        </w:sectPr>
      </w:pPr>
    </w:p>
    <w:bookmarkStart w:id="142" w:name="page143"/>
    <w:bookmarkEnd w:id="142"/>
    <w:tbl>
      <w:tblPr>
        <w:tblLayout w:type="fixed"/>
        <w:tblInd w:w="0" w:type="dxa"/>
        <w:tblCellMar>
          <w:top w:w="0" w:type="dxa"/>
          <w:left w:w="0" w:type="dxa"/>
          <w:bottom w:w="0" w:type="dxa"/>
          <w:right w:w="0" w:type="dxa"/>
        </w:tblCellMar>
      </w:tblPr>
      <w:tr>
        <w:trPr>
          <w:trHeight w:val="208"/>
        </w:trPr>
        <w:tc>
          <w:tcPr>
            <w:tcW w:w="8380" w:type="dxa"/>
            <w:vAlign w:val="bottom"/>
            <w:shd w:val="clear" w:color="auto" w:fill="CCEEFF"/>
          </w:tcPr>
          <w:p>
            <w:pPr>
              <w:spacing w:after="0"/>
              <w:rPr>
                <w:sz w:val="20"/>
                <w:szCs w:val="20"/>
                <w:color w:val="auto"/>
              </w:rPr>
            </w:pPr>
            <w:r>
              <w:rPr>
                <w:rFonts w:ascii="Arial" w:cs="Arial" w:eastAsia="Arial" w:hAnsi="Arial"/>
                <w:sz w:val="17"/>
                <w:szCs w:val="17"/>
                <w:color w:val="auto"/>
              </w:rPr>
              <w:t>CIG MC LLC, a Colorado limited liability company</w:t>
            </w:r>
          </w:p>
        </w:tc>
        <w:tc>
          <w:tcPr>
            <w:tcW w:w="3040" w:type="dxa"/>
            <w:vAlign w:val="bottom"/>
            <w:shd w:val="clear" w:color="auto" w:fill="CCEEFF"/>
          </w:tcPr>
          <w:p>
            <w:pPr>
              <w:ind w:left="2440"/>
              <w:spacing w:after="0"/>
              <w:rPr>
                <w:sz w:val="20"/>
                <w:szCs w:val="20"/>
                <w:color w:val="auto"/>
              </w:rPr>
            </w:pPr>
            <w:r>
              <w:rPr>
                <w:rFonts w:ascii="Arial" w:cs="Arial" w:eastAsia="Arial" w:hAnsi="Arial"/>
                <w:sz w:val="17"/>
                <w:szCs w:val="17"/>
                <w:color w:val="auto"/>
              </w:rPr>
              <w:t>100%</w:t>
            </w:r>
          </w:p>
        </w:tc>
      </w:tr>
      <w:tr>
        <w:trPr>
          <w:trHeight w:val="208"/>
        </w:trPr>
        <w:tc>
          <w:tcPr>
            <w:tcW w:w="8380" w:type="dxa"/>
            <w:vAlign w:val="bottom"/>
          </w:tcPr>
          <w:p>
            <w:pPr>
              <w:spacing w:after="0"/>
              <w:rPr>
                <w:sz w:val="20"/>
                <w:szCs w:val="20"/>
                <w:color w:val="auto"/>
              </w:rPr>
            </w:pPr>
            <w:r>
              <w:rPr>
                <w:rFonts w:ascii="Arial" w:cs="Arial" w:eastAsia="Arial" w:hAnsi="Arial"/>
                <w:sz w:val="17"/>
                <w:szCs w:val="17"/>
                <w:color w:val="auto"/>
              </w:rPr>
              <w:t>Creole Corporation, a Delaware corporation</w:t>
            </w:r>
          </w:p>
        </w:tc>
        <w:tc>
          <w:tcPr>
            <w:tcW w:w="3040" w:type="dxa"/>
            <w:vAlign w:val="bottom"/>
          </w:tcPr>
          <w:p>
            <w:pPr>
              <w:ind w:left="2440"/>
              <w:spacing w:after="0"/>
              <w:rPr>
                <w:sz w:val="20"/>
                <w:szCs w:val="20"/>
                <w:color w:val="auto"/>
              </w:rPr>
            </w:pPr>
            <w:r>
              <w:rPr>
                <w:rFonts w:ascii="Arial" w:cs="Arial" w:eastAsia="Arial" w:hAnsi="Arial"/>
                <w:sz w:val="17"/>
                <w:szCs w:val="17"/>
                <w:color w:val="auto"/>
                <w:w w:val="98"/>
              </w:rPr>
              <w:t>100%</w:t>
            </w:r>
            <w:r>
              <w:rPr>
                <w:rFonts w:ascii="Arial" w:cs="Arial" w:eastAsia="Arial" w:hAnsi="Arial"/>
                <w:sz w:val="14"/>
                <w:szCs w:val="14"/>
                <w:color w:val="auto"/>
                <w:w w:val="98"/>
              </w:rPr>
              <w:t>11</w:t>
            </w:r>
          </w:p>
        </w:tc>
      </w:tr>
      <w:tr>
        <w:trPr>
          <w:trHeight w:val="208"/>
        </w:trPr>
        <w:tc>
          <w:tcPr>
            <w:tcW w:w="8380" w:type="dxa"/>
            <w:vAlign w:val="bottom"/>
            <w:shd w:val="clear" w:color="auto" w:fill="CCEEFF"/>
          </w:tcPr>
          <w:p>
            <w:pPr>
              <w:spacing w:after="0"/>
              <w:rPr>
                <w:sz w:val="20"/>
                <w:szCs w:val="20"/>
                <w:color w:val="auto"/>
              </w:rPr>
            </w:pPr>
            <w:r>
              <w:rPr>
                <w:rFonts w:ascii="Arial" w:cs="Arial" w:eastAsia="Arial" w:hAnsi="Arial"/>
                <w:sz w:val="17"/>
                <w:szCs w:val="17"/>
                <w:color w:val="auto"/>
              </w:rPr>
              <w:t>FRI Ready Mix of Tennessee, LLC, a Florida limited liability company</w:t>
            </w:r>
          </w:p>
        </w:tc>
        <w:tc>
          <w:tcPr>
            <w:tcW w:w="3040" w:type="dxa"/>
            <w:vAlign w:val="bottom"/>
            <w:shd w:val="clear" w:color="auto" w:fill="CCEEFF"/>
          </w:tcPr>
          <w:p>
            <w:pPr>
              <w:ind w:left="2440"/>
              <w:spacing w:after="0"/>
              <w:rPr>
                <w:sz w:val="20"/>
                <w:szCs w:val="20"/>
                <w:color w:val="auto"/>
              </w:rPr>
            </w:pPr>
            <w:r>
              <w:rPr>
                <w:rFonts w:ascii="Arial" w:cs="Arial" w:eastAsia="Arial" w:hAnsi="Arial"/>
                <w:sz w:val="17"/>
                <w:szCs w:val="17"/>
                <w:color w:val="auto"/>
                <w:w w:val="98"/>
              </w:rPr>
              <w:t>100%</w:t>
            </w:r>
            <w:r>
              <w:rPr>
                <w:rFonts w:ascii="Arial" w:cs="Arial" w:eastAsia="Arial" w:hAnsi="Arial"/>
                <w:sz w:val="14"/>
                <w:szCs w:val="14"/>
                <w:color w:val="auto"/>
                <w:w w:val="98"/>
              </w:rPr>
              <w:t>12</w:t>
            </w:r>
          </w:p>
        </w:tc>
      </w:tr>
      <w:tr>
        <w:trPr>
          <w:trHeight w:val="208"/>
        </w:trPr>
        <w:tc>
          <w:tcPr>
            <w:tcW w:w="8380" w:type="dxa"/>
            <w:vAlign w:val="bottom"/>
          </w:tcPr>
          <w:p>
            <w:pPr>
              <w:spacing w:after="0"/>
              <w:rPr>
                <w:sz w:val="20"/>
                <w:szCs w:val="20"/>
                <w:color w:val="auto"/>
              </w:rPr>
            </w:pPr>
            <w:r>
              <w:rPr>
                <w:rFonts w:ascii="Arial" w:cs="Arial" w:eastAsia="Arial" w:hAnsi="Arial"/>
                <w:sz w:val="17"/>
                <w:szCs w:val="17"/>
                <w:color w:val="auto"/>
              </w:rPr>
              <w:t>Front Range Aggregates LLC, a Delaware limited liability company</w:t>
            </w:r>
          </w:p>
        </w:tc>
        <w:tc>
          <w:tcPr>
            <w:tcW w:w="3040" w:type="dxa"/>
            <w:vAlign w:val="bottom"/>
          </w:tcPr>
          <w:p>
            <w:pPr>
              <w:ind w:left="2440"/>
              <w:spacing w:after="0"/>
              <w:rPr>
                <w:sz w:val="20"/>
                <w:szCs w:val="20"/>
                <w:color w:val="auto"/>
              </w:rPr>
            </w:pPr>
            <w:r>
              <w:rPr>
                <w:rFonts w:ascii="Arial" w:cs="Arial" w:eastAsia="Arial" w:hAnsi="Arial"/>
                <w:sz w:val="17"/>
                <w:szCs w:val="17"/>
                <w:color w:val="auto"/>
              </w:rPr>
              <w:t>100%</w:t>
            </w:r>
          </w:p>
        </w:tc>
      </w:tr>
      <w:tr>
        <w:trPr>
          <w:trHeight w:val="208"/>
        </w:trPr>
        <w:tc>
          <w:tcPr>
            <w:tcW w:w="8380" w:type="dxa"/>
            <w:vAlign w:val="bottom"/>
            <w:shd w:val="clear" w:color="auto" w:fill="CCEEFF"/>
          </w:tcPr>
          <w:p>
            <w:pPr>
              <w:spacing w:after="0"/>
              <w:rPr>
                <w:sz w:val="20"/>
                <w:szCs w:val="20"/>
                <w:color w:val="auto"/>
              </w:rPr>
            </w:pPr>
            <w:r>
              <w:rPr>
                <w:rFonts w:ascii="Arial" w:cs="Arial" w:eastAsia="Arial" w:hAnsi="Arial"/>
                <w:sz w:val="17"/>
                <w:szCs w:val="17"/>
                <w:color w:val="auto"/>
              </w:rPr>
              <w:t>Granite Canyon Quarry, a Wyoming joint venture</w:t>
            </w:r>
          </w:p>
        </w:tc>
        <w:tc>
          <w:tcPr>
            <w:tcW w:w="3040" w:type="dxa"/>
            <w:vAlign w:val="bottom"/>
            <w:shd w:val="clear" w:color="auto" w:fill="CCEEFF"/>
          </w:tcPr>
          <w:p>
            <w:pPr>
              <w:ind w:left="2440"/>
              <w:spacing w:after="0"/>
              <w:rPr>
                <w:sz w:val="20"/>
                <w:szCs w:val="20"/>
                <w:color w:val="auto"/>
              </w:rPr>
            </w:pPr>
            <w:r>
              <w:rPr>
                <w:rFonts w:ascii="Arial" w:cs="Arial" w:eastAsia="Arial" w:hAnsi="Arial"/>
                <w:sz w:val="17"/>
                <w:szCs w:val="17"/>
                <w:color w:val="auto"/>
                <w:w w:val="98"/>
              </w:rPr>
              <w:t>100%</w:t>
            </w:r>
            <w:r>
              <w:rPr>
                <w:rFonts w:ascii="Arial" w:cs="Arial" w:eastAsia="Arial" w:hAnsi="Arial"/>
                <w:sz w:val="14"/>
                <w:szCs w:val="14"/>
                <w:color w:val="auto"/>
                <w:w w:val="98"/>
              </w:rPr>
              <w:t>13</w:t>
            </w:r>
          </w:p>
        </w:tc>
      </w:tr>
      <w:tr>
        <w:trPr>
          <w:trHeight w:val="208"/>
        </w:trPr>
        <w:tc>
          <w:tcPr>
            <w:tcW w:w="8380" w:type="dxa"/>
            <w:vAlign w:val="bottom"/>
          </w:tcPr>
          <w:p>
            <w:pPr>
              <w:spacing w:after="0"/>
              <w:rPr>
                <w:sz w:val="20"/>
                <w:szCs w:val="20"/>
                <w:color w:val="auto"/>
              </w:rPr>
            </w:pPr>
            <w:r>
              <w:rPr>
                <w:rFonts w:ascii="Arial" w:cs="Arial" w:eastAsia="Arial" w:hAnsi="Arial"/>
                <w:sz w:val="17"/>
                <w:szCs w:val="17"/>
                <w:color w:val="auto"/>
              </w:rPr>
              <w:t>Harding Street Corporation, a North Carolina corporation</w:t>
            </w:r>
          </w:p>
        </w:tc>
        <w:tc>
          <w:tcPr>
            <w:tcW w:w="3040" w:type="dxa"/>
            <w:vAlign w:val="bottom"/>
          </w:tcPr>
          <w:p>
            <w:pPr>
              <w:ind w:left="2440"/>
              <w:spacing w:after="0"/>
              <w:rPr>
                <w:sz w:val="20"/>
                <w:szCs w:val="20"/>
                <w:color w:val="auto"/>
              </w:rPr>
            </w:pPr>
            <w:r>
              <w:rPr>
                <w:rFonts w:ascii="Arial" w:cs="Arial" w:eastAsia="Arial" w:hAnsi="Arial"/>
                <w:sz w:val="17"/>
                <w:szCs w:val="17"/>
                <w:color w:val="auto"/>
              </w:rPr>
              <w:t>100%</w:t>
            </w:r>
          </w:p>
        </w:tc>
      </w:tr>
      <w:tr>
        <w:trPr>
          <w:trHeight w:val="208"/>
        </w:trPr>
        <w:tc>
          <w:tcPr>
            <w:tcW w:w="8380" w:type="dxa"/>
            <w:vAlign w:val="bottom"/>
            <w:shd w:val="clear" w:color="auto" w:fill="CCEEFF"/>
          </w:tcPr>
          <w:p>
            <w:pPr>
              <w:spacing w:after="0"/>
              <w:rPr>
                <w:sz w:val="20"/>
                <w:szCs w:val="20"/>
                <w:color w:val="auto"/>
              </w:rPr>
            </w:pPr>
            <w:r>
              <w:rPr>
                <w:rFonts w:ascii="Arial" w:cs="Arial" w:eastAsia="Arial" w:hAnsi="Arial"/>
                <w:sz w:val="17"/>
                <w:szCs w:val="17"/>
                <w:color w:val="auto"/>
              </w:rPr>
              <w:t>HSMM LLC, a North Carolina limited liability company</w:t>
            </w:r>
          </w:p>
        </w:tc>
        <w:tc>
          <w:tcPr>
            <w:tcW w:w="3040" w:type="dxa"/>
            <w:vAlign w:val="bottom"/>
            <w:shd w:val="clear" w:color="auto" w:fill="CCEEFF"/>
          </w:tcPr>
          <w:p>
            <w:pPr>
              <w:ind w:left="2440"/>
              <w:spacing w:after="0"/>
              <w:rPr>
                <w:sz w:val="20"/>
                <w:szCs w:val="20"/>
                <w:color w:val="auto"/>
              </w:rPr>
            </w:pPr>
            <w:r>
              <w:rPr>
                <w:rFonts w:ascii="Arial" w:cs="Arial" w:eastAsia="Arial" w:hAnsi="Arial"/>
                <w:sz w:val="17"/>
                <w:szCs w:val="17"/>
                <w:color w:val="auto"/>
              </w:rPr>
              <w:t>100%</w:t>
            </w:r>
          </w:p>
        </w:tc>
      </w:tr>
      <w:tr>
        <w:trPr>
          <w:trHeight w:val="208"/>
        </w:trPr>
        <w:tc>
          <w:tcPr>
            <w:tcW w:w="8380" w:type="dxa"/>
            <w:vAlign w:val="bottom"/>
          </w:tcPr>
          <w:p>
            <w:pPr>
              <w:spacing w:after="0"/>
              <w:rPr>
                <w:sz w:val="20"/>
                <w:szCs w:val="20"/>
                <w:color w:val="auto"/>
              </w:rPr>
            </w:pPr>
            <w:r>
              <w:rPr>
                <w:rFonts w:ascii="Arial" w:cs="Arial" w:eastAsia="Arial" w:hAnsi="Arial"/>
                <w:sz w:val="17"/>
                <w:szCs w:val="17"/>
                <w:color w:val="auto"/>
              </w:rPr>
              <w:t>Martin Marietta Composites, Inc., a Delaware corporation</w:t>
            </w:r>
          </w:p>
        </w:tc>
        <w:tc>
          <w:tcPr>
            <w:tcW w:w="3040" w:type="dxa"/>
            <w:vAlign w:val="bottom"/>
          </w:tcPr>
          <w:p>
            <w:pPr>
              <w:ind w:left="2440"/>
              <w:spacing w:after="0"/>
              <w:rPr>
                <w:sz w:val="20"/>
                <w:szCs w:val="20"/>
                <w:color w:val="auto"/>
              </w:rPr>
            </w:pPr>
            <w:r>
              <w:rPr>
                <w:rFonts w:ascii="Arial" w:cs="Arial" w:eastAsia="Arial" w:hAnsi="Arial"/>
                <w:sz w:val="17"/>
                <w:szCs w:val="17"/>
                <w:color w:val="auto"/>
              </w:rPr>
              <w:t>100%</w:t>
            </w:r>
          </w:p>
        </w:tc>
      </w:tr>
      <w:tr>
        <w:trPr>
          <w:trHeight w:val="208"/>
        </w:trPr>
        <w:tc>
          <w:tcPr>
            <w:tcW w:w="8380" w:type="dxa"/>
            <w:vAlign w:val="bottom"/>
            <w:shd w:val="clear" w:color="auto" w:fill="CCEEFF"/>
          </w:tcPr>
          <w:p>
            <w:pPr>
              <w:spacing w:after="0"/>
              <w:rPr>
                <w:sz w:val="20"/>
                <w:szCs w:val="20"/>
                <w:color w:val="auto"/>
              </w:rPr>
            </w:pPr>
            <w:r>
              <w:rPr>
                <w:rFonts w:ascii="Arial" w:cs="Arial" w:eastAsia="Arial" w:hAnsi="Arial"/>
                <w:sz w:val="17"/>
                <w:szCs w:val="17"/>
                <w:color w:val="auto"/>
              </w:rPr>
              <w:t>Martin Marietta Fleet Management LLC, a North Carolina limited liability company</w:t>
            </w:r>
          </w:p>
        </w:tc>
        <w:tc>
          <w:tcPr>
            <w:tcW w:w="3040" w:type="dxa"/>
            <w:vAlign w:val="bottom"/>
            <w:shd w:val="clear" w:color="auto" w:fill="CCEEFF"/>
          </w:tcPr>
          <w:p>
            <w:pPr>
              <w:ind w:left="2440"/>
              <w:spacing w:after="0"/>
              <w:rPr>
                <w:sz w:val="20"/>
                <w:szCs w:val="20"/>
                <w:color w:val="auto"/>
              </w:rPr>
            </w:pPr>
            <w:r>
              <w:rPr>
                <w:rFonts w:ascii="Arial" w:cs="Arial" w:eastAsia="Arial" w:hAnsi="Arial"/>
                <w:sz w:val="17"/>
                <w:szCs w:val="17"/>
                <w:color w:val="auto"/>
                <w:w w:val="98"/>
              </w:rPr>
              <w:t>100%</w:t>
            </w:r>
            <w:r>
              <w:rPr>
                <w:rFonts w:ascii="Arial" w:cs="Arial" w:eastAsia="Arial" w:hAnsi="Arial"/>
                <w:sz w:val="14"/>
                <w:szCs w:val="14"/>
                <w:color w:val="auto"/>
                <w:w w:val="98"/>
              </w:rPr>
              <w:t>14</w:t>
            </w:r>
          </w:p>
        </w:tc>
      </w:tr>
      <w:tr>
        <w:trPr>
          <w:trHeight w:val="208"/>
        </w:trPr>
        <w:tc>
          <w:tcPr>
            <w:tcW w:w="8380" w:type="dxa"/>
            <w:vAlign w:val="bottom"/>
          </w:tcPr>
          <w:p>
            <w:pPr>
              <w:spacing w:after="0"/>
              <w:rPr>
                <w:sz w:val="20"/>
                <w:szCs w:val="20"/>
                <w:color w:val="auto"/>
              </w:rPr>
            </w:pPr>
            <w:r>
              <w:rPr>
                <w:rFonts w:ascii="Arial" w:cs="Arial" w:eastAsia="Arial" w:hAnsi="Arial"/>
                <w:sz w:val="17"/>
                <w:szCs w:val="17"/>
                <w:color w:val="auto"/>
              </w:rPr>
              <w:t>Martin Marietta Funding LLC, a Delaware limited liability company</w:t>
            </w:r>
          </w:p>
        </w:tc>
        <w:tc>
          <w:tcPr>
            <w:tcW w:w="3040" w:type="dxa"/>
            <w:vAlign w:val="bottom"/>
          </w:tcPr>
          <w:p>
            <w:pPr>
              <w:ind w:left="2440"/>
              <w:spacing w:after="0"/>
              <w:rPr>
                <w:sz w:val="20"/>
                <w:szCs w:val="20"/>
                <w:color w:val="auto"/>
              </w:rPr>
            </w:pPr>
            <w:r>
              <w:rPr>
                <w:rFonts w:ascii="Arial" w:cs="Arial" w:eastAsia="Arial" w:hAnsi="Arial"/>
                <w:sz w:val="17"/>
                <w:szCs w:val="17"/>
                <w:color w:val="auto"/>
              </w:rPr>
              <w:t>100%</w:t>
            </w:r>
          </w:p>
        </w:tc>
      </w:tr>
      <w:tr>
        <w:trPr>
          <w:trHeight w:val="208"/>
        </w:trPr>
        <w:tc>
          <w:tcPr>
            <w:tcW w:w="8380" w:type="dxa"/>
            <w:vAlign w:val="bottom"/>
            <w:shd w:val="clear" w:color="auto" w:fill="CCEEFF"/>
          </w:tcPr>
          <w:p>
            <w:pPr>
              <w:spacing w:after="0"/>
              <w:rPr>
                <w:sz w:val="20"/>
                <w:szCs w:val="20"/>
                <w:color w:val="auto"/>
              </w:rPr>
            </w:pPr>
            <w:r>
              <w:rPr>
                <w:rFonts w:ascii="Arial" w:cs="Arial" w:eastAsia="Arial" w:hAnsi="Arial"/>
                <w:sz w:val="17"/>
                <w:szCs w:val="17"/>
                <w:color w:val="auto"/>
              </w:rPr>
              <w:t>Martin Marietta Inc., a North Carolina corporation</w:t>
            </w:r>
          </w:p>
        </w:tc>
        <w:tc>
          <w:tcPr>
            <w:tcW w:w="3040" w:type="dxa"/>
            <w:vAlign w:val="bottom"/>
            <w:shd w:val="clear" w:color="auto" w:fill="CCEEFF"/>
          </w:tcPr>
          <w:p>
            <w:pPr>
              <w:ind w:left="2440"/>
              <w:spacing w:after="0"/>
              <w:rPr>
                <w:sz w:val="20"/>
                <w:szCs w:val="20"/>
                <w:color w:val="auto"/>
              </w:rPr>
            </w:pPr>
            <w:r>
              <w:rPr>
                <w:rFonts w:ascii="Arial" w:cs="Arial" w:eastAsia="Arial" w:hAnsi="Arial"/>
                <w:sz w:val="17"/>
                <w:szCs w:val="17"/>
                <w:color w:val="auto"/>
              </w:rPr>
              <w:t>100%</w:t>
            </w:r>
          </w:p>
        </w:tc>
      </w:tr>
      <w:tr>
        <w:trPr>
          <w:trHeight w:val="208"/>
        </w:trPr>
        <w:tc>
          <w:tcPr>
            <w:tcW w:w="8380" w:type="dxa"/>
            <w:vAlign w:val="bottom"/>
          </w:tcPr>
          <w:p>
            <w:pPr>
              <w:spacing w:after="0"/>
              <w:rPr>
                <w:sz w:val="20"/>
                <w:szCs w:val="20"/>
                <w:color w:val="auto"/>
              </w:rPr>
            </w:pPr>
            <w:r>
              <w:rPr>
                <w:rFonts w:ascii="Arial" w:cs="Arial" w:eastAsia="Arial" w:hAnsi="Arial"/>
                <w:sz w:val="17"/>
                <w:szCs w:val="17"/>
                <w:color w:val="auto"/>
              </w:rPr>
              <w:t>Martin Marietta Kansas City, LLC, a Delaware limited liability company</w:t>
            </w:r>
          </w:p>
        </w:tc>
        <w:tc>
          <w:tcPr>
            <w:tcW w:w="3040" w:type="dxa"/>
            <w:vAlign w:val="bottom"/>
          </w:tcPr>
          <w:p>
            <w:pPr>
              <w:ind w:left="2440"/>
              <w:spacing w:after="0"/>
              <w:rPr>
                <w:sz w:val="20"/>
                <w:szCs w:val="20"/>
                <w:color w:val="auto"/>
              </w:rPr>
            </w:pPr>
            <w:r>
              <w:rPr>
                <w:rFonts w:ascii="Arial" w:cs="Arial" w:eastAsia="Arial" w:hAnsi="Arial"/>
                <w:sz w:val="17"/>
                <w:szCs w:val="17"/>
                <w:color w:val="auto"/>
                <w:w w:val="98"/>
              </w:rPr>
              <w:t>100%</w:t>
            </w:r>
            <w:r>
              <w:rPr>
                <w:rFonts w:ascii="Arial" w:cs="Arial" w:eastAsia="Arial" w:hAnsi="Arial"/>
                <w:sz w:val="14"/>
                <w:szCs w:val="14"/>
                <w:color w:val="auto"/>
                <w:w w:val="98"/>
              </w:rPr>
              <w:t>15</w:t>
            </w:r>
          </w:p>
        </w:tc>
      </w:tr>
      <w:tr>
        <w:trPr>
          <w:trHeight w:val="208"/>
        </w:trPr>
        <w:tc>
          <w:tcPr>
            <w:tcW w:w="8380" w:type="dxa"/>
            <w:vAlign w:val="bottom"/>
            <w:shd w:val="clear" w:color="auto" w:fill="CCEEFF"/>
          </w:tcPr>
          <w:p>
            <w:pPr>
              <w:spacing w:after="0"/>
              <w:rPr>
                <w:sz w:val="20"/>
                <w:szCs w:val="20"/>
                <w:color w:val="auto"/>
              </w:rPr>
            </w:pPr>
            <w:r>
              <w:rPr>
                <w:rFonts w:ascii="Arial" w:cs="Arial" w:eastAsia="Arial" w:hAnsi="Arial"/>
                <w:sz w:val="17"/>
                <w:szCs w:val="17"/>
                <w:color w:val="auto"/>
              </w:rPr>
              <w:t>Martin Marietta Magnesia Specialties, LLC, a Delaware limited liability company</w:t>
            </w:r>
          </w:p>
        </w:tc>
        <w:tc>
          <w:tcPr>
            <w:tcW w:w="3040" w:type="dxa"/>
            <w:vAlign w:val="bottom"/>
            <w:shd w:val="clear" w:color="auto" w:fill="CCEEFF"/>
          </w:tcPr>
          <w:p>
            <w:pPr>
              <w:ind w:left="2440"/>
              <w:spacing w:after="0"/>
              <w:rPr>
                <w:sz w:val="20"/>
                <w:szCs w:val="20"/>
                <w:color w:val="auto"/>
              </w:rPr>
            </w:pPr>
            <w:r>
              <w:rPr>
                <w:rFonts w:ascii="Arial" w:cs="Arial" w:eastAsia="Arial" w:hAnsi="Arial"/>
                <w:sz w:val="17"/>
                <w:szCs w:val="17"/>
                <w:color w:val="auto"/>
              </w:rPr>
              <w:t>100%</w:t>
            </w:r>
          </w:p>
        </w:tc>
      </w:tr>
      <w:tr>
        <w:trPr>
          <w:trHeight w:val="208"/>
        </w:trPr>
        <w:tc>
          <w:tcPr>
            <w:tcW w:w="8380" w:type="dxa"/>
            <w:vAlign w:val="bottom"/>
          </w:tcPr>
          <w:p>
            <w:pPr>
              <w:spacing w:after="0"/>
              <w:rPr>
                <w:sz w:val="20"/>
                <w:szCs w:val="20"/>
                <w:color w:val="auto"/>
              </w:rPr>
            </w:pPr>
            <w:r>
              <w:rPr>
                <w:rFonts w:ascii="Arial" w:cs="Arial" w:eastAsia="Arial" w:hAnsi="Arial"/>
                <w:sz w:val="17"/>
                <w:szCs w:val="17"/>
                <w:color w:val="auto"/>
              </w:rPr>
              <w:t>Martin Marietta Materials Canada Limited, a Nova Scotia, Canada corporation</w:t>
            </w:r>
          </w:p>
        </w:tc>
        <w:tc>
          <w:tcPr>
            <w:tcW w:w="3040" w:type="dxa"/>
            <w:vAlign w:val="bottom"/>
          </w:tcPr>
          <w:p>
            <w:pPr>
              <w:ind w:left="2440"/>
              <w:spacing w:after="0"/>
              <w:rPr>
                <w:sz w:val="20"/>
                <w:szCs w:val="20"/>
                <w:color w:val="auto"/>
              </w:rPr>
            </w:pPr>
            <w:r>
              <w:rPr>
                <w:rFonts w:ascii="Arial" w:cs="Arial" w:eastAsia="Arial" w:hAnsi="Arial"/>
                <w:sz w:val="17"/>
                <w:szCs w:val="17"/>
                <w:color w:val="auto"/>
              </w:rPr>
              <w:t>100%</w:t>
            </w:r>
          </w:p>
        </w:tc>
      </w:tr>
      <w:tr>
        <w:trPr>
          <w:trHeight w:val="208"/>
        </w:trPr>
        <w:tc>
          <w:tcPr>
            <w:tcW w:w="8380" w:type="dxa"/>
            <w:vAlign w:val="bottom"/>
            <w:shd w:val="clear" w:color="auto" w:fill="CCEEFF"/>
          </w:tcPr>
          <w:p>
            <w:pPr>
              <w:spacing w:after="0"/>
              <w:rPr>
                <w:sz w:val="20"/>
                <w:szCs w:val="20"/>
                <w:color w:val="auto"/>
              </w:rPr>
            </w:pPr>
            <w:r>
              <w:rPr>
                <w:rFonts w:ascii="Arial" w:cs="Arial" w:eastAsia="Arial" w:hAnsi="Arial"/>
                <w:sz w:val="17"/>
                <w:szCs w:val="17"/>
                <w:color w:val="auto"/>
              </w:rPr>
              <w:t>Martin Marietta Materials of Missouri, Inc., a Delaware corporation</w:t>
            </w:r>
          </w:p>
        </w:tc>
        <w:tc>
          <w:tcPr>
            <w:tcW w:w="3040" w:type="dxa"/>
            <w:vAlign w:val="bottom"/>
            <w:shd w:val="clear" w:color="auto" w:fill="CCEEFF"/>
          </w:tcPr>
          <w:p>
            <w:pPr>
              <w:ind w:left="2440"/>
              <w:spacing w:after="0"/>
              <w:rPr>
                <w:sz w:val="20"/>
                <w:szCs w:val="20"/>
                <w:color w:val="auto"/>
              </w:rPr>
            </w:pPr>
            <w:r>
              <w:rPr>
                <w:rFonts w:ascii="Arial" w:cs="Arial" w:eastAsia="Arial" w:hAnsi="Arial"/>
                <w:sz w:val="17"/>
                <w:szCs w:val="17"/>
                <w:color w:val="auto"/>
              </w:rPr>
              <w:t>100%</w:t>
            </w:r>
          </w:p>
        </w:tc>
      </w:tr>
      <w:tr>
        <w:trPr>
          <w:trHeight w:val="208"/>
        </w:trPr>
        <w:tc>
          <w:tcPr>
            <w:tcW w:w="8380" w:type="dxa"/>
            <w:vAlign w:val="bottom"/>
          </w:tcPr>
          <w:p>
            <w:pPr>
              <w:spacing w:after="0"/>
              <w:rPr>
                <w:sz w:val="20"/>
                <w:szCs w:val="20"/>
                <w:color w:val="auto"/>
              </w:rPr>
            </w:pPr>
            <w:r>
              <w:rPr>
                <w:rFonts w:ascii="Arial" w:cs="Arial" w:eastAsia="Arial" w:hAnsi="Arial"/>
                <w:sz w:val="17"/>
                <w:szCs w:val="17"/>
                <w:color w:val="auto"/>
              </w:rPr>
              <w:t>Martin Marietta Materials Real Estate Investments, Inc., a North Carolina corporation</w:t>
            </w:r>
          </w:p>
        </w:tc>
        <w:tc>
          <w:tcPr>
            <w:tcW w:w="3040" w:type="dxa"/>
            <w:vAlign w:val="bottom"/>
          </w:tcPr>
          <w:p>
            <w:pPr>
              <w:ind w:left="2440"/>
              <w:spacing w:after="0"/>
              <w:rPr>
                <w:sz w:val="20"/>
                <w:szCs w:val="20"/>
                <w:color w:val="auto"/>
              </w:rPr>
            </w:pPr>
            <w:r>
              <w:rPr>
                <w:rFonts w:ascii="Arial" w:cs="Arial" w:eastAsia="Arial" w:hAnsi="Arial"/>
                <w:sz w:val="17"/>
                <w:szCs w:val="17"/>
                <w:color w:val="auto"/>
              </w:rPr>
              <w:t>100%</w:t>
            </w:r>
          </w:p>
        </w:tc>
      </w:tr>
      <w:tr>
        <w:trPr>
          <w:trHeight w:val="208"/>
        </w:trPr>
        <w:tc>
          <w:tcPr>
            <w:tcW w:w="8380" w:type="dxa"/>
            <w:vAlign w:val="bottom"/>
            <w:shd w:val="clear" w:color="auto" w:fill="CCEEFF"/>
          </w:tcPr>
          <w:p>
            <w:pPr>
              <w:spacing w:after="0"/>
              <w:rPr>
                <w:sz w:val="20"/>
                <w:szCs w:val="20"/>
                <w:color w:val="auto"/>
              </w:rPr>
            </w:pPr>
            <w:r>
              <w:rPr>
                <w:rFonts w:ascii="Arial" w:cs="Arial" w:eastAsia="Arial" w:hAnsi="Arial"/>
                <w:sz w:val="17"/>
                <w:szCs w:val="17"/>
                <w:color w:val="auto"/>
              </w:rPr>
              <w:t>Martin Marietta Materials Southwest, LLC, a Texas limited liability company</w:t>
            </w:r>
          </w:p>
        </w:tc>
        <w:tc>
          <w:tcPr>
            <w:tcW w:w="3040" w:type="dxa"/>
            <w:vAlign w:val="bottom"/>
            <w:shd w:val="clear" w:color="auto" w:fill="CCEEFF"/>
          </w:tcPr>
          <w:p>
            <w:pPr>
              <w:ind w:left="2440"/>
              <w:spacing w:after="0"/>
              <w:rPr>
                <w:sz w:val="20"/>
                <w:szCs w:val="20"/>
                <w:color w:val="auto"/>
              </w:rPr>
            </w:pPr>
            <w:r>
              <w:rPr>
                <w:rFonts w:ascii="Arial" w:cs="Arial" w:eastAsia="Arial" w:hAnsi="Arial"/>
                <w:sz w:val="17"/>
                <w:szCs w:val="17"/>
                <w:color w:val="auto"/>
                <w:w w:val="98"/>
              </w:rPr>
              <w:t>100%</w:t>
            </w:r>
            <w:r>
              <w:rPr>
                <w:rFonts w:ascii="Arial" w:cs="Arial" w:eastAsia="Arial" w:hAnsi="Arial"/>
                <w:sz w:val="14"/>
                <w:szCs w:val="14"/>
                <w:color w:val="auto"/>
                <w:w w:val="98"/>
              </w:rPr>
              <w:t>16</w:t>
            </w:r>
          </w:p>
        </w:tc>
      </w:tr>
      <w:tr>
        <w:trPr>
          <w:trHeight w:val="220"/>
        </w:trPr>
        <w:tc>
          <w:tcPr>
            <w:tcW w:w="8380" w:type="dxa"/>
            <w:vAlign w:val="bottom"/>
          </w:tcPr>
          <w:p>
            <w:pPr>
              <w:spacing w:after="0"/>
              <w:rPr>
                <w:sz w:val="20"/>
                <w:szCs w:val="20"/>
                <w:color w:val="auto"/>
              </w:rPr>
            </w:pPr>
            <w:r>
              <w:rPr>
                <w:rFonts w:ascii="Arial" w:cs="Arial" w:eastAsia="Arial" w:hAnsi="Arial"/>
                <w:sz w:val="17"/>
                <w:szCs w:val="17"/>
                <w:color w:val="auto"/>
              </w:rPr>
              <w:t>Material Producers, Inc., an Oklahoma corporation</w:t>
            </w:r>
          </w:p>
        </w:tc>
        <w:tc>
          <w:tcPr>
            <w:tcW w:w="3040" w:type="dxa"/>
            <w:vAlign w:val="bottom"/>
          </w:tcPr>
          <w:p>
            <w:pPr>
              <w:ind w:left="2440"/>
              <w:spacing w:after="0"/>
              <w:rPr>
                <w:sz w:val="20"/>
                <w:szCs w:val="20"/>
                <w:color w:val="auto"/>
              </w:rPr>
            </w:pPr>
            <w:r>
              <w:rPr>
                <w:rFonts w:ascii="Arial" w:cs="Arial" w:eastAsia="Arial" w:hAnsi="Arial"/>
                <w:sz w:val="17"/>
                <w:szCs w:val="17"/>
                <w:color w:val="auto"/>
                <w:w w:val="98"/>
              </w:rPr>
              <w:t>100%</w:t>
            </w:r>
            <w:r>
              <w:rPr>
                <w:rFonts w:ascii="Arial" w:cs="Arial" w:eastAsia="Arial" w:hAnsi="Arial"/>
                <w:sz w:val="14"/>
                <w:szCs w:val="14"/>
                <w:color w:val="auto"/>
                <w:w w:val="98"/>
              </w:rPr>
              <w:t>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0">
                      <a:extLst>
                        <a:ext uri="{28A0092B-C50C-407E-A947-70E740481C1C}"/>
                      </a:extLst>
                    </a:blip>
                    <a:srcRect/>
                    <a:stretch>
                      <a:fillRect/>
                    </a:stretch>
                  </pic:blipFill>
                  <pic:spPr bwMode="auto">
                    <a:xfrm>
                      <a:off x="0" y="0"/>
                      <a:ext cx="7293610" cy="3746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74295</wp:posOffset>
            </wp:positionV>
            <wp:extent cx="72517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1">
                      <a:extLst>
                        <a:ext uri="{28A0092B-C50C-407E-A947-70E740481C1C}"/>
                      </a:extLst>
                    </a:blip>
                    <a:srcRect/>
                    <a:stretch>
                      <a:fillRect/>
                    </a:stretch>
                  </pic:blipFill>
                  <pic:spPr bwMode="auto">
                    <a:xfrm>
                      <a:off x="0" y="0"/>
                      <a:ext cx="725170" cy="8255"/>
                    </a:xfrm>
                    <a:prstGeom prst="rect">
                      <a:avLst/>
                    </a:prstGeom>
                    <a:noFill/>
                  </pic:spPr>
                </pic:pic>
              </a:graphicData>
            </a:graphic>
          </wp:anchor>
        </w:drawing>
      </w:r>
    </w:p>
    <w:p>
      <w:pPr>
        <w:spacing w:after="0" w:line="137" w:lineRule="exact"/>
        <w:rPr>
          <w:sz w:val="20"/>
          <w:szCs w:val="20"/>
          <w:color w:val="auto"/>
        </w:rPr>
      </w:pPr>
    </w:p>
    <w:p>
      <w:pPr>
        <w:ind w:left="460" w:hanging="456"/>
        <w:spacing w:after="0"/>
        <w:tabs>
          <w:tab w:leader="none" w:pos="460" w:val="left"/>
        </w:tabs>
        <w:numPr>
          <w:ilvl w:val="0"/>
          <w:numId w:val="57"/>
        </w:numPr>
        <w:rPr>
          <w:rFonts w:ascii="Arial" w:cs="Arial" w:eastAsia="Arial" w:hAnsi="Arial"/>
          <w:sz w:val="15"/>
          <w:szCs w:val="15"/>
          <w:color w:val="auto"/>
        </w:rPr>
      </w:pPr>
      <w:r>
        <w:rPr>
          <w:rFonts w:ascii="Arial" w:cs="Arial" w:eastAsia="Arial" w:hAnsi="Arial"/>
          <w:sz w:val="17"/>
          <w:szCs w:val="17"/>
          <w:color w:val="auto"/>
        </w:rPr>
        <w:t>Creole Corporation is a wholly owned subsidiary of Texas Industries, Inc.</w:t>
      </w:r>
    </w:p>
    <w:p>
      <w:pPr>
        <w:spacing w:after="0" w:line="24" w:lineRule="exact"/>
        <w:rPr>
          <w:rFonts w:ascii="Arial" w:cs="Arial" w:eastAsia="Arial" w:hAnsi="Arial"/>
          <w:sz w:val="15"/>
          <w:szCs w:val="15"/>
          <w:color w:val="auto"/>
        </w:rPr>
      </w:pPr>
    </w:p>
    <w:p>
      <w:pPr>
        <w:ind w:left="460" w:hanging="456"/>
        <w:spacing w:after="0"/>
        <w:tabs>
          <w:tab w:leader="none" w:pos="460" w:val="left"/>
        </w:tabs>
        <w:numPr>
          <w:ilvl w:val="0"/>
          <w:numId w:val="57"/>
        </w:numPr>
        <w:rPr>
          <w:rFonts w:ascii="Arial" w:cs="Arial" w:eastAsia="Arial" w:hAnsi="Arial"/>
          <w:sz w:val="15"/>
          <w:szCs w:val="15"/>
          <w:color w:val="auto"/>
        </w:rPr>
      </w:pPr>
      <w:r>
        <w:rPr>
          <w:rFonts w:ascii="Arial" w:cs="Arial" w:eastAsia="Arial" w:hAnsi="Arial"/>
          <w:sz w:val="17"/>
          <w:szCs w:val="17"/>
          <w:color w:val="auto"/>
        </w:rPr>
        <w:t>FRI Ready Mix of Tennessee, LLC is a wholly owned subsidiary of American Materials Technologies, LLC.</w:t>
      </w:r>
    </w:p>
    <w:p>
      <w:pPr>
        <w:spacing w:after="0" w:line="12" w:lineRule="exact"/>
        <w:rPr>
          <w:rFonts w:ascii="Arial" w:cs="Arial" w:eastAsia="Arial" w:hAnsi="Arial"/>
          <w:sz w:val="15"/>
          <w:szCs w:val="15"/>
          <w:color w:val="auto"/>
        </w:rPr>
      </w:pPr>
    </w:p>
    <w:p>
      <w:pPr>
        <w:ind w:left="460" w:hanging="456"/>
        <w:spacing w:after="0"/>
        <w:tabs>
          <w:tab w:leader="none" w:pos="460" w:val="left"/>
        </w:tabs>
        <w:numPr>
          <w:ilvl w:val="0"/>
          <w:numId w:val="57"/>
        </w:numPr>
        <w:rPr>
          <w:rFonts w:ascii="Arial" w:cs="Arial" w:eastAsia="Arial" w:hAnsi="Arial"/>
          <w:sz w:val="15"/>
          <w:szCs w:val="15"/>
          <w:color w:val="auto"/>
        </w:rPr>
      </w:pPr>
      <w:r>
        <w:rPr>
          <w:rFonts w:ascii="Arial" w:cs="Arial" w:eastAsia="Arial" w:hAnsi="Arial"/>
          <w:sz w:val="17"/>
          <w:szCs w:val="17"/>
          <w:color w:val="auto"/>
        </w:rPr>
        <w:t>Granite Canyon Quarry is owned 51% by Meridian Granite Company and 49% by Martin Marietta Materials Real Estate Investments, Inc.</w:t>
      </w:r>
    </w:p>
    <w:p>
      <w:pPr>
        <w:spacing w:after="0" w:line="12" w:lineRule="exact"/>
        <w:rPr>
          <w:rFonts w:ascii="Arial" w:cs="Arial" w:eastAsia="Arial" w:hAnsi="Arial"/>
          <w:sz w:val="15"/>
          <w:szCs w:val="15"/>
          <w:color w:val="auto"/>
        </w:rPr>
      </w:pPr>
    </w:p>
    <w:p>
      <w:pPr>
        <w:ind w:left="460" w:hanging="456"/>
        <w:spacing w:after="0"/>
        <w:tabs>
          <w:tab w:leader="none" w:pos="460" w:val="left"/>
        </w:tabs>
        <w:numPr>
          <w:ilvl w:val="0"/>
          <w:numId w:val="57"/>
        </w:numPr>
        <w:rPr>
          <w:rFonts w:ascii="Arial" w:cs="Arial" w:eastAsia="Arial" w:hAnsi="Arial"/>
          <w:sz w:val="15"/>
          <w:szCs w:val="15"/>
          <w:color w:val="auto"/>
        </w:rPr>
      </w:pPr>
      <w:r>
        <w:rPr>
          <w:rFonts w:ascii="Arial" w:cs="Arial" w:eastAsia="Arial" w:hAnsi="Arial"/>
          <w:sz w:val="17"/>
          <w:szCs w:val="17"/>
          <w:color w:val="auto"/>
        </w:rPr>
        <w:t>Martin Marietta Fleet Management LLC, is a wholly owned subsidiary of Martin Marietta Materials Southwest, LLC</w:t>
      </w:r>
    </w:p>
    <w:p>
      <w:pPr>
        <w:spacing w:after="0" w:line="12" w:lineRule="exact"/>
        <w:rPr>
          <w:rFonts w:ascii="Arial" w:cs="Arial" w:eastAsia="Arial" w:hAnsi="Arial"/>
          <w:sz w:val="15"/>
          <w:szCs w:val="15"/>
          <w:color w:val="auto"/>
        </w:rPr>
      </w:pPr>
    </w:p>
    <w:p>
      <w:pPr>
        <w:ind w:left="460" w:hanging="456"/>
        <w:spacing w:after="0"/>
        <w:tabs>
          <w:tab w:leader="none" w:pos="460" w:val="left"/>
        </w:tabs>
        <w:numPr>
          <w:ilvl w:val="0"/>
          <w:numId w:val="57"/>
        </w:numPr>
        <w:rPr>
          <w:rFonts w:ascii="Arial" w:cs="Arial" w:eastAsia="Arial" w:hAnsi="Arial"/>
          <w:sz w:val="15"/>
          <w:szCs w:val="15"/>
          <w:color w:val="auto"/>
        </w:rPr>
      </w:pPr>
      <w:r>
        <w:rPr>
          <w:rFonts w:ascii="Arial" w:cs="Arial" w:eastAsia="Arial" w:hAnsi="Arial"/>
          <w:sz w:val="17"/>
          <w:szCs w:val="17"/>
          <w:color w:val="auto"/>
        </w:rPr>
        <w:t>Martin Marietta Kansas City, LLC is owned 95% by Martin Marietta Materials, Inc. and 5% by Martin Marietta Materials of Missouri, Inc.</w:t>
      </w:r>
    </w:p>
    <w:p>
      <w:pPr>
        <w:spacing w:after="0" w:line="12" w:lineRule="exact"/>
        <w:rPr>
          <w:rFonts w:ascii="Arial" w:cs="Arial" w:eastAsia="Arial" w:hAnsi="Arial"/>
          <w:sz w:val="15"/>
          <w:szCs w:val="15"/>
          <w:color w:val="auto"/>
        </w:rPr>
      </w:pPr>
    </w:p>
    <w:p>
      <w:pPr>
        <w:ind w:left="460" w:hanging="456"/>
        <w:spacing w:after="0"/>
        <w:tabs>
          <w:tab w:leader="none" w:pos="460" w:val="left"/>
        </w:tabs>
        <w:numPr>
          <w:ilvl w:val="0"/>
          <w:numId w:val="57"/>
        </w:numPr>
        <w:rPr>
          <w:rFonts w:ascii="Arial" w:cs="Arial" w:eastAsia="Arial" w:hAnsi="Arial"/>
          <w:sz w:val="15"/>
          <w:szCs w:val="15"/>
          <w:color w:val="auto"/>
        </w:rPr>
      </w:pPr>
      <w:r>
        <w:rPr>
          <w:rFonts w:ascii="Arial" w:cs="Arial" w:eastAsia="Arial" w:hAnsi="Arial"/>
          <w:sz w:val="17"/>
          <w:szCs w:val="17"/>
          <w:color w:val="auto"/>
        </w:rPr>
        <w:t>Martin Marietta Materials Southwest, LLC is a wholly owned subsidiary of Texas Industries, Inc.</w:t>
      </w:r>
    </w:p>
    <w:p>
      <w:pPr>
        <w:spacing w:after="0" w:line="12" w:lineRule="exact"/>
        <w:rPr>
          <w:rFonts w:ascii="Arial" w:cs="Arial" w:eastAsia="Arial" w:hAnsi="Arial"/>
          <w:sz w:val="15"/>
          <w:szCs w:val="15"/>
          <w:color w:val="auto"/>
        </w:rPr>
      </w:pPr>
    </w:p>
    <w:p>
      <w:pPr>
        <w:ind w:left="460" w:hanging="456"/>
        <w:spacing w:after="0"/>
        <w:tabs>
          <w:tab w:leader="none" w:pos="460" w:val="left"/>
        </w:tabs>
        <w:numPr>
          <w:ilvl w:val="0"/>
          <w:numId w:val="57"/>
        </w:numPr>
        <w:rPr>
          <w:rFonts w:ascii="Arial" w:cs="Arial" w:eastAsia="Arial" w:hAnsi="Arial"/>
          <w:sz w:val="15"/>
          <w:szCs w:val="15"/>
          <w:color w:val="auto"/>
        </w:rPr>
      </w:pPr>
      <w:r>
        <w:rPr>
          <w:rFonts w:ascii="Arial" w:cs="Arial" w:eastAsia="Arial" w:hAnsi="Arial"/>
          <w:sz w:val="17"/>
          <w:szCs w:val="17"/>
          <w:color w:val="auto"/>
        </w:rPr>
        <w:t>Material Producers, Inc. is a wholly owned subsidiary of Martin Marietta Materials Southwest, LLC</w:t>
      </w:r>
    </w:p>
    <w:p>
      <w:pPr>
        <w:sectPr>
          <w:pgSz w:w="11900" w:h="16838" w:orient="portrait"/>
          <w:cols w:equalWidth="0" w:num="1">
            <w:col w:w="11420"/>
          </w:cols>
          <w:pgMar w:left="240" w:top="282" w:right="239" w:bottom="1440" w:gutter="0" w:footer="0" w:header="0"/>
        </w:sectPr>
      </w:pPr>
    </w:p>
    <w:bookmarkStart w:id="143" w:name="page144"/>
    <w:bookmarkEnd w:id="143"/>
    <w:tbl>
      <w:tblPr>
        <w:tblLayout w:type="fixed"/>
        <w:tblInd w:w="0" w:type="dxa"/>
        <w:tblCellMar>
          <w:top w:w="0" w:type="dxa"/>
          <w:left w:w="0" w:type="dxa"/>
          <w:bottom w:w="0" w:type="dxa"/>
          <w:right w:w="0" w:type="dxa"/>
        </w:tblCellMar>
      </w:tblPr>
      <w:tr>
        <w:trPr>
          <w:trHeight w:val="209"/>
        </w:trPr>
        <w:tc>
          <w:tcPr>
            <w:tcW w:w="8620" w:type="dxa"/>
            <w:vAlign w:val="bottom"/>
            <w:shd w:val="clear" w:color="auto" w:fill="CCEEFF"/>
          </w:tcPr>
          <w:p>
            <w:pPr>
              <w:spacing w:after="0"/>
              <w:rPr>
                <w:sz w:val="20"/>
                <w:szCs w:val="20"/>
                <w:color w:val="auto"/>
              </w:rPr>
            </w:pPr>
            <w:r>
              <w:rPr>
                <w:rFonts w:ascii="Arial" w:cs="Arial" w:eastAsia="Arial" w:hAnsi="Arial"/>
                <w:sz w:val="17"/>
                <w:szCs w:val="17"/>
                <w:color w:val="auto"/>
              </w:rPr>
              <w:t>Meridian Aggregates Company, a Limited Partnership, a North Carolina limited partnership</w:t>
            </w:r>
          </w:p>
        </w:tc>
        <w:tc>
          <w:tcPr>
            <w:tcW w:w="2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r>
              <w:rPr>
                <w:rFonts w:ascii="Arial" w:cs="Arial" w:eastAsia="Arial" w:hAnsi="Arial"/>
                <w:sz w:val="14"/>
                <w:szCs w:val="14"/>
                <w:color w:val="auto"/>
              </w:rPr>
              <w:t>18</w:t>
            </w:r>
          </w:p>
        </w:tc>
      </w:tr>
      <w:tr>
        <w:trPr>
          <w:trHeight w:val="208"/>
        </w:trPr>
        <w:tc>
          <w:tcPr>
            <w:tcW w:w="8620" w:type="dxa"/>
            <w:vAlign w:val="bottom"/>
          </w:tcPr>
          <w:p>
            <w:pPr>
              <w:spacing w:after="0"/>
              <w:rPr>
                <w:sz w:val="20"/>
                <w:szCs w:val="20"/>
                <w:color w:val="auto"/>
              </w:rPr>
            </w:pPr>
            <w:r>
              <w:rPr>
                <w:rFonts w:ascii="Arial" w:cs="Arial" w:eastAsia="Arial" w:hAnsi="Arial"/>
                <w:sz w:val="17"/>
                <w:szCs w:val="17"/>
                <w:color w:val="auto"/>
              </w:rPr>
              <w:t>Meridian Aggregates Company Northwest, LLC, a North Carolina limited liability company</w:t>
            </w:r>
          </w:p>
        </w:tc>
        <w:tc>
          <w:tcPr>
            <w:tcW w:w="2800" w:type="dxa"/>
            <w:vAlign w:val="bottom"/>
          </w:tcPr>
          <w:p>
            <w:pPr>
              <w:jc w:val="right"/>
              <w:spacing w:after="0"/>
              <w:rPr>
                <w:sz w:val="20"/>
                <w:szCs w:val="20"/>
                <w:color w:val="auto"/>
              </w:rPr>
            </w:pPr>
            <w:r>
              <w:rPr>
                <w:rFonts w:ascii="Arial" w:cs="Arial" w:eastAsia="Arial" w:hAnsi="Arial"/>
                <w:sz w:val="17"/>
                <w:szCs w:val="17"/>
                <w:color w:val="auto"/>
              </w:rPr>
              <w:t>100%</w:t>
            </w:r>
            <w:r>
              <w:rPr>
                <w:rFonts w:ascii="Arial" w:cs="Arial" w:eastAsia="Arial" w:hAnsi="Arial"/>
                <w:sz w:val="14"/>
                <w:szCs w:val="14"/>
                <w:color w:val="auto"/>
              </w:rPr>
              <w:t>19</w:t>
            </w:r>
          </w:p>
        </w:tc>
      </w:tr>
      <w:tr>
        <w:trPr>
          <w:trHeight w:val="208"/>
        </w:trPr>
        <w:tc>
          <w:tcPr>
            <w:tcW w:w="8620" w:type="dxa"/>
            <w:vAlign w:val="bottom"/>
            <w:shd w:val="clear" w:color="auto" w:fill="CCEEFF"/>
          </w:tcPr>
          <w:p>
            <w:pPr>
              <w:spacing w:after="0"/>
              <w:rPr>
                <w:sz w:val="20"/>
                <w:szCs w:val="20"/>
                <w:color w:val="auto"/>
              </w:rPr>
            </w:pPr>
            <w:r>
              <w:rPr>
                <w:rFonts w:ascii="Arial" w:cs="Arial" w:eastAsia="Arial" w:hAnsi="Arial"/>
                <w:sz w:val="17"/>
                <w:szCs w:val="17"/>
                <w:color w:val="auto"/>
              </w:rPr>
              <w:t>Meridian Aggregates Company Southwest, LLC, a North Carolina limited liability company</w:t>
            </w:r>
          </w:p>
        </w:tc>
        <w:tc>
          <w:tcPr>
            <w:tcW w:w="2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r>
              <w:rPr>
                <w:rFonts w:ascii="Arial" w:cs="Arial" w:eastAsia="Arial" w:hAnsi="Arial"/>
                <w:sz w:val="14"/>
                <w:szCs w:val="14"/>
                <w:color w:val="auto"/>
              </w:rPr>
              <w:t>20</w:t>
            </w:r>
          </w:p>
        </w:tc>
      </w:tr>
      <w:tr>
        <w:trPr>
          <w:trHeight w:val="208"/>
        </w:trPr>
        <w:tc>
          <w:tcPr>
            <w:tcW w:w="8620" w:type="dxa"/>
            <w:vAlign w:val="bottom"/>
          </w:tcPr>
          <w:p>
            <w:pPr>
              <w:spacing w:after="0"/>
              <w:rPr>
                <w:sz w:val="20"/>
                <w:szCs w:val="20"/>
                <w:color w:val="auto"/>
              </w:rPr>
            </w:pPr>
            <w:r>
              <w:rPr>
                <w:rFonts w:ascii="Arial" w:cs="Arial" w:eastAsia="Arial" w:hAnsi="Arial"/>
                <w:sz w:val="17"/>
                <w:szCs w:val="17"/>
                <w:color w:val="auto"/>
              </w:rPr>
              <w:t>Meridian Aggregates Investments, LLC, a North Carolina limited liability company</w:t>
            </w:r>
          </w:p>
        </w:tc>
        <w:tc>
          <w:tcPr>
            <w:tcW w:w="2800" w:type="dxa"/>
            <w:vAlign w:val="bottom"/>
          </w:tcPr>
          <w:p>
            <w:pPr>
              <w:jc w:val="right"/>
              <w:spacing w:after="0"/>
              <w:rPr>
                <w:sz w:val="20"/>
                <w:szCs w:val="20"/>
                <w:color w:val="auto"/>
              </w:rPr>
            </w:pPr>
            <w:r>
              <w:rPr>
                <w:rFonts w:ascii="Arial" w:cs="Arial" w:eastAsia="Arial" w:hAnsi="Arial"/>
                <w:sz w:val="17"/>
                <w:szCs w:val="17"/>
                <w:color w:val="auto"/>
              </w:rPr>
              <w:t>100%</w:t>
            </w:r>
            <w:r>
              <w:rPr>
                <w:rFonts w:ascii="Arial" w:cs="Arial" w:eastAsia="Arial" w:hAnsi="Arial"/>
                <w:sz w:val="14"/>
                <w:szCs w:val="14"/>
                <w:color w:val="auto"/>
              </w:rPr>
              <w:t>21</w:t>
            </w:r>
          </w:p>
        </w:tc>
      </w:tr>
      <w:tr>
        <w:trPr>
          <w:trHeight w:val="208"/>
        </w:trPr>
        <w:tc>
          <w:tcPr>
            <w:tcW w:w="8620" w:type="dxa"/>
            <w:vAlign w:val="bottom"/>
            <w:shd w:val="clear" w:color="auto" w:fill="CCEEFF"/>
          </w:tcPr>
          <w:p>
            <w:pPr>
              <w:spacing w:after="0"/>
              <w:rPr>
                <w:sz w:val="20"/>
                <w:szCs w:val="20"/>
                <w:color w:val="auto"/>
              </w:rPr>
            </w:pPr>
            <w:r>
              <w:rPr>
                <w:rFonts w:ascii="Arial" w:cs="Arial" w:eastAsia="Arial" w:hAnsi="Arial"/>
                <w:sz w:val="17"/>
                <w:szCs w:val="17"/>
                <w:color w:val="auto"/>
              </w:rPr>
              <w:t>Meridian Granite Company, a North Carolina corporation</w:t>
            </w:r>
          </w:p>
        </w:tc>
        <w:tc>
          <w:tcPr>
            <w:tcW w:w="2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r>
              <w:rPr>
                <w:rFonts w:ascii="Arial" w:cs="Arial" w:eastAsia="Arial" w:hAnsi="Arial"/>
                <w:sz w:val="14"/>
                <w:szCs w:val="14"/>
                <w:color w:val="auto"/>
              </w:rPr>
              <w:t>22</w:t>
            </w:r>
          </w:p>
        </w:tc>
      </w:tr>
      <w:tr>
        <w:trPr>
          <w:trHeight w:val="208"/>
        </w:trPr>
        <w:tc>
          <w:tcPr>
            <w:tcW w:w="8620" w:type="dxa"/>
            <w:vAlign w:val="bottom"/>
          </w:tcPr>
          <w:p>
            <w:pPr>
              <w:spacing w:after="0"/>
              <w:rPr>
                <w:sz w:val="20"/>
                <w:szCs w:val="20"/>
                <w:color w:val="auto"/>
              </w:rPr>
            </w:pPr>
            <w:r>
              <w:rPr>
                <w:rFonts w:ascii="Arial" w:cs="Arial" w:eastAsia="Arial" w:hAnsi="Arial"/>
                <w:sz w:val="17"/>
                <w:szCs w:val="17"/>
                <w:color w:val="auto"/>
              </w:rPr>
              <w:t>Mid-State Construction &amp; Materials, Inc., an Arkansas corporation</w:t>
            </w:r>
          </w:p>
        </w:tc>
        <w:tc>
          <w:tcPr>
            <w:tcW w:w="2800" w:type="dxa"/>
            <w:vAlign w:val="bottom"/>
          </w:tcPr>
          <w:p>
            <w:pPr>
              <w:jc w:val="right"/>
              <w:ind w:right="94"/>
              <w:spacing w:after="0"/>
              <w:rPr>
                <w:sz w:val="20"/>
                <w:szCs w:val="20"/>
                <w:color w:val="auto"/>
              </w:rPr>
            </w:pPr>
            <w:r>
              <w:rPr>
                <w:rFonts w:ascii="Arial" w:cs="Arial" w:eastAsia="Arial" w:hAnsi="Arial"/>
                <w:sz w:val="17"/>
                <w:szCs w:val="17"/>
                <w:color w:val="auto"/>
              </w:rPr>
              <w:t>100%</w:t>
            </w:r>
          </w:p>
        </w:tc>
      </w:tr>
      <w:tr>
        <w:trPr>
          <w:trHeight w:val="208"/>
        </w:trPr>
        <w:tc>
          <w:tcPr>
            <w:tcW w:w="8620" w:type="dxa"/>
            <w:vAlign w:val="bottom"/>
            <w:shd w:val="clear" w:color="auto" w:fill="CCEEFF"/>
          </w:tcPr>
          <w:p>
            <w:pPr>
              <w:spacing w:after="0"/>
              <w:rPr>
                <w:sz w:val="20"/>
                <w:szCs w:val="20"/>
                <w:color w:val="auto"/>
              </w:rPr>
            </w:pPr>
            <w:r>
              <w:rPr>
                <w:rFonts w:ascii="Arial" w:cs="Arial" w:eastAsia="Arial" w:hAnsi="Arial"/>
                <w:sz w:val="17"/>
                <w:szCs w:val="17"/>
                <w:color w:val="auto"/>
              </w:rPr>
              <w:t>MTD Pipeline LLC, a Delaware limited liability company</w:t>
            </w:r>
          </w:p>
        </w:tc>
        <w:tc>
          <w:tcPr>
            <w:tcW w:w="2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r>
              <w:rPr>
                <w:rFonts w:ascii="Arial" w:cs="Arial" w:eastAsia="Arial" w:hAnsi="Arial"/>
                <w:sz w:val="14"/>
                <w:szCs w:val="14"/>
                <w:color w:val="auto"/>
              </w:rPr>
              <w:t>23</w:t>
            </w:r>
          </w:p>
        </w:tc>
      </w:tr>
      <w:tr>
        <w:trPr>
          <w:trHeight w:val="208"/>
        </w:trPr>
        <w:tc>
          <w:tcPr>
            <w:tcW w:w="8620" w:type="dxa"/>
            <w:vAlign w:val="bottom"/>
          </w:tcPr>
          <w:p>
            <w:pPr>
              <w:spacing w:after="0"/>
              <w:rPr>
                <w:sz w:val="20"/>
                <w:szCs w:val="20"/>
                <w:color w:val="auto"/>
              </w:rPr>
            </w:pPr>
            <w:r>
              <w:rPr>
                <w:rFonts w:ascii="Arial" w:cs="Arial" w:eastAsia="Arial" w:hAnsi="Arial"/>
                <w:sz w:val="17"/>
                <w:szCs w:val="17"/>
                <w:color w:val="auto"/>
              </w:rPr>
              <w:t>Partin Limestone Products, Inc., a California corporation</w:t>
            </w:r>
          </w:p>
        </w:tc>
        <w:tc>
          <w:tcPr>
            <w:tcW w:w="2800" w:type="dxa"/>
            <w:vAlign w:val="bottom"/>
          </w:tcPr>
          <w:p>
            <w:pPr>
              <w:jc w:val="right"/>
              <w:spacing w:after="0"/>
              <w:rPr>
                <w:sz w:val="20"/>
                <w:szCs w:val="20"/>
                <w:color w:val="auto"/>
              </w:rPr>
            </w:pPr>
            <w:r>
              <w:rPr>
                <w:rFonts w:ascii="Arial" w:cs="Arial" w:eastAsia="Arial" w:hAnsi="Arial"/>
                <w:sz w:val="17"/>
                <w:szCs w:val="17"/>
                <w:color w:val="auto"/>
              </w:rPr>
              <w:t>100%</w:t>
            </w:r>
            <w:r>
              <w:rPr>
                <w:rFonts w:ascii="Arial" w:cs="Arial" w:eastAsia="Arial" w:hAnsi="Arial"/>
                <w:sz w:val="14"/>
                <w:szCs w:val="14"/>
                <w:color w:val="auto"/>
              </w:rPr>
              <w:t>24</w:t>
            </w:r>
          </w:p>
        </w:tc>
      </w:tr>
      <w:tr>
        <w:trPr>
          <w:trHeight w:val="208"/>
        </w:trPr>
        <w:tc>
          <w:tcPr>
            <w:tcW w:w="8620" w:type="dxa"/>
            <w:vAlign w:val="bottom"/>
            <w:shd w:val="clear" w:color="auto" w:fill="CCEEFF"/>
          </w:tcPr>
          <w:p>
            <w:pPr>
              <w:spacing w:after="0"/>
              <w:rPr>
                <w:sz w:val="20"/>
                <w:szCs w:val="20"/>
                <w:color w:val="auto"/>
              </w:rPr>
            </w:pPr>
            <w:r>
              <w:rPr>
                <w:rFonts w:ascii="Arial" w:cs="Arial" w:eastAsia="Arial" w:hAnsi="Arial"/>
                <w:sz w:val="17"/>
                <w:szCs w:val="17"/>
                <w:color w:val="auto"/>
              </w:rPr>
              <w:t>Powderly Transportation, Inc., a North Carolina corporation</w:t>
            </w:r>
          </w:p>
        </w:tc>
        <w:tc>
          <w:tcPr>
            <w:tcW w:w="2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r>
              <w:rPr>
                <w:rFonts w:ascii="Arial" w:cs="Arial" w:eastAsia="Arial" w:hAnsi="Arial"/>
                <w:sz w:val="14"/>
                <w:szCs w:val="14"/>
                <w:color w:val="auto"/>
              </w:rPr>
              <w:t>25</w:t>
            </w:r>
          </w:p>
        </w:tc>
      </w:tr>
      <w:tr>
        <w:trPr>
          <w:trHeight w:val="208"/>
        </w:trPr>
        <w:tc>
          <w:tcPr>
            <w:tcW w:w="8620" w:type="dxa"/>
            <w:vAlign w:val="bottom"/>
          </w:tcPr>
          <w:p>
            <w:pPr>
              <w:spacing w:after="0"/>
              <w:rPr>
                <w:sz w:val="20"/>
                <w:szCs w:val="20"/>
                <w:color w:val="auto"/>
              </w:rPr>
            </w:pPr>
            <w:r>
              <w:rPr>
                <w:rFonts w:ascii="Arial" w:cs="Arial" w:eastAsia="Arial" w:hAnsi="Arial"/>
                <w:sz w:val="17"/>
                <w:szCs w:val="17"/>
                <w:color w:val="auto"/>
              </w:rPr>
              <w:t>R&amp;S Sand &amp; Gravel, LLC, a North Carolina limited liability company</w:t>
            </w:r>
          </w:p>
        </w:tc>
        <w:tc>
          <w:tcPr>
            <w:tcW w:w="2800" w:type="dxa"/>
            <w:vAlign w:val="bottom"/>
          </w:tcPr>
          <w:p>
            <w:pPr>
              <w:jc w:val="right"/>
              <w:spacing w:after="0"/>
              <w:rPr>
                <w:sz w:val="20"/>
                <w:szCs w:val="20"/>
                <w:color w:val="auto"/>
              </w:rPr>
            </w:pPr>
            <w:r>
              <w:rPr>
                <w:rFonts w:ascii="Arial" w:cs="Arial" w:eastAsia="Arial" w:hAnsi="Arial"/>
                <w:sz w:val="17"/>
                <w:szCs w:val="17"/>
                <w:color w:val="auto"/>
              </w:rPr>
              <w:t>100%</w:t>
            </w:r>
            <w:r>
              <w:rPr>
                <w:rFonts w:ascii="Arial" w:cs="Arial" w:eastAsia="Arial" w:hAnsi="Arial"/>
                <w:sz w:val="14"/>
                <w:szCs w:val="14"/>
                <w:color w:val="auto"/>
              </w:rPr>
              <w:t>26</w:t>
            </w:r>
          </w:p>
        </w:tc>
      </w:tr>
      <w:tr>
        <w:trPr>
          <w:trHeight w:val="208"/>
        </w:trPr>
        <w:tc>
          <w:tcPr>
            <w:tcW w:w="8620" w:type="dxa"/>
            <w:vAlign w:val="bottom"/>
            <w:shd w:val="clear" w:color="auto" w:fill="CCEEFF"/>
          </w:tcPr>
          <w:p>
            <w:pPr>
              <w:spacing w:after="0"/>
              <w:rPr>
                <w:sz w:val="20"/>
                <w:szCs w:val="20"/>
                <w:color w:val="auto"/>
              </w:rPr>
            </w:pPr>
            <w:r>
              <w:rPr>
                <w:rFonts w:ascii="Arial" w:cs="Arial" w:eastAsia="Arial" w:hAnsi="Arial"/>
                <w:sz w:val="17"/>
                <w:szCs w:val="17"/>
                <w:color w:val="auto"/>
              </w:rPr>
              <w:t>Ratliff Mix Management, LLC, a Texas limited liability company</w:t>
            </w:r>
          </w:p>
        </w:tc>
        <w:tc>
          <w:tcPr>
            <w:tcW w:w="2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r>
              <w:rPr>
                <w:rFonts w:ascii="Arial" w:cs="Arial" w:eastAsia="Arial" w:hAnsi="Arial"/>
                <w:sz w:val="14"/>
                <w:szCs w:val="14"/>
                <w:color w:val="auto"/>
              </w:rPr>
              <w:t>27</w:t>
            </w:r>
          </w:p>
        </w:tc>
      </w:tr>
      <w:tr>
        <w:trPr>
          <w:trHeight w:val="208"/>
        </w:trPr>
        <w:tc>
          <w:tcPr>
            <w:tcW w:w="8620" w:type="dxa"/>
            <w:vAlign w:val="bottom"/>
          </w:tcPr>
          <w:p>
            <w:pPr>
              <w:spacing w:after="0"/>
              <w:rPr>
                <w:sz w:val="20"/>
                <w:szCs w:val="20"/>
                <w:color w:val="auto"/>
              </w:rPr>
            </w:pPr>
            <w:r>
              <w:rPr>
                <w:rFonts w:ascii="Arial" w:cs="Arial" w:eastAsia="Arial" w:hAnsi="Arial"/>
                <w:sz w:val="17"/>
                <w:szCs w:val="17"/>
                <w:color w:val="auto"/>
              </w:rPr>
              <w:t>Ratliff Ready-Mix, LP, a Texas limited partnership</w:t>
            </w:r>
          </w:p>
        </w:tc>
        <w:tc>
          <w:tcPr>
            <w:tcW w:w="2800" w:type="dxa"/>
            <w:vAlign w:val="bottom"/>
          </w:tcPr>
          <w:p>
            <w:pPr>
              <w:jc w:val="right"/>
              <w:spacing w:after="0"/>
              <w:rPr>
                <w:sz w:val="20"/>
                <w:szCs w:val="20"/>
                <w:color w:val="auto"/>
              </w:rPr>
            </w:pPr>
            <w:r>
              <w:rPr>
                <w:rFonts w:ascii="Arial" w:cs="Arial" w:eastAsia="Arial" w:hAnsi="Arial"/>
                <w:sz w:val="17"/>
                <w:szCs w:val="17"/>
                <w:color w:val="auto"/>
              </w:rPr>
              <w:t>100%</w:t>
            </w:r>
            <w:r>
              <w:rPr>
                <w:rFonts w:ascii="Arial" w:cs="Arial" w:eastAsia="Arial" w:hAnsi="Arial"/>
                <w:sz w:val="14"/>
                <w:szCs w:val="14"/>
                <w:color w:val="auto"/>
              </w:rPr>
              <w:t>28</w:t>
            </w:r>
          </w:p>
        </w:tc>
      </w:tr>
      <w:tr>
        <w:trPr>
          <w:trHeight w:val="208"/>
        </w:trPr>
        <w:tc>
          <w:tcPr>
            <w:tcW w:w="8620" w:type="dxa"/>
            <w:vAlign w:val="bottom"/>
            <w:shd w:val="clear" w:color="auto" w:fill="CCEEFF"/>
          </w:tcPr>
          <w:p>
            <w:pPr>
              <w:spacing w:after="0"/>
              <w:rPr>
                <w:sz w:val="20"/>
                <w:szCs w:val="20"/>
                <w:color w:val="auto"/>
              </w:rPr>
            </w:pPr>
            <w:r>
              <w:rPr>
                <w:rFonts w:ascii="Arial" w:cs="Arial" w:eastAsia="Arial" w:hAnsi="Arial"/>
                <w:sz w:val="17"/>
                <w:szCs w:val="17"/>
                <w:color w:val="auto"/>
              </w:rPr>
              <w:t>Riverside Cement Company, a California partnership</w:t>
            </w:r>
          </w:p>
        </w:tc>
        <w:tc>
          <w:tcPr>
            <w:tcW w:w="2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r>
              <w:rPr>
                <w:rFonts w:ascii="Arial" w:cs="Arial" w:eastAsia="Arial" w:hAnsi="Arial"/>
                <w:sz w:val="14"/>
                <w:szCs w:val="14"/>
                <w:color w:val="auto"/>
              </w:rPr>
              <w:t>29</w:t>
            </w:r>
          </w:p>
        </w:tc>
      </w:tr>
      <w:tr>
        <w:trPr>
          <w:trHeight w:val="220"/>
        </w:trPr>
        <w:tc>
          <w:tcPr>
            <w:tcW w:w="8620" w:type="dxa"/>
            <w:vAlign w:val="bottom"/>
          </w:tcPr>
          <w:p>
            <w:pPr>
              <w:spacing w:after="0"/>
              <w:rPr>
                <w:sz w:val="20"/>
                <w:szCs w:val="20"/>
                <w:color w:val="auto"/>
              </w:rPr>
            </w:pPr>
            <w:r>
              <w:rPr>
                <w:rFonts w:ascii="Arial" w:cs="Arial" w:eastAsia="Arial" w:hAnsi="Arial"/>
                <w:sz w:val="17"/>
                <w:szCs w:val="17"/>
                <w:color w:val="auto"/>
              </w:rPr>
              <w:t>Riverside Cement Holdings Company, a Delaware corporation</w:t>
            </w:r>
          </w:p>
        </w:tc>
        <w:tc>
          <w:tcPr>
            <w:tcW w:w="2800" w:type="dxa"/>
            <w:vAlign w:val="bottom"/>
          </w:tcPr>
          <w:p>
            <w:pPr>
              <w:jc w:val="right"/>
              <w:spacing w:after="0"/>
              <w:rPr>
                <w:sz w:val="20"/>
                <w:szCs w:val="20"/>
                <w:color w:val="auto"/>
              </w:rPr>
            </w:pPr>
            <w:r>
              <w:rPr>
                <w:rFonts w:ascii="Arial" w:cs="Arial" w:eastAsia="Arial" w:hAnsi="Arial"/>
                <w:sz w:val="17"/>
                <w:szCs w:val="17"/>
                <w:color w:val="auto"/>
              </w:rPr>
              <w:t>100%</w:t>
            </w:r>
            <w:r>
              <w:rPr>
                <w:rFonts w:ascii="Arial" w:cs="Arial" w:eastAsia="Arial" w:hAnsi="Arial"/>
                <w:sz w:val="14"/>
                <w:szCs w:val="14"/>
                <w:color w:val="auto"/>
              </w:rPr>
              <w:t>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2">
                      <a:extLst>
                        <a:ext uri="{28A0092B-C50C-407E-A947-70E740481C1C}"/>
                      </a:extLst>
                    </a:blip>
                    <a:srcRect/>
                    <a:stretch>
                      <a:fillRect/>
                    </a:stretch>
                  </pic:blipFill>
                  <pic:spPr bwMode="auto">
                    <a:xfrm>
                      <a:off x="0" y="0"/>
                      <a:ext cx="7293610" cy="3746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74295</wp:posOffset>
            </wp:positionV>
            <wp:extent cx="72517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3">
                      <a:extLst>
                        <a:ext uri="{28A0092B-C50C-407E-A947-70E740481C1C}"/>
                      </a:extLst>
                    </a:blip>
                    <a:srcRect/>
                    <a:stretch>
                      <a:fillRect/>
                    </a:stretch>
                  </pic:blipFill>
                  <pic:spPr bwMode="auto">
                    <a:xfrm>
                      <a:off x="0" y="0"/>
                      <a:ext cx="725170" cy="8255"/>
                    </a:xfrm>
                    <a:prstGeom prst="rect">
                      <a:avLst/>
                    </a:prstGeom>
                    <a:noFill/>
                  </pic:spPr>
                </pic:pic>
              </a:graphicData>
            </a:graphic>
          </wp:anchor>
        </w:drawing>
      </w:r>
    </w:p>
    <w:p>
      <w:pPr>
        <w:spacing w:after="0" w:line="137" w:lineRule="exact"/>
        <w:rPr>
          <w:sz w:val="20"/>
          <w:szCs w:val="20"/>
          <w:color w:val="auto"/>
        </w:rPr>
      </w:pPr>
    </w:p>
    <w:p>
      <w:pPr>
        <w:ind w:left="460" w:right="360" w:hanging="456"/>
        <w:spacing w:after="0" w:line="262" w:lineRule="auto"/>
        <w:tabs>
          <w:tab w:leader="none" w:pos="460" w:val="left"/>
        </w:tabs>
        <w:numPr>
          <w:ilvl w:val="0"/>
          <w:numId w:val="58"/>
        </w:numPr>
        <w:rPr>
          <w:rFonts w:ascii="Arial" w:cs="Arial" w:eastAsia="Arial" w:hAnsi="Arial"/>
          <w:sz w:val="15"/>
          <w:szCs w:val="15"/>
          <w:color w:val="auto"/>
        </w:rPr>
      </w:pPr>
      <w:r>
        <w:rPr>
          <w:rFonts w:ascii="Arial" w:cs="Arial" w:eastAsia="Arial" w:hAnsi="Arial"/>
          <w:sz w:val="17"/>
          <w:szCs w:val="17"/>
          <w:color w:val="auto"/>
        </w:rPr>
        <w:t>Meridian Aggregates Company, a Limited Partnership, is owned 98% by Meridian Aggregates Investments, LLC. The remaining 2% is owned by Martin Marietta Materials, Inc.</w:t>
      </w:r>
    </w:p>
    <w:p>
      <w:pPr>
        <w:ind w:left="460" w:hanging="456"/>
        <w:spacing w:after="0"/>
        <w:tabs>
          <w:tab w:leader="none" w:pos="460" w:val="left"/>
        </w:tabs>
        <w:numPr>
          <w:ilvl w:val="0"/>
          <w:numId w:val="58"/>
        </w:numPr>
        <w:rPr>
          <w:rFonts w:ascii="Arial" w:cs="Arial" w:eastAsia="Arial" w:hAnsi="Arial"/>
          <w:sz w:val="15"/>
          <w:szCs w:val="15"/>
          <w:color w:val="auto"/>
        </w:rPr>
      </w:pPr>
      <w:r>
        <w:rPr>
          <w:rFonts w:ascii="Arial" w:cs="Arial" w:eastAsia="Arial" w:hAnsi="Arial"/>
          <w:sz w:val="17"/>
          <w:szCs w:val="17"/>
          <w:color w:val="auto"/>
        </w:rPr>
        <w:t>Martin Marietta Materials, Inc. is the sole member of Meridian Aggregates Company Northwest, LLC.</w:t>
      </w:r>
    </w:p>
    <w:p>
      <w:pPr>
        <w:spacing w:after="0" w:line="12" w:lineRule="exact"/>
        <w:rPr>
          <w:rFonts w:ascii="Arial" w:cs="Arial" w:eastAsia="Arial" w:hAnsi="Arial"/>
          <w:sz w:val="15"/>
          <w:szCs w:val="15"/>
          <w:color w:val="auto"/>
        </w:rPr>
      </w:pPr>
    </w:p>
    <w:p>
      <w:pPr>
        <w:ind w:left="460" w:hanging="456"/>
        <w:spacing w:after="0"/>
        <w:tabs>
          <w:tab w:leader="none" w:pos="460" w:val="left"/>
        </w:tabs>
        <w:numPr>
          <w:ilvl w:val="0"/>
          <w:numId w:val="58"/>
        </w:numPr>
        <w:rPr>
          <w:rFonts w:ascii="Arial" w:cs="Arial" w:eastAsia="Arial" w:hAnsi="Arial"/>
          <w:sz w:val="15"/>
          <w:szCs w:val="15"/>
          <w:color w:val="auto"/>
        </w:rPr>
      </w:pPr>
      <w:r>
        <w:rPr>
          <w:rFonts w:ascii="Arial" w:cs="Arial" w:eastAsia="Arial" w:hAnsi="Arial"/>
          <w:sz w:val="17"/>
          <w:szCs w:val="17"/>
          <w:color w:val="auto"/>
        </w:rPr>
        <w:t>Martin Marietta Materials Southwest, LLC is the sole member of Meridian Aggregates Company Southwest, LLC.</w:t>
      </w:r>
    </w:p>
    <w:p>
      <w:pPr>
        <w:spacing w:after="0" w:line="12" w:lineRule="exact"/>
        <w:rPr>
          <w:rFonts w:ascii="Arial" w:cs="Arial" w:eastAsia="Arial" w:hAnsi="Arial"/>
          <w:sz w:val="15"/>
          <w:szCs w:val="15"/>
          <w:color w:val="auto"/>
        </w:rPr>
      </w:pPr>
    </w:p>
    <w:p>
      <w:pPr>
        <w:ind w:left="460" w:hanging="456"/>
        <w:spacing w:after="0"/>
        <w:tabs>
          <w:tab w:leader="none" w:pos="460" w:val="left"/>
        </w:tabs>
        <w:numPr>
          <w:ilvl w:val="0"/>
          <w:numId w:val="58"/>
        </w:numPr>
        <w:rPr>
          <w:rFonts w:ascii="Arial" w:cs="Arial" w:eastAsia="Arial" w:hAnsi="Arial"/>
          <w:sz w:val="14"/>
          <w:szCs w:val="14"/>
          <w:color w:val="auto"/>
        </w:rPr>
      </w:pPr>
      <w:r>
        <w:rPr>
          <w:rFonts w:ascii="Arial" w:cs="Arial" w:eastAsia="Arial" w:hAnsi="Arial"/>
          <w:sz w:val="16"/>
          <w:szCs w:val="16"/>
          <w:color w:val="auto"/>
        </w:rPr>
        <w:t>Meridian Aggregates Investments, LLC is owned 99% by Martin Marietta Materials, Inc. and 1% by Martin Marietta Materials Real Estate Investments, Inc.</w:t>
      </w:r>
    </w:p>
    <w:p>
      <w:pPr>
        <w:spacing w:after="0" w:line="23" w:lineRule="exact"/>
        <w:rPr>
          <w:rFonts w:ascii="Arial" w:cs="Arial" w:eastAsia="Arial" w:hAnsi="Arial"/>
          <w:sz w:val="14"/>
          <w:szCs w:val="14"/>
          <w:color w:val="auto"/>
        </w:rPr>
      </w:pPr>
    </w:p>
    <w:p>
      <w:pPr>
        <w:ind w:left="460" w:hanging="456"/>
        <w:spacing w:after="0"/>
        <w:tabs>
          <w:tab w:leader="none" w:pos="460" w:val="left"/>
        </w:tabs>
        <w:numPr>
          <w:ilvl w:val="0"/>
          <w:numId w:val="58"/>
        </w:numPr>
        <w:rPr>
          <w:rFonts w:ascii="Arial" w:cs="Arial" w:eastAsia="Arial" w:hAnsi="Arial"/>
          <w:sz w:val="15"/>
          <w:szCs w:val="15"/>
          <w:color w:val="auto"/>
        </w:rPr>
      </w:pPr>
      <w:r>
        <w:rPr>
          <w:rFonts w:ascii="Arial" w:cs="Arial" w:eastAsia="Arial" w:hAnsi="Arial"/>
          <w:sz w:val="17"/>
          <w:szCs w:val="17"/>
          <w:color w:val="auto"/>
        </w:rPr>
        <w:t>Meridian Granite Company is a wholly owned subsidiary of Meridian Aggregates Company, a Limited Partnership.</w:t>
      </w:r>
    </w:p>
    <w:p>
      <w:pPr>
        <w:spacing w:after="0" w:line="12" w:lineRule="exact"/>
        <w:rPr>
          <w:rFonts w:ascii="Arial" w:cs="Arial" w:eastAsia="Arial" w:hAnsi="Arial"/>
          <w:sz w:val="15"/>
          <w:szCs w:val="15"/>
          <w:color w:val="auto"/>
        </w:rPr>
      </w:pPr>
    </w:p>
    <w:p>
      <w:pPr>
        <w:ind w:left="460" w:hanging="456"/>
        <w:spacing w:after="0"/>
        <w:tabs>
          <w:tab w:leader="none" w:pos="460" w:val="left"/>
        </w:tabs>
        <w:numPr>
          <w:ilvl w:val="0"/>
          <w:numId w:val="58"/>
        </w:numPr>
        <w:rPr>
          <w:rFonts w:ascii="Arial" w:cs="Arial" w:eastAsia="Arial" w:hAnsi="Arial"/>
          <w:sz w:val="14"/>
          <w:szCs w:val="14"/>
          <w:color w:val="auto"/>
        </w:rPr>
      </w:pPr>
      <w:r>
        <w:rPr>
          <w:rFonts w:ascii="Arial" w:cs="Arial" w:eastAsia="Arial" w:hAnsi="Arial"/>
          <w:sz w:val="16"/>
          <w:szCs w:val="16"/>
          <w:color w:val="auto"/>
        </w:rPr>
        <w:t>Martin Marietta Magnesia Specialties, LLC, a wholly owned subsidiary of Martin Marietta Materials, Inc., owns a 50% interest in MTD Pipeline LLC.</w:t>
      </w:r>
    </w:p>
    <w:p>
      <w:pPr>
        <w:spacing w:after="0" w:line="23" w:lineRule="exact"/>
        <w:rPr>
          <w:rFonts w:ascii="Arial" w:cs="Arial" w:eastAsia="Arial" w:hAnsi="Arial"/>
          <w:sz w:val="14"/>
          <w:szCs w:val="14"/>
          <w:color w:val="auto"/>
        </w:rPr>
      </w:pPr>
    </w:p>
    <w:p>
      <w:pPr>
        <w:ind w:left="460" w:hanging="456"/>
        <w:spacing w:after="0"/>
        <w:tabs>
          <w:tab w:leader="none" w:pos="460" w:val="left"/>
        </w:tabs>
        <w:numPr>
          <w:ilvl w:val="0"/>
          <w:numId w:val="58"/>
        </w:numPr>
        <w:rPr>
          <w:rFonts w:ascii="Arial" w:cs="Arial" w:eastAsia="Arial" w:hAnsi="Arial"/>
          <w:sz w:val="15"/>
          <w:szCs w:val="15"/>
          <w:color w:val="auto"/>
        </w:rPr>
      </w:pPr>
      <w:r>
        <w:rPr>
          <w:rFonts w:ascii="Arial" w:cs="Arial" w:eastAsia="Arial" w:hAnsi="Arial"/>
          <w:sz w:val="17"/>
          <w:szCs w:val="17"/>
          <w:color w:val="auto"/>
        </w:rPr>
        <w:t>Partin Limestone Products, Inc. is a wholly owned subsidiary of Riverside Cement Company.</w:t>
      </w:r>
    </w:p>
    <w:p>
      <w:pPr>
        <w:spacing w:after="0" w:line="12" w:lineRule="exact"/>
        <w:rPr>
          <w:rFonts w:ascii="Arial" w:cs="Arial" w:eastAsia="Arial" w:hAnsi="Arial"/>
          <w:sz w:val="15"/>
          <w:szCs w:val="15"/>
          <w:color w:val="auto"/>
        </w:rPr>
      </w:pPr>
    </w:p>
    <w:p>
      <w:pPr>
        <w:ind w:left="460" w:hanging="456"/>
        <w:spacing w:after="0"/>
        <w:tabs>
          <w:tab w:leader="none" w:pos="460" w:val="left"/>
        </w:tabs>
        <w:numPr>
          <w:ilvl w:val="0"/>
          <w:numId w:val="58"/>
        </w:numPr>
        <w:rPr>
          <w:rFonts w:ascii="Arial" w:cs="Arial" w:eastAsia="Arial" w:hAnsi="Arial"/>
          <w:sz w:val="15"/>
          <w:szCs w:val="15"/>
          <w:color w:val="auto"/>
        </w:rPr>
      </w:pPr>
      <w:r>
        <w:rPr>
          <w:rFonts w:ascii="Arial" w:cs="Arial" w:eastAsia="Arial" w:hAnsi="Arial"/>
          <w:sz w:val="17"/>
          <w:szCs w:val="17"/>
          <w:color w:val="auto"/>
        </w:rPr>
        <w:t>Powderly Transportation, Inc. is a wholly owned subsidiary of Meridian Aggregates Company, a Limited Partnership.</w:t>
      </w:r>
    </w:p>
    <w:p>
      <w:pPr>
        <w:spacing w:after="0" w:line="12" w:lineRule="exact"/>
        <w:rPr>
          <w:rFonts w:ascii="Arial" w:cs="Arial" w:eastAsia="Arial" w:hAnsi="Arial"/>
          <w:sz w:val="15"/>
          <w:szCs w:val="15"/>
          <w:color w:val="auto"/>
        </w:rPr>
      </w:pPr>
    </w:p>
    <w:p>
      <w:pPr>
        <w:ind w:left="460" w:right="740" w:hanging="456"/>
        <w:spacing w:after="0" w:line="254" w:lineRule="auto"/>
        <w:tabs>
          <w:tab w:leader="none" w:pos="460" w:val="left"/>
        </w:tabs>
        <w:numPr>
          <w:ilvl w:val="0"/>
          <w:numId w:val="58"/>
        </w:numPr>
        <w:rPr>
          <w:rFonts w:ascii="Arial" w:cs="Arial" w:eastAsia="Arial" w:hAnsi="Arial"/>
          <w:sz w:val="15"/>
          <w:szCs w:val="15"/>
          <w:color w:val="auto"/>
        </w:rPr>
      </w:pPr>
      <w:r>
        <w:rPr>
          <w:rFonts w:ascii="Arial" w:cs="Arial" w:eastAsia="Arial" w:hAnsi="Arial"/>
          <w:sz w:val="17"/>
          <w:szCs w:val="17"/>
          <w:color w:val="auto"/>
        </w:rPr>
        <w:t>Martin Marietta Materials, Inc. is the manager of and owns a 90% interest in R&amp;S Sand &amp; Gravel, LLC. The other 10% is owned by Harding Street Corporation, a wholly owned subsidiary of Martin Marietta Materials, Inc.</w:t>
      </w:r>
    </w:p>
    <w:p>
      <w:pPr>
        <w:spacing w:after="0" w:line="1" w:lineRule="exact"/>
        <w:rPr>
          <w:rFonts w:ascii="Arial" w:cs="Arial" w:eastAsia="Arial" w:hAnsi="Arial"/>
          <w:sz w:val="15"/>
          <w:szCs w:val="15"/>
          <w:color w:val="auto"/>
        </w:rPr>
      </w:pPr>
    </w:p>
    <w:p>
      <w:pPr>
        <w:ind w:left="460" w:hanging="456"/>
        <w:spacing w:after="0"/>
        <w:tabs>
          <w:tab w:leader="none" w:pos="460" w:val="left"/>
        </w:tabs>
        <w:numPr>
          <w:ilvl w:val="0"/>
          <w:numId w:val="58"/>
        </w:numPr>
        <w:rPr>
          <w:rFonts w:ascii="Arial" w:cs="Arial" w:eastAsia="Arial" w:hAnsi="Arial"/>
          <w:sz w:val="15"/>
          <w:szCs w:val="15"/>
          <w:color w:val="auto"/>
        </w:rPr>
      </w:pPr>
      <w:r>
        <w:rPr>
          <w:rFonts w:ascii="Arial" w:cs="Arial" w:eastAsia="Arial" w:hAnsi="Arial"/>
          <w:sz w:val="17"/>
          <w:szCs w:val="17"/>
          <w:color w:val="auto"/>
        </w:rPr>
        <w:t>Ratliff Mix Management, LLC is a wholly owned subsidiary of TXI Operations, LP.</w:t>
      </w:r>
    </w:p>
    <w:p>
      <w:pPr>
        <w:spacing w:after="0" w:line="12" w:lineRule="exact"/>
        <w:rPr>
          <w:rFonts w:ascii="Arial" w:cs="Arial" w:eastAsia="Arial" w:hAnsi="Arial"/>
          <w:sz w:val="15"/>
          <w:szCs w:val="15"/>
          <w:color w:val="auto"/>
        </w:rPr>
      </w:pPr>
    </w:p>
    <w:p>
      <w:pPr>
        <w:ind w:left="460" w:hanging="456"/>
        <w:spacing w:after="0"/>
        <w:tabs>
          <w:tab w:leader="none" w:pos="460" w:val="left"/>
        </w:tabs>
        <w:numPr>
          <w:ilvl w:val="0"/>
          <w:numId w:val="58"/>
        </w:numPr>
        <w:rPr>
          <w:rFonts w:ascii="Arial" w:cs="Arial" w:eastAsia="Arial" w:hAnsi="Arial"/>
          <w:sz w:val="15"/>
          <w:szCs w:val="15"/>
          <w:color w:val="auto"/>
        </w:rPr>
      </w:pPr>
      <w:r>
        <w:rPr>
          <w:rFonts w:ascii="Arial" w:cs="Arial" w:eastAsia="Arial" w:hAnsi="Arial"/>
          <w:sz w:val="17"/>
          <w:szCs w:val="17"/>
          <w:color w:val="auto"/>
        </w:rPr>
        <w:t>Ratliff Ready-Mix, LP is owned 99% by TXI Operations, LP and 1% by Ratliff Mix Management, LLC.</w:t>
      </w:r>
    </w:p>
    <w:p>
      <w:pPr>
        <w:spacing w:after="0" w:line="12" w:lineRule="exact"/>
        <w:rPr>
          <w:rFonts w:ascii="Arial" w:cs="Arial" w:eastAsia="Arial" w:hAnsi="Arial"/>
          <w:sz w:val="15"/>
          <w:szCs w:val="15"/>
          <w:color w:val="auto"/>
        </w:rPr>
      </w:pPr>
    </w:p>
    <w:p>
      <w:pPr>
        <w:ind w:left="460" w:hanging="456"/>
        <w:spacing w:after="0"/>
        <w:tabs>
          <w:tab w:leader="none" w:pos="460" w:val="left"/>
        </w:tabs>
        <w:numPr>
          <w:ilvl w:val="0"/>
          <w:numId w:val="58"/>
        </w:numPr>
        <w:rPr>
          <w:rFonts w:ascii="Arial" w:cs="Arial" w:eastAsia="Arial" w:hAnsi="Arial"/>
          <w:sz w:val="15"/>
          <w:szCs w:val="15"/>
          <w:color w:val="auto"/>
        </w:rPr>
      </w:pPr>
      <w:r>
        <w:rPr>
          <w:rFonts w:ascii="Arial" w:cs="Arial" w:eastAsia="Arial" w:hAnsi="Arial"/>
          <w:sz w:val="17"/>
          <w:szCs w:val="17"/>
          <w:color w:val="auto"/>
        </w:rPr>
        <w:t>Riverside Cement Company is owned 49% by TXI California, Inc. and 51% by TXI Riverside Inc.</w:t>
      </w:r>
    </w:p>
    <w:p>
      <w:pPr>
        <w:spacing w:after="0" w:line="12" w:lineRule="exact"/>
        <w:rPr>
          <w:rFonts w:ascii="Arial" w:cs="Arial" w:eastAsia="Arial" w:hAnsi="Arial"/>
          <w:sz w:val="15"/>
          <w:szCs w:val="15"/>
          <w:color w:val="auto"/>
        </w:rPr>
      </w:pPr>
    </w:p>
    <w:p>
      <w:pPr>
        <w:ind w:left="460" w:hanging="456"/>
        <w:spacing w:after="0"/>
        <w:tabs>
          <w:tab w:leader="none" w:pos="460" w:val="left"/>
        </w:tabs>
        <w:numPr>
          <w:ilvl w:val="0"/>
          <w:numId w:val="58"/>
        </w:numPr>
        <w:rPr>
          <w:rFonts w:ascii="Arial" w:cs="Arial" w:eastAsia="Arial" w:hAnsi="Arial"/>
          <w:sz w:val="15"/>
          <w:szCs w:val="15"/>
          <w:color w:val="auto"/>
        </w:rPr>
      </w:pPr>
      <w:r>
        <w:rPr>
          <w:rFonts w:ascii="Arial" w:cs="Arial" w:eastAsia="Arial" w:hAnsi="Arial"/>
          <w:sz w:val="17"/>
          <w:szCs w:val="17"/>
          <w:color w:val="auto"/>
        </w:rPr>
        <w:t>Riverside Cement Holdings Company is a wholly owned subsidiary of Riverside Cement Company.</w:t>
      </w:r>
    </w:p>
    <w:p>
      <w:pPr>
        <w:sectPr>
          <w:pgSz w:w="11900" w:h="16838" w:orient="portrait"/>
          <w:cols w:equalWidth="0" w:num="1">
            <w:col w:w="11420"/>
          </w:cols>
          <w:pgMar w:left="240" w:top="281" w:right="239" w:bottom="1440" w:gutter="0" w:footer="0" w:header="0"/>
        </w:sectPr>
      </w:pPr>
    </w:p>
    <w:bookmarkStart w:id="144" w:name="page145"/>
    <w:bookmarkEnd w:id="144"/>
    <w:tbl>
      <w:tblPr>
        <w:tblLayout w:type="fixed"/>
        <w:tblInd w:w="0" w:type="dxa"/>
        <w:tblCellMar>
          <w:top w:w="0" w:type="dxa"/>
          <w:left w:w="0" w:type="dxa"/>
          <w:bottom w:w="0" w:type="dxa"/>
          <w:right w:w="0" w:type="dxa"/>
        </w:tblCellMar>
      </w:tblPr>
      <w:tr>
        <w:trPr>
          <w:trHeight w:val="208"/>
        </w:trPr>
        <w:tc>
          <w:tcPr>
            <w:tcW w:w="7840" w:type="dxa"/>
            <w:vAlign w:val="bottom"/>
            <w:shd w:val="clear" w:color="auto" w:fill="CCEEFF"/>
          </w:tcPr>
          <w:p>
            <w:pPr>
              <w:spacing w:after="0"/>
              <w:rPr>
                <w:sz w:val="20"/>
                <w:szCs w:val="20"/>
                <w:color w:val="auto"/>
              </w:rPr>
            </w:pPr>
            <w:r>
              <w:rPr>
                <w:rFonts w:ascii="Arial" w:cs="Arial" w:eastAsia="Arial" w:hAnsi="Arial"/>
                <w:sz w:val="17"/>
                <w:szCs w:val="17"/>
                <w:color w:val="auto"/>
              </w:rPr>
              <w:t>Rock &amp; Rail LLC, a Colorado limited liability company</w:t>
            </w:r>
          </w:p>
        </w:tc>
        <w:tc>
          <w:tcPr>
            <w:tcW w:w="35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100%</w:t>
            </w:r>
          </w:p>
        </w:tc>
      </w:tr>
      <w:tr>
        <w:trPr>
          <w:trHeight w:val="208"/>
        </w:trPr>
        <w:tc>
          <w:tcPr>
            <w:tcW w:w="7840" w:type="dxa"/>
            <w:vAlign w:val="bottom"/>
          </w:tcPr>
          <w:p>
            <w:pPr>
              <w:spacing w:after="0"/>
              <w:rPr>
                <w:sz w:val="20"/>
                <w:szCs w:val="20"/>
                <w:color w:val="auto"/>
              </w:rPr>
            </w:pPr>
            <w:r>
              <w:rPr>
                <w:rFonts w:ascii="Arial" w:cs="Arial" w:eastAsia="Arial" w:hAnsi="Arial"/>
                <w:sz w:val="17"/>
                <w:szCs w:val="17"/>
                <w:color w:val="auto"/>
              </w:rPr>
              <w:t>Rocky Mountain Materials and Asphalt, Inc., a Colorado corporation</w:t>
            </w:r>
          </w:p>
        </w:tc>
        <w:tc>
          <w:tcPr>
            <w:tcW w:w="3580" w:type="dxa"/>
            <w:vAlign w:val="bottom"/>
          </w:tcPr>
          <w:p>
            <w:pPr>
              <w:jc w:val="right"/>
              <w:ind w:right="94"/>
              <w:spacing w:after="0"/>
              <w:rPr>
                <w:sz w:val="20"/>
                <w:szCs w:val="20"/>
                <w:color w:val="auto"/>
              </w:rPr>
            </w:pPr>
            <w:r>
              <w:rPr>
                <w:rFonts w:ascii="Arial" w:cs="Arial" w:eastAsia="Arial" w:hAnsi="Arial"/>
                <w:sz w:val="17"/>
                <w:szCs w:val="17"/>
                <w:color w:val="auto"/>
              </w:rPr>
              <w:t>100%</w:t>
            </w:r>
          </w:p>
        </w:tc>
      </w:tr>
      <w:tr>
        <w:trPr>
          <w:trHeight w:val="208"/>
        </w:trPr>
        <w:tc>
          <w:tcPr>
            <w:tcW w:w="7840" w:type="dxa"/>
            <w:vAlign w:val="bottom"/>
            <w:shd w:val="clear" w:color="auto" w:fill="CCEEFF"/>
          </w:tcPr>
          <w:p>
            <w:pPr>
              <w:spacing w:after="0"/>
              <w:rPr>
                <w:sz w:val="20"/>
                <w:szCs w:val="20"/>
                <w:color w:val="auto"/>
              </w:rPr>
            </w:pPr>
            <w:r>
              <w:rPr>
                <w:rFonts w:ascii="Arial" w:cs="Arial" w:eastAsia="Arial" w:hAnsi="Arial"/>
                <w:sz w:val="17"/>
                <w:szCs w:val="17"/>
                <w:color w:val="auto"/>
              </w:rPr>
              <w:t>Rocky Mountain Premix, Inc., a Colorado corporation</w:t>
            </w:r>
          </w:p>
        </w:tc>
        <w:tc>
          <w:tcPr>
            <w:tcW w:w="35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100%</w:t>
            </w:r>
          </w:p>
        </w:tc>
      </w:tr>
      <w:tr>
        <w:trPr>
          <w:trHeight w:val="208"/>
        </w:trPr>
        <w:tc>
          <w:tcPr>
            <w:tcW w:w="7840" w:type="dxa"/>
            <w:vAlign w:val="bottom"/>
          </w:tcPr>
          <w:p>
            <w:pPr>
              <w:spacing w:after="0"/>
              <w:rPr>
                <w:sz w:val="20"/>
                <w:szCs w:val="20"/>
                <w:color w:val="auto"/>
              </w:rPr>
            </w:pPr>
            <w:r>
              <w:rPr>
                <w:rFonts w:ascii="Arial" w:cs="Arial" w:eastAsia="Arial" w:hAnsi="Arial"/>
                <w:sz w:val="17"/>
                <w:szCs w:val="17"/>
                <w:color w:val="auto"/>
              </w:rPr>
              <w:t>Rocky Mountain Ready Mix Concrete, Inc., a Colorado corporation</w:t>
            </w:r>
          </w:p>
        </w:tc>
        <w:tc>
          <w:tcPr>
            <w:tcW w:w="3580" w:type="dxa"/>
            <w:vAlign w:val="bottom"/>
          </w:tcPr>
          <w:p>
            <w:pPr>
              <w:jc w:val="right"/>
              <w:spacing w:after="0"/>
              <w:rPr>
                <w:sz w:val="20"/>
                <w:szCs w:val="20"/>
                <w:color w:val="auto"/>
              </w:rPr>
            </w:pPr>
            <w:r>
              <w:rPr>
                <w:rFonts w:ascii="Arial" w:cs="Arial" w:eastAsia="Arial" w:hAnsi="Arial"/>
                <w:sz w:val="17"/>
                <w:szCs w:val="17"/>
                <w:color w:val="auto"/>
              </w:rPr>
              <w:t>100%</w:t>
            </w:r>
            <w:r>
              <w:rPr>
                <w:rFonts w:ascii="Arial" w:cs="Arial" w:eastAsia="Arial" w:hAnsi="Arial"/>
                <w:sz w:val="14"/>
                <w:szCs w:val="14"/>
                <w:color w:val="auto"/>
              </w:rPr>
              <w:t>31</w:t>
            </w:r>
          </w:p>
        </w:tc>
      </w:tr>
      <w:tr>
        <w:trPr>
          <w:trHeight w:val="208"/>
        </w:trPr>
        <w:tc>
          <w:tcPr>
            <w:tcW w:w="7840" w:type="dxa"/>
            <w:vAlign w:val="bottom"/>
            <w:shd w:val="clear" w:color="auto" w:fill="CCEEFF"/>
          </w:tcPr>
          <w:p>
            <w:pPr>
              <w:spacing w:after="0"/>
              <w:rPr>
                <w:sz w:val="20"/>
                <w:szCs w:val="20"/>
                <w:color w:val="auto"/>
              </w:rPr>
            </w:pPr>
            <w:r>
              <w:rPr>
                <w:rFonts w:ascii="Arial" w:cs="Arial" w:eastAsia="Arial" w:hAnsi="Arial"/>
                <w:sz w:val="17"/>
                <w:szCs w:val="17"/>
                <w:color w:val="auto"/>
              </w:rPr>
              <w:t>Royal Gorge Express, LLC, a Colorado Limited Liability Company</w:t>
            </w:r>
          </w:p>
        </w:tc>
        <w:tc>
          <w:tcPr>
            <w:tcW w:w="3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r>
              <w:rPr>
                <w:rFonts w:ascii="Arial" w:cs="Arial" w:eastAsia="Arial" w:hAnsi="Arial"/>
                <w:sz w:val="14"/>
                <w:szCs w:val="14"/>
                <w:color w:val="auto"/>
              </w:rPr>
              <w:t>32</w:t>
            </w:r>
          </w:p>
        </w:tc>
      </w:tr>
      <w:tr>
        <w:trPr>
          <w:trHeight w:val="208"/>
        </w:trPr>
        <w:tc>
          <w:tcPr>
            <w:tcW w:w="7840" w:type="dxa"/>
            <w:vAlign w:val="bottom"/>
          </w:tcPr>
          <w:p>
            <w:pPr>
              <w:spacing w:after="0"/>
              <w:rPr>
                <w:sz w:val="20"/>
                <w:szCs w:val="20"/>
                <w:color w:val="auto"/>
              </w:rPr>
            </w:pPr>
            <w:r>
              <w:rPr>
                <w:rFonts w:ascii="Arial" w:cs="Arial" w:eastAsia="Arial" w:hAnsi="Arial"/>
                <w:sz w:val="17"/>
                <w:szCs w:val="17"/>
                <w:color w:val="auto"/>
              </w:rPr>
              <w:t>Southwestern Financial Corporation, a Texas Corporation</w:t>
            </w:r>
          </w:p>
        </w:tc>
        <w:tc>
          <w:tcPr>
            <w:tcW w:w="3580" w:type="dxa"/>
            <w:vAlign w:val="bottom"/>
          </w:tcPr>
          <w:p>
            <w:pPr>
              <w:jc w:val="right"/>
              <w:spacing w:after="0"/>
              <w:rPr>
                <w:sz w:val="20"/>
                <w:szCs w:val="20"/>
                <w:color w:val="auto"/>
              </w:rPr>
            </w:pPr>
            <w:r>
              <w:rPr>
                <w:rFonts w:ascii="Arial" w:cs="Arial" w:eastAsia="Arial" w:hAnsi="Arial"/>
                <w:sz w:val="17"/>
                <w:szCs w:val="17"/>
                <w:color w:val="auto"/>
              </w:rPr>
              <w:t>100%</w:t>
            </w:r>
            <w:r>
              <w:rPr>
                <w:rFonts w:ascii="Arial" w:cs="Arial" w:eastAsia="Arial" w:hAnsi="Arial"/>
                <w:sz w:val="14"/>
                <w:szCs w:val="14"/>
                <w:color w:val="auto"/>
              </w:rPr>
              <w:t>33</w:t>
            </w:r>
          </w:p>
        </w:tc>
      </w:tr>
      <w:tr>
        <w:trPr>
          <w:trHeight w:val="208"/>
        </w:trPr>
        <w:tc>
          <w:tcPr>
            <w:tcW w:w="7840" w:type="dxa"/>
            <w:vAlign w:val="bottom"/>
            <w:shd w:val="clear" w:color="auto" w:fill="CCEEFF"/>
          </w:tcPr>
          <w:p>
            <w:pPr>
              <w:spacing w:after="0"/>
              <w:rPr>
                <w:sz w:val="20"/>
                <w:szCs w:val="20"/>
                <w:color w:val="auto"/>
              </w:rPr>
            </w:pPr>
            <w:r>
              <w:rPr>
                <w:rFonts w:ascii="Arial" w:cs="Arial" w:eastAsia="Arial" w:hAnsi="Arial"/>
                <w:sz w:val="17"/>
                <w:szCs w:val="17"/>
                <w:color w:val="auto"/>
              </w:rPr>
              <w:t>Suburban Acquisition Company, a Colorado corporation</w:t>
            </w:r>
          </w:p>
        </w:tc>
        <w:tc>
          <w:tcPr>
            <w:tcW w:w="35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100%</w:t>
            </w:r>
          </w:p>
        </w:tc>
      </w:tr>
      <w:tr>
        <w:trPr>
          <w:trHeight w:val="208"/>
        </w:trPr>
        <w:tc>
          <w:tcPr>
            <w:tcW w:w="7840" w:type="dxa"/>
            <w:vAlign w:val="bottom"/>
          </w:tcPr>
          <w:p>
            <w:pPr>
              <w:spacing w:after="0"/>
              <w:rPr>
                <w:sz w:val="20"/>
                <w:szCs w:val="20"/>
                <w:color w:val="auto"/>
              </w:rPr>
            </w:pPr>
            <w:r>
              <w:rPr>
                <w:rFonts w:ascii="Arial" w:cs="Arial" w:eastAsia="Arial" w:hAnsi="Arial"/>
                <w:sz w:val="17"/>
                <w:szCs w:val="17"/>
                <w:color w:val="auto"/>
              </w:rPr>
              <w:t>Texas Industries Holdings, LLC, a Delaware limited liability company</w:t>
            </w:r>
          </w:p>
        </w:tc>
        <w:tc>
          <w:tcPr>
            <w:tcW w:w="3580" w:type="dxa"/>
            <w:vAlign w:val="bottom"/>
          </w:tcPr>
          <w:p>
            <w:pPr>
              <w:jc w:val="right"/>
              <w:spacing w:after="0"/>
              <w:rPr>
                <w:sz w:val="20"/>
                <w:szCs w:val="20"/>
                <w:color w:val="auto"/>
              </w:rPr>
            </w:pPr>
            <w:r>
              <w:rPr>
                <w:rFonts w:ascii="Arial" w:cs="Arial" w:eastAsia="Arial" w:hAnsi="Arial"/>
                <w:sz w:val="17"/>
                <w:szCs w:val="17"/>
                <w:color w:val="auto"/>
              </w:rPr>
              <w:t>100%</w:t>
            </w:r>
            <w:r>
              <w:rPr>
                <w:rFonts w:ascii="Arial" w:cs="Arial" w:eastAsia="Arial" w:hAnsi="Arial"/>
                <w:sz w:val="14"/>
                <w:szCs w:val="14"/>
                <w:color w:val="auto"/>
              </w:rPr>
              <w:t>34</w:t>
            </w:r>
          </w:p>
        </w:tc>
      </w:tr>
      <w:tr>
        <w:trPr>
          <w:trHeight w:val="208"/>
        </w:trPr>
        <w:tc>
          <w:tcPr>
            <w:tcW w:w="7840" w:type="dxa"/>
            <w:vAlign w:val="bottom"/>
            <w:shd w:val="clear" w:color="auto" w:fill="CCEEFF"/>
          </w:tcPr>
          <w:p>
            <w:pPr>
              <w:spacing w:after="0"/>
              <w:rPr>
                <w:sz w:val="20"/>
                <w:szCs w:val="20"/>
                <w:color w:val="auto"/>
              </w:rPr>
            </w:pPr>
            <w:r>
              <w:rPr>
                <w:rFonts w:ascii="Arial" w:cs="Arial" w:eastAsia="Arial" w:hAnsi="Arial"/>
                <w:sz w:val="17"/>
                <w:szCs w:val="17"/>
                <w:color w:val="auto"/>
              </w:rPr>
              <w:t>Texas Industries, Inc., a Delaware corporation</w:t>
            </w:r>
          </w:p>
        </w:tc>
        <w:tc>
          <w:tcPr>
            <w:tcW w:w="35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100%</w:t>
            </w:r>
          </w:p>
        </w:tc>
      </w:tr>
      <w:tr>
        <w:trPr>
          <w:trHeight w:val="208"/>
        </w:trPr>
        <w:tc>
          <w:tcPr>
            <w:tcW w:w="7840" w:type="dxa"/>
            <w:vAlign w:val="bottom"/>
          </w:tcPr>
          <w:p>
            <w:pPr>
              <w:spacing w:after="0"/>
              <w:rPr>
                <w:sz w:val="20"/>
                <w:szCs w:val="20"/>
                <w:color w:val="auto"/>
              </w:rPr>
            </w:pPr>
            <w:r>
              <w:rPr>
                <w:rFonts w:ascii="Arial" w:cs="Arial" w:eastAsia="Arial" w:hAnsi="Arial"/>
                <w:sz w:val="17"/>
                <w:szCs w:val="17"/>
                <w:color w:val="auto"/>
              </w:rPr>
              <w:t>Texas Industries Trust, a Delaware trust</w:t>
            </w:r>
          </w:p>
        </w:tc>
        <w:tc>
          <w:tcPr>
            <w:tcW w:w="3580" w:type="dxa"/>
            <w:vAlign w:val="bottom"/>
          </w:tcPr>
          <w:p>
            <w:pPr>
              <w:jc w:val="right"/>
              <w:spacing w:after="0"/>
              <w:rPr>
                <w:sz w:val="20"/>
                <w:szCs w:val="20"/>
                <w:color w:val="auto"/>
              </w:rPr>
            </w:pPr>
            <w:r>
              <w:rPr>
                <w:rFonts w:ascii="Arial" w:cs="Arial" w:eastAsia="Arial" w:hAnsi="Arial"/>
                <w:sz w:val="17"/>
                <w:szCs w:val="17"/>
                <w:color w:val="auto"/>
              </w:rPr>
              <w:t>100%</w:t>
            </w:r>
            <w:r>
              <w:rPr>
                <w:rFonts w:ascii="Arial" w:cs="Arial" w:eastAsia="Arial" w:hAnsi="Arial"/>
                <w:sz w:val="14"/>
                <w:szCs w:val="14"/>
                <w:color w:val="auto"/>
              </w:rPr>
              <w:t>35</w:t>
            </w:r>
          </w:p>
        </w:tc>
      </w:tr>
      <w:tr>
        <w:trPr>
          <w:trHeight w:val="208"/>
        </w:trPr>
        <w:tc>
          <w:tcPr>
            <w:tcW w:w="7840" w:type="dxa"/>
            <w:vAlign w:val="bottom"/>
            <w:shd w:val="clear" w:color="auto" w:fill="CCEEFF"/>
          </w:tcPr>
          <w:p>
            <w:pPr>
              <w:spacing w:after="0"/>
              <w:rPr>
                <w:sz w:val="20"/>
                <w:szCs w:val="20"/>
                <w:color w:val="auto"/>
              </w:rPr>
            </w:pPr>
            <w:r>
              <w:rPr>
                <w:rFonts w:ascii="Arial" w:cs="Arial" w:eastAsia="Arial" w:hAnsi="Arial"/>
                <w:sz w:val="17"/>
                <w:szCs w:val="17"/>
                <w:color w:val="auto"/>
              </w:rPr>
              <w:t>Theodore Holding, LLC, a Delaware limited liability company</w:t>
            </w:r>
          </w:p>
        </w:tc>
        <w:tc>
          <w:tcPr>
            <w:tcW w:w="3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60.7%</w:t>
            </w:r>
            <w:r>
              <w:rPr>
                <w:rFonts w:ascii="Arial" w:cs="Arial" w:eastAsia="Arial" w:hAnsi="Arial"/>
                <w:sz w:val="14"/>
                <w:szCs w:val="14"/>
                <w:color w:val="auto"/>
              </w:rPr>
              <w:t>36</w:t>
            </w:r>
          </w:p>
        </w:tc>
      </w:tr>
      <w:tr>
        <w:trPr>
          <w:trHeight w:val="208"/>
        </w:trPr>
        <w:tc>
          <w:tcPr>
            <w:tcW w:w="7840" w:type="dxa"/>
            <w:vAlign w:val="bottom"/>
          </w:tcPr>
          <w:p>
            <w:pPr>
              <w:spacing w:after="0"/>
              <w:rPr>
                <w:sz w:val="20"/>
                <w:szCs w:val="20"/>
                <w:color w:val="auto"/>
              </w:rPr>
            </w:pPr>
            <w:r>
              <w:rPr>
                <w:rFonts w:ascii="Arial" w:cs="Arial" w:eastAsia="Arial" w:hAnsi="Arial"/>
                <w:sz w:val="17"/>
                <w:szCs w:val="17"/>
                <w:color w:val="auto"/>
              </w:rPr>
              <w:t>TXI Aviation, Inc. dba TXI Retail, a Texas corporation</w:t>
            </w:r>
          </w:p>
        </w:tc>
        <w:tc>
          <w:tcPr>
            <w:tcW w:w="3580" w:type="dxa"/>
            <w:vAlign w:val="bottom"/>
          </w:tcPr>
          <w:p>
            <w:pPr>
              <w:jc w:val="right"/>
              <w:spacing w:after="0"/>
              <w:rPr>
                <w:sz w:val="20"/>
                <w:szCs w:val="20"/>
                <w:color w:val="auto"/>
              </w:rPr>
            </w:pPr>
            <w:r>
              <w:rPr>
                <w:rFonts w:ascii="Arial" w:cs="Arial" w:eastAsia="Arial" w:hAnsi="Arial"/>
                <w:sz w:val="17"/>
                <w:szCs w:val="17"/>
                <w:color w:val="auto"/>
              </w:rPr>
              <w:t>100%</w:t>
            </w:r>
            <w:r>
              <w:rPr>
                <w:rFonts w:ascii="Arial" w:cs="Arial" w:eastAsia="Arial" w:hAnsi="Arial"/>
                <w:sz w:val="14"/>
                <w:szCs w:val="14"/>
                <w:color w:val="auto"/>
              </w:rPr>
              <w:t>37</w:t>
            </w:r>
          </w:p>
        </w:tc>
      </w:tr>
      <w:tr>
        <w:trPr>
          <w:trHeight w:val="208"/>
        </w:trPr>
        <w:tc>
          <w:tcPr>
            <w:tcW w:w="7840" w:type="dxa"/>
            <w:vAlign w:val="bottom"/>
            <w:shd w:val="clear" w:color="auto" w:fill="CCEEFF"/>
          </w:tcPr>
          <w:p>
            <w:pPr>
              <w:spacing w:after="0"/>
              <w:rPr>
                <w:sz w:val="20"/>
                <w:szCs w:val="20"/>
                <w:color w:val="auto"/>
              </w:rPr>
            </w:pPr>
            <w:r>
              <w:rPr>
                <w:rFonts w:ascii="Arial" w:cs="Arial" w:eastAsia="Arial" w:hAnsi="Arial"/>
                <w:sz w:val="17"/>
                <w:szCs w:val="17"/>
                <w:color w:val="auto"/>
              </w:rPr>
              <w:t>TXI California Inc., a Delaware corporation</w:t>
            </w:r>
          </w:p>
        </w:tc>
        <w:tc>
          <w:tcPr>
            <w:tcW w:w="3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r>
              <w:rPr>
                <w:rFonts w:ascii="Arial" w:cs="Arial" w:eastAsia="Arial" w:hAnsi="Arial"/>
                <w:sz w:val="14"/>
                <w:szCs w:val="14"/>
                <w:color w:val="auto"/>
              </w:rPr>
              <w:t>38</w:t>
            </w:r>
          </w:p>
        </w:tc>
      </w:tr>
      <w:tr>
        <w:trPr>
          <w:trHeight w:val="208"/>
        </w:trPr>
        <w:tc>
          <w:tcPr>
            <w:tcW w:w="7840" w:type="dxa"/>
            <w:vAlign w:val="bottom"/>
          </w:tcPr>
          <w:p>
            <w:pPr>
              <w:spacing w:after="0"/>
              <w:rPr>
                <w:sz w:val="20"/>
                <w:szCs w:val="20"/>
                <w:color w:val="auto"/>
              </w:rPr>
            </w:pPr>
            <w:r>
              <w:rPr>
                <w:rFonts w:ascii="Arial" w:cs="Arial" w:eastAsia="Arial" w:hAnsi="Arial"/>
                <w:sz w:val="17"/>
                <w:szCs w:val="17"/>
                <w:color w:val="auto"/>
              </w:rPr>
              <w:t>TXI Cement Company, a Delaware corporation</w:t>
            </w:r>
          </w:p>
        </w:tc>
        <w:tc>
          <w:tcPr>
            <w:tcW w:w="3580" w:type="dxa"/>
            <w:vAlign w:val="bottom"/>
          </w:tcPr>
          <w:p>
            <w:pPr>
              <w:jc w:val="right"/>
              <w:spacing w:after="0"/>
              <w:rPr>
                <w:sz w:val="20"/>
                <w:szCs w:val="20"/>
                <w:color w:val="auto"/>
              </w:rPr>
            </w:pPr>
            <w:r>
              <w:rPr>
                <w:rFonts w:ascii="Arial" w:cs="Arial" w:eastAsia="Arial" w:hAnsi="Arial"/>
                <w:sz w:val="17"/>
                <w:szCs w:val="17"/>
                <w:color w:val="auto"/>
              </w:rPr>
              <w:t>100%</w:t>
            </w:r>
            <w:r>
              <w:rPr>
                <w:rFonts w:ascii="Arial" w:cs="Arial" w:eastAsia="Arial" w:hAnsi="Arial"/>
                <w:sz w:val="14"/>
                <w:szCs w:val="14"/>
                <w:color w:val="auto"/>
              </w:rPr>
              <w:t>39</w:t>
            </w:r>
          </w:p>
        </w:tc>
      </w:tr>
      <w:tr>
        <w:trPr>
          <w:trHeight w:val="208"/>
        </w:trPr>
        <w:tc>
          <w:tcPr>
            <w:tcW w:w="7840" w:type="dxa"/>
            <w:vAlign w:val="bottom"/>
            <w:shd w:val="clear" w:color="auto" w:fill="CCEEFF"/>
          </w:tcPr>
          <w:p>
            <w:pPr>
              <w:spacing w:after="0"/>
              <w:rPr>
                <w:sz w:val="20"/>
                <w:szCs w:val="20"/>
                <w:color w:val="auto"/>
              </w:rPr>
            </w:pPr>
            <w:r>
              <w:rPr>
                <w:rFonts w:ascii="Arial" w:cs="Arial" w:eastAsia="Arial" w:hAnsi="Arial"/>
                <w:sz w:val="17"/>
                <w:szCs w:val="17"/>
                <w:color w:val="auto"/>
              </w:rPr>
              <w:t>TXI LLC, a Delaware limited liability company</w:t>
            </w:r>
          </w:p>
        </w:tc>
        <w:tc>
          <w:tcPr>
            <w:tcW w:w="3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r>
              <w:rPr>
                <w:rFonts w:ascii="Arial" w:cs="Arial" w:eastAsia="Arial" w:hAnsi="Arial"/>
                <w:sz w:val="14"/>
                <w:szCs w:val="14"/>
                <w:color w:val="auto"/>
              </w:rPr>
              <w:t>40</w:t>
            </w:r>
          </w:p>
        </w:tc>
      </w:tr>
      <w:tr>
        <w:trPr>
          <w:trHeight w:val="208"/>
        </w:trPr>
        <w:tc>
          <w:tcPr>
            <w:tcW w:w="7840" w:type="dxa"/>
            <w:vAlign w:val="bottom"/>
          </w:tcPr>
          <w:p>
            <w:pPr>
              <w:spacing w:after="0"/>
              <w:rPr>
                <w:sz w:val="20"/>
                <w:szCs w:val="20"/>
                <w:color w:val="auto"/>
              </w:rPr>
            </w:pPr>
            <w:r>
              <w:rPr>
                <w:rFonts w:ascii="Arial" w:cs="Arial" w:eastAsia="Arial" w:hAnsi="Arial"/>
                <w:sz w:val="17"/>
                <w:szCs w:val="17"/>
                <w:color w:val="auto"/>
              </w:rPr>
              <w:t>TXI Operating Trust, a Delaware trust</w:t>
            </w:r>
          </w:p>
        </w:tc>
        <w:tc>
          <w:tcPr>
            <w:tcW w:w="3580" w:type="dxa"/>
            <w:vAlign w:val="bottom"/>
          </w:tcPr>
          <w:p>
            <w:pPr>
              <w:jc w:val="right"/>
              <w:spacing w:after="0"/>
              <w:rPr>
                <w:sz w:val="20"/>
                <w:szCs w:val="20"/>
                <w:color w:val="auto"/>
              </w:rPr>
            </w:pPr>
            <w:r>
              <w:rPr>
                <w:rFonts w:ascii="Arial" w:cs="Arial" w:eastAsia="Arial" w:hAnsi="Arial"/>
                <w:sz w:val="17"/>
                <w:szCs w:val="17"/>
                <w:color w:val="auto"/>
              </w:rPr>
              <w:t>100%</w:t>
            </w:r>
            <w:r>
              <w:rPr>
                <w:rFonts w:ascii="Arial" w:cs="Arial" w:eastAsia="Arial" w:hAnsi="Arial"/>
                <w:sz w:val="14"/>
                <w:szCs w:val="14"/>
                <w:color w:val="auto"/>
              </w:rPr>
              <w:t>41</w:t>
            </w:r>
          </w:p>
        </w:tc>
      </w:tr>
      <w:tr>
        <w:trPr>
          <w:trHeight w:val="208"/>
        </w:trPr>
        <w:tc>
          <w:tcPr>
            <w:tcW w:w="7840" w:type="dxa"/>
            <w:vAlign w:val="bottom"/>
            <w:shd w:val="clear" w:color="auto" w:fill="CCEEFF"/>
          </w:tcPr>
          <w:p>
            <w:pPr>
              <w:spacing w:after="0"/>
              <w:rPr>
                <w:sz w:val="20"/>
                <w:szCs w:val="20"/>
                <w:color w:val="auto"/>
              </w:rPr>
            </w:pPr>
            <w:r>
              <w:rPr>
                <w:rFonts w:ascii="Arial" w:cs="Arial" w:eastAsia="Arial" w:hAnsi="Arial"/>
                <w:sz w:val="17"/>
                <w:szCs w:val="17"/>
                <w:color w:val="auto"/>
              </w:rPr>
              <w:t>TXI Operations, LP, a Delaware limited partnership</w:t>
            </w:r>
          </w:p>
        </w:tc>
        <w:tc>
          <w:tcPr>
            <w:tcW w:w="3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r>
              <w:rPr>
                <w:rFonts w:ascii="Arial" w:cs="Arial" w:eastAsia="Arial" w:hAnsi="Arial"/>
                <w:sz w:val="14"/>
                <w:szCs w:val="14"/>
                <w:color w:val="auto"/>
              </w:rPr>
              <w:t>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4">
                      <a:extLst>
                        <a:ext uri="{28A0092B-C50C-407E-A947-70E740481C1C}"/>
                      </a:extLst>
                    </a:blip>
                    <a:srcRect/>
                    <a:stretch>
                      <a:fillRect/>
                    </a:stretch>
                  </pic:blipFill>
                  <pic:spPr bwMode="auto">
                    <a:xfrm>
                      <a:off x="0" y="0"/>
                      <a:ext cx="7293610" cy="3746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82550</wp:posOffset>
            </wp:positionV>
            <wp:extent cx="72517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5">
                      <a:extLst>
                        <a:ext uri="{28A0092B-C50C-407E-A947-70E740481C1C}"/>
                      </a:extLst>
                    </a:blip>
                    <a:srcRect/>
                    <a:stretch>
                      <a:fillRect/>
                    </a:stretch>
                  </pic:blipFill>
                  <pic:spPr bwMode="auto">
                    <a:xfrm>
                      <a:off x="0" y="0"/>
                      <a:ext cx="725170" cy="8255"/>
                    </a:xfrm>
                    <a:prstGeom prst="rect">
                      <a:avLst/>
                    </a:prstGeom>
                    <a:noFill/>
                  </pic:spPr>
                </pic:pic>
              </a:graphicData>
            </a:graphic>
          </wp:anchor>
        </w:drawing>
      </w:r>
    </w:p>
    <w:p>
      <w:pPr>
        <w:spacing w:after="0" w:line="149" w:lineRule="exact"/>
        <w:rPr>
          <w:sz w:val="20"/>
          <w:szCs w:val="20"/>
          <w:color w:val="auto"/>
        </w:rPr>
      </w:pPr>
    </w:p>
    <w:p>
      <w:pPr>
        <w:ind w:left="460" w:hanging="456"/>
        <w:spacing w:after="0"/>
        <w:tabs>
          <w:tab w:leader="none" w:pos="460" w:val="left"/>
        </w:tabs>
        <w:numPr>
          <w:ilvl w:val="0"/>
          <w:numId w:val="59"/>
        </w:numPr>
        <w:rPr>
          <w:rFonts w:ascii="Arial" w:cs="Arial" w:eastAsia="Arial" w:hAnsi="Arial"/>
          <w:sz w:val="15"/>
          <w:szCs w:val="15"/>
          <w:color w:val="auto"/>
        </w:rPr>
      </w:pPr>
      <w:r>
        <w:rPr>
          <w:rFonts w:ascii="Arial" w:cs="Arial" w:eastAsia="Arial" w:hAnsi="Arial"/>
          <w:sz w:val="17"/>
          <w:szCs w:val="17"/>
          <w:color w:val="auto"/>
        </w:rPr>
        <w:t>Rocky Mountain Ready Mix Concrete, Inc. is a wholly owned subsidiary of Campbell’s C-Ment Contracting, Inc.</w:t>
      </w:r>
    </w:p>
    <w:p>
      <w:pPr>
        <w:spacing w:after="0" w:line="24" w:lineRule="exact"/>
        <w:rPr>
          <w:rFonts w:ascii="Arial" w:cs="Arial" w:eastAsia="Arial" w:hAnsi="Arial"/>
          <w:sz w:val="15"/>
          <w:szCs w:val="15"/>
          <w:color w:val="auto"/>
        </w:rPr>
      </w:pPr>
    </w:p>
    <w:p>
      <w:pPr>
        <w:ind w:left="460" w:hanging="456"/>
        <w:spacing w:after="0"/>
        <w:tabs>
          <w:tab w:leader="none" w:pos="460" w:val="left"/>
        </w:tabs>
        <w:numPr>
          <w:ilvl w:val="0"/>
          <w:numId w:val="59"/>
        </w:numPr>
        <w:rPr>
          <w:rFonts w:ascii="Arial" w:cs="Arial" w:eastAsia="Arial" w:hAnsi="Arial"/>
          <w:sz w:val="15"/>
          <w:szCs w:val="15"/>
          <w:color w:val="auto"/>
        </w:rPr>
      </w:pPr>
      <w:r>
        <w:rPr>
          <w:rFonts w:ascii="Arial" w:cs="Arial" w:eastAsia="Arial" w:hAnsi="Arial"/>
          <w:sz w:val="17"/>
          <w:szCs w:val="17"/>
          <w:color w:val="auto"/>
        </w:rPr>
        <w:t>Rock &amp; Rail LLC, a wholly owned subsidiary of Martin Marietta Materials, Inc., owns a 50% interest in Royal Gorge Express, LLC</w:t>
      </w:r>
    </w:p>
    <w:p>
      <w:pPr>
        <w:spacing w:after="0" w:line="12" w:lineRule="exact"/>
        <w:rPr>
          <w:rFonts w:ascii="Arial" w:cs="Arial" w:eastAsia="Arial" w:hAnsi="Arial"/>
          <w:sz w:val="15"/>
          <w:szCs w:val="15"/>
          <w:color w:val="auto"/>
        </w:rPr>
      </w:pPr>
    </w:p>
    <w:p>
      <w:pPr>
        <w:ind w:left="460" w:hanging="456"/>
        <w:spacing w:after="0"/>
        <w:tabs>
          <w:tab w:leader="none" w:pos="460" w:val="left"/>
        </w:tabs>
        <w:numPr>
          <w:ilvl w:val="0"/>
          <w:numId w:val="59"/>
        </w:numPr>
        <w:rPr>
          <w:rFonts w:ascii="Arial" w:cs="Arial" w:eastAsia="Arial" w:hAnsi="Arial"/>
          <w:sz w:val="15"/>
          <w:szCs w:val="15"/>
          <w:color w:val="auto"/>
        </w:rPr>
      </w:pPr>
      <w:r>
        <w:rPr>
          <w:rFonts w:ascii="Arial" w:cs="Arial" w:eastAsia="Arial" w:hAnsi="Arial"/>
          <w:sz w:val="17"/>
          <w:szCs w:val="17"/>
          <w:color w:val="auto"/>
        </w:rPr>
        <w:t>Southwestern Financial Corporation is a wholly owned subsidiary of TXI Operations, LP.</w:t>
      </w:r>
    </w:p>
    <w:p>
      <w:pPr>
        <w:spacing w:after="0" w:line="12" w:lineRule="exact"/>
        <w:rPr>
          <w:rFonts w:ascii="Arial" w:cs="Arial" w:eastAsia="Arial" w:hAnsi="Arial"/>
          <w:sz w:val="15"/>
          <w:szCs w:val="15"/>
          <w:color w:val="auto"/>
        </w:rPr>
      </w:pPr>
    </w:p>
    <w:p>
      <w:pPr>
        <w:ind w:left="460" w:hanging="456"/>
        <w:spacing w:after="0"/>
        <w:tabs>
          <w:tab w:leader="none" w:pos="460" w:val="left"/>
        </w:tabs>
        <w:numPr>
          <w:ilvl w:val="0"/>
          <w:numId w:val="59"/>
        </w:numPr>
        <w:rPr>
          <w:rFonts w:ascii="Arial" w:cs="Arial" w:eastAsia="Arial" w:hAnsi="Arial"/>
          <w:sz w:val="15"/>
          <w:szCs w:val="15"/>
          <w:color w:val="auto"/>
        </w:rPr>
      </w:pPr>
      <w:r>
        <w:rPr>
          <w:rFonts w:ascii="Arial" w:cs="Arial" w:eastAsia="Arial" w:hAnsi="Arial"/>
          <w:sz w:val="17"/>
          <w:szCs w:val="17"/>
          <w:color w:val="auto"/>
        </w:rPr>
        <w:t>Texas Industries Holdings, LLC is a wholly owned subsidiary of Texas Industries, Inc.</w:t>
      </w:r>
    </w:p>
    <w:p>
      <w:pPr>
        <w:spacing w:after="0" w:line="12" w:lineRule="exact"/>
        <w:rPr>
          <w:rFonts w:ascii="Arial" w:cs="Arial" w:eastAsia="Arial" w:hAnsi="Arial"/>
          <w:sz w:val="15"/>
          <w:szCs w:val="15"/>
          <w:color w:val="auto"/>
        </w:rPr>
      </w:pPr>
    </w:p>
    <w:p>
      <w:pPr>
        <w:ind w:left="460" w:hanging="456"/>
        <w:spacing w:after="0"/>
        <w:tabs>
          <w:tab w:leader="none" w:pos="460" w:val="left"/>
        </w:tabs>
        <w:numPr>
          <w:ilvl w:val="0"/>
          <w:numId w:val="59"/>
        </w:numPr>
        <w:rPr>
          <w:rFonts w:ascii="Arial" w:cs="Arial" w:eastAsia="Arial" w:hAnsi="Arial"/>
          <w:sz w:val="15"/>
          <w:szCs w:val="15"/>
          <w:color w:val="auto"/>
        </w:rPr>
      </w:pPr>
      <w:r>
        <w:rPr>
          <w:rFonts w:ascii="Arial" w:cs="Arial" w:eastAsia="Arial" w:hAnsi="Arial"/>
          <w:sz w:val="17"/>
          <w:szCs w:val="17"/>
          <w:color w:val="auto"/>
        </w:rPr>
        <w:t>Texas Industries Trust is owned 100% by Texas Industries Holdings, LLC.</w:t>
      </w:r>
    </w:p>
    <w:p>
      <w:pPr>
        <w:spacing w:after="0" w:line="12" w:lineRule="exact"/>
        <w:rPr>
          <w:rFonts w:ascii="Arial" w:cs="Arial" w:eastAsia="Arial" w:hAnsi="Arial"/>
          <w:sz w:val="15"/>
          <w:szCs w:val="15"/>
          <w:color w:val="auto"/>
        </w:rPr>
      </w:pPr>
    </w:p>
    <w:p>
      <w:pPr>
        <w:ind w:left="460" w:hanging="456"/>
        <w:spacing w:after="0"/>
        <w:tabs>
          <w:tab w:leader="none" w:pos="460" w:val="left"/>
        </w:tabs>
        <w:numPr>
          <w:ilvl w:val="0"/>
          <w:numId w:val="59"/>
        </w:numPr>
        <w:rPr>
          <w:rFonts w:ascii="Arial" w:cs="Arial" w:eastAsia="Arial" w:hAnsi="Arial"/>
          <w:sz w:val="15"/>
          <w:szCs w:val="15"/>
          <w:color w:val="auto"/>
        </w:rPr>
      </w:pPr>
      <w:r>
        <w:rPr>
          <w:rFonts w:ascii="Arial" w:cs="Arial" w:eastAsia="Arial" w:hAnsi="Arial"/>
          <w:sz w:val="17"/>
          <w:szCs w:val="17"/>
          <w:color w:val="auto"/>
        </w:rPr>
        <w:t>Martin Marietta Materials, Inc. is the manager of and owns a 60.7% interest in Theodore Holdings, LLC.</w:t>
      </w:r>
    </w:p>
    <w:p>
      <w:pPr>
        <w:spacing w:after="0" w:line="12" w:lineRule="exact"/>
        <w:rPr>
          <w:rFonts w:ascii="Arial" w:cs="Arial" w:eastAsia="Arial" w:hAnsi="Arial"/>
          <w:sz w:val="15"/>
          <w:szCs w:val="15"/>
          <w:color w:val="auto"/>
        </w:rPr>
      </w:pPr>
    </w:p>
    <w:p>
      <w:pPr>
        <w:ind w:left="460" w:hanging="456"/>
        <w:spacing w:after="0"/>
        <w:tabs>
          <w:tab w:leader="none" w:pos="460" w:val="left"/>
        </w:tabs>
        <w:numPr>
          <w:ilvl w:val="0"/>
          <w:numId w:val="59"/>
        </w:numPr>
        <w:rPr>
          <w:rFonts w:ascii="Arial" w:cs="Arial" w:eastAsia="Arial" w:hAnsi="Arial"/>
          <w:sz w:val="15"/>
          <w:szCs w:val="15"/>
          <w:color w:val="auto"/>
        </w:rPr>
      </w:pPr>
      <w:r>
        <w:rPr>
          <w:rFonts w:ascii="Arial" w:cs="Arial" w:eastAsia="Arial" w:hAnsi="Arial"/>
          <w:sz w:val="17"/>
          <w:szCs w:val="17"/>
          <w:color w:val="auto"/>
        </w:rPr>
        <w:t>TXI Aviation, Inc. is a wholly owned subsidiary of Texas Industries, Inc.</w:t>
      </w:r>
    </w:p>
    <w:p>
      <w:pPr>
        <w:spacing w:after="0" w:line="12" w:lineRule="exact"/>
        <w:rPr>
          <w:rFonts w:ascii="Arial" w:cs="Arial" w:eastAsia="Arial" w:hAnsi="Arial"/>
          <w:sz w:val="15"/>
          <w:szCs w:val="15"/>
          <w:color w:val="auto"/>
        </w:rPr>
      </w:pPr>
    </w:p>
    <w:p>
      <w:pPr>
        <w:ind w:left="460" w:hanging="456"/>
        <w:spacing w:after="0"/>
        <w:tabs>
          <w:tab w:leader="none" w:pos="460" w:val="left"/>
        </w:tabs>
        <w:numPr>
          <w:ilvl w:val="0"/>
          <w:numId w:val="59"/>
        </w:numPr>
        <w:rPr>
          <w:rFonts w:ascii="Arial" w:cs="Arial" w:eastAsia="Arial" w:hAnsi="Arial"/>
          <w:sz w:val="15"/>
          <w:szCs w:val="15"/>
          <w:color w:val="auto"/>
        </w:rPr>
      </w:pPr>
      <w:r>
        <w:rPr>
          <w:rFonts w:ascii="Arial" w:cs="Arial" w:eastAsia="Arial" w:hAnsi="Arial"/>
          <w:sz w:val="17"/>
          <w:szCs w:val="17"/>
          <w:color w:val="auto"/>
        </w:rPr>
        <w:t>TXI California Inc. is a wholly owned subsidiary of Texas Industries, Inc.</w:t>
      </w:r>
    </w:p>
    <w:p>
      <w:pPr>
        <w:spacing w:after="0" w:line="12" w:lineRule="exact"/>
        <w:rPr>
          <w:rFonts w:ascii="Arial" w:cs="Arial" w:eastAsia="Arial" w:hAnsi="Arial"/>
          <w:sz w:val="15"/>
          <w:szCs w:val="15"/>
          <w:color w:val="auto"/>
        </w:rPr>
      </w:pPr>
    </w:p>
    <w:p>
      <w:pPr>
        <w:ind w:left="460" w:hanging="456"/>
        <w:spacing w:after="0"/>
        <w:tabs>
          <w:tab w:leader="none" w:pos="460" w:val="left"/>
        </w:tabs>
        <w:numPr>
          <w:ilvl w:val="0"/>
          <w:numId w:val="59"/>
        </w:numPr>
        <w:rPr>
          <w:rFonts w:ascii="Arial" w:cs="Arial" w:eastAsia="Arial" w:hAnsi="Arial"/>
          <w:sz w:val="15"/>
          <w:szCs w:val="15"/>
          <w:color w:val="auto"/>
        </w:rPr>
      </w:pPr>
      <w:r>
        <w:rPr>
          <w:rFonts w:ascii="Arial" w:cs="Arial" w:eastAsia="Arial" w:hAnsi="Arial"/>
          <w:sz w:val="17"/>
          <w:szCs w:val="17"/>
          <w:color w:val="auto"/>
        </w:rPr>
        <w:t>TXI Cement Company is a wholly owned subsidiary of Texas Industries, Inc.</w:t>
      </w:r>
    </w:p>
    <w:p>
      <w:pPr>
        <w:spacing w:after="0" w:line="12" w:lineRule="exact"/>
        <w:rPr>
          <w:rFonts w:ascii="Arial" w:cs="Arial" w:eastAsia="Arial" w:hAnsi="Arial"/>
          <w:sz w:val="15"/>
          <w:szCs w:val="15"/>
          <w:color w:val="auto"/>
        </w:rPr>
      </w:pPr>
    </w:p>
    <w:p>
      <w:pPr>
        <w:ind w:left="460" w:hanging="456"/>
        <w:spacing w:after="0"/>
        <w:tabs>
          <w:tab w:leader="none" w:pos="460" w:val="left"/>
        </w:tabs>
        <w:numPr>
          <w:ilvl w:val="0"/>
          <w:numId w:val="59"/>
        </w:numPr>
        <w:rPr>
          <w:rFonts w:ascii="Arial" w:cs="Arial" w:eastAsia="Arial" w:hAnsi="Arial"/>
          <w:sz w:val="15"/>
          <w:szCs w:val="15"/>
          <w:color w:val="auto"/>
        </w:rPr>
      </w:pPr>
      <w:r>
        <w:rPr>
          <w:rFonts w:ascii="Arial" w:cs="Arial" w:eastAsia="Arial" w:hAnsi="Arial"/>
          <w:sz w:val="17"/>
          <w:szCs w:val="17"/>
          <w:color w:val="auto"/>
        </w:rPr>
        <w:t>TXI, LLC is a wholly owned subsidiary of Texas Industries, Inc.</w:t>
      </w:r>
    </w:p>
    <w:p>
      <w:pPr>
        <w:spacing w:after="0" w:line="12" w:lineRule="exact"/>
        <w:rPr>
          <w:rFonts w:ascii="Arial" w:cs="Arial" w:eastAsia="Arial" w:hAnsi="Arial"/>
          <w:sz w:val="15"/>
          <w:szCs w:val="15"/>
          <w:color w:val="auto"/>
        </w:rPr>
      </w:pPr>
    </w:p>
    <w:p>
      <w:pPr>
        <w:ind w:left="460" w:hanging="456"/>
        <w:spacing w:after="0"/>
        <w:tabs>
          <w:tab w:leader="none" w:pos="460" w:val="left"/>
        </w:tabs>
        <w:numPr>
          <w:ilvl w:val="0"/>
          <w:numId w:val="59"/>
        </w:numPr>
        <w:rPr>
          <w:rFonts w:ascii="Arial" w:cs="Arial" w:eastAsia="Arial" w:hAnsi="Arial"/>
          <w:sz w:val="15"/>
          <w:szCs w:val="15"/>
          <w:color w:val="auto"/>
        </w:rPr>
      </w:pPr>
      <w:r>
        <w:rPr>
          <w:rFonts w:ascii="Arial" w:cs="Arial" w:eastAsia="Arial" w:hAnsi="Arial"/>
          <w:sz w:val="17"/>
          <w:szCs w:val="17"/>
          <w:color w:val="auto"/>
        </w:rPr>
        <w:t>TXI Operating Trust is owned 100% by TXI LLC.</w:t>
      </w:r>
    </w:p>
    <w:p>
      <w:pPr>
        <w:spacing w:after="0" w:line="12" w:lineRule="exact"/>
        <w:rPr>
          <w:rFonts w:ascii="Arial" w:cs="Arial" w:eastAsia="Arial" w:hAnsi="Arial"/>
          <w:sz w:val="15"/>
          <w:szCs w:val="15"/>
          <w:color w:val="auto"/>
        </w:rPr>
      </w:pPr>
    </w:p>
    <w:p>
      <w:pPr>
        <w:ind w:left="460" w:hanging="456"/>
        <w:spacing w:after="0"/>
        <w:tabs>
          <w:tab w:leader="none" w:pos="460" w:val="left"/>
        </w:tabs>
        <w:numPr>
          <w:ilvl w:val="0"/>
          <w:numId w:val="59"/>
        </w:numPr>
        <w:rPr>
          <w:rFonts w:ascii="Arial" w:cs="Arial" w:eastAsia="Arial" w:hAnsi="Arial"/>
          <w:sz w:val="15"/>
          <w:szCs w:val="15"/>
          <w:color w:val="auto"/>
        </w:rPr>
      </w:pPr>
      <w:r>
        <w:rPr>
          <w:rFonts w:ascii="Arial" w:cs="Arial" w:eastAsia="Arial" w:hAnsi="Arial"/>
          <w:sz w:val="17"/>
          <w:szCs w:val="17"/>
          <w:color w:val="auto"/>
        </w:rPr>
        <w:t>TXI Operations, LP is owned 99% by Texas Industries Trust and owned 1% by TXI Operating Trust.</w:t>
      </w:r>
    </w:p>
    <w:p>
      <w:pPr>
        <w:sectPr>
          <w:pgSz w:w="11900" w:h="16838" w:orient="portrait"/>
          <w:cols w:equalWidth="0" w:num="1">
            <w:col w:w="11420"/>
          </w:cols>
          <w:pgMar w:left="240" w:top="282" w:right="239" w:bottom="1440" w:gutter="0" w:footer="0" w:header="0"/>
        </w:sectPr>
      </w:pPr>
    </w:p>
    <w:bookmarkStart w:id="145" w:name="page146"/>
    <w:bookmarkEnd w:id="145"/>
    <w:tbl>
      <w:tblPr>
        <w:tblLayout w:type="fixed"/>
        <w:tblInd w:w="0" w:type="dxa"/>
        <w:tblCellMar>
          <w:top w:w="0" w:type="dxa"/>
          <w:left w:w="0" w:type="dxa"/>
          <w:bottom w:w="0" w:type="dxa"/>
          <w:right w:w="0" w:type="dxa"/>
        </w:tblCellMar>
      </w:tblPr>
      <w:tr>
        <w:trPr>
          <w:trHeight w:val="209"/>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TXI Power Company, a Texas corporation</w:t>
            </w:r>
          </w:p>
        </w:tc>
        <w:tc>
          <w:tcPr>
            <w:tcW w:w="4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r>
              <w:rPr>
                <w:rFonts w:ascii="Arial" w:cs="Arial" w:eastAsia="Arial" w:hAnsi="Arial"/>
                <w:sz w:val="14"/>
                <w:szCs w:val="14"/>
                <w:color w:val="auto"/>
              </w:rPr>
              <w:t>43</w:t>
            </w:r>
          </w:p>
        </w:tc>
      </w:tr>
      <w:tr>
        <w:trPr>
          <w:trHeight w:val="208"/>
        </w:trPr>
        <w:tc>
          <w:tcPr>
            <w:tcW w:w="7320" w:type="dxa"/>
            <w:vAlign w:val="bottom"/>
          </w:tcPr>
          <w:p>
            <w:pPr>
              <w:spacing w:after="0"/>
              <w:rPr>
                <w:sz w:val="20"/>
                <w:szCs w:val="20"/>
                <w:color w:val="auto"/>
              </w:rPr>
            </w:pPr>
            <w:r>
              <w:rPr>
                <w:rFonts w:ascii="Arial" w:cs="Arial" w:eastAsia="Arial" w:hAnsi="Arial"/>
                <w:sz w:val="17"/>
                <w:szCs w:val="17"/>
                <w:color w:val="auto"/>
              </w:rPr>
              <w:t>TXI Riverside Inc., a Delaware corporation</w:t>
            </w:r>
          </w:p>
        </w:tc>
        <w:tc>
          <w:tcPr>
            <w:tcW w:w="4100" w:type="dxa"/>
            <w:vAlign w:val="bottom"/>
          </w:tcPr>
          <w:p>
            <w:pPr>
              <w:jc w:val="right"/>
              <w:spacing w:after="0"/>
              <w:rPr>
                <w:sz w:val="20"/>
                <w:szCs w:val="20"/>
                <w:color w:val="auto"/>
              </w:rPr>
            </w:pPr>
            <w:r>
              <w:rPr>
                <w:rFonts w:ascii="Arial" w:cs="Arial" w:eastAsia="Arial" w:hAnsi="Arial"/>
                <w:sz w:val="17"/>
                <w:szCs w:val="17"/>
                <w:color w:val="auto"/>
              </w:rPr>
              <w:t>100%</w:t>
            </w:r>
            <w:r>
              <w:rPr>
                <w:rFonts w:ascii="Arial" w:cs="Arial" w:eastAsia="Arial" w:hAnsi="Arial"/>
                <w:sz w:val="14"/>
                <w:szCs w:val="14"/>
                <w:color w:val="auto"/>
              </w:rPr>
              <w:t>44</w:t>
            </w:r>
          </w:p>
        </w:tc>
      </w:tr>
      <w:tr>
        <w:trPr>
          <w:trHeight w:val="208"/>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TXI Transportation Company, a Texas corporation</w:t>
            </w:r>
          </w:p>
        </w:tc>
        <w:tc>
          <w:tcPr>
            <w:tcW w:w="4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r>
              <w:rPr>
                <w:rFonts w:ascii="Arial" w:cs="Arial" w:eastAsia="Arial" w:hAnsi="Arial"/>
                <w:sz w:val="14"/>
                <w:szCs w:val="14"/>
                <w:color w:val="auto"/>
              </w:rPr>
              <w:t>45</w:t>
            </w:r>
          </w:p>
        </w:tc>
      </w:tr>
      <w:tr>
        <w:trPr>
          <w:trHeight w:val="220"/>
        </w:trPr>
        <w:tc>
          <w:tcPr>
            <w:tcW w:w="7320" w:type="dxa"/>
            <w:vAlign w:val="bottom"/>
          </w:tcPr>
          <w:p>
            <w:pPr>
              <w:spacing w:after="0"/>
              <w:rPr>
                <w:sz w:val="20"/>
                <w:szCs w:val="20"/>
                <w:color w:val="auto"/>
              </w:rPr>
            </w:pPr>
            <w:r>
              <w:rPr>
                <w:rFonts w:ascii="Arial" w:cs="Arial" w:eastAsia="Arial" w:hAnsi="Arial"/>
                <w:sz w:val="17"/>
                <w:szCs w:val="17"/>
                <w:color w:val="auto"/>
              </w:rPr>
              <w:t>Valley Stone LLC, a Virginia limited liability company</w:t>
            </w:r>
          </w:p>
        </w:tc>
        <w:tc>
          <w:tcPr>
            <w:tcW w:w="4100" w:type="dxa"/>
            <w:vAlign w:val="bottom"/>
          </w:tcPr>
          <w:p>
            <w:pPr>
              <w:jc w:val="right"/>
              <w:spacing w:after="0"/>
              <w:rPr>
                <w:sz w:val="20"/>
                <w:szCs w:val="20"/>
                <w:color w:val="auto"/>
              </w:rPr>
            </w:pPr>
            <w:r>
              <w:rPr>
                <w:rFonts w:ascii="Arial" w:cs="Arial" w:eastAsia="Arial" w:hAnsi="Arial"/>
                <w:sz w:val="17"/>
                <w:szCs w:val="17"/>
                <w:color w:val="auto"/>
              </w:rPr>
              <w:t>50%</w:t>
            </w:r>
            <w:r>
              <w:rPr>
                <w:rFonts w:ascii="Arial" w:cs="Arial" w:eastAsia="Arial" w:hAnsi="Arial"/>
                <w:sz w:val="14"/>
                <w:szCs w:val="14"/>
                <w:color w:val="auto"/>
              </w:rPr>
              <w:t>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6">
                      <a:extLst>
                        <a:ext uri="{28A0092B-C50C-407E-A947-70E740481C1C}"/>
                      </a:extLst>
                    </a:blip>
                    <a:srcRect/>
                    <a:stretch>
                      <a:fillRect/>
                    </a:stretch>
                  </pic:blipFill>
                  <pic:spPr bwMode="auto">
                    <a:xfrm>
                      <a:off x="0" y="0"/>
                      <a:ext cx="7293610" cy="3746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74295</wp:posOffset>
            </wp:positionV>
            <wp:extent cx="72517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7">
                      <a:extLst>
                        <a:ext uri="{28A0092B-C50C-407E-A947-70E740481C1C}"/>
                      </a:extLst>
                    </a:blip>
                    <a:srcRect/>
                    <a:stretch>
                      <a:fillRect/>
                    </a:stretch>
                  </pic:blipFill>
                  <pic:spPr bwMode="auto">
                    <a:xfrm>
                      <a:off x="0" y="0"/>
                      <a:ext cx="725170" cy="8255"/>
                    </a:xfrm>
                    <a:prstGeom prst="rect">
                      <a:avLst/>
                    </a:prstGeom>
                    <a:noFill/>
                  </pic:spPr>
                </pic:pic>
              </a:graphicData>
            </a:graphic>
          </wp:anchor>
        </w:drawing>
      </w:r>
    </w:p>
    <w:p>
      <w:pPr>
        <w:spacing w:after="0" w:line="137" w:lineRule="exact"/>
        <w:rPr>
          <w:sz w:val="20"/>
          <w:szCs w:val="20"/>
          <w:color w:val="auto"/>
        </w:rPr>
      </w:pPr>
    </w:p>
    <w:p>
      <w:pPr>
        <w:ind w:left="460" w:hanging="456"/>
        <w:spacing w:after="0"/>
        <w:tabs>
          <w:tab w:leader="none" w:pos="460" w:val="left"/>
        </w:tabs>
        <w:numPr>
          <w:ilvl w:val="0"/>
          <w:numId w:val="60"/>
        </w:numPr>
        <w:rPr>
          <w:rFonts w:ascii="Arial" w:cs="Arial" w:eastAsia="Arial" w:hAnsi="Arial"/>
          <w:sz w:val="15"/>
          <w:szCs w:val="15"/>
          <w:color w:val="auto"/>
        </w:rPr>
      </w:pPr>
      <w:r>
        <w:rPr>
          <w:rFonts w:ascii="Arial" w:cs="Arial" w:eastAsia="Arial" w:hAnsi="Arial"/>
          <w:sz w:val="17"/>
          <w:szCs w:val="17"/>
          <w:color w:val="auto"/>
        </w:rPr>
        <w:t>TXI Power Company is a wholly owned subsidiary of Texas Industries, Inc.</w:t>
      </w:r>
    </w:p>
    <w:p>
      <w:pPr>
        <w:spacing w:after="0" w:line="24" w:lineRule="exact"/>
        <w:rPr>
          <w:rFonts w:ascii="Arial" w:cs="Arial" w:eastAsia="Arial" w:hAnsi="Arial"/>
          <w:sz w:val="15"/>
          <w:szCs w:val="15"/>
          <w:color w:val="auto"/>
        </w:rPr>
      </w:pPr>
    </w:p>
    <w:p>
      <w:pPr>
        <w:ind w:left="460" w:hanging="456"/>
        <w:spacing w:after="0"/>
        <w:tabs>
          <w:tab w:leader="none" w:pos="460" w:val="left"/>
        </w:tabs>
        <w:numPr>
          <w:ilvl w:val="0"/>
          <w:numId w:val="60"/>
        </w:numPr>
        <w:rPr>
          <w:rFonts w:ascii="Arial" w:cs="Arial" w:eastAsia="Arial" w:hAnsi="Arial"/>
          <w:sz w:val="15"/>
          <w:szCs w:val="15"/>
          <w:color w:val="auto"/>
        </w:rPr>
      </w:pPr>
      <w:r>
        <w:rPr>
          <w:rFonts w:ascii="Arial" w:cs="Arial" w:eastAsia="Arial" w:hAnsi="Arial"/>
          <w:sz w:val="17"/>
          <w:szCs w:val="17"/>
          <w:color w:val="auto"/>
        </w:rPr>
        <w:t>TXI Riverside Inc. is a wholly owned subsidiary of Texas Industries, Inc.</w:t>
      </w:r>
    </w:p>
    <w:p>
      <w:pPr>
        <w:spacing w:after="0" w:line="12" w:lineRule="exact"/>
        <w:rPr>
          <w:rFonts w:ascii="Arial" w:cs="Arial" w:eastAsia="Arial" w:hAnsi="Arial"/>
          <w:sz w:val="15"/>
          <w:szCs w:val="15"/>
          <w:color w:val="auto"/>
        </w:rPr>
      </w:pPr>
    </w:p>
    <w:p>
      <w:pPr>
        <w:ind w:left="460" w:hanging="456"/>
        <w:spacing w:after="0"/>
        <w:tabs>
          <w:tab w:leader="none" w:pos="460" w:val="left"/>
        </w:tabs>
        <w:numPr>
          <w:ilvl w:val="0"/>
          <w:numId w:val="60"/>
        </w:numPr>
        <w:rPr>
          <w:rFonts w:ascii="Arial" w:cs="Arial" w:eastAsia="Arial" w:hAnsi="Arial"/>
          <w:sz w:val="15"/>
          <w:szCs w:val="15"/>
          <w:color w:val="auto"/>
        </w:rPr>
      </w:pPr>
      <w:r>
        <w:rPr>
          <w:rFonts w:ascii="Arial" w:cs="Arial" w:eastAsia="Arial" w:hAnsi="Arial"/>
          <w:sz w:val="17"/>
          <w:szCs w:val="17"/>
          <w:color w:val="auto"/>
        </w:rPr>
        <w:t>TXI Transportation Company is a wholly owned subsidiary of Texas Industries, Inc.</w:t>
      </w:r>
    </w:p>
    <w:p>
      <w:pPr>
        <w:spacing w:after="0" w:line="12" w:lineRule="exact"/>
        <w:rPr>
          <w:rFonts w:ascii="Arial" w:cs="Arial" w:eastAsia="Arial" w:hAnsi="Arial"/>
          <w:sz w:val="15"/>
          <w:szCs w:val="15"/>
          <w:color w:val="auto"/>
        </w:rPr>
      </w:pPr>
    </w:p>
    <w:p>
      <w:pPr>
        <w:ind w:left="460" w:hanging="456"/>
        <w:spacing w:after="0"/>
        <w:tabs>
          <w:tab w:leader="none" w:pos="460" w:val="left"/>
        </w:tabs>
        <w:numPr>
          <w:ilvl w:val="0"/>
          <w:numId w:val="60"/>
        </w:numPr>
        <w:rPr>
          <w:rFonts w:ascii="Arial" w:cs="Arial" w:eastAsia="Arial" w:hAnsi="Arial"/>
          <w:sz w:val="15"/>
          <w:szCs w:val="15"/>
          <w:color w:val="auto"/>
        </w:rPr>
      </w:pPr>
      <w:r>
        <w:rPr>
          <w:rFonts w:ascii="Arial" w:cs="Arial" w:eastAsia="Arial" w:hAnsi="Arial"/>
          <w:sz w:val="17"/>
          <w:szCs w:val="17"/>
          <w:color w:val="auto"/>
        </w:rPr>
        <w:t>Martin Marietta Materials, Inc. is the manager of and owns a 50% interest in Valley Stone LLC.</w:t>
      </w:r>
    </w:p>
    <w:p>
      <w:pPr>
        <w:sectPr>
          <w:pgSz w:w="11900" w:h="16838" w:orient="portrait"/>
          <w:cols w:equalWidth="0" w:num="1">
            <w:col w:w="11420"/>
          </w:cols>
          <w:pgMar w:left="240" w:top="281" w:right="2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7"/>
          <w:szCs w:val="17"/>
          <w:b w:val="1"/>
          <w:bCs w:val="1"/>
          <w:color w:val="auto"/>
        </w:rPr>
        <w:t>EXHIBIT 23.01</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26"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We hereby consent to the incorporation by reference in the Registration Statements on Form S-8 (No. 333-115918, 333-85608, 333-15429, 333-211735, and 333-197201) and Form S-3 (No. 333-217991) of Martin Marietta Materials, Inc. of our report dated February 23, 2018 relating to the financial statements and the effectiveness of internal control over financial reporting, which appears in the Annual Report to Shareholders, which is incorporated in this Annual Report on Form 10-K. We also consent to the incorporation by reference of our report dated February 23, 2018 relating to the financial statement schedule, which appears in this Form 10K.</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Raleigh, North Carolina</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February 23, 2018</w:t>
      </w:r>
    </w:p>
    <w:p>
      <w:pPr>
        <w:sectPr>
          <w:pgSz w:w="11900" w:h="16838" w:orient="portrait"/>
          <w:cols w:equalWidth="0" w:num="1">
            <w:col w:w="11420"/>
          </w:cols>
          <w:pgMar w:left="240" w:top="121" w:right="2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7"/>
          <w:szCs w:val="17"/>
          <w:b w:val="1"/>
          <w:bCs w:val="1"/>
          <w:color w:val="auto"/>
        </w:rPr>
        <w:t>EXHIBIT 23.02</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 and Report on Schedule</w:t>
      </w:r>
    </w:p>
    <w:p>
      <w:pPr>
        <w:spacing w:after="0" w:line="226" w:lineRule="exact"/>
        <w:rPr>
          <w:sz w:val="20"/>
          <w:szCs w:val="20"/>
          <w:color w:val="auto"/>
        </w:rPr>
      </w:pPr>
    </w:p>
    <w:p>
      <w:pPr>
        <w:ind w:left="5440"/>
        <w:spacing w:after="0"/>
        <w:rPr>
          <w:sz w:val="20"/>
          <w:szCs w:val="20"/>
          <w:color w:val="auto"/>
        </w:rPr>
      </w:pPr>
      <w:r>
        <w:rPr>
          <w:rFonts w:ascii="Arial" w:cs="Arial" w:eastAsia="Arial" w:hAnsi="Arial"/>
          <w:sz w:val="17"/>
          <w:szCs w:val="17"/>
          <w:color w:val="auto"/>
        </w:rPr>
        <w:t>Consent</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We consent to the incorporation by reference in the following Registration Statements:</w:t>
      </w:r>
    </w:p>
    <w:p>
      <w:pPr>
        <w:spacing w:after="0" w:line="129" w:lineRule="exact"/>
        <w:rPr>
          <w:sz w:val="20"/>
          <w:szCs w:val="20"/>
          <w:color w:val="auto"/>
        </w:rPr>
      </w:pPr>
    </w:p>
    <w:p>
      <w:pPr>
        <w:jc w:val="both"/>
        <w:ind w:left="920" w:right="100" w:hanging="462"/>
        <w:spacing w:after="0" w:line="270" w:lineRule="auto"/>
        <w:tabs>
          <w:tab w:leader="none" w:pos="920" w:val="left"/>
        </w:tabs>
        <w:numPr>
          <w:ilvl w:val="0"/>
          <w:numId w:val="61"/>
        </w:numPr>
        <w:rPr>
          <w:rFonts w:ascii="Arial" w:cs="Arial" w:eastAsia="Arial" w:hAnsi="Arial"/>
          <w:sz w:val="17"/>
          <w:szCs w:val="17"/>
          <w:color w:val="auto"/>
        </w:rPr>
      </w:pPr>
      <w:r>
        <w:rPr>
          <w:rFonts w:ascii="Arial" w:cs="Arial" w:eastAsia="Arial" w:hAnsi="Arial"/>
          <w:sz w:val="17"/>
          <w:szCs w:val="17"/>
          <w:color w:val="auto"/>
        </w:rPr>
        <w:t>Registration Statement (Form S-8 No. 333-115918) pertaining to the Amended and Restated Martin Marietta Materials, Inc. Common Stock Purchase Plan for Directors, Martin Marietta Materials, Inc., Performance Sharing Plan and the Martin Marietta Materials, Inc. Savings and Investment Plan for Hourly Employees,</w:t>
      </w:r>
    </w:p>
    <w:p>
      <w:pPr>
        <w:spacing w:after="0" w:line="80" w:lineRule="exact"/>
        <w:rPr>
          <w:rFonts w:ascii="Arial" w:cs="Arial" w:eastAsia="Arial" w:hAnsi="Arial"/>
          <w:sz w:val="17"/>
          <w:szCs w:val="17"/>
          <w:color w:val="auto"/>
        </w:rPr>
      </w:pPr>
    </w:p>
    <w:p>
      <w:pPr>
        <w:ind w:left="920" w:hanging="462"/>
        <w:spacing w:after="0"/>
        <w:tabs>
          <w:tab w:leader="none" w:pos="9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Registration Statement (Form S-8 No. 333-85608) pertaining to the Martin Marietta Materials, Inc. Common Stock Purchase Plan for Directors,</w:t>
      </w:r>
    </w:p>
    <w:p>
      <w:pPr>
        <w:spacing w:after="0" w:line="140" w:lineRule="exact"/>
        <w:rPr>
          <w:rFonts w:ascii="Arial" w:cs="Arial" w:eastAsia="Arial" w:hAnsi="Arial"/>
          <w:sz w:val="16"/>
          <w:szCs w:val="16"/>
          <w:color w:val="auto"/>
        </w:rPr>
      </w:pPr>
    </w:p>
    <w:p>
      <w:pPr>
        <w:ind w:left="920" w:right="20" w:hanging="462"/>
        <w:spacing w:after="0" w:line="355" w:lineRule="auto"/>
        <w:tabs>
          <w:tab w:leader="none" w:pos="920" w:val="left"/>
        </w:tabs>
        <w:numPr>
          <w:ilvl w:val="0"/>
          <w:numId w:val="61"/>
        </w:numPr>
        <w:rPr>
          <w:rFonts w:ascii="Arial" w:cs="Arial" w:eastAsia="Arial" w:hAnsi="Arial"/>
          <w:sz w:val="15"/>
          <w:szCs w:val="15"/>
          <w:color w:val="auto"/>
        </w:rPr>
      </w:pPr>
      <w:r>
        <w:rPr>
          <w:rFonts w:ascii="Arial" w:cs="Arial" w:eastAsia="Arial" w:hAnsi="Arial"/>
          <w:sz w:val="15"/>
          <w:szCs w:val="15"/>
          <w:color w:val="auto"/>
        </w:rPr>
        <w:t>Registration Statement (Form S-8 No. 333-15429) pertaining to the Martin Marietta Materials, Inc. Common Stock Purchase Plan for Directors, Martin Marietta Materials, Inc. Performance Sharing Plan, and the Martin Marietta Materials, Inc. Savings and Investment Plan for Hourly Employees,</w:t>
      </w:r>
    </w:p>
    <w:p>
      <w:pPr>
        <w:spacing w:after="0" w:line="21" w:lineRule="exact"/>
        <w:rPr>
          <w:rFonts w:ascii="Arial" w:cs="Arial" w:eastAsia="Arial" w:hAnsi="Arial"/>
          <w:sz w:val="15"/>
          <w:szCs w:val="15"/>
          <w:color w:val="auto"/>
        </w:rPr>
      </w:pPr>
    </w:p>
    <w:p>
      <w:pPr>
        <w:ind w:left="920" w:hanging="462"/>
        <w:spacing w:after="0"/>
        <w:tabs>
          <w:tab w:leader="none" w:pos="920" w:val="left"/>
        </w:tabs>
        <w:numPr>
          <w:ilvl w:val="0"/>
          <w:numId w:val="61"/>
        </w:numPr>
        <w:rPr>
          <w:rFonts w:ascii="Arial" w:cs="Arial" w:eastAsia="Arial" w:hAnsi="Arial"/>
          <w:sz w:val="17"/>
          <w:szCs w:val="17"/>
          <w:color w:val="auto"/>
        </w:rPr>
      </w:pPr>
      <w:r>
        <w:rPr>
          <w:rFonts w:ascii="Arial" w:cs="Arial" w:eastAsia="Arial" w:hAnsi="Arial"/>
          <w:sz w:val="17"/>
          <w:szCs w:val="17"/>
          <w:color w:val="auto"/>
        </w:rPr>
        <w:t>Registration Statement (Form S-8 No. 333-211735) pertaining to the Martin Marietta Amended and Restated Stock-Based Award Plan,</w:t>
      </w:r>
    </w:p>
    <w:p>
      <w:pPr>
        <w:spacing w:after="0" w:line="128" w:lineRule="exact"/>
        <w:rPr>
          <w:rFonts w:ascii="Arial" w:cs="Arial" w:eastAsia="Arial" w:hAnsi="Arial"/>
          <w:sz w:val="17"/>
          <w:szCs w:val="17"/>
          <w:color w:val="auto"/>
        </w:rPr>
      </w:pPr>
    </w:p>
    <w:p>
      <w:pPr>
        <w:ind w:left="920" w:right="280" w:hanging="462"/>
        <w:spacing w:after="0" w:line="285" w:lineRule="auto"/>
        <w:tabs>
          <w:tab w:leader="none" w:pos="920" w:val="left"/>
        </w:tabs>
        <w:numPr>
          <w:ilvl w:val="0"/>
          <w:numId w:val="61"/>
        </w:numPr>
        <w:rPr>
          <w:rFonts w:ascii="Arial" w:cs="Arial" w:eastAsia="Arial" w:hAnsi="Arial"/>
          <w:sz w:val="17"/>
          <w:szCs w:val="17"/>
          <w:color w:val="auto"/>
        </w:rPr>
      </w:pPr>
      <w:r>
        <w:rPr>
          <w:rFonts w:ascii="Arial" w:cs="Arial" w:eastAsia="Arial" w:hAnsi="Arial"/>
          <w:sz w:val="17"/>
          <w:szCs w:val="17"/>
          <w:color w:val="auto"/>
        </w:rPr>
        <w:t>Registration Statement (Form S-8 No. 333-197201) pertaining to the Texas Industries, Inc. 2004 Omnibus Equity Compensation Plan and the Texas Industries, Inc. Management Deferred Compensation Plan, as assumed by Martin Marietta Materials, Inc., and</w:t>
      </w:r>
    </w:p>
    <w:p>
      <w:pPr>
        <w:spacing w:after="0" w:line="67" w:lineRule="exact"/>
        <w:rPr>
          <w:rFonts w:ascii="Arial" w:cs="Arial" w:eastAsia="Arial" w:hAnsi="Arial"/>
          <w:sz w:val="17"/>
          <w:szCs w:val="17"/>
          <w:color w:val="auto"/>
        </w:rPr>
      </w:pPr>
    </w:p>
    <w:p>
      <w:pPr>
        <w:ind w:left="920" w:hanging="462"/>
        <w:spacing w:after="0"/>
        <w:tabs>
          <w:tab w:leader="none" w:pos="920" w:val="left"/>
        </w:tabs>
        <w:numPr>
          <w:ilvl w:val="0"/>
          <w:numId w:val="61"/>
        </w:numPr>
        <w:rPr>
          <w:rFonts w:ascii="Arial" w:cs="Arial" w:eastAsia="Arial" w:hAnsi="Arial"/>
          <w:sz w:val="17"/>
          <w:szCs w:val="17"/>
          <w:color w:val="auto"/>
        </w:rPr>
      </w:pPr>
      <w:r>
        <w:rPr>
          <w:rFonts w:ascii="Arial" w:cs="Arial" w:eastAsia="Arial" w:hAnsi="Arial"/>
          <w:sz w:val="17"/>
          <w:szCs w:val="17"/>
          <w:color w:val="auto"/>
        </w:rPr>
        <w:t>Registration Statement (Form S-3 No. 333-217991) and related Prospectuses pertaining to Debt Securities of Martin Marietta Materials, Inc.</w:t>
      </w:r>
    </w:p>
    <w:p>
      <w:pPr>
        <w:spacing w:after="0" w:line="220" w:lineRule="exact"/>
        <w:rPr>
          <w:sz w:val="20"/>
          <w:szCs w:val="20"/>
          <w:color w:val="auto"/>
        </w:rPr>
      </w:pPr>
    </w:p>
    <w:p>
      <w:pPr>
        <w:ind w:right="120"/>
        <w:spacing w:after="0" w:line="265" w:lineRule="auto"/>
        <w:rPr>
          <w:sz w:val="20"/>
          <w:szCs w:val="20"/>
          <w:color w:val="auto"/>
        </w:rPr>
      </w:pPr>
      <w:r>
        <w:rPr>
          <w:rFonts w:ascii="Arial" w:cs="Arial" w:eastAsia="Arial" w:hAnsi="Arial"/>
          <w:sz w:val="17"/>
          <w:szCs w:val="17"/>
          <w:color w:val="auto"/>
        </w:rPr>
        <w:t>of our report dated February 23, 2016, except for the recently adopted accounting pronouncements discussed in Note A and the effects of the segment change discussed in Note O, as to which the date is May 12, 2017, with respect to the consolidated financial statements of Martin Marietta Materials, Inc. and consolidated subsidiaries for the year ended December 31, 2015 incorporated by reference in this Annual Report (Form 10-K) of Martin Marietta Materials, Inc. for the year ended December 31, 2017.</w:t>
      </w:r>
    </w:p>
    <w:p>
      <w:pPr>
        <w:spacing w:after="0" w:line="175" w:lineRule="exact"/>
        <w:rPr>
          <w:sz w:val="20"/>
          <w:szCs w:val="20"/>
          <w:color w:val="auto"/>
        </w:rPr>
      </w:pPr>
    </w:p>
    <w:p>
      <w:pPr>
        <w:ind w:left="5040"/>
        <w:spacing w:after="0"/>
        <w:rPr>
          <w:sz w:val="20"/>
          <w:szCs w:val="20"/>
          <w:color w:val="auto"/>
        </w:rPr>
      </w:pPr>
      <w:r>
        <w:rPr>
          <w:rFonts w:ascii="Arial" w:cs="Arial" w:eastAsia="Arial" w:hAnsi="Arial"/>
          <w:sz w:val="17"/>
          <w:szCs w:val="17"/>
          <w:color w:val="auto"/>
        </w:rPr>
        <w:t>Report on Schedule</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To the Board of Directors and Shareholders of Martin Marietta Materials, Inc.</w:t>
      </w:r>
    </w:p>
    <w:p>
      <w:pPr>
        <w:spacing w:after="0" w:line="220"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We have audited the consolidated financial statements of Martin Marietta Materials, Inc. and consolidated subsidiaries for the year ended December 31, 2015 (the Company) for the year ended December 31, 2015 and have issued our report thereon dated February 23, 2016, except for the recently adopted accounting pronouncements discussed in Note A and the effects of the segment change discussed in Note O, as to which the date is May 12, 2017, incorporated by reference in this Annual Report (Form 10-K) of Martin Marietta Materials Inc. from the 2017 Annual Report to Shareholders of Martin Marietta Materials, Inc. Our audit of the consolidated financial statements included the financial statement schedule for the year ended December 31, 2015 listed in Item 15(a) of this Annual Report (Form 10-K) (the “schedule”). This schedule is the responsibility of the Company’s management. Our responsibility is to express an opinion on the Company’s schedule based on our audit.</w:t>
      </w:r>
    </w:p>
    <w:p>
      <w:pPr>
        <w:spacing w:after="0" w:line="185" w:lineRule="exact"/>
        <w:rPr>
          <w:sz w:val="20"/>
          <w:szCs w:val="20"/>
          <w:color w:val="auto"/>
        </w:rPr>
      </w:pPr>
    </w:p>
    <w:p>
      <w:pPr>
        <w:ind w:right="100"/>
        <w:spacing w:after="0" w:line="285" w:lineRule="auto"/>
        <w:rPr>
          <w:sz w:val="20"/>
          <w:szCs w:val="20"/>
          <w:color w:val="auto"/>
        </w:rPr>
      </w:pPr>
      <w:r>
        <w:rPr>
          <w:rFonts w:ascii="Arial" w:cs="Arial" w:eastAsia="Arial" w:hAnsi="Arial"/>
          <w:sz w:val="17"/>
          <w:szCs w:val="17"/>
          <w:color w:val="auto"/>
        </w:rPr>
        <w:t>In our opinion, the schedule presents fairly, in all material respects, the information set forth therein when considered in conjunction with the consolidated financial statements for the year ended December 31, 2015.</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/s/ Ernst &amp; Young LLP</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Raleigh, North Carolina</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February 23, 2018</w:t>
      </w:r>
    </w:p>
    <w:p>
      <w:pPr>
        <w:sectPr>
          <w:pgSz w:w="11900" w:h="16838" w:orient="portrait"/>
          <w:cols w:equalWidth="0" w:num="1">
            <w:col w:w="11420"/>
          </w:cols>
          <w:pgMar w:left="240" w:top="121" w:right="2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7"/>
          <w:szCs w:val="17"/>
          <w:b w:val="1"/>
          <w:bCs w:val="1"/>
          <w:color w:val="auto"/>
        </w:rPr>
        <w:t>EXHIBIT 31.01</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 SECURITIES AND EXCHANGE ACT OF 1934</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RULE 13a-14 AS ADOPTED PURSUANT TO SECTION 302 OF THE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SARBANES-OXLEY ACT OF 2002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I, C. Howard Nye, certify that:</w:t>
      </w:r>
    </w:p>
    <w:p>
      <w:pPr>
        <w:spacing w:after="0" w:line="129" w:lineRule="exact"/>
        <w:rPr>
          <w:sz w:val="20"/>
          <w:szCs w:val="20"/>
          <w:color w:val="auto"/>
        </w:rPr>
      </w:pPr>
    </w:p>
    <w:p>
      <w:pPr>
        <w:ind w:left="920" w:hanging="462"/>
        <w:spacing w:after="0"/>
        <w:tabs>
          <w:tab w:leader="none" w:pos="920" w:val="left"/>
        </w:tabs>
        <w:numPr>
          <w:ilvl w:val="0"/>
          <w:numId w:val="62"/>
        </w:numPr>
        <w:rPr>
          <w:rFonts w:ascii="Arial" w:cs="Arial" w:eastAsia="Arial" w:hAnsi="Arial"/>
          <w:sz w:val="17"/>
          <w:szCs w:val="17"/>
          <w:color w:val="auto"/>
        </w:rPr>
      </w:pPr>
      <w:r>
        <w:rPr>
          <w:rFonts w:ascii="Arial" w:cs="Arial" w:eastAsia="Arial" w:hAnsi="Arial"/>
          <w:sz w:val="17"/>
          <w:szCs w:val="17"/>
          <w:color w:val="auto"/>
        </w:rPr>
        <w:t>I have reviewed this Form 10-K of Martin Marietta Materials, Inc.;</w:t>
      </w:r>
    </w:p>
    <w:p>
      <w:pPr>
        <w:spacing w:after="0" w:line="128" w:lineRule="exact"/>
        <w:rPr>
          <w:rFonts w:ascii="Arial" w:cs="Arial" w:eastAsia="Arial" w:hAnsi="Arial"/>
          <w:sz w:val="17"/>
          <w:szCs w:val="17"/>
          <w:color w:val="auto"/>
        </w:rPr>
      </w:pPr>
    </w:p>
    <w:p>
      <w:pPr>
        <w:jc w:val="both"/>
        <w:ind w:left="920" w:right="440" w:hanging="462"/>
        <w:spacing w:after="0" w:line="270" w:lineRule="auto"/>
        <w:tabs>
          <w:tab w:leader="none" w:pos="920" w:val="left"/>
        </w:tabs>
        <w:numPr>
          <w:ilvl w:val="0"/>
          <w:numId w:val="62"/>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0" w:lineRule="exact"/>
        <w:rPr>
          <w:rFonts w:ascii="Arial" w:cs="Arial" w:eastAsia="Arial" w:hAnsi="Arial"/>
          <w:sz w:val="17"/>
          <w:szCs w:val="17"/>
          <w:color w:val="auto"/>
        </w:rPr>
      </w:pPr>
    </w:p>
    <w:p>
      <w:pPr>
        <w:ind w:left="920" w:right="420" w:hanging="462"/>
        <w:spacing w:after="0" w:line="318" w:lineRule="auto"/>
        <w:tabs>
          <w:tab w:leader="none" w:pos="9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4" w:lineRule="exact"/>
        <w:rPr>
          <w:rFonts w:ascii="Arial" w:cs="Arial" w:eastAsia="Arial" w:hAnsi="Arial"/>
          <w:sz w:val="16"/>
          <w:szCs w:val="16"/>
          <w:color w:val="auto"/>
        </w:rPr>
      </w:pPr>
    </w:p>
    <w:p>
      <w:pPr>
        <w:ind w:left="920" w:right="100" w:hanging="462"/>
        <w:spacing w:after="0" w:line="270" w:lineRule="auto"/>
        <w:tabs>
          <w:tab w:leader="none" w:pos="92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0" w:lineRule="exact"/>
        <w:rPr>
          <w:rFonts w:ascii="Arial" w:cs="Arial" w:eastAsia="Arial" w:hAnsi="Arial"/>
          <w:sz w:val="17"/>
          <w:szCs w:val="17"/>
          <w:color w:val="auto"/>
        </w:rPr>
      </w:pPr>
    </w:p>
    <w:p>
      <w:pPr>
        <w:ind w:left="1940" w:right="40" w:hanging="457"/>
        <w:spacing w:after="0" w:line="270" w:lineRule="auto"/>
        <w:tabs>
          <w:tab w:leader="none" w:pos="1940" w:val="left"/>
        </w:tabs>
        <w:numPr>
          <w:ilvl w:val="1"/>
          <w:numId w:val="6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0" w:lineRule="exact"/>
        <w:rPr>
          <w:rFonts w:ascii="Arial" w:cs="Arial" w:eastAsia="Arial" w:hAnsi="Arial"/>
          <w:sz w:val="17"/>
          <w:szCs w:val="17"/>
          <w:color w:val="auto"/>
        </w:rPr>
      </w:pPr>
    </w:p>
    <w:p>
      <w:pPr>
        <w:ind w:left="1940" w:right="40" w:hanging="457"/>
        <w:spacing w:after="0" w:line="270" w:lineRule="auto"/>
        <w:tabs>
          <w:tab w:leader="none" w:pos="1940" w:val="left"/>
        </w:tabs>
        <w:numPr>
          <w:ilvl w:val="1"/>
          <w:numId w:val="6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0" w:lineRule="exact"/>
        <w:rPr>
          <w:rFonts w:ascii="Arial" w:cs="Arial" w:eastAsia="Arial" w:hAnsi="Arial"/>
          <w:sz w:val="17"/>
          <w:szCs w:val="17"/>
          <w:color w:val="auto"/>
        </w:rPr>
      </w:pPr>
    </w:p>
    <w:p>
      <w:pPr>
        <w:jc w:val="both"/>
        <w:ind w:left="1940" w:right="140" w:hanging="457"/>
        <w:spacing w:after="0" w:line="355" w:lineRule="auto"/>
        <w:tabs>
          <w:tab w:leader="none" w:pos="1940" w:val="left"/>
        </w:tabs>
        <w:numPr>
          <w:ilvl w:val="1"/>
          <w:numId w:val="6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ectPr>
          <w:pgSz w:w="11900" w:h="16838" w:orient="portrait"/>
          <w:cols w:equalWidth="0" w:num="1">
            <w:col w:w="11420"/>
          </w:cols>
          <w:pgMar w:left="240" w:top="121" w:right="239" w:bottom="1440" w:gutter="0" w:footer="0" w:header="0"/>
        </w:sectPr>
      </w:pPr>
    </w:p>
    <w:bookmarkStart w:id="149" w:name="page150"/>
    <w:bookmarkEnd w:id="149"/>
    <w:p>
      <w:pPr>
        <w:ind w:left="1940" w:right="20" w:hanging="457"/>
        <w:spacing w:after="0" w:line="270" w:lineRule="auto"/>
        <w:tabs>
          <w:tab w:leader="none" w:pos="1940" w:val="left"/>
        </w:tabs>
        <w:numPr>
          <w:ilvl w:val="1"/>
          <w:numId w:val="6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8">
                      <a:extLst>
                        <a:ext uri="{28A0092B-C50C-407E-A947-70E740481C1C}"/>
                      </a:extLst>
                    </a:blip>
                    <a:srcRect/>
                    <a:stretch>
                      <a:fillRect/>
                    </a:stretch>
                  </pic:blipFill>
                  <pic:spPr bwMode="auto">
                    <a:xfrm>
                      <a:off x="0" y="0"/>
                      <a:ext cx="7293610" cy="37465"/>
                    </a:xfrm>
                    <a:prstGeom prst="rect">
                      <a:avLst/>
                    </a:prstGeom>
                    <a:noFill/>
                  </pic:spPr>
                </pic:pic>
              </a:graphicData>
            </a:graphic>
          </wp:anchor>
        </w:drawing>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0" w:lineRule="exact"/>
        <w:rPr>
          <w:rFonts w:ascii="Arial" w:cs="Arial" w:eastAsia="Arial" w:hAnsi="Arial"/>
          <w:sz w:val="17"/>
          <w:szCs w:val="17"/>
          <w:color w:val="auto"/>
        </w:rPr>
      </w:pPr>
    </w:p>
    <w:p>
      <w:pPr>
        <w:ind w:left="920" w:right="40" w:hanging="462"/>
        <w:spacing w:after="0" w:line="318" w:lineRule="auto"/>
        <w:tabs>
          <w:tab w:leader="none" w:pos="9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4" w:lineRule="exact"/>
        <w:rPr>
          <w:rFonts w:ascii="Arial" w:cs="Arial" w:eastAsia="Arial" w:hAnsi="Arial"/>
          <w:sz w:val="16"/>
          <w:szCs w:val="16"/>
          <w:color w:val="auto"/>
        </w:rPr>
      </w:pPr>
    </w:p>
    <w:p>
      <w:pPr>
        <w:ind w:left="1940" w:right="300" w:hanging="457"/>
        <w:spacing w:after="0" w:line="355" w:lineRule="auto"/>
        <w:tabs>
          <w:tab w:leader="none" w:pos="1940" w:val="left"/>
        </w:tabs>
        <w:numPr>
          <w:ilvl w:val="1"/>
          <w:numId w:val="64"/>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 w:lineRule="exact"/>
        <w:rPr>
          <w:rFonts w:ascii="Arial" w:cs="Arial" w:eastAsia="Arial" w:hAnsi="Arial"/>
          <w:sz w:val="15"/>
          <w:szCs w:val="15"/>
          <w:color w:val="auto"/>
        </w:rPr>
      </w:pPr>
    </w:p>
    <w:p>
      <w:pPr>
        <w:ind w:left="1940" w:hanging="457"/>
        <w:spacing w:after="0" w:line="285" w:lineRule="auto"/>
        <w:tabs>
          <w:tab w:leader="none" w:pos="1940" w:val="left"/>
        </w:tabs>
        <w:numPr>
          <w:ilvl w:val="1"/>
          <w:numId w:val="64"/>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85" w:lineRule="exact"/>
        <w:rPr>
          <w:sz w:val="20"/>
          <w:szCs w:val="20"/>
          <w:color w:val="auto"/>
        </w:rPr>
      </w:pPr>
    </w:p>
    <w:p>
      <w:pPr>
        <w:spacing w:after="0"/>
        <w:tabs>
          <w:tab w:leader="none" w:pos="5900" w:val="left"/>
        </w:tabs>
        <w:rPr>
          <w:sz w:val="20"/>
          <w:szCs w:val="20"/>
          <w:color w:val="auto"/>
        </w:rPr>
      </w:pPr>
      <w:r>
        <w:rPr>
          <w:rFonts w:ascii="Arial" w:cs="Arial" w:eastAsia="Arial" w:hAnsi="Arial"/>
          <w:sz w:val="17"/>
          <w:szCs w:val="17"/>
          <w:color w:val="auto"/>
        </w:rPr>
        <w:t>Date: February 23, 2018</w:t>
      </w:r>
      <w:r>
        <w:rPr>
          <w:sz w:val="20"/>
          <w:szCs w:val="20"/>
          <w:color w:val="auto"/>
        </w:rPr>
        <w:tab/>
      </w:r>
      <w:r>
        <w:rPr>
          <w:rFonts w:ascii="Arial" w:cs="Arial" w:eastAsia="Arial" w:hAnsi="Arial"/>
          <w:sz w:val="16"/>
          <w:szCs w:val="16"/>
          <w:color w:val="auto"/>
        </w:rPr>
        <w:t>By:  /s/ C. Howard Nye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15875</wp:posOffset>
            </wp:positionV>
            <wp:extent cx="326326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9">
                      <a:extLst>
                        <a:ext uri="{28A0092B-C50C-407E-A947-70E740481C1C}"/>
                      </a:extLst>
                    </a:blip>
                    <a:srcRect/>
                    <a:stretch>
                      <a:fillRect/>
                    </a:stretch>
                  </pic:blipFill>
                  <pic:spPr bwMode="auto">
                    <a:xfrm>
                      <a:off x="0" y="0"/>
                      <a:ext cx="3263265" cy="8255"/>
                    </a:xfrm>
                    <a:prstGeom prst="rect">
                      <a:avLst/>
                    </a:prstGeom>
                    <a:noFill/>
                  </pic:spPr>
                </pic:pic>
              </a:graphicData>
            </a:graphic>
          </wp:anchor>
        </w:drawing>
      </w:r>
    </w:p>
    <w:p>
      <w:pPr>
        <w:spacing w:after="0" w:line="18" w:lineRule="exact"/>
        <w:rPr>
          <w:sz w:val="20"/>
          <w:szCs w:val="20"/>
          <w:color w:val="auto"/>
        </w:rPr>
      </w:pPr>
    </w:p>
    <w:p>
      <w:pPr>
        <w:ind w:left="6280"/>
        <w:spacing w:after="0"/>
        <w:rPr>
          <w:sz w:val="20"/>
          <w:szCs w:val="20"/>
          <w:color w:val="auto"/>
        </w:rPr>
      </w:pPr>
      <w:r>
        <w:rPr>
          <w:rFonts w:ascii="Arial" w:cs="Arial" w:eastAsia="Arial" w:hAnsi="Arial"/>
          <w:sz w:val="17"/>
          <w:szCs w:val="17"/>
          <w:color w:val="auto"/>
        </w:rPr>
        <w:t>C. Howard Nye</w:t>
      </w:r>
    </w:p>
    <w:p>
      <w:pPr>
        <w:spacing w:after="0" w:line="25" w:lineRule="exact"/>
        <w:rPr>
          <w:sz w:val="20"/>
          <w:szCs w:val="20"/>
          <w:color w:val="auto"/>
        </w:rPr>
      </w:pPr>
    </w:p>
    <w:p>
      <w:pPr>
        <w:ind w:left="6280"/>
        <w:spacing w:after="0"/>
        <w:rPr>
          <w:sz w:val="20"/>
          <w:szCs w:val="20"/>
          <w:color w:val="auto"/>
        </w:rPr>
      </w:pPr>
      <w:r>
        <w:rPr>
          <w:rFonts w:ascii="Arial" w:cs="Arial" w:eastAsia="Arial" w:hAnsi="Arial"/>
          <w:sz w:val="17"/>
          <w:szCs w:val="17"/>
          <w:color w:val="auto"/>
        </w:rPr>
        <w:t>Chairman, President and</w:t>
      </w:r>
    </w:p>
    <w:p>
      <w:pPr>
        <w:spacing w:after="0" w:line="12" w:lineRule="exact"/>
        <w:rPr>
          <w:sz w:val="20"/>
          <w:szCs w:val="20"/>
          <w:color w:val="auto"/>
        </w:rPr>
      </w:pPr>
    </w:p>
    <w:p>
      <w:pPr>
        <w:ind w:left="6280"/>
        <w:spacing w:after="0"/>
        <w:rPr>
          <w:sz w:val="20"/>
          <w:szCs w:val="20"/>
          <w:color w:val="auto"/>
        </w:rPr>
      </w:pPr>
      <w:r>
        <w:rPr>
          <w:rFonts w:ascii="Arial" w:cs="Arial" w:eastAsia="Arial" w:hAnsi="Arial"/>
          <w:sz w:val="17"/>
          <w:szCs w:val="17"/>
          <w:color w:val="auto"/>
        </w:rPr>
        <w:t>Chief Executive Officer</w:t>
      </w:r>
    </w:p>
    <w:p>
      <w:pPr>
        <w:sectPr>
          <w:pgSz w:w="11900" w:h="16838" w:orient="portrait"/>
          <w:cols w:equalWidth="0" w:num="1">
            <w:col w:w="11300"/>
          </w:cols>
          <w:pgMar w:left="240" w:top="270" w:right="359" w:bottom="1440" w:gutter="0" w:footer="0" w:header="0"/>
        </w:sectPr>
      </w:pPr>
    </w:p>
    <w:bookmarkStart w:id="150" w:name="page151"/>
    <w:bookmarkEnd w:id="150"/>
    <w:p>
      <w:pPr>
        <w:jc w:val="right"/>
        <w:spacing w:after="0"/>
        <w:rPr>
          <w:sz w:val="20"/>
          <w:szCs w:val="20"/>
          <w:color w:val="auto"/>
        </w:rPr>
      </w:pPr>
      <w:r>
        <w:rPr>
          <w:rFonts w:ascii="Arial" w:cs="Arial" w:eastAsia="Arial" w:hAnsi="Arial"/>
          <w:sz w:val="17"/>
          <w:szCs w:val="17"/>
          <w:b w:val="1"/>
          <w:bCs w:val="1"/>
          <w:color w:val="auto"/>
        </w:rPr>
        <w:t>EXHIBIT 31.02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 SECURITIES AND EXCHANGE ACT OF 1934</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RULE 13a-14 AS ADOPTED PURSUANT TO SECTION 302 OF THE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SARBANES-OXLEY ACT OF 2002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I, James A. J. Nickolas, certify that:</w:t>
      </w:r>
    </w:p>
    <w:p>
      <w:pPr>
        <w:spacing w:after="0" w:line="129" w:lineRule="exact"/>
        <w:rPr>
          <w:sz w:val="20"/>
          <w:szCs w:val="20"/>
          <w:color w:val="auto"/>
        </w:rPr>
      </w:pPr>
    </w:p>
    <w:p>
      <w:pPr>
        <w:ind w:left="920" w:hanging="462"/>
        <w:spacing w:after="0"/>
        <w:tabs>
          <w:tab w:leader="none" w:pos="920" w:val="left"/>
        </w:tabs>
        <w:numPr>
          <w:ilvl w:val="0"/>
          <w:numId w:val="65"/>
        </w:numPr>
        <w:rPr>
          <w:rFonts w:ascii="Arial" w:cs="Arial" w:eastAsia="Arial" w:hAnsi="Arial"/>
          <w:sz w:val="17"/>
          <w:szCs w:val="17"/>
          <w:color w:val="auto"/>
        </w:rPr>
      </w:pPr>
      <w:r>
        <w:rPr>
          <w:rFonts w:ascii="Arial" w:cs="Arial" w:eastAsia="Arial" w:hAnsi="Arial"/>
          <w:sz w:val="17"/>
          <w:szCs w:val="17"/>
          <w:color w:val="auto"/>
        </w:rPr>
        <w:t>I have reviewed this Form 10-K of Martin Marietta Materials, Inc.;</w:t>
      </w:r>
    </w:p>
    <w:p>
      <w:pPr>
        <w:spacing w:after="0" w:line="128" w:lineRule="exact"/>
        <w:rPr>
          <w:rFonts w:ascii="Arial" w:cs="Arial" w:eastAsia="Arial" w:hAnsi="Arial"/>
          <w:sz w:val="17"/>
          <w:szCs w:val="17"/>
          <w:color w:val="auto"/>
        </w:rPr>
      </w:pPr>
    </w:p>
    <w:p>
      <w:pPr>
        <w:jc w:val="both"/>
        <w:ind w:left="920" w:right="440" w:hanging="462"/>
        <w:spacing w:after="0" w:line="270" w:lineRule="auto"/>
        <w:tabs>
          <w:tab w:leader="none" w:pos="920" w:val="left"/>
        </w:tabs>
        <w:numPr>
          <w:ilvl w:val="0"/>
          <w:numId w:val="65"/>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0" w:lineRule="exact"/>
        <w:rPr>
          <w:rFonts w:ascii="Arial" w:cs="Arial" w:eastAsia="Arial" w:hAnsi="Arial"/>
          <w:sz w:val="17"/>
          <w:szCs w:val="17"/>
          <w:color w:val="auto"/>
        </w:rPr>
      </w:pPr>
    </w:p>
    <w:p>
      <w:pPr>
        <w:ind w:left="920" w:right="420" w:hanging="462"/>
        <w:spacing w:after="0" w:line="318" w:lineRule="auto"/>
        <w:tabs>
          <w:tab w:leader="none" w:pos="9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4" w:lineRule="exact"/>
        <w:rPr>
          <w:rFonts w:ascii="Arial" w:cs="Arial" w:eastAsia="Arial" w:hAnsi="Arial"/>
          <w:sz w:val="16"/>
          <w:szCs w:val="16"/>
          <w:color w:val="auto"/>
        </w:rPr>
      </w:pPr>
    </w:p>
    <w:p>
      <w:pPr>
        <w:ind w:left="920" w:right="100" w:hanging="462"/>
        <w:spacing w:after="0" w:line="270" w:lineRule="auto"/>
        <w:tabs>
          <w:tab w:leader="none" w:pos="92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0" w:lineRule="exact"/>
        <w:rPr>
          <w:rFonts w:ascii="Arial" w:cs="Arial" w:eastAsia="Arial" w:hAnsi="Arial"/>
          <w:sz w:val="17"/>
          <w:szCs w:val="17"/>
          <w:color w:val="auto"/>
        </w:rPr>
      </w:pPr>
    </w:p>
    <w:p>
      <w:pPr>
        <w:ind w:left="1940" w:right="40" w:hanging="457"/>
        <w:spacing w:after="0" w:line="270" w:lineRule="auto"/>
        <w:tabs>
          <w:tab w:leader="none" w:pos="1940" w:val="left"/>
        </w:tabs>
        <w:numPr>
          <w:ilvl w:val="1"/>
          <w:numId w:val="6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0" w:lineRule="exact"/>
        <w:rPr>
          <w:rFonts w:ascii="Arial" w:cs="Arial" w:eastAsia="Arial" w:hAnsi="Arial"/>
          <w:sz w:val="17"/>
          <w:szCs w:val="17"/>
          <w:color w:val="auto"/>
        </w:rPr>
      </w:pPr>
    </w:p>
    <w:p>
      <w:pPr>
        <w:ind w:left="1940" w:right="40" w:hanging="457"/>
        <w:spacing w:after="0" w:line="270" w:lineRule="auto"/>
        <w:tabs>
          <w:tab w:leader="none" w:pos="1940" w:val="left"/>
        </w:tabs>
        <w:numPr>
          <w:ilvl w:val="1"/>
          <w:numId w:val="6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0" w:lineRule="exact"/>
        <w:rPr>
          <w:rFonts w:ascii="Arial" w:cs="Arial" w:eastAsia="Arial" w:hAnsi="Arial"/>
          <w:sz w:val="17"/>
          <w:szCs w:val="17"/>
          <w:color w:val="auto"/>
        </w:rPr>
      </w:pPr>
    </w:p>
    <w:p>
      <w:pPr>
        <w:jc w:val="both"/>
        <w:ind w:left="1940" w:right="140" w:hanging="457"/>
        <w:spacing w:after="0" w:line="355" w:lineRule="auto"/>
        <w:tabs>
          <w:tab w:leader="none" w:pos="1940" w:val="left"/>
        </w:tabs>
        <w:numPr>
          <w:ilvl w:val="1"/>
          <w:numId w:val="6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ectPr>
          <w:pgSz w:w="11900" w:h="16838" w:orient="portrait"/>
          <w:cols w:equalWidth="0" w:num="1">
            <w:col w:w="11420"/>
          </w:cols>
          <w:pgMar w:left="240" w:top="121" w:right="239" w:bottom="1440" w:gutter="0" w:footer="0" w:header="0"/>
        </w:sectPr>
      </w:pPr>
    </w:p>
    <w:bookmarkStart w:id="151" w:name="page152"/>
    <w:bookmarkEnd w:id="151"/>
    <w:p>
      <w:pPr>
        <w:ind w:left="1940" w:right="20" w:hanging="457"/>
        <w:spacing w:after="0" w:line="270" w:lineRule="auto"/>
        <w:tabs>
          <w:tab w:leader="none" w:pos="1940" w:val="left"/>
        </w:tabs>
        <w:numPr>
          <w:ilvl w:val="1"/>
          <w:numId w:val="6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0">
                      <a:extLst>
                        <a:ext uri="{28A0092B-C50C-407E-A947-70E740481C1C}"/>
                      </a:extLst>
                    </a:blip>
                    <a:srcRect/>
                    <a:stretch>
                      <a:fillRect/>
                    </a:stretch>
                  </pic:blipFill>
                  <pic:spPr bwMode="auto">
                    <a:xfrm>
                      <a:off x="0" y="0"/>
                      <a:ext cx="7293610" cy="37465"/>
                    </a:xfrm>
                    <a:prstGeom prst="rect">
                      <a:avLst/>
                    </a:prstGeom>
                    <a:noFill/>
                  </pic:spPr>
                </pic:pic>
              </a:graphicData>
            </a:graphic>
          </wp:anchor>
        </w:drawing>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0" w:lineRule="exact"/>
        <w:rPr>
          <w:rFonts w:ascii="Arial" w:cs="Arial" w:eastAsia="Arial" w:hAnsi="Arial"/>
          <w:sz w:val="17"/>
          <w:szCs w:val="17"/>
          <w:color w:val="auto"/>
        </w:rPr>
      </w:pPr>
    </w:p>
    <w:p>
      <w:pPr>
        <w:ind w:left="920" w:right="40" w:hanging="462"/>
        <w:spacing w:after="0" w:line="318" w:lineRule="auto"/>
        <w:tabs>
          <w:tab w:leader="none" w:pos="92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4" w:lineRule="exact"/>
        <w:rPr>
          <w:rFonts w:ascii="Arial" w:cs="Arial" w:eastAsia="Arial" w:hAnsi="Arial"/>
          <w:sz w:val="16"/>
          <w:szCs w:val="16"/>
          <w:color w:val="auto"/>
        </w:rPr>
      </w:pPr>
    </w:p>
    <w:p>
      <w:pPr>
        <w:ind w:left="1940" w:right="300" w:hanging="457"/>
        <w:spacing w:after="0" w:line="355" w:lineRule="auto"/>
        <w:tabs>
          <w:tab w:leader="none" w:pos="1940" w:val="left"/>
        </w:tabs>
        <w:numPr>
          <w:ilvl w:val="1"/>
          <w:numId w:val="67"/>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 w:lineRule="exact"/>
        <w:rPr>
          <w:rFonts w:ascii="Arial" w:cs="Arial" w:eastAsia="Arial" w:hAnsi="Arial"/>
          <w:sz w:val="15"/>
          <w:szCs w:val="15"/>
          <w:color w:val="auto"/>
        </w:rPr>
      </w:pPr>
    </w:p>
    <w:p>
      <w:pPr>
        <w:ind w:left="1940" w:hanging="457"/>
        <w:spacing w:after="0" w:line="285" w:lineRule="auto"/>
        <w:tabs>
          <w:tab w:leader="none" w:pos="1940" w:val="left"/>
        </w:tabs>
        <w:numPr>
          <w:ilvl w:val="1"/>
          <w:numId w:val="67"/>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85" w:lineRule="exact"/>
        <w:rPr>
          <w:sz w:val="20"/>
          <w:szCs w:val="20"/>
          <w:color w:val="auto"/>
        </w:rPr>
      </w:pPr>
    </w:p>
    <w:p>
      <w:pPr>
        <w:spacing w:after="0"/>
        <w:tabs>
          <w:tab w:leader="none" w:pos="5900" w:val="left"/>
        </w:tabs>
        <w:rPr>
          <w:sz w:val="20"/>
          <w:szCs w:val="20"/>
          <w:color w:val="auto"/>
        </w:rPr>
      </w:pPr>
      <w:r>
        <w:rPr>
          <w:rFonts w:ascii="Arial" w:cs="Arial" w:eastAsia="Arial" w:hAnsi="Arial"/>
          <w:sz w:val="17"/>
          <w:szCs w:val="17"/>
          <w:color w:val="auto"/>
        </w:rPr>
        <w:t>Date: February 23, 2018</w:t>
      </w:r>
      <w:r>
        <w:rPr>
          <w:sz w:val="20"/>
          <w:szCs w:val="20"/>
          <w:color w:val="auto"/>
        </w:rPr>
        <w:tab/>
      </w:r>
      <w:r>
        <w:rPr>
          <w:rFonts w:ascii="Arial" w:cs="Arial" w:eastAsia="Arial" w:hAnsi="Arial"/>
          <w:sz w:val="16"/>
          <w:szCs w:val="16"/>
          <w:color w:val="auto"/>
        </w:rPr>
        <w:t>By:  /s/ James A. J. Nickolas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15875</wp:posOffset>
            </wp:positionV>
            <wp:extent cx="326326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1">
                      <a:extLst>
                        <a:ext uri="{28A0092B-C50C-407E-A947-70E740481C1C}"/>
                      </a:extLst>
                    </a:blip>
                    <a:srcRect/>
                    <a:stretch>
                      <a:fillRect/>
                    </a:stretch>
                  </pic:blipFill>
                  <pic:spPr bwMode="auto">
                    <a:xfrm>
                      <a:off x="0" y="0"/>
                      <a:ext cx="3263265" cy="8255"/>
                    </a:xfrm>
                    <a:prstGeom prst="rect">
                      <a:avLst/>
                    </a:prstGeom>
                    <a:noFill/>
                  </pic:spPr>
                </pic:pic>
              </a:graphicData>
            </a:graphic>
          </wp:anchor>
        </w:drawing>
      </w:r>
    </w:p>
    <w:p>
      <w:pPr>
        <w:spacing w:after="0" w:line="18" w:lineRule="exact"/>
        <w:rPr>
          <w:sz w:val="20"/>
          <w:szCs w:val="20"/>
          <w:color w:val="auto"/>
        </w:rPr>
      </w:pPr>
    </w:p>
    <w:p>
      <w:pPr>
        <w:ind w:left="6280"/>
        <w:spacing w:after="0"/>
        <w:rPr>
          <w:sz w:val="20"/>
          <w:szCs w:val="20"/>
          <w:color w:val="auto"/>
        </w:rPr>
      </w:pPr>
      <w:r>
        <w:rPr>
          <w:rFonts w:ascii="Arial" w:cs="Arial" w:eastAsia="Arial" w:hAnsi="Arial"/>
          <w:sz w:val="17"/>
          <w:szCs w:val="17"/>
          <w:color w:val="auto"/>
        </w:rPr>
        <w:t>James A. J. Nickolas</w:t>
      </w:r>
    </w:p>
    <w:p>
      <w:pPr>
        <w:spacing w:after="0" w:line="25" w:lineRule="exact"/>
        <w:rPr>
          <w:sz w:val="20"/>
          <w:szCs w:val="20"/>
          <w:color w:val="auto"/>
        </w:rPr>
      </w:pPr>
    </w:p>
    <w:p>
      <w:pPr>
        <w:ind w:left="6280"/>
        <w:spacing w:after="0"/>
        <w:rPr>
          <w:sz w:val="20"/>
          <w:szCs w:val="20"/>
          <w:color w:val="auto"/>
        </w:rPr>
      </w:pPr>
      <w:r>
        <w:rPr>
          <w:rFonts w:ascii="Arial" w:cs="Arial" w:eastAsia="Arial" w:hAnsi="Arial"/>
          <w:sz w:val="17"/>
          <w:szCs w:val="17"/>
          <w:color w:val="auto"/>
        </w:rPr>
        <w:t>Senior Vice President and</w:t>
      </w:r>
    </w:p>
    <w:p>
      <w:pPr>
        <w:spacing w:after="0" w:line="12" w:lineRule="exact"/>
        <w:rPr>
          <w:sz w:val="20"/>
          <w:szCs w:val="20"/>
          <w:color w:val="auto"/>
        </w:rPr>
      </w:pPr>
    </w:p>
    <w:p>
      <w:pPr>
        <w:ind w:left="6280"/>
        <w:spacing w:after="0"/>
        <w:rPr>
          <w:sz w:val="20"/>
          <w:szCs w:val="20"/>
          <w:color w:val="auto"/>
        </w:rPr>
      </w:pPr>
      <w:r>
        <w:rPr>
          <w:rFonts w:ascii="Arial" w:cs="Arial" w:eastAsia="Arial" w:hAnsi="Arial"/>
          <w:sz w:val="17"/>
          <w:szCs w:val="17"/>
          <w:color w:val="auto"/>
        </w:rPr>
        <w:t>Chief Financial Officer</w:t>
      </w:r>
    </w:p>
    <w:p>
      <w:pPr>
        <w:sectPr>
          <w:pgSz w:w="11900" w:h="16838" w:orient="portrait"/>
          <w:cols w:equalWidth="0" w:num="1">
            <w:col w:w="11300"/>
          </w:cols>
          <w:pgMar w:left="240" w:top="270" w:right="359" w:bottom="1440" w:gutter="0" w:footer="0" w:header="0"/>
        </w:sectPr>
      </w:pPr>
    </w:p>
    <w:bookmarkStart w:id="152" w:name="page153"/>
    <w:bookmarkEnd w:id="152"/>
    <w:p>
      <w:pPr>
        <w:jc w:val="right"/>
        <w:spacing w:after="0"/>
        <w:rPr>
          <w:sz w:val="20"/>
          <w:szCs w:val="20"/>
          <w:color w:val="auto"/>
        </w:rPr>
      </w:pPr>
      <w:r>
        <w:rPr>
          <w:rFonts w:ascii="Arial" w:cs="Arial" w:eastAsia="Arial" w:hAnsi="Arial"/>
          <w:sz w:val="17"/>
          <w:szCs w:val="17"/>
          <w:b w:val="1"/>
          <w:bCs w:val="1"/>
          <w:color w:val="auto"/>
        </w:rPr>
        <w:t>EXHIBIT 32.01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WRITTEN STATEMENT PURSUANT TO 18 U.S.C. 1350,</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 SECTION 906 OF THE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SARBANES-OXLEY ACT OF 2002</w:t>
      </w:r>
    </w:p>
    <w:p>
      <w:pPr>
        <w:spacing w:after="0" w:line="22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connection with the 2017 Annual Report on Form 10-K (the “Report”) of Martin Marietta Materials, Inc. (the “Registrant”), as filed with the Securities and</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Exchange Commission, I, C. Howard Nye, the Chief Executive Officer of the Registrant, certify that:</w:t>
      </w:r>
    </w:p>
    <w:p>
      <w:pPr>
        <w:spacing w:after="0" w:line="116" w:lineRule="exact"/>
        <w:rPr>
          <w:sz w:val="20"/>
          <w:szCs w:val="20"/>
          <w:color w:val="auto"/>
        </w:rPr>
      </w:pPr>
    </w:p>
    <w:p>
      <w:pPr>
        <w:ind w:left="920" w:hanging="462"/>
        <w:spacing w:after="0"/>
        <w:tabs>
          <w:tab w:leader="none" w:pos="92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28" w:lineRule="exact"/>
        <w:rPr>
          <w:rFonts w:ascii="Arial" w:cs="Arial" w:eastAsia="Arial" w:hAnsi="Arial"/>
          <w:sz w:val="17"/>
          <w:szCs w:val="17"/>
          <w:color w:val="auto"/>
        </w:rPr>
      </w:pPr>
    </w:p>
    <w:p>
      <w:pPr>
        <w:ind w:left="920" w:hanging="462"/>
        <w:spacing w:after="0"/>
        <w:tabs>
          <w:tab w:leader="none" w:pos="92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57"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/s/ C. Howard Nye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4353560</wp:posOffset>
            </wp:positionH>
            <wp:positionV relativeFrom="paragraph">
              <wp:posOffset>15875</wp:posOffset>
            </wp:positionV>
            <wp:extent cx="29006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2">
                      <a:extLst>
                        <a:ext uri="{28A0092B-C50C-407E-A947-70E740481C1C}"/>
                      </a:extLst>
                    </a:blip>
                    <a:srcRect/>
                    <a:stretch>
                      <a:fillRect/>
                    </a:stretch>
                  </pic:blipFill>
                  <pic:spPr bwMode="auto">
                    <a:xfrm>
                      <a:off x="0" y="0"/>
                      <a:ext cx="2900680" cy="8255"/>
                    </a:xfrm>
                    <a:prstGeom prst="rect">
                      <a:avLst/>
                    </a:prstGeom>
                    <a:noFill/>
                  </pic:spPr>
                </pic:pic>
              </a:graphicData>
            </a:graphic>
          </wp:anchor>
        </w:drawing>
      </w:r>
    </w:p>
    <w:p>
      <w:pPr>
        <w:spacing w:after="0" w:line="18"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C. Howard Nye</w:t>
      </w:r>
    </w:p>
    <w:p>
      <w:pPr>
        <w:spacing w:after="0" w:line="25"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Date: February 23, 2018</w:t>
      </w:r>
    </w:p>
    <w:p>
      <w:pPr>
        <w:spacing w:after="0" w:line="220" w:lineRule="exact"/>
        <w:rPr>
          <w:sz w:val="20"/>
          <w:szCs w:val="20"/>
          <w:color w:val="auto"/>
        </w:rPr>
      </w:pPr>
    </w:p>
    <w:p>
      <w:pPr>
        <w:ind w:right="360"/>
        <w:spacing w:after="0" w:line="285" w:lineRule="auto"/>
        <w:rPr>
          <w:sz w:val="20"/>
          <w:szCs w:val="20"/>
          <w:color w:val="auto"/>
        </w:rPr>
      </w:pPr>
      <w:r>
        <w:rPr>
          <w:rFonts w:ascii="Arial" w:cs="Arial" w:eastAsia="Arial" w:hAnsi="Arial"/>
          <w:sz w:val="17"/>
          <w:szCs w:val="17"/>
          <w:color w:val="auto"/>
        </w:rPr>
        <w:t>A signed original of this written statement required by Section 906 has been provided to Martin Marietta Materials, Inc. and will be retained by Martin Marietta Materials, Inc.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7"/>
          <w:szCs w:val="17"/>
          <w:b w:val="1"/>
          <w:bCs w:val="1"/>
          <w:color w:val="auto"/>
        </w:rPr>
        <w:t>EXHIBIT 32.02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WRITTEN STATEMENT PURSUANT TO 18 U.S.C. 1350,</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 SECTION 906 OF THE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SARBANES-OXLEY ACT OF 2002</w:t>
      </w:r>
    </w:p>
    <w:p>
      <w:pPr>
        <w:spacing w:after="0" w:line="22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connection with the 2017 Annual Report on Form 10-K (the “Report”) of Martin Marietta Materials, Inc. (the “Registrant”), as filed with the Securities and</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Exchange Commission, I, James A. J. Nickolas, the Chief Financial Officer of the Registrant, certify that:</w:t>
      </w:r>
    </w:p>
    <w:p>
      <w:pPr>
        <w:spacing w:after="0" w:line="116" w:lineRule="exact"/>
        <w:rPr>
          <w:sz w:val="20"/>
          <w:szCs w:val="20"/>
          <w:color w:val="auto"/>
        </w:rPr>
      </w:pPr>
    </w:p>
    <w:p>
      <w:pPr>
        <w:ind w:left="920" w:hanging="462"/>
        <w:spacing w:after="0"/>
        <w:tabs>
          <w:tab w:leader="none" w:pos="92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28" w:lineRule="exact"/>
        <w:rPr>
          <w:rFonts w:ascii="Arial" w:cs="Arial" w:eastAsia="Arial" w:hAnsi="Arial"/>
          <w:sz w:val="17"/>
          <w:szCs w:val="17"/>
          <w:color w:val="auto"/>
        </w:rPr>
      </w:pPr>
    </w:p>
    <w:p>
      <w:pPr>
        <w:ind w:left="920" w:hanging="462"/>
        <w:spacing w:after="0"/>
        <w:tabs>
          <w:tab w:leader="none" w:pos="92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57"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/s/ James A. J. Nickolas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4353560</wp:posOffset>
            </wp:positionH>
            <wp:positionV relativeFrom="paragraph">
              <wp:posOffset>15875</wp:posOffset>
            </wp:positionV>
            <wp:extent cx="29006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3">
                      <a:extLst>
                        <a:ext uri="{28A0092B-C50C-407E-A947-70E740481C1C}"/>
                      </a:extLst>
                    </a:blip>
                    <a:srcRect/>
                    <a:stretch>
                      <a:fillRect/>
                    </a:stretch>
                  </pic:blipFill>
                  <pic:spPr bwMode="auto">
                    <a:xfrm>
                      <a:off x="0" y="0"/>
                      <a:ext cx="2900680" cy="8255"/>
                    </a:xfrm>
                    <a:prstGeom prst="rect">
                      <a:avLst/>
                    </a:prstGeom>
                    <a:noFill/>
                  </pic:spPr>
                </pic:pic>
              </a:graphicData>
            </a:graphic>
          </wp:anchor>
        </w:drawing>
      </w:r>
    </w:p>
    <w:p>
      <w:pPr>
        <w:spacing w:after="0" w:line="18"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James A. J. Nickolas</w:t>
      </w:r>
    </w:p>
    <w:p>
      <w:pPr>
        <w:spacing w:after="0" w:line="25"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Chief Financial Officer</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Date: February 23, 2018</w:t>
      </w:r>
    </w:p>
    <w:p>
      <w:pPr>
        <w:spacing w:after="0" w:line="220" w:lineRule="exact"/>
        <w:rPr>
          <w:sz w:val="20"/>
          <w:szCs w:val="20"/>
          <w:color w:val="auto"/>
        </w:rPr>
      </w:pPr>
    </w:p>
    <w:p>
      <w:pPr>
        <w:ind w:right="360"/>
        <w:spacing w:after="0" w:line="285" w:lineRule="auto"/>
        <w:rPr>
          <w:sz w:val="20"/>
          <w:szCs w:val="20"/>
          <w:color w:val="auto"/>
        </w:rPr>
      </w:pPr>
      <w:r>
        <w:rPr>
          <w:rFonts w:ascii="Arial" w:cs="Arial" w:eastAsia="Arial" w:hAnsi="Arial"/>
          <w:sz w:val="17"/>
          <w:szCs w:val="17"/>
          <w:color w:val="auto"/>
        </w:rPr>
        <w:t>A signed original of this written statement required by Section 906 has been provided to Martin Marietta Materials, Inc. and will be retained by Martin Marietta Materials, Inc.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7"/>
          <w:szCs w:val="17"/>
          <w:b w:val="1"/>
          <w:bCs w:val="1"/>
          <w:color w:val="auto"/>
        </w:rPr>
        <w:t>EXHIBIT 95</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MINE SAFETY DISCLOSURE EXHIBIT</w:t>
      </w:r>
    </w:p>
    <w:p>
      <w:pPr>
        <w:spacing w:after="0" w:line="226" w:lineRule="exact"/>
        <w:rPr>
          <w:sz w:val="20"/>
          <w:szCs w:val="20"/>
          <w:color w:val="auto"/>
        </w:rPr>
      </w:pPr>
    </w:p>
    <w:p>
      <w:pPr>
        <w:ind w:firstLine="457"/>
        <w:spacing w:after="0" w:line="282" w:lineRule="auto"/>
        <w:rPr>
          <w:sz w:val="20"/>
          <w:szCs w:val="20"/>
          <w:color w:val="auto"/>
        </w:rPr>
      </w:pPr>
      <w:r>
        <w:rPr>
          <w:rFonts w:ascii="Arial" w:cs="Arial" w:eastAsia="Arial" w:hAnsi="Arial"/>
          <w:sz w:val="16"/>
          <w:szCs w:val="16"/>
          <w:color w:val="auto"/>
        </w:rPr>
        <w:t>The operation of the Company’s U.S. aggregate quarries and mines (including the mining operations of the cement product line) is subject to regulation by the federal Mine Safety and Health Administration (MSHA) under the Federal Mine Safety and Health Act of 1977 (the “Mine Act”). MSHA inspects the Company’s quarries and mines (and cement plants) on a regular basis and issues various citations and orders when it believes a violation has occurred under the Mine Act. Whenever MSHA issues a citation or order, it also generally proposes a civil penalty, or fine, related to the alleged violation. Citations or orders can be contested and appealed, and as part of that process, are often reduced in severity and amount, and are sometimes dismissed.</w:t>
      </w:r>
    </w:p>
    <w:p>
      <w:pPr>
        <w:spacing w:after="0" w:line="165" w:lineRule="exact"/>
        <w:rPr>
          <w:sz w:val="20"/>
          <w:szCs w:val="20"/>
          <w:color w:val="auto"/>
        </w:rPr>
      </w:pPr>
    </w:p>
    <w:p>
      <w:pPr>
        <w:ind w:right="120" w:firstLine="457"/>
        <w:spacing w:after="0" w:line="260" w:lineRule="auto"/>
        <w:rPr>
          <w:sz w:val="20"/>
          <w:szCs w:val="20"/>
          <w:color w:val="auto"/>
        </w:rPr>
      </w:pPr>
      <w:r>
        <w:rPr>
          <w:rFonts w:ascii="Arial" w:cs="Arial" w:eastAsia="Arial" w:hAnsi="Arial"/>
          <w:sz w:val="17"/>
          <w:szCs w:val="17"/>
          <w:color w:val="auto"/>
        </w:rPr>
        <w:t>Under the Dodd-Frank Wall Street Reform and Consumer Protection Act (the Dodd-Frank Act), the Company is required to present information regarding certain mining safety and health citations which MSHA has issued with respect to its aggregates mining operations in its periodic reports filed with the Securities and Exchange Commission (the “SEC”). In evaluating this information, consideration should be given to factors such as: (i) the number of citations and orders will vary depending on the size of the quarry or mine and type of operations (underground or surface), (ii) the number of citations issued will vary from inspector to inspector and location to location, and (iii) citations and orders can be contested and appealed, and in that process, may be reduced in severity and amount, and are sometimes dismissed.</w:t>
      </w:r>
    </w:p>
    <w:p>
      <w:pPr>
        <w:spacing w:after="0" w:line="183" w:lineRule="exact"/>
        <w:rPr>
          <w:sz w:val="20"/>
          <w:szCs w:val="20"/>
          <w:color w:val="auto"/>
        </w:rPr>
      </w:pPr>
    </w:p>
    <w:p>
      <w:pPr>
        <w:jc w:val="both"/>
        <w:ind w:firstLine="457"/>
        <w:spacing w:after="0" w:line="270" w:lineRule="auto"/>
        <w:rPr>
          <w:sz w:val="20"/>
          <w:szCs w:val="20"/>
          <w:color w:val="auto"/>
        </w:rPr>
      </w:pPr>
      <w:r>
        <w:rPr>
          <w:rFonts w:ascii="Arial" w:cs="Arial" w:eastAsia="Arial" w:hAnsi="Arial"/>
          <w:sz w:val="17"/>
          <w:szCs w:val="17"/>
          <w:color w:val="auto"/>
        </w:rPr>
        <w:t>We have provided information below in response to the rules and regulations of the SEC issued under Section 1503(a) of the Dodd-Frank Act. The disclosures reflect U.S. mining operations only, as the requirements of the Dodd-Frank Act and the SEC rules and regulations thereunder do not apply to our quarries and mines operated outside the United States.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presents the following items regarding certain mining safety and health matters for the year ended December 31, 2017 (Appendix 1):</w:t>
      </w:r>
    </w:p>
    <w:p>
      <w:pPr>
        <w:spacing w:after="0" w:line="140" w:lineRule="exact"/>
        <w:rPr>
          <w:sz w:val="20"/>
          <w:szCs w:val="20"/>
          <w:color w:val="auto"/>
        </w:rPr>
      </w:pPr>
    </w:p>
    <w:p>
      <w:pPr>
        <w:ind w:left="440" w:right="40" w:hanging="332"/>
        <w:spacing w:after="0" w:line="282" w:lineRule="auto"/>
        <w:tabs>
          <w:tab w:leader="none" w:pos="44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Total number of violations of mandatory health or safety standards that could significantly and substantially contribute to the cause and effect of a mine safety or health hazard under section 104 of the Mine Act for which the Company received a citation from MSHA (hereinafter, “Section 104 S&amp;S Citations”). If MSHA determines that a violation of a mandatory health or safety standard is reasonably likely to result in a reasonably serious injury or illness under the unique circumstance contributed to by the violation, MSHA will classify the violation as a “significant and substantial” violation (commonly referred to as a “S&amp;S” violation). MSHA inspectors will classify each citation or order written as a “S&amp;S” violation or not.</w:t>
      </w:r>
    </w:p>
    <w:p>
      <w:pPr>
        <w:spacing w:after="0" w:line="74" w:lineRule="exact"/>
        <w:rPr>
          <w:rFonts w:ascii="Arial" w:cs="Arial" w:eastAsia="Arial" w:hAnsi="Arial"/>
          <w:sz w:val="16"/>
          <w:szCs w:val="16"/>
          <w:color w:val="auto"/>
        </w:rPr>
      </w:pPr>
    </w:p>
    <w:p>
      <w:pPr>
        <w:ind w:left="440" w:right="60" w:hanging="332"/>
        <w:spacing w:after="0" w:line="322" w:lineRule="auto"/>
        <w:tabs>
          <w:tab w:leader="none" w:pos="440" w:val="left"/>
        </w:tabs>
        <w:numPr>
          <w:ilvl w:val="0"/>
          <w:numId w:val="70"/>
        </w:numPr>
        <w:rPr>
          <w:rFonts w:ascii="Arial" w:cs="Arial" w:eastAsia="Arial" w:hAnsi="Arial"/>
          <w:sz w:val="15"/>
          <w:szCs w:val="15"/>
          <w:color w:val="auto"/>
        </w:rPr>
      </w:pPr>
      <w:r>
        <w:rPr>
          <w:rFonts w:ascii="Arial" w:cs="Arial" w:eastAsia="Arial" w:hAnsi="Arial"/>
          <w:sz w:val="15"/>
          <w:szCs w:val="15"/>
          <w:color w:val="auto"/>
        </w:rPr>
        <w:t>Total number of orders issued under section 104(b) of the Mine Act (hereinafter, “Section 104(b) Orders”). These orders are issued for situations in which MSHA determines a previous violation covered by a Section 104(a) citation has not been totally abated within the prescribed time period, so a further order is needed to require the mine operator to immediately withdraw all persons (except certain authorized persons) from the affected area of a quarry or mine.</w:t>
      </w:r>
    </w:p>
    <w:p>
      <w:pPr>
        <w:sectPr>
          <w:pgSz w:w="11900" w:h="16838" w:orient="portrait"/>
          <w:cols w:equalWidth="0" w:num="1">
            <w:col w:w="11420"/>
          </w:cols>
          <w:pgMar w:left="240" w:top="121" w:right="239" w:bottom="1440" w:gutter="0" w:footer="0" w:header="0"/>
        </w:sectPr>
      </w:pPr>
    </w:p>
    <w:bookmarkStart w:id="155" w:name="page156"/>
    <w:bookmarkEnd w:id="155"/>
    <w:p>
      <w:pPr>
        <w:ind w:left="440" w:right="40" w:hanging="332"/>
        <w:spacing w:after="0" w:line="311" w:lineRule="auto"/>
        <w:tabs>
          <w:tab w:leader="none" w:pos="440" w:val="left"/>
        </w:tabs>
        <w:numPr>
          <w:ilvl w:val="0"/>
          <w:numId w:val="71"/>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4">
                      <a:extLst>
                        <a:ext uri="{28A0092B-C50C-407E-A947-70E740481C1C}"/>
                      </a:extLst>
                    </a:blip>
                    <a:srcRect/>
                    <a:stretch>
                      <a:fillRect/>
                    </a:stretch>
                  </pic:blipFill>
                  <pic:spPr bwMode="auto">
                    <a:xfrm>
                      <a:off x="0" y="0"/>
                      <a:ext cx="7293610" cy="37465"/>
                    </a:xfrm>
                    <a:prstGeom prst="rect">
                      <a:avLst/>
                    </a:prstGeom>
                    <a:noFill/>
                  </pic:spPr>
                </pic:pic>
              </a:graphicData>
            </a:graphic>
          </wp:anchor>
        </w:drawing>
        <w:t>Total number of citations and orders for unwarrantable failure of the mine operator to comply with mandatory health or safety standards under Section 104(d) of the Mine Act (hereinafter, “Section 104(d) Citations and Orders”). These violations are similar to those described above, but the standard is that the violation could significantly and substantially contribute to the cause and effect of a safety or health hazard, but the conditions do not cause imminent danger, and the MSHA inspector finds that the violation is caused by an unwarranted failure of the operator to comply with the health and safety standards.</w:t>
      </w:r>
    </w:p>
    <w:p>
      <w:pPr>
        <w:spacing w:after="0" w:line="53" w:lineRule="exact"/>
        <w:rPr>
          <w:rFonts w:ascii="Arial" w:cs="Arial" w:eastAsia="Arial" w:hAnsi="Arial"/>
          <w:sz w:val="15"/>
          <w:szCs w:val="15"/>
          <w:color w:val="auto"/>
        </w:rPr>
      </w:pPr>
    </w:p>
    <w:p>
      <w:pPr>
        <w:ind w:left="440" w:right="60" w:hanging="332"/>
        <w:spacing w:after="0" w:line="265" w:lineRule="auto"/>
        <w:tabs>
          <w:tab w:leader="none" w:pos="44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Total number of flagrant violations under section 110(b)(2) of the Mine Act (hereinafter, “Section 110(b)(2) Violations”). These violations are penalty violations issued if MSHA determines that violations are “flagrant”, for which civil penalties may be assessed. A “flagrant” violation means a reckless or repeated failure to make reasonable efforts to eliminate a known violation of a mandatory health or safety standard that substantially and proximately caused, or reasonably could have been expected to cause, death or serious bodily injury.</w:t>
      </w:r>
    </w:p>
    <w:p>
      <w:pPr>
        <w:spacing w:after="0" w:line="84" w:lineRule="exact"/>
        <w:rPr>
          <w:rFonts w:ascii="Arial" w:cs="Arial" w:eastAsia="Arial" w:hAnsi="Arial"/>
          <w:sz w:val="17"/>
          <w:szCs w:val="17"/>
          <w:color w:val="auto"/>
        </w:rPr>
      </w:pPr>
    </w:p>
    <w:p>
      <w:pPr>
        <w:ind w:left="440" w:right="120" w:hanging="332"/>
        <w:spacing w:after="0" w:line="265" w:lineRule="auto"/>
        <w:tabs>
          <w:tab w:leader="none" w:pos="44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Total number of imminent danger orders issued under section 107(a) of the Mine Act (hereinafter, “Section 107(a) Orders”). These orders are issued for situations in which MSHA determines an imminent danger exists in the quarry or mine and results in orders of immediate withdrawal of all persons (except certain authorized persons) from the area of the quarry or mine affected by its condition until the imminent danger and the underlying conditions causing the imminent danger no longer exist.</w:t>
      </w:r>
    </w:p>
    <w:p>
      <w:pPr>
        <w:spacing w:after="0" w:line="84" w:lineRule="exact"/>
        <w:rPr>
          <w:rFonts w:ascii="Arial" w:cs="Arial" w:eastAsia="Arial" w:hAnsi="Arial"/>
          <w:sz w:val="17"/>
          <w:szCs w:val="17"/>
          <w:color w:val="auto"/>
        </w:rPr>
      </w:pPr>
    </w:p>
    <w:p>
      <w:pPr>
        <w:ind w:left="440" w:hanging="332"/>
        <w:spacing w:after="0" w:line="265" w:lineRule="auto"/>
        <w:tabs>
          <w:tab w:leader="none" w:pos="44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Total Dollar Value of MSHA Assessments Proposed. These are the amounts of proposed assessments issued by MSHA with each citation or order for the time period covered by the report. Penalties are assessed by MSHA according to a formula that considers a number of factors, including the mine operator’s history, size, negligence, gravity of the violation, good faith in trying to correct the violation promptly, and the effect of the penalty on the operator’s ability to continue in business.</w:t>
      </w:r>
    </w:p>
    <w:p>
      <w:pPr>
        <w:spacing w:after="0" w:line="84" w:lineRule="exact"/>
        <w:rPr>
          <w:rFonts w:ascii="Arial" w:cs="Arial" w:eastAsia="Arial" w:hAnsi="Arial"/>
          <w:sz w:val="17"/>
          <w:szCs w:val="17"/>
          <w:color w:val="auto"/>
        </w:rPr>
      </w:pPr>
    </w:p>
    <w:p>
      <w:pPr>
        <w:ind w:left="440" w:right="140" w:hanging="332"/>
        <w:spacing w:after="0" w:line="270" w:lineRule="auto"/>
        <w:tabs>
          <w:tab w:leader="none" w:pos="44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Total Number of Mining-Related Fatalities. Mines subject to the Mine Act are required to report all fatalities occurring at their facilities unless the fatality is determined to be “non-chargeable” to the mining industry. The final rules of the SEC require disclosure of mining-related fatalities at mines subject to the Mine Act. Only fatalities determined by MSHA not to be mining-related may be excluded.</w:t>
      </w:r>
    </w:p>
    <w:p>
      <w:pPr>
        <w:spacing w:after="0" w:line="80" w:lineRule="exact"/>
        <w:rPr>
          <w:rFonts w:ascii="Arial" w:cs="Arial" w:eastAsia="Arial" w:hAnsi="Arial"/>
          <w:sz w:val="17"/>
          <w:szCs w:val="17"/>
          <w:color w:val="auto"/>
        </w:rPr>
      </w:pPr>
    </w:p>
    <w:p>
      <w:pPr>
        <w:jc w:val="both"/>
        <w:ind w:left="440" w:right="20" w:hanging="332"/>
        <w:spacing w:after="0" w:line="265" w:lineRule="auto"/>
        <w:tabs>
          <w:tab w:leader="none" w:pos="440" w:val="left"/>
        </w:tabs>
        <w:numPr>
          <w:ilvl w:val="0"/>
          <w:numId w:val="71"/>
        </w:numPr>
        <w:rPr>
          <w:rFonts w:ascii="Arial" w:cs="Arial" w:eastAsia="Arial" w:hAnsi="Arial"/>
          <w:sz w:val="17"/>
          <w:szCs w:val="17"/>
          <w:color w:val="auto"/>
        </w:rPr>
      </w:pPr>
      <w:r>
        <w:rPr>
          <w:rFonts w:ascii="Arial" w:cs="Arial" w:eastAsia="Arial" w:hAnsi="Arial"/>
          <w:sz w:val="17"/>
          <w:szCs w:val="17"/>
          <w:color w:val="auto"/>
        </w:rPr>
        <w:t>Receipt of written notice from MSHA of a pattern (or a potential to have such a pattern) of violations of mandatory health or safety standards that are of such nature as could have significantly and substantially contributed to the cause and effect of other mine health or safety hazards under section 104(e) of the Mine Act. If MHSA determines that a mine has a “pattern” of these types of violations, or the potential to have such a pattern, MSHA is required to notify the mine operator of the existence of such a thing.</w:t>
      </w:r>
    </w:p>
    <w:p>
      <w:pPr>
        <w:spacing w:after="0" w:line="84" w:lineRule="exact"/>
        <w:rPr>
          <w:rFonts w:ascii="Arial" w:cs="Arial" w:eastAsia="Arial" w:hAnsi="Arial"/>
          <w:sz w:val="17"/>
          <w:szCs w:val="17"/>
          <w:color w:val="auto"/>
        </w:rPr>
      </w:pPr>
    </w:p>
    <w:p>
      <w:pPr>
        <w:ind w:left="440" w:hanging="332"/>
        <w:spacing w:after="0"/>
        <w:tabs>
          <w:tab w:leader="none" w:pos="440" w:val="left"/>
        </w:tabs>
        <w:numPr>
          <w:ilvl w:val="0"/>
          <w:numId w:val="71"/>
        </w:numPr>
        <w:rPr>
          <w:rFonts w:ascii="Arial" w:cs="Arial" w:eastAsia="Arial" w:hAnsi="Arial"/>
          <w:sz w:val="17"/>
          <w:szCs w:val="17"/>
          <w:color w:val="auto"/>
        </w:rPr>
      </w:pPr>
      <w:r>
        <w:rPr>
          <w:rFonts w:ascii="Arial" w:cs="Arial" w:eastAsia="Arial" w:hAnsi="Arial"/>
          <w:sz w:val="17"/>
          <w:szCs w:val="17"/>
          <w:color w:val="auto"/>
        </w:rPr>
        <w:t>Legal Actions Pending as of the Last Day of Period.</w:t>
      </w:r>
    </w:p>
    <w:p>
      <w:pPr>
        <w:spacing w:after="0" w:line="128" w:lineRule="exact"/>
        <w:rPr>
          <w:rFonts w:ascii="Arial" w:cs="Arial" w:eastAsia="Arial" w:hAnsi="Arial"/>
          <w:sz w:val="17"/>
          <w:szCs w:val="17"/>
          <w:color w:val="auto"/>
        </w:rPr>
      </w:pPr>
    </w:p>
    <w:p>
      <w:pPr>
        <w:ind w:left="440" w:hanging="332"/>
        <w:spacing w:after="0"/>
        <w:tabs>
          <w:tab w:leader="none" w:pos="440" w:val="left"/>
        </w:tabs>
        <w:numPr>
          <w:ilvl w:val="0"/>
          <w:numId w:val="71"/>
        </w:numPr>
        <w:rPr>
          <w:rFonts w:ascii="Arial" w:cs="Arial" w:eastAsia="Arial" w:hAnsi="Arial"/>
          <w:sz w:val="17"/>
          <w:szCs w:val="17"/>
          <w:color w:val="auto"/>
        </w:rPr>
      </w:pPr>
      <w:r>
        <w:rPr>
          <w:rFonts w:ascii="Arial" w:cs="Arial" w:eastAsia="Arial" w:hAnsi="Arial"/>
          <w:sz w:val="17"/>
          <w:szCs w:val="17"/>
          <w:color w:val="auto"/>
        </w:rPr>
        <w:t>Legal Actions Initiated During Period.</w:t>
      </w:r>
    </w:p>
    <w:p>
      <w:pPr>
        <w:spacing w:after="0" w:line="128" w:lineRule="exact"/>
        <w:rPr>
          <w:rFonts w:ascii="Arial" w:cs="Arial" w:eastAsia="Arial" w:hAnsi="Arial"/>
          <w:sz w:val="17"/>
          <w:szCs w:val="17"/>
          <w:color w:val="auto"/>
        </w:rPr>
      </w:pPr>
    </w:p>
    <w:p>
      <w:pPr>
        <w:ind w:left="440" w:hanging="332"/>
        <w:spacing w:after="0"/>
        <w:tabs>
          <w:tab w:leader="none" w:pos="440" w:val="left"/>
        </w:tabs>
        <w:numPr>
          <w:ilvl w:val="0"/>
          <w:numId w:val="71"/>
        </w:numPr>
        <w:rPr>
          <w:rFonts w:ascii="Arial" w:cs="Arial" w:eastAsia="Arial" w:hAnsi="Arial"/>
          <w:sz w:val="17"/>
          <w:szCs w:val="17"/>
          <w:color w:val="auto"/>
        </w:rPr>
      </w:pPr>
      <w:r>
        <w:rPr>
          <w:rFonts w:ascii="Arial" w:cs="Arial" w:eastAsia="Arial" w:hAnsi="Arial"/>
          <w:sz w:val="17"/>
          <w:szCs w:val="17"/>
          <w:color w:val="auto"/>
        </w:rPr>
        <w:t>Legal Actions Resolved During Period.</w:t>
      </w:r>
    </w:p>
    <w:p>
      <w:pPr>
        <w:spacing w:after="0" w:line="220" w:lineRule="exact"/>
        <w:rPr>
          <w:sz w:val="20"/>
          <w:szCs w:val="20"/>
          <w:color w:val="auto"/>
        </w:rPr>
      </w:pPr>
    </w:p>
    <w:p>
      <w:pPr>
        <w:ind w:right="200" w:firstLine="457"/>
        <w:spacing w:after="0" w:line="270" w:lineRule="auto"/>
        <w:rPr>
          <w:sz w:val="20"/>
          <w:szCs w:val="20"/>
          <w:color w:val="auto"/>
        </w:rPr>
      </w:pPr>
      <w:r>
        <w:rPr>
          <w:rFonts w:ascii="Arial" w:cs="Arial" w:eastAsia="Arial" w:hAnsi="Arial"/>
          <w:sz w:val="17"/>
          <w:szCs w:val="17"/>
          <w:color w:val="auto"/>
        </w:rPr>
        <w:t>The Federal Mine Safety and Health Review Commission (the “Commission”) is an independent adjudicative agency that provides administrative trial and appellate review of legal disputes arising under the Mine Act. The cases may involve, among other questions, challenges by operators to citations, orders and penalties they have received from MSHA, or complaints of discrimination by miners under Section 105 of the</w:t>
      </w:r>
    </w:p>
    <w:p>
      <w:pPr>
        <w:sectPr>
          <w:pgSz w:w="11900" w:h="16838" w:orient="portrait"/>
          <w:cols w:equalWidth="0" w:num="1">
            <w:col w:w="11380"/>
          </w:cols>
          <w:pgMar w:left="240" w:top="270" w:right="279" w:bottom="1440" w:gutter="0" w:footer="0" w:header="0"/>
        </w:sectPr>
      </w:pPr>
    </w:p>
    <w:bookmarkStart w:id="156" w:name="page157"/>
    <w:bookmarkEnd w:id="156"/>
    <w:p>
      <w:pPr>
        <w:spacing w:after="0" w:line="26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5">
                      <a:extLst>
                        <a:ext uri="{28A0092B-C50C-407E-A947-70E740481C1C}"/>
                      </a:extLst>
                    </a:blip>
                    <a:srcRect/>
                    <a:stretch>
                      <a:fillRect/>
                    </a:stretch>
                  </pic:blipFill>
                  <pic:spPr bwMode="auto">
                    <a:xfrm>
                      <a:off x="0" y="0"/>
                      <a:ext cx="7293610" cy="37465"/>
                    </a:xfrm>
                    <a:prstGeom prst="rect">
                      <a:avLst/>
                    </a:prstGeom>
                    <a:noFill/>
                  </pic:spPr>
                </pic:pic>
              </a:graphicData>
            </a:graphic>
          </wp:anchor>
        </w:drawing>
        <w:t>Mine Act. Appendix 1 shows, for each of the Company’s quarries and mines identified, as of December 31, 2017, the number of legal actions pending before the Commission, along with the number of legal actions initiated before the Commission during the year as well as resolved during the year. In addition, Appendix 1 includes a footnote to the column for legal actions before the Commission pending as of the last day of the period, which footnote breaks down that total number of legal actions pending by categories according to the type of proceeding in accordance with various categories established by the Procedural Rules of the Commission.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Appendix 1 attached</w:t>
      </w:r>
    </w:p>
    <w:p>
      <w:pPr>
        <w:sectPr>
          <w:pgSz w:w="11900" w:h="16838" w:orient="portrait"/>
          <w:cols w:equalWidth="0" w:num="1">
            <w:col w:w="11320"/>
          </w:cols>
          <w:pgMar w:left="240" w:top="270" w:right="339" w:bottom="1440" w:gutter="0" w:footer="0" w:header="0"/>
        </w:sectPr>
      </w:pPr>
    </w:p>
    <w:bookmarkStart w:id="157" w:name="page158"/>
    <w:bookmarkEnd w:id="157"/>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6">
                      <a:extLst>
                        <a:ext uri="{28A0092B-C50C-407E-A947-70E740481C1C}"/>
                      </a:extLst>
                    </a:blip>
                    <a:srcRect/>
                    <a:stretch>
                      <a:fillRect/>
                    </a:stretch>
                  </pic:blipFill>
                  <pic:spPr bwMode="auto">
                    <a:xfrm>
                      <a:off x="0" y="0"/>
                      <a:ext cx="7293610" cy="37465"/>
                    </a:xfrm>
                    <a:prstGeom prst="rect">
                      <a:avLst/>
                    </a:prstGeom>
                    <a:noFill/>
                  </pic:spPr>
                </pic:pic>
              </a:graphicData>
            </a:graphic>
          </wp:anchor>
        </w:drawing>
        <w:t>Appendix 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4"/>
              </w:rPr>
              <w:t>Received</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4"/>
              </w:rPr>
              <w:t>Received</w:t>
            </w: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Legal</w:t>
            </w: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Total</w:t>
            </w:r>
          </w:p>
        </w:tc>
        <w:tc>
          <w:tcPr>
            <w:tcW w:w="7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6"/>
              </w:rPr>
              <w:t>Notice of</w:t>
            </w:r>
          </w:p>
        </w:tc>
        <w:tc>
          <w:tcPr>
            <w:tcW w:w="6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6"/>
              </w:rPr>
              <w:t>Notice of</w:t>
            </w:r>
          </w:p>
        </w:tc>
        <w:tc>
          <w:tcPr>
            <w:tcW w:w="66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Section</w:t>
            </w: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vMerge w:val="restart"/>
          </w:tcPr>
          <w:p>
            <w:pPr>
              <w:jc w:val="center"/>
              <w:ind w:right="137"/>
              <w:spacing w:after="0"/>
              <w:rPr>
                <w:sz w:val="20"/>
                <w:szCs w:val="20"/>
                <w:color w:val="auto"/>
              </w:rPr>
            </w:pPr>
            <w:r>
              <w:rPr>
                <w:rFonts w:ascii="Arial" w:cs="Arial" w:eastAsia="Arial" w:hAnsi="Arial"/>
                <w:sz w:val="14"/>
                <w:szCs w:val="14"/>
                <w:b w:val="1"/>
                <w:bCs w:val="1"/>
                <w:color w:val="auto"/>
                <w:w w:val="95"/>
              </w:rPr>
              <w:t>Total</w:t>
            </w:r>
          </w:p>
        </w:tc>
        <w:tc>
          <w:tcPr>
            <w:tcW w:w="760" w:type="dxa"/>
            <w:vAlign w:val="bottom"/>
            <w:vMerge w:val="continue"/>
          </w:tcPr>
          <w:p>
            <w:pPr>
              <w:spacing w:after="0"/>
              <w:rPr>
                <w:sz w:val="12"/>
                <w:szCs w:val="12"/>
                <w:color w:val="auto"/>
              </w:rPr>
            </w:pPr>
          </w:p>
        </w:tc>
        <w:tc>
          <w:tcPr>
            <w:tcW w:w="7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1"/>
              </w:rPr>
              <w:t>Pattern</w:t>
            </w:r>
          </w:p>
        </w:tc>
        <w:tc>
          <w:tcPr>
            <w:tcW w:w="6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1"/>
              </w:rPr>
              <w:t>Potential</w:t>
            </w:r>
          </w:p>
        </w:tc>
        <w:tc>
          <w:tcPr>
            <w:tcW w:w="6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5"/>
              </w:rPr>
              <w:t>Actions</w:t>
            </w: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Legal</w:t>
            </w: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Legal</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7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0"/>
              </w:rPr>
              <w:t>Number</w:t>
            </w:r>
          </w:p>
        </w:tc>
        <w:tc>
          <w:tcPr>
            <w:tcW w:w="7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0"/>
              </w:rPr>
              <w:t>of</w:t>
            </w:r>
          </w:p>
        </w:tc>
        <w:tc>
          <w:tcPr>
            <w:tcW w:w="6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5"/>
              </w:rPr>
              <w:t>to have</w:t>
            </w:r>
          </w:p>
        </w:tc>
        <w:tc>
          <w:tcPr>
            <w:tcW w:w="660" w:type="dxa"/>
            <w:vAlign w:val="bottom"/>
          </w:tcPr>
          <w:p>
            <w:pPr>
              <w:jc w:val="right"/>
              <w:ind w:right="18"/>
              <w:spacing w:after="0" w:line="143" w:lineRule="exact"/>
              <w:rPr>
                <w:sz w:val="20"/>
                <w:szCs w:val="20"/>
                <w:color w:val="auto"/>
              </w:rPr>
            </w:pPr>
            <w:r>
              <w:rPr>
                <w:rFonts w:ascii="Arial" w:cs="Arial" w:eastAsia="Arial" w:hAnsi="Arial"/>
                <w:sz w:val="14"/>
                <w:szCs w:val="14"/>
                <w:b w:val="1"/>
                <w:bCs w:val="1"/>
                <w:color w:val="auto"/>
                <w:w w:val="97"/>
              </w:rPr>
              <w:t>Pending</w:t>
            </w:r>
          </w:p>
        </w:tc>
        <w:tc>
          <w:tcPr>
            <w:tcW w:w="78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2"/>
              </w:rPr>
              <w:t>Section</w:t>
            </w:r>
          </w:p>
        </w:tc>
        <w:tc>
          <w:tcPr>
            <w:tcW w:w="64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w w:val="98"/>
              </w:rPr>
              <w:t>Section</w:t>
            </w:r>
          </w:p>
        </w:tc>
        <w:tc>
          <w:tcPr>
            <w:tcW w:w="7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2"/>
              </w:rPr>
              <w:t>104(d)</w:t>
            </w:r>
          </w:p>
        </w:tc>
        <w:tc>
          <w:tcPr>
            <w:tcW w:w="78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Section</w:t>
            </w:r>
          </w:p>
        </w:tc>
        <w:tc>
          <w:tcPr>
            <w:tcW w:w="64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rPr>
              <w:t>Section</w:t>
            </w:r>
          </w:p>
        </w:tc>
        <w:tc>
          <w:tcPr>
            <w:tcW w:w="220" w:type="dxa"/>
            <w:vAlign w:val="bottom"/>
          </w:tcPr>
          <w:p>
            <w:pPr>
              <w:spacing w:after="0"/>
              <w:rPr>
                <w:sz w:val="12"/>
                <w:szCs w:val="12"/>
                <w:color w:val="auto"/>
              </w:rPr>
            </w:pPr>
          </w:p>
        </w:tc>
        <w:tc>
          <w:tcPr>
            <w:tcW w:w="700" w:type="dxa"/>
            <w:vAlign w:val="bottom"/>
          </w:tcPr>
          <w:p>
            <w:pPr>
              <w:jc w:val="center"/>
              <w:ind w:right="137"/>
              <w:spacing w:after="0" w:line="143" w:lineRule="exact"/>
              <w:rPr>
                <w:sz w:val="20"/>
                <w:szCs w:val="20"/>
                <w:color w:val="auto"/>
              </w:rPr>
            </w:pPr>
            <w:r>
              <w:rPr>
                <w:rFonts w:ascii="Arial" w:cs="Arial" w:eastAsia="Arial" w:hAnsi="Arial"/>
                <w:sz w:val="14"/>
                <w:szCs w:val="14"/>
                <w:b w:val="1"/>
                <w:bCs w:val="1"/>
                <w:color w:val="auto"/>
                <w:w w:val="90"/>
              </w:rPr>
              <w:t>Dollar</w:t>
            </w:r>
          </w:p>
        </w:tc>
        <w:tc>
          <w:tcPr>
            <w:tcW w:w="7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0"/>
              </w:rPr>
              <w:t>of</w:t>
            </w:r>
          </w:p>
        </w:tc>
        <w:tc>
          <w:tcPr>
            <w:tcW w:w="7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1"/>
              </w:rPr>
              <w:t>Violation</w:t>
            </w:r>
          </w:p>
        </w:tc>
        <w:tc>
          <w:tcPr>
            <w:tcW w:w="6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1"/>
              </w:rPr>
              <w:t>Pattern</w:t>
            </w:r>
          </w:p>
        </w:tc>
        <w:tc>
          <w:tcPr>
            <w:tcW w:w="6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5"/>
              </w:rPr>
              <w:t>as of</w:t>
            </w:r>
          </w:p>
        </w:tc>
        <w:tc>
          <w:tcPr>
            <w:tcW w:w="7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5"/>
              </w:rPr>
              <w:t>Actions</w:t>
            </w:r>
          </w:p>
        </w:tc>
        <w:tc>
          <w:tcPr>
            <w:tcW w:w="6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5"/>
              </w:rPr>
              <w:t>Actions</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740" w:type="dxa"/>
            <w:vAlign w:val="bottom"/>
          </w:tcPr>
          <w:p>
            <w:pPr>
              <w:jc w:val="right"/>
              <w:ind w:right="17"/>
              <w:spacing w:after="0" w:line="143" w:lineRule="exact"/>
              <w:rPr>
                <w:sz w:val="20"/>
                <w:szCs w:val="20"/>
                <w:color w:val="auto"/>
              </w:rPr>
            </w:pPr>
            <w:r>
              <w:rPr>
                <w:rFonts w:ascii="Arial" w:cs="Arial" w:eastAsia="Arial" w:hAnsi="Arial"/>
                <w:sz w:val="14"/>
                <w:szCs w:val="14"/>
                <w:b w:val="1"/>
                <w:bCs w:val="1"/>
                <w:color w:val="auto"/>
              </w:rPr>
              <w:t>Citations</w:t>
            </w:r>
          </w:p>
        </w:tc>
        <w:tc>
          <w:tcPr>
            <w:tcW w:w="78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center"/>
              <w:ind w:right="137"/>
              <w:spacing w:after="0" w:line="143" w:lineRule="exact"/>
              <w:rPr>
                <w:sz w:val="20"/>
                <w:szCs w:val="20"/>
                <w:color w:val="auto"/>
              </w:rPr>
            </w:pPr>
            <w:r>
              <w:rPr>
                <w:rFonts w:ascii="Arial" w:cs="Arial" w:eastAsia="Arial" w:hAnsi="Arial"/>
                <w:sz w:val="14"/>
                <w:szCs w:val="14"/>
                <w:b w:val="1"/>
                <w:bCs w:val="1"/>
                <w:color w:val="auto"/>
                <w:w w:val="88"/>
              </w:rPr>
              <w:t>Value of</w:t>
            </w:r>
          </w:p>
        </w:tc>
        <w:tc>
          <w:tcPr>
            <w:tcW w:w="7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7"/>
              </w:rPr>
              <w:t>Mining</w:t>
            </w:r>
          </w:p>
        </w:tc>
        <w:tc>
          <w:tcPr>
            <w:tcW w:w="7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3"/>
              </w:rPr>
              <w:t>Under</w:t>
            </w:r>
          </w:p>
        </w:tc>
        <w:tc>
          <w:tcPr>
            <w:tcW w:w="6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2"/>
              </w:rPr>
              <w:t>under</w:t>
            </w:r>
          </w:p>
        </w:tc>
        <w:tc>
          <w:tcPr>
            <w:tcW w:w="6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7"/>
              </w:rPr>
              <w:t>Last</w:t>
            </w:r>
          </w:p>
        </w:tc>
        <w:tc>
          <w:tcPr>
            <w:tcW w:w="780" w:type="dxa"/>
            <w:vAlign w:val="bottom"/>
          </w:tcPr>
          <w:p>
            <w:pPr>
              <w:jc w:val="right"/>
              <w:ind w:right="17"/>
              <w:spacing w:after="0" w:line="143" w:lineRule="exact"/>
              <w:rPr>
                <w:sz w:val="20"/>
                <w:szCs w:val="20"/>
                <w:color w:val="auto"/>
              </w:rPr>
            </w:pPr>
            <w:r>
              <w:rPr>
                <w:rFonts w:ascii="Arial" w:cs="Arial" w:eastAsia="Arial" w:hAnsi="Arial"/>
                <w:sz w:val="14"/>
                <w:szCs w:val="14"/>
                <w:b w:val="1"/>
                <w:bCs w:val="1"/>
                <w:color w:val="auto"/>
              </w:rPr>
              <w:t>Instituted</w:t>
            </w:r>
          </w:p>
        </w:tc>
        <w:tc>
          <w:tcPr>
            <w:tcW w:w="680" w:type="dxa"/>
            <w:vAlign w:val="bottom"/>
          </w:tcPr>
          <w:p>
            <w:pPr>
              <w:jc w:val="right"/>
              <w:spacing w:after="0" w:line="143" w:lineRule="exact"/>
              <w:rPr>
                <w:sz w:val="20"/>
                <w:szCs w:val="20"/>
                <w:color w:val="auto"/>
              </w:rPr>
            </w:pPr>
            <w:r>
              <w:rPr>
                <w:rFonts w:ascii="Arial" w:cs="Arial" w:eastAsia="Arial" w:hAnsi="Arial"/>
                <w:sz w:val="14"/>
                <w:szCs w:val="14"/>
                <w:b w:val="1"/>
                <w:bCs w:val="1"/>
                <w:color w:val="auto"/>
                <w:w w:val="99"/>
              </w:rPr>
              <w:t>Resolved</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9"/>
              </w:rPr>
              <w:t>104 S&amp;S</w:t>
            </w:r>
          </w:p>
        </w:tc>
        <w:tc>
          <w:tcPr>
            <w:tcW w:w="6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2"/>
              </w:rPr>
              <w:t>104(b)</w:t>
            </w:r>
          </w:p>
        </w:tc>
        <w:tc>
          <w:tcPr>
            <w:tcW w:w="7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8"/>
              </w:rPr>
              <w:t>and</w:t>
            </w:r>
          </w:p>
        </w:tc>
        <w:tc>
          <w:tcPr>
            <w:tcW w:w="7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2"/>
              </w:rPr>
              <w:t>110(b)(2)</w:t>
            </w:r>
          </w:p>
        </w:tc>
        <w:tc>
          <w:tcPr>
            <w:tcW w:w="6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8"/>
              </w:rPr>
              <w:t>107(a)</w:t>
            </w:r>
          </w:p>
        </w:tc>
        <w:tc>
          <w:tcPr>
            <w:tcW w:w="220" w:type="dxa"/>
            <w:vAlign w:val="bottom"/>
          </w:tcPr>
          <w:p>
            <w:pPr>
              <w:spacing w:after="0"/>
              <w:rPr>
                <w:sz w:val="12"/>
                <w:szCs w:val="12"/>
                <w:color w:val="auto"/>
              </w:rPr>
            </w:pPr>
          </w:p>
        </w:tc>
        <w:tc>
          <w:tcPr>
            <w:tcW w:w="700" w:type="dxa"/>
            <w:vAlign w:val="bottom"/>
          </w:tcPr>
          <w:p>
            <w:pPr>
              <w:jc w:val="center"/>
              <w:ind w:right="137"/>
              <w:spacing w:after="0" w:line="143" w:lineRule="exact"/>
              <w:rPr>
                <w:sz w:val="20"/>
                <w:szCs w:val="20"/>
                <w:color w:val="auto"/>
              </w:rPr>
            </w:pPr>
            <w:r>
              <w:rPr>
                <w:rFonts w:ascii="Arial" w:cs="Arial" w:eastAsia="Arial" w:hAnsi="Arial"/>
                <w:sz w:val="14"/>
                <w:szCs w:val="14"/>
                <w:b w:val="1"/>
                <w:bCs w:val="1"/>
                <w:color w:val="auto"/>
                <w:w w:val="96"/>
              </w:rPr>
              <w:t>MSHA</w:t>
            </w:r>
          </w:p>
        </w:tc>
        <w:tc>
          <w:tcPr>
            <w:tcW w:w="7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6"/>
              </w:rPr>
              <w:t>Related</w:t>
            </w:r>
          </w:p>
        </w:tc>
        <w:tc>
          <w:tcPr>
            <w:tcW w:w="7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6"/>
              </w:rPr>
              <w:t>Section</w:t>
            </w:r>
          </w:p>
        </w:tc>
        <w:tc>
          <w:tcPr>
            <w:tcW w:w="6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6"/>
              </w:rPr>
              <w:t>Section</w:t>
            </w:r>
          </w:p>
        </w:tc>
        <w:tc>
          <w:tcPr>
            <w:tcW w:w="6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3"/>
              </w:rPr>
              <w:t>Day of</w:t>
            </w:r>
          </w:p>
        </w:tc>
        <w:tc>
          <w:tcPr>
            <w:tcW w:w="7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3"/>
              </w:rPr>
              <w:t>During</w:t>
            </w:r>
          </w:p>
        </w:tc>
        <w:tc>
          <w:tcPr>
            <w:tcW w:w="6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3"/>
              </w:rPr>
              <w:t>During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jc w:val="right"/>
              <w:ind w:right="16"/>
              <w:spacing w:after="0" w:line="143" w:lineRule="exact"/>
              <w:rPr>
                <w:sz w:val="20"/>
                <w:szCs w:val="20"/>
                <w:color w:val="auto"/>
              </w:rPr>
            </w:pPr>
            <w:r>
              <w:rPr>
                <w:rFonts w:ascii="Arial" w:cs="Arial" w:eastAsia="Arial" w:hAnsi="Arial"/>
                <w:sz w:val="14"/>
                <w:szCs w:val="14"/>
                <w:b w:val="1"/>
                <w:bCs w:val="1"/>
                <w:color w:val="auto"/>
              </w:rPr>
              <w:t>Citations</w:t>
            </w:r>
          </w:p>
        </w:tc>
        <w:tc>
          <w:tcPr>
            <w:tcW w:w="640" w:type="dxa"/>
            <w:vAlign w:val="bottom"/>
          </w:tcPr>
          <w:p>
            <w:pPr>
              <w:jc w:val="right"/>
              <w:ind w:right="36"/>
              <w:spacing w:after="0" w:line="143" w:lineRule="exact"/>
              <w:rPr>
                <w:sz w:val="20"/>
                <w:szCs w:val="20"/>
                <w:color w:val="auto"/>
              </w:rPr>
            </w:pPr>
            <w:r>
              <w:rPr>
                <w:rFonts w:ascii="Arial" w:cs="Arial" w:eastAsia="Arial" w:hAnsi="Arial"/>
                <w:sz w:val="14"/>
                <w:szCs w:val="14"/>
                <w:b w:val="1"/>
                <w:bCs w:val="1"/>
                <w:color w:val="auto"/>
              </w:rPr>
              <w:t>Orders</w:t>
            </w:r>
          </w:p>
        </w:tc>
        <w:tc>
          <w:tcPr>
            <w:tcW w:w="7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1"/>
              </w:rPr>
              <w:t>Orders</w:t>
            </w:r>
          </w:p>
        </w:tc>
        <w:tc>
          <w:tcPr>
            <w:tcW w:w="780" w:type="dxa"/>
            <w:vAlign w:val="bottom"/>
          </w:tcPr>
          <w:p>
            <w:pPr>
              <w:jc w:val="right"/>
              <w:ind w:right="16"/>
              <w:spacing w:after="0" w:line="143" w:lineRule="exact"/>
              <w:rPr>
                <w:sz w:val="20"/>
                <w:szCs w:val="20"/>
                <w:color w:val="auto"/>
              </w:rPr>
            </w:pPr>
            <w:r>
              <w:rPr>
                <w:rFonts w:ascii="Arial" w:cs="Arial" w:eastAsia="Arial" w:hAnsi="Arial"/>
                <w:sz w:val="14"/>
                <w:szCs w:val="14"/>
                <w:b w:val="1"/>
                <w:bCs w:val="1"/>
                <w:color w:val="auto"/>
                <w:w w:val="98"/>
              </w:rPr>
              <w:t>Violations</w:t>
            </w:r>
          </w:p>
        </w:tc>
        <w:tc>
          <w:tcPr>
            <w:tcW w:w="640" w:type="dxa"/>
            <w:vAlign w:val="bottom"/>
          </w:tcPr>
          <w:p>
            <w:pPr>
              <w:jc w:val="right"/>
              <w:ind w:right="16"/>
              <w:spacing w:after="0" w:line="143" w:lineRule="exact"/>
              <w:rPr>
                <w:sz w:val="20"/>
                <w:szCs w:val="20"/>
                <w:color w:val="auto"/>
              </w:rPr>
            </w:pPr>
            <w:r>
              <w:rPr>
                <w:rFonts w:ascii="Arial" w:cs="Arial" w:eastAsia="Arial" w:hAnsi="Arial"/>
                <w:sz w:val="14"/>
                <w:szCs w:val="14"/>
                <w:b w:val="1"/>
                <w:bCs w:val="1"/>
                <w:color w:val="auto"/>
              </w:rPr>
              <w:t>Orders</w:t>
            </w:r>
          </w:p>
        </w:tc>
        <w:tc>
          <w:tcPr>
            <w:tcW w:w="920" w:type="dxa"/>
            <w:vAlign w:val="bottom"/>
            <w:gridSpan w:val="2"/>
          </w:tcPr>
          <w:p>
            <w:pPr>
              <w:ind w:left="100"/>
              <w:spacing w:after="0" w:line="143" w:lineRule="exact"/>
              <w:rPr>
                <w:sz w:val="20"/>
                <w:szCs w:val="20"/>
                <w:color w:val="auto"/>
              </w:rPr>
            </w:pPr>
            <w:r>
              <w:rPr>
                <w:rFonts w:ascii="Arial" w:cs="Arial" w:eastAsia="Arial" w:hAnsi="Arial"/>
                <w:sz w:val="14"/>
                <w:szCs w:val="14"/>
                <w:b w:val="1"/>
                <w:bCs w:val="1"/>
                <w:color w:val="auto"/>
                <w:w w:val="92"/>
              </w:rPr>
              <w:t>Assessment/</w:t>
            </w:r>
          </w:p>
        </w:tc>
        <w:tc>
          <w:tcPr>
            <w:tcW w:w="760" w:type="dxa"/>
            <w:vAlign w:val="bottom"/>
          </w:tcPr>
          <w:p>
            <w:pPr>
              <w:jc w:val="right"/>
              <w:ind w:right="18"/>
              <w:spacing w:after="0" w:line="143" w:lineRule="exact"/>
              <w:rPr>
                <w:sz w:val="20"/>
                <w:szCs w:val="20"/>
                <w:color w:val="auto"/>
              </w:rPr>
            </w:pPr>
            <w:r>
              <w:rPr>
                <w:rFonts w:ascii="Arial" w:cs="Arial" w:eastAsia="Arial" w:hAnsi="Arial"/>
                <w:sz w:val="14"/>
                <w:szCs w:val="14"/>
                <w:b w:val="1"/>
                <w:bCs w:val="1"/>
                <w:color w:val="auto"/>
              </w:rPr>
              <w:t>Fatalities</w:t>
            </w:r>
          </w:p>
        </w:tc>
        <w:tc>
          <w:tcPr>
            <w:tcW w:w="7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8"/>
              </w:rPr>
              <w:t>104(e)</w:t>
            </w:r>
          </w:p>
        </w:tc>
        <w:tc>
          <w:tcPr>
            <w:tcW w:w="6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8"/>
              </w:rPr>
              <w:t>104(e)</w:t>
            </w:r>
          </w:p>
        </w:tc>
        <w:tc>
          <w:tcPr>
            <w:tcW w:w="6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1"/>
              </w:rPr>
              <w:t>Period</w:t>
            </w:r>
          </w:p>
        </w:tc>
        <w:tc>
          <w:tcPr>
            <w:tcW w:w="7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7"/>
              </w:rPr>
              <w:t>Period</w:t>
            </w:r>
          </w:p>
        </w:tc>
        <w:tc>
          <w:tcPr>
            <w:tcW w:w="6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7"/>
              </w:rPr>
              <w:t>Period</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820" w:type="dxa"/>
            <w:vAlign w:val="bottom"/>
          </w:tcPr>
          <w:p>
            <w:pPr>
              <w:ind w:left="680"/>
              <w:spacing w:after="0"/>
              <w:rPr>
                <w:sz w:val="20"/>
                <w:szCs w:val="20"/>
                <w:color w:val="auto"/>
              </w:rPr>
            </w:pPr>
            <w:r>
              <w:rPr>
                <w:rFonts w:ascii="Arial" w:cs="Arial" w:eastAsia="Arial" w:hAnsi="Arial"/>
                <w:sz w:val="14"/>
                <w:szCs w:val="14"/>
                <w:b w:val="1"/>
                <w:bCs w:val="1"/>
                <w:color w:val="auto"/>
              </w:rPr>
              <w:t>Location</w:t>
            </w:r>
          </w:p>
        </w:tc>
        <w:tc>
          <w:tcPr>
            <w:tcW w:w="880" w:type="dxa"/>
            <w:vAlign w:val="bottom"/>
          </w:tcPr>
          <w:p>
            <w:pPr>
              <w:ind w:left="200"/>
              <w:spacing w:after="0"/>
              <w:rPr>
                <w:sz w:val="20"/>
                <w:szCs w:val="20"/>
                <w:color w:val="auto"/>
              </w:rPr>
            </w:pPr>
            <w:r>
              <w:rPr>
                <w:rFonts w:ascii="Arial" w:cs="Arial" w:eastAsia="Arial" w:hAnsi="Arial"/>
                <w:sz w:val="14"/>
                <w:szCs w:val="14"/>
                <w:b w:val="1"/>
                <w:bCs w:val="1"/>
                <w:color w:val="auto"/>
              </w:rPr>
              <w:t>MSHA ID</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640" w:type="dxa"/>
            <w:vAlign w:val="bottom"/>
          </w:tcPr>
          <w:p>
            <w:pPr>
              <w:jc w:val="right"/>
              <w:ind w:right="156"/>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ind w:right="217"/>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236"/>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ind w:right="156"/>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ind w:left="140"/>
              <w:spacing w:after="0"/>
              <w:rPr>
                <w:sz w:val="20"/>
                <w:szCs w:val="20"/>
                <w:color w:val="auto"/>
              </w:rPr>
            </w:pPr>
            <w:r>
              <w:rPr>
                <w:rFonts w:ascii="Arial" w:cs="Arial" w:eastAsia="Arial" w:hAnsi="Arial"/>
                <w:sz w:val="14"/>
                <w:szCs w:val="14"/>
                <w:b w:val="1"/>
                <w:bCs w:val="1"/>
                <w:color w:val="auto"/>
                <w:w w:val="76"/>
              </w:rPr>
              <w:t>$</w:t>
            </w:r>
          </w:p>
        </w:tc>
        <w:tc>
          <w:tcPr>
            <w:tcW w:w="700" w:type="dxa"/>
            <w:vAlign w:val="bottom"/>
          </w:tcPr>
          <w:p>
            <w:pPr>
              <w:jc w:val="right"/>
              <w:ind w:right="57"/>
              <w:spacing w:after="0"/>
              <w:rPr>
                <w:sz w:val="20"/>
                <w:szCs w:val="20"/>
                <w:color w:val="auto"/>
              </w:rPr>
            </w:pPr>
            <w:r>
              <w:rPr>
                <w:rFonts w:ascii="Arial" w:cs="Arial" w:eastAsia="Arial" w:hAnsi="Arial"/>
                <w:sz w:val="14"/>
                <w:szCs w:val="14"/>
                <w:b w:val="1"/>
                <w:bCs w:val="1"/>
                <w:color w:val="auto"/>
                <w:w w:val="83"/>
              </w:rPr>
              <w:t>Proposed</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5"/>
              </w:rPr>
              <w:t>(yes/no)</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5"/>
              </w:rPr>
              <w:t>(yes/no)</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1820" w:type="dxa"/>
            <w:vAlign w:val="bottom"/>
          </w:tcPr>
          <w:p>
            <w:pPr>
              <w:spacing w:after="0"/>
              <w:rPr>
                <w:sz w:val="7"/>
                <w:szCs w:val="7"/>
                <w:color w:val="auto"/>
              </w:rPr>
            </w:pPr>
          </w:p>
        </w:tc>
        <w:tc>
          <w:tcPr>
            <w:tcW w:w="8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7"/>
                <w:szCs w:val="17"/>
                <w:color w:val="auto"/>
              </w:rPr>
              <w:t>Alexander Quarry</w:t>
            </w:r>
          </w:p>
        </w:tc>
        <w:tc>
          <w:tcPr>
            <w:tcW w:w="880" w:type="dxa"/>
            <w:vAlign w:val="bottom"/>
            <w:shd w:val="clear" w:color="auto" w:fill="CCEEFF"/>
          </w:tcPr>
          <w:p>
            <w:pPr>
              <w:jc w:val="center"/>
              <w:ind w:left="34"/>
              <w:spacing w:after="0"/>
              <w:rPr>
                <w:sz w:val="20"/>
                <w:szCs w:val="20"/>
                <w:color w:val="auto"/>
              </w:rPr>
            </w:pPr>
            <w:r>
              <w:rPr>
                <w:rFonts w:ascii="Arial" w:cs="Arial" w:eastAsia="Arial" w:hAnsi="Arial"/>
                <w:sz w:val="17"/>
                <w:szCs w:val="17"/>
                <w:color w:val="auto"/>
                <w:w w:val="96"/>
              </w:rPr>
              <w:t>BN5</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0</w:t>
            </w: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7"/>
                <w:szCs w:val="17"/>
                <w:color w:val="auto"/>
              </w:rPr>
              <w:t>Amelia Quarry</w:t>
            </w:r>
          </w:p>
        </w:tc>
        <w:tc>
          <w:tcPr>
            <w:tcW w:w="880" w:type="dxa"/>
            <w:vAlign w:val="bottom"/>
          </w:tcPr>
          <w:p>
            <w:pPr>
              <w:jc w:val="center"/>
              <w:ind w:left="34"/>
              <w:spacing w:after="0"/>
              <w:rPr>
                <w:sz w:val="20"/>
                <w:szCs w:val="20"/>
                <w:color w:val="auto"/>
              </w:rPr>
            </w:pPr>
            <w:r>
              <w:rPr>
                <w:rFonts w:ascii="Arial" w:cs="Arial" w:eastAsia="Arial" w:hAnsi="Arial"/>
                <w:sz w:val="17"/>
                <w:szCs w:val="17"/>
                <w:color w:val="auto"/>
                <w:w w:val="90"/>
              </w:rPr>
              <w:t>4407372</w:t>
            </w:r>
          </w:p>
        </w:tc>
        <w:tc>
          <w:tcPr>
            <w:tcW w:w="72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tcPr>
          <w:p>
            <w:pPr>
              <w:jc w:val="right"/>
              <w:ind w:right="17"/>
              <w:spacing w:after="0"/>
              <w:rPr>
                <w:sz w:val="20"/>
                <w:szCs w:val="20"/>
                <w:color w:val="auto"/>
              </w:rPr>
            </w:pPr>
            <w:r>
              <w:rPr>
                <w:rFonts w:ascii="Arial" w:cs="Arial" w:eastAsia="Arial" w:hAnsi="Arial"/>
                <w:sz w:val="17"/>
                <w:szCs w:val="17"/>
                <w:b w:val="1"/>
                <w:bCs w:val="1"/>
                <w:color w:val="auto"/>
              </w:rPr>
              <w:t>0</w:t>
            </w:r>
          </w:p>
        </w:tc>
        <w:tc>
          <w:tcPr>
            <w:tcW w:w="760" w:type="dxa"/>
            <w:vAlign w:val="bottom"/>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7"/>
                <w:szCs w:val="17"/>
                <w:color w:val="auto"/>
              </w:rPr>
              <w:t>American Stone Quarry</w:t>
            </w:r>
          </w:p>
        </w:tc>
        <w:tc>
          <w:tcPr>
            <w:tcW w:w="880" w:type="dxa"/>
            <w:vAlign w:val="bottom"/>
            <w:shd w:val="clear" w:color="auto" w:fill="CCEEFF"/>
          </w:tcPr>
          <w:p>
            <w:pPr>
              <w:jc w:val="center"/>
              <w:ind w:left="34"/>
              <w:spacing w:after="0"/>
              <w:rPr>
                <w:sz w:val="20"/>
                <w:szCs w:val="20"/>
                <w:color w:val="auto"/>
              </w:rPr>
            </w:pPr>
            <w:r>
              <w:rPr>
                <w:rFonts w:ascii="Arial" w:cs="Arial" w:eastAsia="Arial" w:hAnsi="Arial"/>
                <w:sz w:val="17"/>
                <w:szCs w:val="17"/>
                <w:color w:val="auto"/>
                <w:w w:val="90"/>
              </w:rPr>
              <w:t>3100189</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135</w:t>
            </w: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7"/>
                <w:szCs w:val="17"/>
                <w:color w:val="auto"/>
              </w:rPr>
              <w:t>Anderson Creek</w:t>
            </w:r>
          </w:p>
        </w:tc>
        <w:tc>
          <w:tcPr>
            <w:tcW w:w="880" w:type="dxa"/>
            <w:vAlign w:val="bottom"/>
          </w:tcPr>
          <w:p>
            <w:pPr>
              <w:jc w:val="center"/>
              <w:ind w:left="34"/>
              <w:spacing w:after="0"/>
              <w:rPr>
                <w:sz w:val="20"/>
                <w:szCs w:val="20"/>
                <w:color w:val="auto"/>
              </w:rPr>
            </w:pPr>
            <w:r>
              <w:rPr>
                <w:rFonts w:ascii="Arial" w:cs="Arial" w:eastAsia="Arial" w:hAnsi="Arial"/>
                <w:sz w:val="17"/>
                <w:szCs w:val="17"/>
                <w:color w:val="auto"/>
                <w:w w:val="90"/>
              </w:rPr>
              <w:t>4402963</w:t>
            </w:r>
          </w:p>
        </w:tc>
        <w:tc>
          <w:tcPr>
            <w:tcW w:w="72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tcPr>
          <w:p>
            <w:pPr>
              <w:jc w:val="right"/>
              <w:ind w:right="17"/>
              <w:spacing w:after="0"/>
              <w:rPr>
                <w:sz w:val="20"/>
                <w:szCs w:val="20"/>
                <w:color w:val="auto"/>
              </w:rPr>
            </w:pPr>
            <w:r>
              <w:rPr>
                <w:rFonts w:ascii="Arial" w:cs="Arial" w:eastAsia="Arial" w:hAnsi="Arial"/>
                <w:sz w:val="17"/>
                <w:szCs w:val="17"/>
                <w:b w:val="1"/>
                <w:bCs w:val="1"/>
                <w:color w:val="auto"/>
              </w:rPr>
              <w:t>0</w:t>
            </w:r>
          </w:p>
        </w:tc>
        <w:tc>
          <w:tcPr>
            <w:tcW w:w="760" w:type="dxa"/>
            <w:vAlign w:val="bottom"/>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7"/>
                <w:szCs w:val="17"/>
                <w:color w:val="auto"/>
              </w:rPr>
              <w:t>Arrowood Quarry</w:t>
            </w:r>
          </w:p>
        </w:tc>
        <w:tc>
          <w:tcPr>
            <w:tcW w:w="880" w:type="dxa"/>
            <w:vAlign w:val="bottom"/>
            <w:shd w:val="clear" w:color="auto" w:fill="CCEEFF"/>
          </w:tcPr>
          <w:p>
            <w:pPr>
              <w:jc w:val="center"/>
              <w:ind w:left="34"/>
              <w:spacing w:after="0"/>
              <w:rPr>
                <w:sz w:val="20"/>
                <w:szCs w:val="20"/>
                <w:color w:val="auto"/>
              </w:rPr>
            </w:pPr>
            <w:r>
              <w:rPr>
                <w:rFonts w:ascii="Arial" w:cs="Arial" w:eastAsia="Arial" w:hAnsi="Arial"/>
                <w:sz w:val="17"/>
                <w:szCs w:val="17"/>
                <w:color w:val="auto"/>
                <w:w w:val="90"/>
              </w:rPr>
              <w:t>3100059</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896</w:t>
            </w: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7"/>
                <w:szCs w:val="17"/>
                <w:color w:val="auto"/>
              </w:rPr>
              <w:t>Asheboro Quarry</w:t>
            </w:r>
          </w:p>
        </w:tc>
        <w:tc>
          <w:tcPr>
            <w:tcW w:w="880" w:type="dxa"/>
            <w:vAlign w:val="bottom"/>
          </w:tcPr>
          <w:p>
            <w:pPr>
              <w:jc w:val="center"/>
              <w:ind w:left="34"/>
              <w:spacing w:after="0"/>
              <w:rPr>
                <w:sz w:val="20"/>
                <w:szCs w:val="20"/>
                <w:color w:val="auto"/>
              </w:rPr>
            </w:pPr>
            <w:r>
              <w:rPr>
                <w:rFonts w:ascii="Arial" w:cs="Arial" w:eastAsia="Arial" w:hAnsi="Arial"/>
                <w:sz w:val="17"/>
                <w:szCs w:val="17"/>
                <w:color w:val="auto"/>
                <w:w w:val="90"/>
              </w:rPr>
              <w:t>3100066</w:t>
            </w:r>
          </w:p>
        </w:tc>
        <w:tc>
          <w:tcPr>
            <w:tcW w:w="72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tcPr>
          <w:p>
            <w:pPr>
              <w:jc w:val="right"/>
              <w:ind w:right="17"/>
              <w:spacing w:after="0"/>
              <w:rPr>
                <w:sz w:val="20"/>
                <w:szCs w:val="20"/>
                <w:color w:val="auto"/>
              </w:rPr>
            </w:pPr>
            <w:r>
              <w:rPr>
                <w:rFonts w:ascii="Arial" w:cs="Arial" w:eastAsia="Arial" w:hAnsi="Arial"/>
                <w:sz w:val="17"/>
                <w:szCs w:val="17"/>
                <w:b w:val="1"/>
                <w:bCs w:val="1"/>
                <w:color w:val="auto"/>
              </w:rPr>
              <w:t>0</w:t>
            </w:r>
          </w:p>
        </w:tc>
        <w:tc>
          <w:tcPr>
            <w:tcW w:w="760" w:type="dxa"/>
            <w:vAlign w:val="bottom"/>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7"/>
                <w:szCs w:val="17"/>
                <w:color w:val="auto"/>
              </w:rPr>
              <w:t>Bakers Quarry</w:t>
            </w:r>
          </w:p>
        </w:tc>
        <w:tc>
          <w:tcPr>
            <w:tcW w:w="880" w:type="dxa"/>
            <w:vAlign w:val="bottom"/>
            <w:shd w:val="clear" w:color="auto" w:fill="CCEEFF"/>
          </w:tcPr>
          <w:p>
            <w:pPr>
              <w:jc w:val="center"/>
              <w:ind w:left="34"/>
              <w:spacing w:after="0"/>
              <w:rPr>
                <w:sz w:val="20"/>
                <w:szCs w:val="20"/>
                <w:color w:val="auto"/>
              </w:rPr>
            </w:pPr>
            <w:r>
              <w:rPr>
                <w:rFonts w:ascii="Arial" w:cs="Arial" w:eastAsia="Arial" w:hAnsi="Arial"/>
                <w:sz w:val="17"/>
                <w:szCs w:val="17"/>
                <w:color w:val="auto"/>
                <w:w w:val="90"/>
              </w:rPr>
              <w:t>3100071</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0</w:t>
            </w: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7"/>
                <w:szCs w:val="17"/>
                <w:color w:val="auto"/>
              </w:rPr>
              <w:t>Belgrade Quarry</w:t>
            </w:r>
          </w:p>
        </w:tc>
        <w:tc>
          <w:tcPr>
            <w:tcW w:w="880" w:type="dxa"/>
            <w:vAlign w:val="bottom"/>
          </w:tcPr>
          <w:p>
            <w:pPr>
              <w:jc w:val="center"/>
              <w:ind w:left="34"/>
              <w:spacing w:after="0"/>
              <w:rPr>
                <w:sz w:val="20"/>
                <w:szCs w:val="20"/>
                <w:color w:val="auto"/>
              </w:rPr>
            </w:pPr>
            <w:r>
              <w:rPr>
                <w:rFonts w:ascii="Arial" w:cs="Arial" w:eastAsia="Arial" w:hAnsi="Arial"/>
                <w:sz w:val="17"/>
                <w:szCs w:val="17"/>
                <w:color w:val="auto"/>
                <w:w w:val="90"/>
              </w:rPr>
              <w:t>3100064</w:t>
            </w:r>
          </w:p>
        </w:tc>
        <w:tc>
          <w:tcPr>
            <w:tcW w:w="72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tcPr>
          <w:p>
            <w:pPr>
              <w:jc w:val="right"/>
              <w:ind w:right="17"/>
              <w:spacing w:after="0"/>
              <w:rPr>
                <w:sz w:val="20"/>
                <w:szCs w:val="20"/>
                <w:color w:val="auto"/>
              </w:rPr>
            </w:pPr>
            <w:r>
              <w:rPr>
                <w:rFonts w:ascii="Arial" w:cs="Arial" w:eastAsia="Arial" w:hAnsi="Arial"/>
                <w:sz w:val="17"/>
                <w:szCs w:val="17"/>
                <w:b w:val="1"/>
                <w:bCs w:val="1"/>
                <w:color w:val="auto"/>
              </w:rPr>
              <w:t>0</w:t>
            </w:r>
          </w:p>
        </w:tc>
        <w:tc>
          <w:tcPr>
            <w:tcW w:w="760" w:type="dxa"/>
            <w:vAlign w:val="bottom"/>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7"/>
                <w:szCs w:val="17"/>
                <w:color w:val="auto"/>
              </w:rPr>
              <w:t>Benson Quarry</w:t>
            </w:r>
          </w:p>
        </w:tc>
        <w:tc>
          <w:tcPr>
            <w:tcW w:w="880" w:type="dxa"/>
            <w:vAlign w:val="bottom"/>
            <w:shd w:val="clear" w:color="auto" w:fill="CCEEFF"/>
          </w:tcPr>
          <w:p>
            <w:pPr>
              <w:jc w:val="center"/>
              <w:ind w:left="34"/>
              <w:spacing w:after="0"/>
              <w:rPr>
                <w:sz w:val="20"/>
                <w:szCs w:val="20"/>
                <w:color w:val="auto"/>
              </w:rPr>
            </w:pPr>
            <w:r>
              <w:rPr>
                <w:rFonts w:ascii="Arial" w:cs="Arial" w:eastAsia="Arial" w:hAnsi="Arial"/>
                <w:sz w:val="17"/>
                <w:szCs w:val="17"/>
                <w:color w:val="auto"/>
                <w:w w:val="90"/>
              </w:rPr>
              <w:t>3101979</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116</w:t>
            </w: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7"/>
                <w:szCs w:val="17"/>
                <w:color w:val="auto"/>
              </w:rPr>
              <w:t>Berkeley Quarry</w:t>
            </w:r>
          </w:p>
        </w:tc>
        <w:tc>
          <w:tcPr>
            <w:tcW w:w="880" w:type="dxa"/>
            <w:vAlign w:val="bottom"/>
          </w:tcPr>
          <w:p>
            <w:pPr>
              <w:jc w:val="center"/>
              <w:ind w:left="34"/>
              <w:spacing w:after="0"/>
              <w:rPr>
                <w:sz w:val="20"/>
                <w:szCs w:val="20"/>
                <w:color w:val="auto"/>
              </w:rPr>
            </w:pPr>
            <w:r>
              <w:rPr>
                <w:rFonts w:ascii="Arial" w:cs="Arial" w:eastAsia="Arial" w:hAnsi="Arial"/>
                <w:sz w:val="17"/>
                <w:szCs w:val="17"/>
                <w:color w:val="auto"/>
                <w:w w:val="90"/>
              </w:rPr>
              <w:t>3800072</w:t>
            </w:r>
          </w:p>
        </w:tc>
        <w:tc>
          <w:tcPr>
            <w:tcW w:w="72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tcPr>
          <w:p>
            <w:pPr>
              <w:jc w:val="right"/>
              <w:ind w:right="17"/>
              <w:spacing w:after="0"/>
              <w:rPr>
                <w:sz w:val="20"/>
                <w:szCs w:val="20"/>
                <w:color w:val="auto"/>
              </w:rPr>
            </w:pPr>
            <w:r>
              <w:rPr>
                <w:rFonts w:ascii="Arial" w:cs="Arial" w:eastAsia="Arial" w:hAnsi="Arial"/>
                <w:sz w:val="17"/>
                <w:szCs w:val="17"/>
                <w:b w:val="1"/>
                <w:bCs w:val="1"/>
                <w:color w:val="auto"/>
              </w:rPr>
              <w:t>0</w:t>
            </w:r>
          </w:p>
        </w:tc>
        <w:tc>
          <w:tcPr>
            <w:tcW w:w="760" w:type="dxa"/>
            <w:vAlign w:val="bottom"/>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7"/>
                <w:szCs w:val="17"/>
                <w:color w:val="auto"/>
              </w:rPr>
              <w:t>Bessemer City Quarry</w:t>
            </w:r>
          </w:p>
        </w:tc>
        <w:tc>
          <w:tcPr>
            <w:tcW w:w="880" w:type="dxa"/>
            <w:vAlign w:val="bottom"/>
            <w:shd w:val="clear" w:color="auto" w:fill="CCEEFF"/>
          </w:tcPr>
          <w:p>
            <w:pPr>
              <w:jc w:val="center"/>
              <w:ind w:left="34"/>
              <w:spacing w:after="0"/>
              <w:rPr>
                <w:sz w:val="20"/>
                <w:szCs w:val="20"/>
                <w:color w:val="auto"/>
              </w:rPr>
            </w:pPr>
            <w:r>
              <w:rPr>
                <w:rFonts w:ascii="Arial" w:cs="Arial" w:eastAsia="Arial" w:hAnsi="Arial"/>
                <w:sz w:val="17"/>
                <w:szCs w:val="17"/>
                <w:color w:val="auto"/>
                <w:w w:val="90"/>
              </w:rPr>
              <w:t>3101105</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0</w:t>
            </w: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7"/>
                <w:szCs w:val="17"/>
                <w:color w:val="auto"/>
              </w:rPr>
              <w:t>Black Ankle Quarry</w:t>
            </w:r>
          </w:p>
        </w:tc>
        <w:tc>
          <w:tcPr>
            <w:tcW w:w="880" w:type="dxa"/>
            <w:vAlign w:val="bottom"/>
          </w:tcPr>
          <w:p>
            <w:pPr>
              <w:jc w:val="center"/>
              <w:ind w:left="34"/>
              <w:spacing w:after="0"/>
              <w:rPr>
                <w:sz w:val="20"/>
                <w:szCs w:val="20"/>
                <w:color w:val="auto"/>
              </w:rPr>
            </w:pPr>
            <w:r>
              <w:rPr>
                <w:rFonts w:ascii="Arial" w:cs="Arial" w:eastAsia="Arial" w:hAnsi="Arial"/>
                <w:sz w:val="17"/>
                <w:szCs w:val="17"/>
                <w:color w:val="auto"/>
                <w:w w:val="90"/>
              </w:rPr>
              <w:t>3102220</w:t>
            </w:r>
          </w:p>
        </w:tc>
        <w:tc>
          <w:tcPr>
            <w:tcW w:w="72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tcPr>
          <w:p>
            <w:pPr>
              <w:jc w:val="right"/>
              <w:ind w:right="17"/>
              <w:spacing w:after="0"/>
              <w:rPr>
                <w:sz w:val="20"/>
                <w:szCs w:val="20"/>
                <w:color w:val="auto"/>
              </w:rPr>
            </w:pPr>
            <w:r>
              <w:rPr>
                <w:rFonts w:ascii="Arial" w:cs="Arial" w:eastAsia="Arial" w:hAnsi="Arial"/>
                <w:sz w:val="17"/>
                <w:szCs w:val="17"/>
                <w:b w:val="1"/>
                <w:bCs w:val="1"/>
                <w:color w:val="auto"/>
              </w:rPr>
              <w:t>0</w:t>
            </w:r>
          </w:p>
        </w:tc>
        <w:tc>
          <w:tcPr>
            <w:tcW w:w="760" w:type="dxa"/>
            <w:vAlign w:val="bottom"/>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7"/>
                <w:szCs w:val="17"/>
                <w:color w:val="auto"/>
              </w:rPr>
              <w:t>Bonds Gravel Pit</w:t>
            </w:r>
          </w:p>
        </w:tc>
        <w:tc>
          <w:tcPr>
            <w:tcW w:w="880" w:type="dxa"/>
            <w:vAlign w:val="bottom"/>
            <w:shd w:val="clear" w:color="auto" w:fill="CCEEFF"/>
          </w:tcPr>
          <w:p>
            <w:pPr>
              <w:jc w:val="center"/>
              <w:ind w:left="34"/>
              <w:spacing w:after="0"/>
              <w:rPr>
                <w:sz w:val="20"/>
                <w:szCs w:val="20"/>
                <w:color w:val="auto"/>
              </w:rPr>
            </w:pPr>
            <w:r>
              <w:rPr>
                <w:rFonts w:ascii="Arial" w:cs="Arial" w:eastAsia="Arial" w:hAnsi="Arial"/>
                <w:sz w:val="17"/>
                <w:szCs w:val="17"/>
                <w:color w:val="auto"/>
                <w:w w:val="90"/>
              </w:rPr>
              <w:t>3101963</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0</w:t>
            </w: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7"/>
                <w:szCs w:val="17"/>
                <w:color w:val="auto"/>
              </w:rPr>
              <w:t>Boonsboro Quarry</w:t>
            </w:r>
          </w:p>
        </w:tc>
        <w:tc>
          <w:tcPr>
            <w:tcW w:w="880" w:type="dxa"/>
            <w:vAlign w:val="bottom"/>
          </w:tcPr>
          <w:p>
            <w:pPr>
              <w:jc w:val="center"/>
              <w:ind w:left="34"/>
              <w:spacing w:after="0"/>
              <w:rPr>
                <w:sz w:val="20"/>
                <w:szCs w:val="20"/>
                <w:color w:val="auto"/>
              </w:rPr>
            </w:pPr>
            <w:r>
              <w:rPr>
                <w:rFonts w:ascii="Arial" w:cs="Arial" w:eastAsia="Arial" w:hAnsi="Arial"/>
                <w:sz w:val="17"/>
                <w:szCs w:val="17"/>
                <w:color w:val="auto"/>
                <w:w w:val="90"/>
              </w:rPr>
              <w:t>1800024</w:t>
            </w:r>
          </w:p>
        </w:tc>
        <w:tc>
          <w:tcPr>
            <w:tcW w:w="72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tcPr>
          <w:p>
            <w:pPr>
              <w:jc w:val="right"/>
              <w:ind w:right="17"/>
              <w:spacing w:after="0"/>
              <w:rPr>
                <w:sz w:val="20"/>
                <w:szCs w:val="20"/>
                <w:color w:val="auto"/>
              </w:rPr>
            </w:pPr>
            <w:r>
              <w:rPr>
                <w:rFonts w:ascii="Arial" w:cs="Arial" w:eastAsia="Arial" w:hAnsi="Arial"/>
                <w:sz w:val="17"/>
                <w:szCs w:val="17"/>
                <w:b w:val="1"/>
                <w:bCs w:val="1"/>
                <w:color w:val="auto"/>
              </w:rPr>
              <w:t>0</w:t>
            </w:r>
          </w:p>
        </w:tc>
        <w:tc>
          <w:tcPr>
            <w:tcW w:w="760" w:type="dxa"/>
            <w:vAlign w:val="bottom"/>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7"/>
                <w:szCs w:val="17"/>
                <w:color w:val="auto"/>
              </w:rPr>
              <w:t>Burlington Quarry</w:t>
            </w:r>
          </w:p>
        </w:tc>
        <w:tc>
          <w:tcPr>
            <w:tcW w:w="880" w:type="dxa"/>
            <w:vAlign w:val="bottom"/>
            <w:shd w:val="clear" w:color="auto" w:fill="CCEEFF"/>
          </w:tcPr>
          <w:p>
            <w:pPr>
              <w:jc w:val="center"/>
              <w:ind w:left="34"/>
              <w:spacing w:after="0"/>
              <w:rPr>
                <w:sz w:val="20"/>
                <w:szCs w:val="20"/>
                <w:color w:val="auto"/>
              </w:rPr>
            </w:pPr>
            <w:r>
              <w:rPr>
                <w:rFonts w:ascii="Arial" w:cs="Arial" w:eastAsia="Arial" w:hAnsi="Arial"/>
                <w:sz w:val="17"/>
                <w:szCs w:val="17"/>
                <w:color w:val="auto"/>
                <w:w w:val="90"/>
              </w:rPr>
              <w:t>3100042</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0</w:t>
            </w: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7"/>
                <w:szCs w:val="17"/>
                <w:color w:val="auto"/>
              </w:rPr>
              <w:t>Caldwell Quarry</w:t>
            </w:r>
          </w:p>
        </w:tc>
        <w:tc>
          <w:tcPr>
            <w:tcW w:w="880" w:type="dxa"/>
            <w:vAlign w:val="bottom"/>
          </w:tcPr>
          <w:p>
            <w:pPr>
              <w:jc w:val="center"/>
              <w:ind w:left="34"/>
              <w:spacing w:after="0"/>
              <w:rPr>
                <w:sz w:val="20"/>
                <w:szCs w:val="20"/>
                <w:color w:val="auto"/>
              </w:rPr>
            </w:pPr>
            <w:r>
              <w:rPr>
                <w:rFonts w:ascii="Arial" w:cs="Arial" w:eastAsia="Arial" w:hAnsi="Arial"/>
                <w:sz w:val="17"/>
                <w:szCs w:val="17"/>
                <w:color w:val="auto"/>
                <w:w w:val="90"/>
              </w:rPr>
              <w:t>3101869</w:t>
            </w:r>
          </w:p>
        </w:tc>
        <w:tc>
          <w:tcPr>
            <w:tcW w:w="72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tcPr>
          <w:p>
            <w:pPr>
              <w:jc w:val="right"/>
              <w:ind w:right="17"/>
              <w:spacing w:after="0"/>
              <w:rPr>
                <w:sz w:val="20"/>
                <w:szCs w:val="20"/>
                <w:color w:val="auto"/>
              </w:rPr>
            </w:pPr>
            <w:r>
              <w:rPr>
                <w:rFonts w:ascii="Arial" w:cs="Arial" w:eastAsia="Arial" w:hAnsi="Arial"/>
                <w:sz w:val="17"/>
                <w:szCs w:val="17"/>
                <w:b w:val="1"/>
                <w:bCs w:val="1"/>
                <w:color w:val="auto"/>
              </w:rPr>
              <w:t>0</w:t>
            </w:r>
          </w:p>
        </w:tc>
        <w:tc>
          <w:tcPr>
            <w:tcW w:w="760" w:type="dxa"/>
            <w:vAlign w:val="bottom"/>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7"/>
                <w:szCs w:val="17"/>
                <w:color w:val="auto"/>
              </w:rPr>
              <w:t>Castle Hayne Quarry</w:t>
            </w:r>
          </w:p>
        </w:tc>
        <w:tc>
          <w:tcPr>
            <w:tcW w:w="880" w:type="dxa"/>
            <w:vAlign w:val="bottom"/>
            <w:shd w:val="clear" w:color="auto" w:fill="CCEEFF"/>
          </w:tcPr>
          <w:p>
            <w:pPr>
              <w:jc w:val="center"/>
              <w:ind w:left="34"/>
              <w:spacing w:after="0"/>
              <w:rPr>
                <w:sz w:val="20"/>
                <w:szCs w:val="20"/>
                <w:color w:val="auto"/>
              </w:rPr>
            </w:pPr>
            <w:r>
              <w:rPr>
                <w:rFonts w:ascii="Arial" w:cs="Arial" w:eastAsia="Arial" w:hAnsi="Arial"/>
                <w:sz w:val="17"/>
                <w:szCs w:val="17"/>
                <w:color w:val="auto"/>
                <w:w w:val="90"/>
              </w:rPr>
              <w:t>3100063</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116</w:t>
            </w: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7"/>
                <w:szCs w:val="17"/>
                <w:color w:val="auto"/>
              </w:rPr>
              <w:t>Cayce Quarry</w:t>
            </w:r>
          </w:p>
        </w:tc>
        <w:tc>
          <w:tcPr>
            <w:tcW w:w="880" w:type="dxa"/>
            <w:vAlign w:val="bottom"/>
          </w:tcPr>
          <w:p>
            <w:pPr>
              <w:jc w:val="center"/>
              <w:ind w:left="34"/>
              <w:spacing w:after="0"/>
              <w:rPr>
                <w:sz w:val="20"/>
                <w:szCs w:val="20"/>
                <w:color w:val="auto"/>
              </w:rPr>
            </w:pPr>
            <w:r>
              <w:rPr>
                <w:rFonts w:ascii="Arial" w:cs="Arial" w:eastAsia="Arial" w:hAnsi="Arial"/>
                <w:sz w:val="17"/>
                <w:szCs w:val="17"/>
                <w:color w:val="auto"/>
                <w:w w:val="90"/>
              </w:rPr>
              <w:t>3800016</w:t>
            </w:r>
          </w:p>
        </w:tc>
        <w:tc>
          <w:tcPr>
            <w:tcW w:w="720" w:type="dxa"/>
            <w:vAlign w:val="bottom"/>
          </w:tcPr>
          <w:p>
            <w:pPr>
              <w:jc w:val="right"/>
              <w:ind w:right="16"/>
              <w:spacing w:after="0"/>
              <w:rPr>
                <w:sz w:val="20"/>
                <w:szCs w:val="20"/>
                <w:color w:val="auto"/>
              </w:rPr>
            </w:pPr>
            <w:r>
              <w:rPr>
                <w:rFonts w:ascii="Arial" w:cs="Arial" w:eastAsia="Arial" w:hAnsi="Arial"/>
                <w:sz w:val="17"/>
                <w:szCs w:val="17"/>
                <w:color w:val="auto"/>
              </w:rPr>
              <w:t>2</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tcPr>
          <w:p>
            <w:pPr>
              <w:jc w:val="right"/>
              <w:ind w:right="17"/>
              <w:spacing w:after="0"/>
              <w:rPr>
                <w:sz w:val="20"/>
                <w:szCs w:val="20"/>
                <w:color w:val="auto"/>
              </w:rPr>
            </w:pPr>
            <w:r>
              <w:rPr>
                <w:rFonts w:ascii="Arial" w:cs="Arial" w:eastAsia="Arial" w:hAnsi="Arial"/>
                <w:sz w:val="17"/>
                <w:szCs w:val="17"/>
                <w:b w:val="1"/>
                <w:bCs w:val="1"/>
                <w:color w:val="auto"/>
              </w:rPr>
              <w:t>2,420</w:t>
            </w:r>
          </w:p>
        </w:tc>
        <w:tc>
          <w:tcPr>
            <w:tcW w:w="760" w:type="dxa"/>
            <w:vAlign w:val="bottom"/>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7"/>
                <w:szCs w:val="17"/>
                <w:color w:val="auto"/>
              </w:rPr>
              <w:t>Central Rock Quarry</w:t>
            </w:r>
          </w:p>
        </w:tc>
        <w:tc>
          <w:tcPr>
            <w:tcW w:w="880" w:type="dxa"/>
            <w:vAlign w:val="bottom"/>
            <w:shd w:val="clear" w:color="auto" w:fill="CCEEFF"/>
          </w:tcPr>
          <w:p>
            <w:pPr>
              <w:jc w:val="center"/>
              <w:ind w:left="34"/>
              <w:spacing w:after="0"/>
              <w:rPr>
                <w:sz w:val="20"/>
                <w:szCs w:val="20"/>
                <w:color w:val="auto"/>
              </w:rPr>
            </w:pPr>
            <w:r>
              <w:rPr>
                <w:rFonts w:ascii="Arial" w:cs="Arial" w:eastAsia="Arial" w:hAnsi="Arial"/>
                <w:sz w:val="17"/>
                <w:szCs w:val="17"/>
                <w:color w:val="auto"/>
                <w:w w:val="90"/>
              </w:rPr>
              <w:t>3100050</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116</w:t>
            </w: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7"/>
                <w:szCs w:val="17"/>
                <w:color w:val="auto"/>
              </w:rPr>
              <w:t>Charlotte Quarry</w:t>
            </w:r>
          </w:p>
        </w:tc>
        <w:tc>
          <w:tcPr>
            <w:tcW w:w="880" w:type="dxa"/>
            <w:vAlign w:val="bottom"/>
          </w:tcPr>
          <w:p>
            <w:pPr>
              <w:jc w:val="center"/>
              <w:ind w:left="34"/>
              <w:spacing w:after="0"/>
              <w:rPr>
                <w:sz w:val="20"/>
                <w:szCs w:val="20"/>
                <w:color w:val="auto"/>
              </w:rPr>
            </w:pPr>
            <w:r>
              <w:rPr>
                <w:rFonts w:ascii="Arial" w:cs="Arial" w:eastAsia="Arial" w:hAnsi="Arial"/>
                <w:sz w:val="17"/>
                <w:szCs w:val="17"/>
                <w:color w:val="auto"/>
                <w:w w:val="90"/>
              </w:rPr>
              <w:t>3100057</w:t>
            </w:r>
          </w:p>
        </w:tc>
        <w:tc>
          <w:tcPr>
            <w:tcW w:w="72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tcPr>
          <w:p>
            <w:pPr>
              <w:jc w:val="right"/>
              <w:ind w:right="17"/>
              <w:spacing w:after="0"/>
              <w:rPr>
                <w:sz w:val="20"/>
                <w:szCs w:val="20"/>
                <w:color w:val="auto"/>
              </w:rPr>
            </w:pPr>
            <w:r>
              <w:rPr>
                <w:rFonts w:ascii="Arial" w:cs="Arial" w:eastAsia="Arial" w:hAnsi="Arial"/>
                <w:sz w:val="17"/>
                <w:szCs w:val="17"/>
                <w:b w:val="1"/>
                <w:bCs w:val="1"/>
                <w:color w:val="auto"/>
              </w:rPr>
              <w:t>0</w:t>
            </w:r>
          </w:p>
        </w:tc>
        <w:tc>
          <w:tcPr>
            <w:tcW w:w="760" w:type="dxa"/>
            <w:vAlign w:val="bottom"/>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7"/>
                <w:szCs w:val="17"/>
                <w:color w:val="auto"/>
              </w:rPr>
              <w:t>Clarks Quarry</w:t>
            </w:r>
          </w:p>
        </w:tc>
        <w:tc>
          <w:tcPr>
            <w:tcW w:w="880" w:type="dxa"/>
            <w:vAlign w:val="bottom"/>
            <w:shd w:val="clear" w:color="auto" w:fill="CCEEFF"/>
          </w:tcPr>
          <w:p>
            <w:pPr>
              <w:jc w:val="center"/>
              <w:ind w:left="34"/>
              <w:spacing w:after="0"/>
              <w:rPr>
                <w:sz w:val="20"/>
                <w:szCs w:val="20"/>
                <w:color w:val="auto"/>
              </w:rPr>
            </w:pPr>
            <w:r>
              <w:rPr>
                <w:rFonts w:ascii="Arial" w:cs="Arial" w:eastAsia="Arial" w:hAnsi="Arial"/>
                <w:sz w:val="17"/>
                <w:szCs w:val="17"/>
                <w:color w:val="auto"/>
                <w:w w:val="90"/>
              </w:rPr>
              <w:t>3102009</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0</w:t>
            </w: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7"/>
                <w:szCs w:val="17"/>
                <w:color w:val="auto"/>
              </w:rPr>
              <w:t>Denver</w:t>
            </w:r>
          </w:p>
        </w:tc>
        <w:tc>
          <w:tcPr>
            <w:tcW w:w="880" w:type="dxa"/>
            <w:vAlign w:val="bottom"/>
          </w:tcPr>
          <w:p>
            <w:pPr>
              <w:jc w:val="center"/>
              <w:ind w:left="34"/>
              <w:spacing w:after="0"/>
              <w:rPr>
                <w:sz w:val="20"/>
                <w:szCs w:val="20"/>
                <w:color w:val="auto"/>
              </w:rPr>
            </w:pPr>
            <w:r>
              <w:rPr>
                <w:rFonts w:ascii="Arial" w:cs="Arial" w:eastAsia="Arial" w:hAnsi="Arial"/>
                <w:sz w:val="17"/>
                <w:szCs w:val="17"/>
                <w:color w:val="auto"/>
                <w:w w:val="90"/>
              </w:rPr>
              <w:t>3101971</w:t>
            </w:r>
          </w:p>
        </w:tc>
        <w:tc>
          <w:tcPr>
            <w:tcW w:w="720" w:type="dxa"/>
            <w:vAlign w:val="bottom"/>
          </w:tcPr>
          <w:p>
            <w:pPr>
              <w:jc w:val="right"/>
              <w:ind w:right="16"/>
              <w:spacing w:after="0"/>
              <w:rPr>
                <w:sz w:val="20"/>
                <w:szCs w:val="20"/>
                <w:color w:val="auto"/>
              </w:rPr>
            </w:pPr>
            <w:r>
              <w:rPr>
                <w:rFonts w:ascii="Arial" w:cs="Arial" w:eastAsia="Arial" w:hAnsi="Arial"/>
                <w:sz w:val="17"/>
                <w:szCs w:val="17"/>
                <w:color w:val="auto"/>
              </w:rPr>
              <w:t>1</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tcPr>
          <w:p>
            <w:pPr>
              <w:jc w:val="right"/>
              <w:ind w:right="17"/>
              <w:spacing w:after="0"/>
              <w:rPr>
                <w:sz w:val="20"/>
                <w:szCs w:val="20"/>
                <w:color w:val="auto"/>
              </w:rPr>
            </w:pPr>
            <w:r>
              <w:rPr>
                <w:rFonts w:ascii="Arial" w:cs="Arial" w:eastAsia="Arial" w:hAnsi="Arial"/>
                <w:sz w:val="17"/>
                <w:szCs w:val="17"/>
                <w:b w:val="1"/>
                <w:bCs w:val="1"/>
                <w:color w:val="auto"/>
              </w:rPr>
              <w:t>869</w:t>
            </w:r>
          </w:p>
        </w:tc>
        <w:tc>
          <w:tcPr>
            <w:tcW w:w="760" w:type="dxa"/>
            <w:vAlign w:val="bottom"/>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7"/>
                <w:szCs w:val="17"/>
                <w:color w:val="auto"/>
              </w:rPr>
              <w:t>Doswell Quarry</w:t>
            </w:r>
          </w:p>
        </w:tc>
        <w:tc>
          <w:tcPr>
            <w:tcW w:w="880" w:type="dxa"/>
            <w:vAlign w:val="bottom"/>
            <w:shd w:val="clear" w:color="auto" w:fill="CCEEFF"/>
          </w:tcPr>
          <w:p>
            <w:pPr>
              <w:jc w:val="center"/>
              <w:ind w:left="34"/>
              <w:spacing w:after="0"/>
              <w:rPr>
                <w:sz w:val="20"/>
                <w:szCs w:val="20"/>
                <w:color w:val="auto"/>
              </w:rPr>
            </w:pPr>
            <w:r>
              <w:rPr>
                <w:rFonts w:ascii="Arial" w:cs="Arial" w:eastAsia="Arial" w:hAnsi="Arial"/>
                <w:sz w:val="17"/>
                <w:szCs w:val="17"/>
                <w:color w:val="auto"/>
                <w:w w:val="90"/>
              </w:rPr>
              <w:t>4400045</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464</w:t>
            </w: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58" w:name="page159"/>
    <w:bookmarkEnd w:id="15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7">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7"/>
              </w:rPr>
              <w:t>Received</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7"/>
              </w:rPr>
              <w:t>Received</w:t>
            </w: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Legal</w:t>
            </w: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Total</w:t>
            </w:r>
          </w:p>
        </w:tc>
        <w:tc>
          <w:tcPr>
            <w:tcW w:w="7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0"/>
              </w:rPr>
              <w:t>Notice of</w:t>
            </w:r>
          </w:p>
        </w:tc>
        <w:tc>
          <w:tcPr>
            <w:tcW w:w="7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0"/>
              </w:rPr>
              <w:t>Notice of</w:t>
            </w:r>
          </w:p>
        </w:tc>
        <w:tc>
          <w:tcPr>
            <w:tcW w:w="680" w:type="dxa"/>
            <w:vAlign w:val="bottom"/>
            <w:vMerge w:val="continue"/>
          </w:tcPr>
          <w:p>
            <w:pPr>
              <w:spacing w:after="0"/>
              <w:rPr>
                <w:sz w:val="12"/>
                <w:szCs w:val="12"/>
                <w:color w:val="auto"/>
              </w:rPr>
            </w:pPr>
          </w:p>
        </w:tc>
        <w:tc>
          <w:tcPr>
            <w:tcW w:w="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2"/>
              </w:rPr>
              <w:t>Section</w:t>
            </w:r>
          </w:p>
        </w:tc>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vMerge w:val="restart"/>
          </w:tcPr>
          <w:p>
            <w:pPr>
              <w:jc w:val="center"/>
              <w:ind w:right="136"/>
              <w:spacing w:after="0"/>
              <w:rPr>
                <w:sz w:val="20"/>
                <w:szCs w:val="20"/>
                <w:color w:val="auto"/>
              </w:rPr>
            </w:pPr>
            <w:r>
              <w:rPr>
                <w:rFonts w:ascii="Arial" w:cs="Arial" w:eastAsia="Arial" w:hAnsi="Arial"/>
                <w:sz w:val="14"/>
                <w:szCs w:val="14"/>
                <w:b w:val="1"/>
                <w:bCs w:val="1"/>
                <w:color w:val="auto"/>
                <w:w w:val="89"/>
              </w:rPr>
              <w:t>Total</w:t>
            </w:r>
          </w:p>
        </w:tc>
        <w:tc>
          <w:tcPr>
            <w:tcW w:w="760" w:type="dxa"/>
            <w:vAlign w:val="bottom"/>
            <w:vMerge w:val="continue"/>
          </w:tcPr>
          <w:p>
            <w:pPr>
              <w:spacing w:after="0"/>
              <w:rPr>
                <w:sz w:val="12"/>
                <w:szCs w:val="12"/>
                <w:color w:val="auto"/>
              </w:rPr>
            </w:pPr>
          </w:p>
        </w:tc>
        <w:tc>
          <w:tcPr>
            <w:tcW w:w="7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1"/>
              </w:rPr>
              <w:t>Pattern</w:t>
            </w:r>
          </w:p>
        </w:tc>
        <w:tc>
          <w:tcPr>
            <w:tcW w:w="7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1"/>
              </w:rPr>
              <w:t>Potential</w:t>
            </w:r>
          </w:p>
        </w:tc>
        <w:tc>
          <w:tcPr>
            <w:tcW w:w="6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9"/>
              </w:rPr>
              <w:t>Actions</w:t>
            </w: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Legal</w:t>
            </w: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Legal</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7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4"/>
              </w:rPr>
              <w:t>Number</w:t>
            </w:r>
          </w:p>
        </w:tc>
        <w:tc>
          <w:tcPr>
            <w:tcW w:w="7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0"/>
              </w:rPr>
              <w:t>of</w:t>
            </w:r>
          </w:p>
        </w:tc>
        <w:tc>
          <w:tcPr>
            <w:tcW w:w="7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5"/>
              </w:rPr>
              <w:t>to have</w:t>
            </w:r>
          </w:p>
        </w:tc>
        <w:tc>
          <w:tcPr>
            <w:tcW w:w="680" w:type="dxa"/>
            <w:vAlign w:val="bottom"/>
          </w:tcPr>
          <w:p>
            <w:pPr>
              <w:jc w:val="right"/>
              <w:ind w:right="18"/>
              <w:spacing w:after="0" w:line="143" w:lineRule="exact"/>
              <w:rPr>
                <w:sz w:val="20"/>
                <w:szCs w:val="20"/>
                <w:color w:val="auto"/>
              </w:rPr>
            </w:pPr>
            <w:r>
              <w:rPr>
                <w:rFonts w:ascii="Arial" w:cs="Arial" w:eastAsia="Arial" w:hAnsi="Arial"/>
                <w:sz w:val="14"/>
                <w:szCs w:val="14"/>
                <w:b w:val="1"/>
                <w:bCs w:val="1"/>
                <w:color w:val="auto"/>
              </w:rPr>
              <w:t>Pending</w:t>
            </w:r>
          </w:p>
        </w:tc>
        <w:tc>
          <w:tcPr>
            <w:tcW w:w="82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Section</w:t>
            </w:r>
          </w:p>
        </w:tc>
        <w:tc>
          <w:tcPr>
            <w:tcW w:w="66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rPr>
              <w:t>Section</w:t>
            </w:r>
          </w:p>
        </w:tc>
        <w:tc>
          <w:tcPr>
            <w:tcW w:w="7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2"/>
              </w:rPr>
              <w:t>104(d)</w:t>
            </w:r>
          </w:p>
        </w:tc>
        <w:tc>
          <w:tcPr>
            <w:tcW w:w="82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rPr>
              <w:t>Section</w:t>
            </w:r>
          </w:p>
        </w:tc>
        <w:tc>
          <w:tcPr>
            <w:tcW w:w="64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w w:val="98"/>
              </w:rPr>
              <w:t>Section</w:t>
            </w:r>
          </w:p>
        </w:tc>
        <w:tc>
          <w:tcPr>
            <w:tcW w:w="220" w:type="dxa"/>
            <w:vAlign w:val="bottom"/>
          </w:tcPr>
          <w:p>
            <w:pPr>
              <w:spacing w:after="0"/>
              <w:rPr>
                <w:sz w:val="12"/>
                <w:szCs w:val="12"/>
                <w:color w:val="auto"/>
              </w:rPr>
            </w:pPr>
          </w:p>
        </w:tc>
        <w:tc>
          <w:tcPr>
            <w:tcW w:w="720" w:type="dxa"/>
            <w:vAlign w:val="bottom"/>
          </w:tcPr>
          <w:p>
            <w:pPr>
              <w:jc w:val="center"/>
              <w:ind w:right="136"/>
              <w:spacing w:after="0" w:line="143" w:lineRule="exact"/>
              <w:rPr>
                <w:sz w:val="20"/>
                <w:szCs w:val="20"/>
                <w:color w:val="auto"/>
              </w:rPr>
            </w:pPr>
            <w:r>
              <w:rPr>
                <w:rFonts w:ascii="Arial" w:cs="Arial" w:eastAsia="Arial" w:hAnsi="Arial"/>
                <w:sz w:val="14"/>
                <w:szCs w:val="14"/>
                <w:b w:val="1"/>
                <w:bCs w:val="1"/>
                <w:color w:val="auto"/>
                <w:w w:val="95"/>
              </w:rPr>
              <w:t>Dollar</w:t>
            </w:r>
          </w:p>
        </w:tc>
        <w:tc>
          <w:tcPr>
            <w:tcW w:w="7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0"/>
              </w:rPr>
              <w:t>of</w:t>
            </w:r>
          </w:p>
        </w:tc>
        <w:tc>
          <w:tcPr>
            <w:tcW w:w="7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1"/>
              </w:rPr>
              <w:t>Violation</w:t>
            </w:r>
          </w:p>
        </w:tc>
        <w:tc>
          <w:tcPr>
            <w:tcW w:w="7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1"/>
              </w:rPr>
              <w:t>Pattern</w:t>
            </w:r>
          </w:p>
        </w:tc>
        <w:tc>
          <w:tcPr>
            <w:tcW w:w="6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79"/>
              </w:rPr>
              <w:t>as of</w:t>
            </w:r>
          </w:p>
        </w:tc>
        <w:tc>
          <w:tcPr>
            <w:tcW w:w="8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9"/>
              </w:rPr>
              <w:t>Actions</w:t>
            </w:r>
          </w:p>
        </w:tc>
        <w:tc>
          <w:tcPr>
            <w:tcW w:w="6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5"/>
              </w:rPr>
              <w:t>Actions</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740" w:type="dxa"/>
            <w:vAlign w:val="bottom"/>
          </w:tcPr>
          <w:p>
            <w:pPr>
              <w:jc w:val="right"/>
              <w:ind w:right="17"/>
              <w:spacing w:after="0" w:line="143" w:lineRule="exact"/>
              <w:rPr>
                <w:sz w:val="20"/>
                <w:szCs w:val="20"/>
                <w:color w:val="auto"/>
              </w:rPr>
            </w:pPr>
            <w:r>
              <w:rPr>
                <w:rFonts w:ascii="Arial" w:cs="Arial" w:eastAsia="Arial" w:hAnsi="Arial"/>
                <w:sz w:val="14"/>
                <w:szCs w:val="14"/>
                <w:b w:val="1"/>
                <w:bCs w:val="1"/>
                <w:color w:val="auto"/>
              </w:rPr>
              <w:t>Citations</w:t>
            </w:r>
          </w:p>
        </w:tc>
        <w:tc>
          <w:tcPr>
            <w:tcW w:w="82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center"/>
              <w:ind w:right="156"/>
              <w:spacing w:after="0" w:line="143" w:lineRule="exact"/>
              <w:rPr>
                <w:sz w:val="20"/>
                <w:szCs w:val="20"/>
                <w:color w:val="auto"/>
              </w:rPr>
            </w:pPr>
            <w:r>
              <w:rPr>
                <w:rFonts w:ascii="Arial" w:cs="Arial" w:eastAsia="Arial" w:hAnsi="Arial"/>
                <w:sz w:val="14"/>
                <w:szCs w:val="14"/>
                <w:b w:val="1"/>
                <w:bCs w:val="1"/>
                <w:color w:val="auto"/>
                <w:w w:val="88"/>
              </w:rPr>
              <w:t>Value of</w:t>
            </w:r>
          </w:p>
        </w:tc>
        <w:tc>
          <w:tcPr>
            <w:tcW w:w="7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3"/>
              </w:rPr>
              <w:t>Mining</w:t>
            </w:r>
          </w:p>
        </w:tc>
        <w:tc>
          <w:tcPr>
            <w:tcW w:w="7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3"/>
              </w:rPr>
              <w:t>Under</w:t>
            </w:r>
          </w:p>
        </w:tc>
        <w:tc>
          <w:tcPr>
            <w:tcW w:w="7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7"/>
              </w:rPr>
              <w:t>under</w:t>
            </w:r>
          </w:p>
        </w:tc>
        <w:tc>
          <w:tcPr>
            <w:tcW w:w="6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0"/>
              </w:rPr>
              <w:t>Last</w:t>
            </w:r>
          </w:p>
        </w:tc>
        <w:tc>
          <w:tcPr>
            <w:tcW w:w="820" w:type="dxa"/>
            <w:vAlign w:val="bottom"/>
          </w:tcPr>
          <w:p>
            <w:pPr>
              <w:jc w:val="right"/>
              <w:ind w:right="37"/>
              <w:spacing w:after="0" w:line="143" w:lineRule="exact"/>
              <w:rPr>
                <w:sz w:val="20"/>
                <w:szCs w:val="20"/>
                <w:color w:val="auto"/>
              </w:rPr>
            </w:pPr>
            <w:r>
              <w:rPr>
                <w:rFonts w:ascii="Arial" w:cs="Arial" w:eastAsia="Arial" w:hAnsi="Arial"/>
                <w:sz w:val="14"/>
                <w:szCs w:val="14"/>
                <w:b w:val="1"/>
                <w:bCs w:val="1"/>
                <w:color w:val="auto"/>
              </w:rPr>
              <w:t>Instituted</w:t>
            </w:r>
          </w:p>
        </w:tc>
        <w:tc>
          <w:tcPr>
            <w:tcW w:w="680" w:type="dxa"/>
            <w:vAlign w:val="bottom"/>
          </w:tcPr>
          <w:p>
            <w:pPr>
              <w:jc w:val="right"/>
              <w:spacing w:after="0" w:line="143" w:lineRule="exact"/>
              <w:rPr>
                <w:sz w:val="20"/>
                <w:szCs w:val="20"/>
                <w:color w:val="auto"/>
              </w:rPr>
            </w:pPr>
            <w:r>
              <w:rPr>
                <w:rFonts w:ascii="Arial" w:cs="Arial" w:eastAsia="Arial" w:hAnsi="Arial"/>
                <w:sz w:val="14"/>
                <w:szCs w:val="14"/>
                <w:b w:val="1"/>
                <w:bCs w:val="1"/>
                <w:color w:val="auto"/>
                <w:w w:val="99"/>
              </w:rPr>
              <w:t>Resolved</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2"/>
              </w:rPr>
              <w:t>104 S&amp;S</w:t>
            </w:r>
          </w:p>
        </w:tc>
        <w:tc>
          <w:tcPr>
            <w:tcW w:w="6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2"/>
              </w:rPr>
              <w:t>104(b)</w:t>
            </w:r>
          </w:p>
        </w:tc>
        <w:tc>
          <w:tcPr>
            <w:tcW w:w="7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8"/>
              </w:rPr>
              <w:t>and</w:t>
            </w:r>
          </w:p>
        </w:tc>
        <w:tc>
          <w:tcPr>
            <w:tcW w:w="8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2"/>
              </w:rPr>
              <w:t>110(b)(2)</w:t>
            </w:r>
          </w:p>
        </w:tc>
        <w:tc>
          <w:tcPr>
            <w:tcW w:w="6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3"/>
              </w:rPr>
              <w:t>107(a)</w:t>
            </w:r>
          </w:p>
        </w:tc>
        <w:tc>
          <w:tcPr>
            <w:tcW w:w="220" w:type="dxa"/>
            <w:vAlign w:val="bottom"/>
          </w:tcPr>
          <w:p>
            <w:pPr>
              <w:spacing w:after="0"/>
              <w:rPr>
                <w:sz w:val="12"/>
                <w:szCs w:val="12"/>
                <w:color w:val="auto"/>
              </w:rPr>
            </w:pPr>
          </w:p>
        </w:tc>
        <w:tc>
          <w:tcPr>
            <w:tcW w:w="720" w:type="dxa"/>
            <w:vAlign w:val="bottom"/>
          </w:tcPr>
          <w:p>
            <w:pPr>
              <w:jc w:val="center"/>
              <w:ind w:right="136"/>
              <w:spacing w:after="0" w:line="143" w:lineRule="exact"/>
              <w:rPr>
                <w:sz w:val="20"/>
                <w:szCs w:val="20"/>
                <w:color w:val="auto"/>
              </w:rPr>
            </w:pPr>
            <w:r>
              <w:rPr>
                <w:rFonts w:ascii="Arial" w:cs="Arial" w:eastAsia="Arial" w:hAnsi="Arial"/>
                <w:sz w:val="14"/>
                <w:szCs w:val="14"/>
                <w:b w:val="1"/>
                <w:bCs w:val="1"/>
                <w:color w:val="auto"/>
              </w:rPr>
              <w:t>MSHA</w:t>
            </w:r>
          </w:p>
        </w:tc>
        <w:tc>
          <w:tcPr>
            <w:tcW w:w="7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0"/>
              </w:rPr>
              <w:t>Related</w:t>
            </w:r>
          </w:p>
        </w:tc>
        <w:tc>
          <w:tcPr>
            <w:tcW w:w="7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2"/>
              </w:rPr>
              <w:t>Section</w:t>
            </w:r>
          </w:p>
        </w:tc>
        <w:tc>
          <w:tcPr>
            <w:tcW w:w="7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2"/>
              </w:rPr>
              <w:t>Section</w:t>
            </w:r>
          </w:p>
        </w:tc>
        <w:tc>
          <w:tcPr>
            <w:tcW w:w="6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8"/>
              </w:rPr>
              <w:t>Day of</w:t>
            </w:r>
          </w:p>
        </w:tc>
        <w:tc>
          <w:tcPr>
            <w:tcW w:w="8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3"/>
              </w:rPr>
              <w:t>During</w:t>
            </w:r>
          </w:p>
        </w:tc>
        <w:tc>
          <w:tcPr>
            <w:tcW w:w="6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3"/>
              </w:rPr>
              <w:t>During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jc w:val="right"/>
              <w:ind w:right="16"/>
              <w:spacing w:after="0" w:line="143" w:lineRule="exact"/>
              <w:rPr>
                <w:sz w:val="20"/>
                <w:szCs w:val="20"/>
                <w:color w:val="auto"/>
              </w:rPr>
            </w:pPr>
            <w:r>
              <w:rPr>
                <w:rFonts w:ascii="Arial" w:cs="Arial" w:eastAsia="Arial" w:hAnsi="Arial"/>
                <w:sz w:val="14"/>
                <w:szCs w:val="14"/>
                <w:b w:val="1"/>
                <w:bCs w:val="1"/>
                <w:color w:val="auto"/>
              </w:rPr>
              <w:t>Citations</w:t>
            </w:r>
          </w:p>
        </w:tc>
        <w:tc>
          <w:tcPr>
            <w:tcW w:w="660" w:type="dxa"/>
            <w:vAlign w:val="bottom"/>
          </w:tcPr>
          <w:p>
            <w:pPr>
              <w:jc w:val="right"/>
              <w:ind w:right="36"/>
              <w:spacing w:after="0" w:line="143" w:lineRule="exact"/>
              <w:rPr>
                <w:sz w:val="20"/>
                <w:szCs w:val="20"/>
                <w:color w:val="auto"/>
              </w:rPr>
            </w:pPr>
            <w:r>
              <w:rPr>
                <w:rFonts w:ascii="Arial" w:cs="Arial" w:eastAsia="Arial" w:hAnsi="Arial"/>
                <w:sz w:val="14"/>
                <w:szCs w:val="14"/>
                <w:b w:val="1"/>
                <w:bCs w:val="1"/>
                <w:color w:val="auto"/>
              </w:rPr>
              <w:t>Orders</w:t>
            </w:r>
          </w:p>
        </w:tc>
        <w:tc>
          <w:tcPr>
            <w:tcW w:w="7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1"/>
              </w:rPr>
              <w:t>Orders</w:t>
            </w:r>
          </w:p>
        </w:tc>
        <w:tc>
          <w:tcPr>
            <w:tcW w:w="820" w:type="dxa"/>
            <w:vAlign w:val="bottom"/>
          </w:tcPr>
          <w:p>
            <w:pPr>
              <w:jc w:val="right"/>
              <w:ind w:right="36"/>
              <w:spacing w:after="0" w:line="143" w:lineRule="exact"/>
              <w:rPr>
                <w:sz w:val="20"/>
                <w:szCs w:val="20"/>
                <w:color w:val="auto"/>
              </w:rPr>
            </w:pPr>
            <w:r>
              <w:rPr>
                <w:rFonts w:ascii="Arial" w:cs="Arial" w:eastAsia="Arial" w:hAnsi="Arial"/>
                <w:sz w:val="14"/>
                <w:szCs w:val="14"/>
                <w:b w:val="1"/>
                <w:bCs w:val="1"/>
                <w:color w:val="auto"/>
              </w:rPr>
              <w:t>Violations</w:t>
            </w:r>
          </w:p>
        </w:tc>
        <w:tc>
          <w:tcPr>
            <w:tcW w:w="640" w:type="dxa"/>
            <w:vAlign w:val="bottom"/>
          </w:tcPr>
          <w:p>
            <w:pPr>
              <w:jc w:val="right"/>
              <w:ind w:right="36"/>
              <w:spacing w:after="0" w:line="143" w:lineRule="exact"/>
              <w:rPr>
                <w:sz w:val="20"/>
                <w:szCs w:val="20"/>
                <w:color w:val="auto"/>
              </w:rPr>
            </w:pPr>
            <w:r>
              <w:rPr>
                <w:rFonts w:ascii="Arial" w:cs="Arial" w:eastAsia="Arial" w:hAnsi="Arial"/>
                <w:sz w:val="14"/>
                <w:szCs w:val="14"/>
                <w:b w:val="1"/>
                <w:bCs w:val="1"/>
                <w:color w:val="auto"/>
              </w:rPr>
              <w:t>Orders</w:t>
            </w:r>
          </w:p>
        </w:tc>
        <w:tc>
          <w:tcPr>
            <w:tcW w:w="940" w:type="dxa"/>
            <w:vAlign w:val="bottom"/>
            <w:gridSpan w:val="2"/>
          </w:tcPr>
          <w:p>
            <w:pPr>
              <w:ind w:left="100"/>
              <w:spacing w:after="0" w:line="143" w:lineRule="exact"/>
              <w:rPr>
                <w:sz w:val="20"/>
                <w:szCs w:val="20"/>
                <w:color w:val="auto"/>
              </w:rPr>
            </w:pPr>
            <w:r>
              <w:rPr>
                <w:rFonts w:ascii="Arial" w:cs="Arial" w:eastAsia="Arial" w:hAnsi="Arial"/>
                <w:sz w:val="14"/>
                <w:szCs w:val="14"/>
                <w:b w:val="1"/>
                <w:bCs w:val="1"/>
                <w:color w:val="auto"/>
                <w:w w:val="94"/>
              </w:rPr>
              <w:t>Assessment/</w:t>
            </w:r>
          </w:p>
        </w:tc>
        <w:tc>
          <w:tcPr>
            <w:tcW w:w="760" w:type="dxa"/>
            <w:vAlign w:val="bottom"/>
          </w:tcPr>
          <w:p>
            <w:pPr>
              <w:jc w:val="right"/>
              <w:ind w:right="37"/>
              <w:spacing w:after="0" w:line="143" w:lineRule="exact"/>
              <w:rPr>
                <w:sz w:val="20"/>
                <w:szCs w:val="20"/>
                <w:color w:val="auto"/>
              </w:rPr>
            </w:pPr>
            <w:r>
              <w:rPr>
                <w:rFonts w:ascii="Arial" w:cs="Arial" w:eastAsia="Arial" w:hAnsi="Arial"/>
                <w:sz w:val="14"/>
                <w:szCs w:val="14"/>
                <w:b w:val="1"/>
                <w:bCs w:val="1"/>
                <w:color w:val="auto"/>
              </w:rPr>
              <w:t>Fatalities</w:t>
            </w:r>
          </w:p>
        </w:tc>
        <w:tc>
          <w:tcPr>
            <w:tcW w:w="7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8"/>
              </w:rPr>
              <w:t>104(e)</w:t>
            </w:r>
          </w:p>
        </w:tc>
        <w:tc>
          <w:tcPr>
            <w:tcW w:w="7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8"/>
              </w:rPr>
              <w:t>104(e)</w:t>
            </w:r>
          </w:p>
        </w:tc>
        <w:tc>
          <w:tcPr>
            <w:tcW w:w="6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7"/>
              </w:rPr>
              <w:t>Period</w:t>
            </w:r>
          </w:p>
        </w:tc>
        <w:tc>
          <w:tcPr>
            <w:tcW w:w="8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7"/>
              </w:rPr>
              <w:t>Period</w:t>
            </w:r>
          </w:p>
        </w:tc>
        <w:tc>
          <w:tcPr>
            <w:tcW w:w="6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7"/>
              </w:rPr>
              <w:t>Period</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740" w:type="dxa"/>
            <w:vAlign w:val="bottom"/>
          </w:tcPr>
          <w:p>
            <w:pPr>
              <w:ind w:left="560"/>
              <w:spacing w:after="0"/>
              <w:rPr>
                <w:sz w:val="20"/>
                <w:szCs w:val="20"/>
                <w:color w:val="auto"/>
              </w:rPr>
            </w:pPr>
            <w:r>
              <w:rPr>
                <w:rFonts w:ascii="Arial" w:cs="Arial" w:eastAsia="Arial" w:hAnsi="Arial"/>
                <w:sz w:val="14"/>
                <w:szCs w:val="14"/>
                <w:b w:val="1"/>
                <w:bCs w:val="1"/>
                <w:color w:val="auto"/>
              </w:rPr>
              <w:t>Location</w:t>
            </w:r>
          </w:p>
        </w:tc>
        <w:tc>
          <w:tcPr>
            <w:tcW w:w="780" w:type="dxa"/>
            <w:vAlign w:val="bottom"/>
          </w:tcPr>
          <w:p>
            <w:pPr>
              <w:ind w:left="100"/>
              <w:spacing w:after="0"/>
              <w:rPr>
                <w:sz w:val="20"/>
                <w:szCs w:val="20"/>
                <w:color w:val="auto"/>
              </w:rPr>
            </w:pPr>
            <w:r>
              <w:rPr>
                <w:rFonts w:ascii="Arial" w:cs="Arial" w:eastAsia="Arial" w:hAnsi="Arial"/>
                <w:sz w:val="14"/>
                <w:szCs w:val="14"/>
                <w:b w:val="1"/>
                <w:bCs w:val="1"/>
                <w:color w:val="auto"/>
              </w:rPr>
              <w:t>MSHA ID</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660" w:type="dxa"/>
            <w:vAlign w:val="bottom"/>
          </w:tcPr>
          <w:p>
            <w:pPr>
              <w:jc w:val="right"/>
              <w:ind w:right="176"/>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ind w:right="217"/>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256"/>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ind w:right="156"/>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ind w:left="140"/>
              <w:spacing w:after="0"/>
              <w:rPr>
                <w:sz w:val="20"/>
                <w:szCs w:val="20"/>
                <w:color w:val="auto"/>
              </w:rPr>
            </w:pPr>
            <w:r>
              <w:rPr>
                <w:rFonts w:ascii="Arial" w:cs="Arial" w:eastAsia="Arial" w:hAnsi="Arial"/>
                <w:sz w:val="14"/>
                <w:szCs w:val="14"/>
                <w:b w:val="1"/>
                <w:bCs w:val="1"/>
                <w:color w:val="auto"/>
                <w:w w:val="76"/>
              </w:rPr>
              <w:t>$</w:t>
            </w:r>
          </w:p>
        </w:tc>
        <w:tc>
          <w:tcPr>
            <w:tcW w:w="720" w:type="dxa"/>
            <w:vAlign w:val="bottom"/>
          </w:tcPr>
          <w:p>
            <w:pPr>
              <w:jc w:val="right"/>
              <w:ind w:right="56"/>
              <w:spacing w:after="0"/>
              <w:rPr>
                <w:sz w:val="20"/>
                <w:szCs w:val="20"/>
                <w:color w:val="auto"/>
              </w:rPr>
            </w:pPr>
            <w:r>
              <w:rPr>
                <w:rFonts w:ascii="Arial" w:cs="Arial" w:eastAsia="Arial" w:hAnsi="Arial"/>
                <w:sz w:val="14"/>
                <w:szCs w:val="14"/>
                <w:b w:val="1"/>
                <w:bCs w:val="1"/>
                <w:color w:val="auto"/>
                <w:w w:val="86"/>
              </w:rPr>
              <w:t>Proposed</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5"/>
              </w:rPr>
              <w:t>(yes/no)</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5"/>
              </w:rPr>
              <w:t>(yes/no)</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7"/>
              </w:rPr>
              <w:t>(#)*</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1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7"/>
                <w:szCs w:val="17"/>
                <w:color w:val="auto"/>
              </w:rPr>
              <w:t>East Alamance</w:t>
            </w:r>
          </w:p>
        </w:tc>
        <w:tc>
          <w:tcPr>
            <w:tcW w:w="780" w:type="dxa"/>
            <w:vAlign w:val="bottom"/>
            <w:shd w:val="clear" w:color="auto" w:fill="CCEEFF"/>
          </w:tcPr>
          <w:p>
            <w:pPr>
              <w:ind w:left="80"/>
              <w:spacing w:after="0"/>
              <w:rPr>
                <w:sz w:val="20"/>
                <w:szCs w:val="20"/>
                <w:color w:val="auto"/>
              </w:rPr>
            </w:pPr>
            <w:r>
              <w:rPr>
                <w:rFonts w:ascii="Arial" w:cs="Arial" w:eastAsia="Arial" w:hAnsi="Arial"/>
                <w:sz w:val="17"/>
                <w:szCs w:val="17"/>
                <w:color w:val="auto"/>
              </w:rPr>
              <w:t>3102021</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0</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8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rPr>
              <w:t>$</w:t>
            </w:r>
          </w:p>
        </w:tc>
        <w:tc>
          <w:tcPr>
            <w:tcW w:w="720" w:type="dxa"/>
            <w:vAlign w:val="bottom"/>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0</w:t>
            </w:r>
          </w:p>
        </w:tc>
        <w:tc>
          <w:tcPr>
            <w:tcW w:w="7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0</w:t>
            </w:r>
          </w:p>
        </w:tc>
        <w:tc>
          <w:tcPr>
            <w:tcW w:w="820" w:type="dxa"/>
            <w:vAlign w:val="bottom"/>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0</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Arial" w:cs="Arial" w:eastAsia="Arial" w:hAnsi="Arial"/>
                <w:sz w:val="17"/>
                <w:szCs w:val="17"/>
                <w:color w:val="auto"/>
              </w:rPr>
              <w:t>Fountain Quarry</w:t>
            </w:r>
          </w:p>
        </w:tc>
        <w:tc>
          <w:tcPr>
            <w:tcW w:w="780" w:type="dxa"/>
            <w:vAlign w:val="bottom"/>
          </w:tcPr>
          <w:p>
            <w:pPr>
              <w:ind w:left="80"/>
              <w:spacing w:after="0"/>
              <w:rPr>
                <w:sz w:val="20"/>
                <w:szCs w:val="20"/>
                <w:color w:val="auto"/>
              </w:rPr>
            </w:pPr>
            <w:r>
              <w:rPr>
                <w:rFonts w:ascii="Arial" w:cs="Arial" w:eastAsia="Arial" w:hAnsi="Arial"/>
                <w:sz w:val="17"/>
                <w:szCs w:val="17"/>
                <w:color w:val="auto"/>
              </w:rPr>
              <w:t>3100065</w:t>
            </w:r>
          </w:p>
        </w:tc>
        <w:tc>
          <w:tcPr>
            <w:tcW w:w="72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60" w:type="dxa"/>
            <w:vAlign w:val="bottom"/>
          </w:tcPr>
          <w:p>
            <w:pPr>
              <w:jc w:val="right"/>
              <w:ind w:right="36"/>
              <w:spacing w:after="0"/>
              <w:rPr>
                <w:sz w:val="20"/>
                <w:szCs w:val="20"/>
                <w:color w:val="auto"/>
              </w:rPr>
            </w:pPr>
            <w:r>
              <w:rPr>
                <w:rFonts w:ascii="Arial" w:cs="Arial" w:eastAsia="Arial" w:hAnsi="Arial"/>
                <w:sz w:val="17"/>
                <w:szCs w:val="17"/>
                <w:color w:val="auto"/>
              </w:rPr>
              <w:t>0</w:t>
            </w: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820" w:type="dxa"/>
            <w:vAlign w:val="bottom"/>
          </w:tcPr>
          <w:p>
            <w:pPr>
              <w:jc w:val="right"/>
              <w:ind w:right="3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tcPr>
          <w:p>
            <w:pPr>
              <w:ind w:left="100"/>
              <w:spacing w:after="0"/>
              <w:rPr>
                <w:sz w:val="20"/>
                <w:szCs w:val="20"/>
                <w:color w:val="auto"/>
              </w:rPr>
            </w:pPr>
            <w:r>
              <w:rPr>
                <w:rFonts w:ascii="Arial" w:cs="Arial" w:eastAsia="Arial" w:hAnsi="Arial"/>
                <w:sz w:val="17"/>
                <w:szCs w:val="17"/>
                <w:b w:val="1"/>
                <w:bCs w:val="1"/>
                <w:color w:val="auto"/>
              </w:rPr>
              <w:t>$</w:t>
            </w:r>
          </w:p>
        </w:tc>
        <w:tc>
          <w:tcPr>
            <w:tcW w:w="720" w:type="dxa"/>
            <w:vAlign w:val="bottom"/>
          </w:tcPr>
          <w:p>
            <w:pPr>
              <w:jc w:val="right"/>
              <w:ind w:right="36"/>
              <w:spacing w:after="0"/>
              <w:rPr>
                <w:sz w:val="20"/>
                <w:szCs w:val="20"/>
                <w:color w:val="auto"/>
              </w:rPr>
            </w:pPr>
            <w:r>
              <w:rPr>
                <w:rFonts w:ascii="Arial" w:cs="Arial" w:eastAsia="Arial" w:hAnsi="Arial"/>
                <w:sz w:val="17"/>
                <w:szCs w:val="17"/>
                <w:b w:val="1"/>
                <w:bCs w:val="1"/>
                <w:color w:val="auto"/>
              </w:rPr>
              <w:t>116</w:t>
            </w:r>
          </w:p>
        </w:tc>
        <w:tc>
          <w:tcPr>
            <w:tcW w:w="76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72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tcPr>
          <w:p>
            <w:pPr>
              <w:jc w:val="right"/>
              <w:ind w:right="18"/>
              <w:spacing w:after="0"/>
              <w:rPr>
                <w:sz w:val="20"/>
                <w:szCs w:val="20"/>
                <w:color w:val="auto"/>
              </w:rPr>
            </w:pPr>
            <w:r>
              <w:rPr>
                <w:rFonts w:ascii="Arial" w:cs="Arial" w:eastAsia="Arial" w:hAnsi="Arial"/>
                <w:sz w:val="17"/>
                <w:szCs w:val="17"/>
                <w:b w:val="1"/>
                <w:bCs w:val="1"/>
                <w:color w:val="auto"/>
              </w:rPr>
              <w:t>0</w:t>
            </w:r>
          </w:p>
        </w:tc>
        <w:tc>
          <w:tcPr>
            <w:tcW w:w="820" w:type="dxa"/>
            <w:vAlign w:val="bottom"/>
          </w:tcPr>
          <w:p>
            <w:pPr>
              <w:jc w:val="right"/>
              <w:ind w:right="37"/>
              <w:spacing w:after="0"/>
              <w:rPr>
                <w:sz w:val="20"/>
                <w:szCs w:val="20"/>
                <w:color w:val="auto"/>
              </w:rPr>
            </w:pPr>
            <w:r>
              <w:rPr>
                <w:rFonts w:ascii="Arial" w:cs="Arial" w:eastAsia="Arial" w:hAnsi="Arial"/>
                <w:sz w:val="17"/>
                <w:szCs w:val="17"/>
                <w:b w:val="1"/>
                <w:bCs w:val="1"/>
                <w:color w:val="auto"/>
              </w:rPr>
              <w:t>0</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7"/>
                <w:szCs w:val="17"/>
                <w:color w:val="auto"/>
              </w:rPr>
              <w:t>Franklin Quarry</w:t>
            </w:r>
          </w:p>
        </w:tc>
        <w:tc>
          <w:tcPr>
            <w:tcW w:w="780" w:type="dxa"/>
            <w:vAlign w:val="bottom"/>
            <w:shd w:val="clear" w:color="auto" w:fill="CCEEFF"/>
          </w:tcPr>
          <w:p>
            <w:pPr>
              <w:ind w:left="80"/>
              <w:spacing w:after="0"/>
              <w:rPr>
                <w:sz w:val="20"/>
                <w:szCs w:val="20"/>
                <w:color w:val="auto"/>
              </w:rPr>
            </w:pPr>
            <w:r>
              <w:rPr>
                <w:rFonts w:ascii="Arial" w:cs="Arial" w:eastAsia="Arial" w:hAnsi="Arial"/>
                <w:sz w:val="17"/>
                <w:szCs w:val="17"/>
                <w:color w:val="auto"/>
              </w:rPr>
              <w:t>3102130</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0</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8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rPr>
              <w:t>$</w:t>
            </w:r>
          </w:p>
        </w:tc>
        <w:tc>
          <w:tcPr>
            <w:tcW w:w="720" w:type="dxa"/>
            <w:vAlign w:val="bottom"/>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251</w:t>
            </w:r>
          </w:p>
        </w:tc>
        <w:tc>
          <w:tcPr>
            <w:tcW w:w="7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0</w:t>
            </w:r>
          </w:p>
        </w:tc>
        <w:tc>
          <w:tcPr>
            <w:tcW w:w="820" w:type="dxa"/>
            <w:vAlign w:val="bottom"/>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0</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Arial" w:cs="Arial" w:eastAsia="Arial" w:hAnsi="Arial"/>
                <w:sz w:val="17"/>
                <w:szCs w:val="17"/>
                <w:color w:val="auto"/>
              </w:rPr>
              <w:t>Fuquay Quarry</w:t>
            </w:r>
          </w:p>
        </w:tc>
        <w:tc>
          <w:tcPr>
            <w:tcW w:w="780" w:type="dxa"/>
            <w:vAlign w:val="bottom"/>
          </w:tcPr>
          <w:p>
            <w:pPr>
              <w:ind w:left="80"/>
              <w:spacing w:after="0"/>
              <w:rPr>
                <w:sz w:val="20"/>
                <w:szCs w:val="20"/>
                <w:color w:val="auto"/>
              </w:rPr>
            </w:pPr>
            <w:r>
              <w:rPr>
                <w:rFonts w:ascii="Arial" w:cs="Arial" w:eastAsia="Arial" w:hAnsi="Arial"/>
                <w:sz w:val="17"/>
                <w:szCs w:val="17"/>
                <w:color w:val="auto"/>
              </w:rPr>
              <w:t>3102055</w:t>
            </w:r>
          </w:p>
        </w:tc>
        <w:tc>
          <w:tcPr>
            <w:tcW w:w="72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60" w:type="dxa"/>
            <w:vAlign w:val="bottom"/>
          </w:tcPr>
          <w:p>
            <w:pPr>
              <w:jc w:val="right"/>
              <w:ind w:right="36"/>
              <w:spacing w:after="0"/>
              <w:rPr>
                <w:sz w:val="20"/>
                <w:szCs w:val="20"/>
                <w:color w:val="auto"/>
              </w:rPr>
            </w:pPr>
            <w:r>
              <w:rPr>
                <w:rFonts w:ascii="Arial" w:cs="Arial" w:eastAsia="Arial" w:hAnsi="Arial"/>
                <w:sz w:val="17"/>
                <w:szCs w:val="17"/>
                <w:color w:val="auto"/>
              </w:rPr>
              <w:t>0</w:t>
            </w: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820" w:type="dxa"/>
            <w:vAlign w:val="bottom"/>
          </w:tcPr>
          <w:p>
            <w:pPr>
              <w:jc w:val="right"/>
              <w:ind w:right="3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tcPr>
          <w:p>
            <w:pPr>
              <w:ind w:left="100"/>
              <w:spacing w:after="0"/>
              <w:rPr>
                <w:sz w:val="20"/>
                <w:szCs w:val="20"/>
                <w:color w:val="auto"/>
              </w:rPr>
            </w:pPr>
            <w:r>
              <w:rPr>
                <w:rFonts w:ascii="Arial" w:cs="Arial" w:eastAsia="Arial" w:hAnsi="Arial"/>
                <w:sz w:val="17"/>
                <w:szCs w:val="17"/>
                <w:b w:val="1"/>
                <w:bCs w:val="1"/>
                <w:color w:val="auto"/>
              </w:rPr>
              <w:t>$</w:t>
            </w:r>
          </w:p>
        </w:tc>
        <w:tc>
          <w:tcPr>
            <w:tcW w:w="720" w:type="dxa"/>
            <w:vAlign w:val="bottom"/>
          </w:tcPr>
          <w:p>
            <w:pPr>
              <w:jc w:val="right"/>
              <w:ind w:right="36"/>
              <w:spacing w:after="0"/>
              <w:rPr>
                <w:sz w:val="20"/>
                <w:szCs w:val="20"/>
                <w:color w:val="auto"/>
              </w:rPr>
            </w:pPr>
            <w:r>
              <w:rPr>
                <w:rFonts w:ascii="Arial" w:cs="Arial" w:eastAsia="Arial" w:hAnsi="Arial"/>
                <w:sz w:val="17"/>
                <w:szCs w:val="17"/>
                <w:b w:val="1"/>
                <w:bCs w:val="1"/>
                <w:color w:val="auto"/>
              </w:rPr>
              <w:t>251</w:t>
            </w:r>
          </w:p>
        </w:tc>
        <w:tc>
          <w:tcPr>
            <w:tcW w:w="76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72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tcPr>
          <w:p>
            <w:pPr>
              <w:jc w:val="right"/>
              <w:ind w:right="18"/>
              <w:spacing w:after="0"/>
              <w:rPr>
                <w:sz w:val="20"/>
                <w:szCs w:val="20"/>
                <w:color w:val="auto"/>
              </w:rPr>
            </w:pPr>
            <w:r>
              <w:rPr>
                <w:rFonts w:ascii="Arial" w:cs="Arial" w:eastAsia="Arial" w:hAnsi="Arial"/>
                <w:sz w:val="17"/>
                <w:szCs w:val="17"/>
                <w:b w:val="1"/>
                <w:bCs w:val="1"/>
                <w:color w:val="auto"/>
              </w:rPr>
              <w:t>0</w:t>
            </w:r>
          </w:p>
        </w:tc>
        <w:tc>
          <w:tcPr>
            <w:tcW w:w="820" w:type="dxa"/>
            <w:vAlign w:val="bottom"/>
          </w:tcPr>
          <w:p>
            <w:pPr>
              <w:jc w:val="right"/>
              <w:ind w:right="37"/>
              <w:spacing w:after="0"/>
              <w:rPr>
                <w:sz w:val="20"/>
                <w:szCs w:val="20"/>
                <w:color w:val="auto"/>
              </w:rPr>
            </w:pPr>
            <w:r>
              <w:rPr>
                <w:rFonts w:ascii="Arial" w:cs="Arial" w:eastAsia="Arial" w:hAnsi="Arial"/>
                <w:sz w:val="17"/>
                <w:szCs w:val="17"/>
                <w:b w:val="1"/>
                <w:bCs w:val="1"/>
                <w:color w:val="auto"/>
              </w:rPr>
              <w:t>0</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7"/>
                <w:szCs w:val="17"/>
                <w:color w:val="auto"/>
              </w:rPr>
              <w:t>Garner Quarry</w:t>
            </w:r>
          </w:p>
        </w:tc>
        <w:tc>
          <w:tcPr>
            <w:tcW w:w="780" w:type="dxa"/>
            <w:vAlign w:val="bottom"/>
            <w:shd w:val="clear" w:color="auto" w:fill="CCEEFF"/>
          </w:tcPr>
          <w:p>
            <w:pPr>
              <w:ind w:left="80"/>
              <w:spacing w:after="0"/>
              <w:rPr>
                <w:sz w:val="20"/>
                <w:szCs w:val="20"/>
                <w:color w:val="auto"/>
              </w:rPr>
            </w:pPr>
            <w:r>
              <w:rPr>
                <w:rFonts w:ascii="Arial" w:cs="Arial" w:eastAsia="Arial" w:hAnsi="Arial"/>
                <w:sz w:val="17"/>
                <w:szCs w:val="17"/>
                <w:color w:val="auto"/>
              </w:rPr>
              <w:t>3100072</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0</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8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rPr>
              <w:t>$</w:t>
            </w:r>
          </w:p>
        </w:tc>
        <w:tc>
          <w:tcPr>
            <w:tcW w:w="720" w:type="dxa"/>
            <w:vAlign w:val="bottom"/>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116</w:t>
            </w:r>
          </w:p>
        </w:tc>
        <w:tc>
          <w:tcPr>
            <w:tcW w:w="7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0</w:t>
            </w:r>
          </w:p>
        </w:tc>
        <w:tc>
          <w:tcPr>
            <w:tcW w:w="820" w:type="dxa"/>
            <w:vAlign w:val="bottom"/>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0</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Arial" w:cs="Arial" w:eastAsia="Arial" w:hAnsi="Arial"/>
                <w:sz w:val="17"/>
                <w:szCs w:val="17"/>
                <w:color w:val="auto"/>
              </w:rPr>
              <w:t>Georgetown ll Quarry</w:t>
            </w:r>
          </w:p>
        </w:tc>
        <w:tc>
          <w:tcPr>
            <w:tcW w:w="780" w:type="dxa"/>
            <w:vAlign w:val="bottom"/>
          </w:tcPr>
          <w:p>
            <w:pPr>
              <w:ind w:left="80"/>
              <w:spacing w:after="0"/>
              <w:rPr>
                <w:sz w:val="20"/>
                <w:szCs w:val="20"/>
                <w:color w:val="auto"/>
              </w:rPr>
            </w:pPr>
            <w:r>
              <w:rPr>
                <w:rFonts w:ascii="Arial" w:cs="Arial" w:eastAsia="Arial" w:hAnsi="Arial"/>
                <w:sz w:val="17"/>
                <w:szCs w:val="17"/>
                <w:color w:val="auto"/>
              </w:rPr>
              <w:t>3800525</w:t>
            </w:r>
          </w:p>
        </w:tc>
        <w:tc>
          <w:tcPr>
            <w:tcW w:w="72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60" w:type="dxa"/>
            <w:vAlign w:val="bottom"/>
          </w:tcPr>
          <w:p>
            <w:pPr>
              <w:jc w:val="right"/>
              <w:ind w:right="36"/>
              <w:spacing w:after="0"/>
              <w:rPr>
                <w:sz w:val="20"/>
                <w:szCs w:val="20"/>
                <w:color w:val="auto"/>
              </w:rPr>
            </w:pPr>
            <w:r>
              <w:rPr>
                <w:rFonts w:ascii="Arial" w:cs="Arial" w:eastAsia="Arial" w:hAnsi="Arial"/>
                <w:sz w:val="17"/>
                <w:szCs w:val="17"/>
                <w:color w:val="auto"/>
              </w:rPr>
              <w:t>0</w:t>
            </w: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820" w:type="dxa"/>
            <w:vAlign w:val="bottom"/>
          </w:tcPr>
          <w:p>
            <w:pPr>
              <w:jc w:val="right"/>
              <w:ind w:right="3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tcPr>
          <w:p>
            <w:pPr>
              <w:ind w:left="100"/>
              <w:spacing w:after="0"/>
              <w:rPr>
                <w:sz w:val="20"/>
                <w:szCs w:val="20"/>
                <w:color w:val="auto"/>
              </w:rPr>
            </w:pPr>
            <w:r>
              <w:rPr>
                <w:rFonts w:ascii="Arial" w:cs="Arial" w:eastAsia="Arial" w:hAnsi="Arial"/>
                <w:sz w:val="17"/>
                <w:szCs w:val="17"/>
                <w:b w:val="1"/>
                <w:bCs w:val="1"/>
                <w:color w:val="auto"/>
              </w:rPr>
              <w:t>$</w:t>
            </w:r>
          </w:p>
        </w:tc>
        <w:tc>
          <w:tcPr>
            <w:tcW w:w="720" w:type="dxa"/>
            <w:vAlign w:val="bottom"/>
          </w:tcPr>
          <w:p>
            <w:pPr>
              <w:jc w:val="right"/>
              <w:ind w:right="36"/>
              <w:spacing w:after="0"/>
              <w:rPr>
                <w:sz w:val="20"/>
                <w:szCs w:val="20"/>
                <w:color w:val="auto"/>
              </w:rPr>
            </w:pPr>
            <w:r>
              <w:rPr>
                <w:rFonts w:ascii="Arial" w:cs="Arial" w:eastAsia="Arial" w:hAnsi="Arial"/>
                <w:sz w:val="17"/>
                <w:szCs w:val="17"/>
                <w:b w:val="1"/>
                <w:bCs w:val="1"/>
                <w:color w:val="auto"/>
              </w:rPr>
              <w:t>160</w:t>
            </w:r>
          </w:p>
        </w:tc>
        <w:tc>
          <w:tcPr>
            <w:tcW w:w="76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72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tcPr>
          <w:p>
            <w:pPr>
              <w:jc w:val="right"/>
              <w:ind w:right="18"/>
              <w:spacing w:after="0"/>
              <w:rPr>
                <w:sz w:val="20"/>
                <w:szCs w:val="20"/>
                <w:color w:val="auto"/>
              </w:rPr>
            </w:pPr>
            <w:r>
              <w:rPr>
                <w:rFonts w:ascii="Arial" w:cs="Arial" w:eastAsia="Arial" w:hAnsi="Arial"/>
                <w:sz w:val="17"/>
                <w:szCs w:val="17"/>
                <w:b w:val="1"/>
                <w:bCs w:val="1"/>
                <w:color w:val="auto"/>
              </w:rPr>
              <w:t>0</w:t>
            </w:r>
          </w:p>
        </w:tc>
        <w:tc>
          <w:tcPr>
            <w:tcW w:w="820" w:type="dxa"/>
            <w:vAlign w:val="bottom"/>
          </w:tcPr>
          <w:p>
            <w:pPr>
              <w:jc w:val="right"/>
              <w:ind w:right="37"/>
              <w:spacing w:after="0"/>
              <w:rPr>
                <w:sz w:val="20"/>
                <w:szCs w:val="20"/>
                <w:color w:val="auto"/>
              </w:rPr>
            </w:pPr>
            <w:r>
              <w:rPr>
                <w:rFonts w:ascii="Arial" w:cs="Arial" w:eastAsia="Arial" w:hAnsi="Arial"/>
                <w:sz w:val="17"/>
                <w:szCs w:val="17"/>
                <w:b w:val="1"/>
                <w:bCs w:val="1"/>
                <w:color w:val="auto"/>
              </w:rPr>
              <w:t>0</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7"/>
                <w:szCs w:val="17"/>
                <w:color w:val="auto"/>
              </w:rPr>
              <w:t>Hickory Quarry</w:t>
            </w:r>
          </w:p>
        </w:tc>
        <w:tc>
          <w:tcPr>
            <w:tcW w:w="780" w:type="dxa"/>
            <w:vAlign w:val="bottom"/>
            <w:shd w:val="clear" w:color="auto" w:fill="CCEEFF"/>
          </w:tcPr>
          <w:p>
            <w:pPr>
              <w:ind w:left="80"/>
              <w:spacing w:after="0"/>
              <w:rPr>
                <w:sz w:val="20"/>
                <w:szCs w:val="20"/>
                <w:color w:val="auto"/>
              </w:rPr>
            </w:pPr>
            <w:r>
              <w:rPr>
                <w:rFonts w:ascii="Arial" w:cs="Arial" w:eastAsia="Arial" w:hAnsi="Arial"/>
                <w:sz w:val="17"/>
                <w:szCs w:val="17"/>
                <w:color w:val="auto"/>
              </w:rPr>
              <w:t>3100043</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0</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8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rPr>
              <w:t>$</w:t>
            </w:r>
          </w:p>
        </w:tc>
        <w:tc>
          <w:tcPr>
            <w:tcW w:w="720" w:type="dxa"/>
            <w:vAlign w:val="bottom"/>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872</w:t>
            </w:r>
          </w:p>
        </w:tc>
        <w:tc>
          <w:tcPr>
            <w:tcW w:w="7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0</w:t>
            </w:r>
          </w:p>
        </w:tc>
        <w:tc>
          <w:tcPr>
            <w:tcW w:w="820" w:type="dxa"/>
            <w:vAlign w:val="bottom"/>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0</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Arial" w:cs="Arial" w:eastAsia="Arial" w:hAnsi="Arial"/>
                <w:sz w:val="17"/>
                <w:szCs w:val="17"/>
                <w:color w:val="auto"/>
              </w:rPr>
              <w:t>Hicone Quarry</w:t>
            </w:r>
          </w:p>
        </w:tc>
        <w:tc>
          <w:tcPr>
            <w:tcW w:w="780" w:type="dxa"/>
            <w:vAlign w:val="bottom"/>
          </w:tcPr>
          <w:p>
            <w:pPr>
              <w:ind w:left="80"/>
              <w:spacing w:after="0"/>
              <w:rPr>
                <w:sz w:val="20"/>
                <w:szCs w:val="20"/>
                <w:color w:val="auto"/>
              </w:rPr>
            </w:pPr>
            <w:r>
              <w:rPr>
                <w:rFonts w:ascii="Arial" w:cs="Arial" w:eastAsia="Arial" w:hAnsi="Arial"/>
                <w:sz w:val="17"/>
                <w:szCs w:val="17"/>
                <w:color w:val="auto"/>
              </w:rPr>
              <w:t>3102088</w:t>
            </w:r>
          </w:p>
        </w:tc>
        <w:tc>
          <w:tcPr>
            <w:tcW w:w="72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60" w:type="dxa"/>
            <w:vAlign w:val="bottom"/>
          </w:tcPr>
          <w:p>
            <w:pPr>
              <w:jc w:val="right"/>
              <w:ind w:right="36"/>
              <w:spacing w:after="0"/>
              <w:rPr>
                <w:sz w:val="20"/>
                <w:szCs w:val="20"/>
                <w:color w:val="auto"/>
              </w:rPr>
            </w:pPr>
            <w:r>
              <w:rPr>
                <w:rFonts w:ascii="Arial" w:cs="Arial" w:eastAsia="Arial" w:hAnsi="Arial"/>
                <w:sz w:val="17"/>
                <w:szCs w:val="17"/>
                <w:color w:val="auto"/>
              </w:rPr>
              <w:t>0</w:t>
            </w: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820" w:type="dxa"/>
            <w:vAlign w:val="bottom"/>
          </w:tcPr>
          <w:p>
            <w:pPr>
              <w:jc w:val="right"/>
              <w:ind w:right="3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tcPr>
          <w:p>
            <w:pPr>
              <w:ind w:left="100"/>
              <w:spacing w:after="0"/>
              <w:rPr>
                <w:sz w:val="20"/>
                <w:szCs w:val="20"/>
                <w:color w:val="auto"/>
              </w:rPr>
            </w:pPr>
            <w:r>
              <w:rPr>
                <w:rFonts w:ascii="Arial" w:cs="Arial" w:eastAsia="Arial" w:hAnsi="Arial"/>
                <w:sz w:val="17"/>
                <w:szCs w:val="17"/>
                <w:b w:val="1"/>
                <w:bCs w:val="1"/>
                <w:color w:val="auto"/>
              </w:rPr>
              <w:t>$</w:t>
            </w:r>
          </w:p>
        </w:tc>
        <w:tc>
          <w:tcPr>
            <w:tcW w:w="720" w:type="dxa"/>
            <w:vAlign w:val="bottom"/>
          </w:tcPr>
          <w:p>
            <w:pPr>
              <w:jc w:val="right"/>
              <w:ind w:right="36"/>
              <w:spacing w:after="0"/>
              <w:rPr>
                <w:sz w:val="20"/>
                <w:szCs w:val="20"/>
                <w:color w:val="auto"/>
              </w:rPr>
            </w:pPr>
            <w:r>
              <w:rPr>
                <w:rFonts w:ascii="Arial" w:cs="Arial" w:eastAsia="Arial" w:hAnsi="Arial"/>
                <w:sz w:val="17"/>
                <w:szCs w:val="17"/>
                <w:b w:val="1"/>
                <w:bCs w:val="1"/>
                <w:color w:val="auto"/>
              </w:rPr>
              <w:t>0</w:t>
            </w:r>
          </w:p>
        </w:tc>
        <w:tc>
          <w:tcPr>
            <w:tcW w:w="76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72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tcPr>
          <w:p>
            <w:pPr>
              <w:jc w:val="right"/>
              <w:ind w:right="18"/>
              <w:spacing w:after="0"/>
              <w:rPr>
                <w:sz w:val="20"/>
                <w:szCs w:val="20"/>
                <w:color w:val="auto"/>
              </w:rPr>
            </w:pPr>
            <w:r>
              <w:rPr>
                <w:rFonts w:ascii="Arial" w:cs="Arial" w:eastAsia="Arial" w:hAnsi="Arial"/>
                <w:sz w:val="17"/>
                <w:szCs w:val="17"/>
                <w:b w:val="1"/>
                <w:bCs w:val="1"/>
                <w:color w:val="auto"/>
              </w:rPr>
              <w:t>0</w:t>
            </w:r>
          </w:p>
        </w:tc>
        <w:tc>
          <w:tcPr>
            <w:tcW w:w="820" w:type="dxa"/>
            <w:vAlign w:val="bottom"/>
          </w:tcPr>
          <w:p>
            <w:pPr>
              <w:jc w:val="right"/>
              <w:ind w:right="37"/>
              <w:spacing w:after="0"/>
              <w:rPr>
                <w:sz w:val="20"/>
                <w:szCs w:val="20"/>
                <w:color w:val="auto"/>
              </w:rPr>
            </w:pPr>
            <w:r>
              <w:rPr>
                <w:rFonts w:ascii="Arial" w:cs="Arial" w:eastAsia="Arial" w:hAnsi="Arial"/>
                <w:sz w:val="17"/>
                <w:szCs w:val="17"/>
                <w:b w:val="1"/>
                <w:bCs w:val="1"/>
                <w:color w:val="auto"/>
              </w:rPr>
              <w:t>0</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7"/>
                <w:szCs w:val="17"/>
                <w:color w:val="auto"/>
              </w:rPr>
              <w:t>Jamestown Quarry</w:t>
            </w:r>
          </w:p>
        </w:tc>
        <w:tc>
          <w:tcPr>
            <w:tcW w:w="780" w:type="dxa"/>
            <w:vAlign w:val="bottom"/>
            <w:shd w:val="clear" w:color="auto" w:fill="CCEEFF"/>
          </w:tcPr>
          <w:p>
            <w:pPr>
              <w:ind w:left="80"/>
              <w:spacing w:after="0"/>
              <w:rPr>
                <w:sz w:val="20"/>
                <w:szCs w:val="20"/>
                <w:color w:val="auto"/>
              </w:rPr>
            </w:pPr>
            <w:r>
              <w:rPr>
                <w:rFonts w:ascii="Arial" w:cs="Arial" w:eastAsia="Arial" w:hAnsi="Arial"/>
                <w:sz w:val="17"/>
                <w:szCs w:val="17"/>
                <w:color w:val="auto"/>
              </w:rPr>
              <w:t>3100051</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0</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8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rPr>
              <w:t>$</w:t>
            </w:r>
          </w:p>
        </w:tc>
        <w:tc>
          <w:tcPr>
            <w:tcW w:w="720" w:type="dxa"/>
            <w:vAlign w:val="bottom"/>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320</w:t>
            </w:r>
          </w:p>
        </w:tc>
        <w:tc>
          <w:tcPr>
            <w:tcW w:w="7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0</w:t>
            </w:r>
          </w:p>
        </w:tc>
        <w:tc>
          <w:tcPr>
            <w:tcW w:w="820" w:type="dxa"/>
            <w:vAlign w:val="bottom"/>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0</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Arial" w:cs="Arial" w:eastAsia="Arial" w:hAnsi="Arial"/>
                <w:sz w:val="17"/>
                <w:szCs w:val="17"/>
                <w:color w:val="auto"/>
              </w:rPr>
              <w:t>Kannapolis Quarry</w:t>
            </w:r>
          </w:p>
        </w:tc>
        <w:tc>
          <w:tcPr>
            <w:tcW w:w="780" w:type="dxa"/>
            <w:vAlign w:val="bottom"/>
          </w:tcPr>
          <w:p>
            <w:pPr>
              <w:ind w:left="80"/>
              <w:spacing w:after="0"/>
              <w:rPr>
                <w:sz w:val="20"/>
                <w:szCs w:val="20"/>
                <w:color w:val="auto"/>
              </w:rPr>
            </w:pPr>
            <w:r>
              <w:rPr>
                <w:rFonts w:ascii="Arial" w:cs="Arial" w:eastAsia="Arial" w:hAnsi="Arial"/>
                <w:sz w:val="17"/>
                <w:szCs w:val="17"/>
                <w:color w:val="auto"/>
              </w:rPr>
              <w:t>3100070</w:t>
            </w:r>
          </w:p>
        </w:tc>
        <w:tc>
          <w:tcPr>
            <w:tcW w:w="72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60" w:type="dxa"/>
            <w:vAlign w:val="bottom"/>
          </w:tcPr>
          <w:p>
            <w:pPr>
              <w:jc w:val="right"/>
              <w:ind w:right="36"/>
              <w:spacing w:after="0"/>
              <w:rPr>
                <w:sz w:val="20"/>
                <w:szCs w:val="20"/>
                <w:color w:val="auto"/>
              </w:rPr>
            </w:pPr>
            <w:r>
              <w:rPr>
                <w:rFonts w:ascii="Arial" w:cs="Arial" w:eastAsia="Arial" w:hAnsi="Arial"/>
                <w:sz w:val="17"/>
                <w:szCs w:val="17"/>
                <w:color w:val="auto"/>
              </w:rPr>
              <w:t>0</w:t>
            </w: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820" w:type="dxa"/>
            <w:vAlign w:val="bottom"/>
          </w:tcPr>
          <w:p>
            <w:pPr>
              <w:jc w:val="right"/>
              <w:ind w:right="3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tcPr>
          <w:p>
            <w:pPr>
              <w:ind w:left="100"/>
              <w:spacing w:after="0"/>
              <w:rPr>
                <w:sz w:val="20"/>
                <w:szCs w:val="20"/>
                <w:color w:val="auto"/>
              </w:rPr>
            </w:pPr>
            <w:r>
              <w:rPr>
                <w:rFonts w:ascii="Arial" w:cs="Arial" w:eastAsia="Arial" w:hAnsi="Arial"/>
                <w:sz w:val="17"/>
                <w:szCs w:val="17"/>
                <w:b w:val="1"/>
                <w:bCs w:val="1"/>
                <w:color w:val="auto"/>
              </w:rPr>
              <w:t>$</w:t>
            </w:r>
          </w:p>
        </w:tc>
        <w:tc>
          <w:tcPr>
            <w:tcW w:w="720" w:type="dxa"/>
            <w:vAlign w:val="bottom"/>
          </w:tcPr>
          <w:p>
            <w:pPr>
              <w:jc w:val="right"/>
              <w:ind w:right="36"/>
              <w:spacing w:after="0"/>
              <w:rPr>
                <w:sz w:val="20"/>
                <w:szCs w:val="20"/>
                <w:color w:val="auto"/>
              </w:rPr>
            </w:pPr>
            <w:r>
              <w:rPr>
                <w:rFonts w:ascii="Arial" w:cs="Arial" w:eastAsia="Arial" w:hAnsi="Arial"/>
                <w:sz w:val="17"/>
                <w:szCs w:val="17"/>
                <w:b w:val="1"/>
                <w:bCs w:val="1"/>
                <w:color w:val="auto"/>
              </w:rPr>
              <w:t>0</w:t>
            </w:r>
          </w:p>
        </w:tc>
        <w:tc>
          <w:tcPr>
            <w:tcW w:w="76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72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tcPr>
          <w:p>
            <w:pPr>
              <w:jc w:val="right"/>
              <w:ind w:right="18"/>
              <w:spacing w:after="0"/>
              <w:rPr>
                <w:sz w:val="20"/>
                <w:szCs w:val="20"/>
                <w:color w:val="auto"/>
              </w:rPr>
            </w:pPr>
            <w:r>
              <w:rPr>
                <w:rFonts w:ascii="Arial" w:cs="Arial" w:eastAsia="Arial" w:hAnsi="Arial"/>
                <w:sz w:val="17"/>
                <w:szCs w:val="17"/>
                <w:b w:val="1"/>
                <w:bCs w:val="1"/>
                <w:color w:val="auto"/>
              </w:rPr>
              <w:t>0</w:t>
            </w:r>
          </w:p>
        </w:tc>
        <w:tc>
          <w:tcPr>
            <w:tcW w:w="820" w:type="dxa"/>
            <w:vAlign w:val="bottom"/>
          </w:tcPr>
          <w:p>
            <w:pPr>
              <w:jc w:val="right"/>
              <w:ind w:right="37"/>
              <w:spacing w:after="0"/>
              <w:rPr>
                <w:sz w:val="20"/>
                <w:szCs w:val="20"/>
                <w:color w:val="auto"/>
              </w:rPr>
            </w:pPr>
            <w:r>
              <w:rPr>
                <w:rFonts w:ascii="Arial" w:cs="Arial" w:eastAsia="Arial" w:hAnsi="Arial"/>
                <w:sz w:val="17"/>
                <w:szCs w:val="17"/>
                <w:b w:val="1"/>
                <w:bCs w:val="1"/>
                <w:color w:val="auto"/>
              </w:rPr>
              <w:t>0</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7"/>
                <w:szCs w:val="17"/>
                <w:color w:val="auto"/>
                <w:w w:val="98"/>
              </w:rPr>
              <w:t>Kings Mountain Quarry</w:t>
            </w:r>
          </w:p>
        </w:tc>
        <w:tc>
          <w:tcPr>
            <w:tcW w:w="780" w:type="dxa"/>
            <w:vAlign w:val="bottom"/>
            <w:shd w:val="clear" w:color="auto" w:fill="CCEEFF"/>
          </w:tcPr>
          <w:p>
            <w:pPr>
              <w:ind w:left="80"/>
              <w:spacing w:after="0"/>
              <w:rPr>
                <w:sz w:val="20"/>
                <w:szCs w:val="20"/>
                <w:color w:val="auto"/>
              </w:rPr>
            </w:pPr>
            <w:r>
              <w:rPr>
                <w:rFonts w:ascii="Arial" w:cs="Arial" w:eastAsia="Arial" w:hAnsi="Arial"/>
                <w:sz w:val="17"/>
                <w:szCs w:val="17"/>
                <w:color w:val="auto"/>
              </w:rPr>
              <w:t>3100047</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0</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8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rPr>
              <w:t>$</w:t>
            </w:r>
          </w:p>
        </w:tc>
        <w:tc>
          <w:tcPr>
            <w:tcW w:w="720" w:type="dxa"/>
            <w:vAlign w:val="bottom"/>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276</w:t>
            </w:r>
          </w:p>
        </w:tc>
        <w:tc>
          <w:tcPr>
            <w:tcW w:w="7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0</w:t>
            </w:r>
          </w:p>
        </w:tc>
        <w:tc>
          <w:tcPr>
            <w:tcW w:w="820" w:type="dxa"/>
            <w:vAlign w:val="bottom"/>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0</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Arial" w:cs="Arial" w:eastAsia="Arial" w:hAnsi="Arial"/>
                <w:sz w:val="17"/>
                <w:szCs w:val="17"/>
                <w:color w:val="auto"/>
              </w:rPr>
              <w:t>Lemon Springs Quarry</w:t>
            </w:r>
          </w:p>
        </w:tc>
        <w:tc>
          <w:tcPr>
            <w:tcW w:w="780" w:type="dxa"/>
            <w:vAlign w:val="bottom"/>
          </w:tcPr>
          <w:p>
            <w:pPr>
              <w:ind w:left="100"/>
              <w:spacing w:after="0"/>
              <w:rPr>
                <w:sz w:val="20"/>
                <w:szCs w:val="20"/>
                <w:color w:val="auto"/>
              </w:rPr>
            </w:pPr>
            <w:r>
              <w:rPr>
                <w:rFonts w:ascii="Arial" w:cs="Arial" w:eastAsia="Arial" w:hAnsi="Arial"/>
                <w:sz w:val="17"/>
                <w:szCs w:val="17"/>
                <w:color w:val="auto"/>
                <w:w w:val="99"/>
              </w:rPr>
              <w:t>3101104</w:t>
            </w:r>
          </w:p>
        </w:tc>
        <w:tc>
          <w:tcPr>
            <w:tcW w:w="72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60" w:type="dxa"/>
            <w:vAlign w:val="bottom"/>
          </w:tcPr>
          <w:p>
            <w:pPr>
              <w:jc w:val="right"/>
              <w:ind w:right="36"/>
              <w:spacing w:after="0"/>
              <w:rPr>
                <w:sz w:val="20"/>
                <w:szCs w:val="20"/>
                <w:color w:val="auto"/>
              </w:rPr>
            </w:pPr>
            <w:r>
              <w:rPr>
                <w:rFonts w:ascii="Arial" w:cs="Arial" w:eastAsia="Arial" w:hAnsi="Arial"/>
                <w:sz w:val="17"/>
                <w:szCs w:val="17"/>
                <w:color w:val="auto"/>
              </w:rPr>
              <w:t>0</w:t>
            </w: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820" w:type="dxa"/>
            <w:vAlign w:val="bottom"/>
          </w:tcPr>
          <w:p>
            <w:pPr>
              <w:jc w:val="right"/>
              <w:ind w:right="3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tcPr>
          <w:p>
            <w:pPr>
              <w:ind w:left="100"/>
              <w:spacing w:after="0"/>
              <w:rPr>
                <w:sz w:val="20"/>
                <w:szCs w:val="20"/>
                <w:color w:val="auto"/>
              </w:rPr>
            </w:pPr>
            <w:r>
              <w:rPr>
                <w:rFonts w:ascii="Arial" w:cs="Arial" w:eastAsia="Arial" w:hAnsi="Arial"/>
                <w:sz w:val="17"/>
                <w:szCs w:val="17"/>
                <w:b w:val="1"/>
                <w:bCs w:val="1"/>
                <w:color w:val="auto"/>
              </w:rPr>
              <w:t>$</w:t>
            </w:r>
          </w:p>
        </w:tc>
        <w:tc>
          <w:tcPr>
            <w:tcW w:w="720" w:type="dxa"/>
            <w:vAlign w:val="bottom"/>
          </w:tcPr>
          <w:p>
            <w:pPr>
              <w:jc w:val="right"/>
              <w:ind w:right="36"/>
              <w:spacing w:after="0"/>
              <w:rPr>
                <w:sz w:val="20"/>
                <w:szCs w:val="20"/>
                <w:color w:val="auto"/>
              </w:rPr>
            </w:pPr>
            <w:r>
              <w:rPr>
                <w:rFonts w:ascii="Arial" w:cs="Arial" w:eastAsia="Arial" w:hAnsi="Arial"/>
                <w:sz w:val="17"/>
                <w:szCs w:val="17"/>
                <w:b w:val="1"/>
                <w:bCs w:val="1"/>
                <w:color w:val="auto"/>
              </w:rPr>
              <w:t>289</w:t>
            </w:r>
          </w:p>
        </w:tc>
        <w:tc>
          <w:tcPr>
            <w:tcW w:w="76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72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tcPr>
          <w:p>
            <w:pPr>
              <w:jc w:val="right"/>
              <w:ind w:right="18"/>
              <w:spacing w:after="0"/>
              <w:rPr>
                <w:sz w:val="20"/>
                <w:szCs w:val="20"/>
                <w:color w:val="auto"/>
              </w:rPr>
            </w:pPr>
            <w:r>
              <w:rPr>
                <w:rFonts w:ascii="Arial" w:cs="Arial" w:eastAsia="Arial" w:hAnsi="Arial"/>
                <w:sz w:val="17"/>
                <w:szCs w:val="17"/>
                <w:b w:val="1"/>
                <w:bCs w:val="1"/>
                <w:color w:val="auto"/>
              </w:rPr>
              <w:t>0</w:t>
            </w:r>
          </w:p>
        </w:tc>
        <w:tc>
          <w:tcPr>
            <w:tcW w:w="820" w:type="dxa"/>
            <w:vAlign w:val="bottom"/>
          </w:tcPr>
          <w:p>
            <w:pPr>
              <w:jc w:val="right"/>
              <w:ind w:right="37"/>
              <w:spacing w:after="0"/>
              <w:rPr>
                <w:sz w:val="20"/>
                <w:szCs w:val="20"/>
                <w:color w:val="auto"/>
              </w:rPr>
            </w:pPr>
            <w:r>
              <w:rPr>
                <w:rFonts w:ascii="Arial" w:cs="Arial" w:eastAsia="Arial" w:hAnsi="Arial"/>
                <w:sz w:val="17"/>
                <w:szCs w:val="17"/>
                <w:b w:val="1"/>
                <w:bCs w:val="1"/>
                <w:color w:val="auto"/>
              </w:rPr>
              <w:t>0</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7"/>
                <w:szCs w:val="17"/>
                <w:color w:val="auto"/>
                <w:w w:val="93"/>
              </w:rPr>
              <w:t>Loamy Sand and Gravel</w:t>
            </w:r>
          </w:p>
        </w:tc>
        <w:tc>
          <w:tcPr>
            <w:tcW w:w="780" w:type="dxa"/>
            <w:vAlign w:val="bottom"/>
            <w:shd w:val="clear" w:color="auto" w:fill="CCEEFF"/>
          </w:tcPr>
          <w:p>
            <w:pPr>
              <w:ind w:left="80"/>
              <w:spacing w:after="0"/>
              <w:rPr>
                <w:sz w:val="20"/>
                <w:szCs w:val="20"/>
                <w:color w:val="auto"/>
              </w:rPr>
            </w:pPr>
            <w:r>
              <w:rPr>
                <w:rFonts w:ascii="Arial" w:cs="Arial" w:eastAsia="Arial" w:hAnsi="Arial"/>
                <w:sz w:val="17"/>
                <w:szCs w:val="17"/>
                <w:color w:val="auto"/>
              </w:rPr>
              <w:t>3800721</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0</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8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rPr>
              <w:t>$</w:t>
            </w:r>
          </w:p>
        </w:tc>
        <w:tc>
          <w:tcPr>
            <w:tcW w:w="720" w:type="dxa"/>
            <w:vAlign w:val="bottom"/>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0</w:t>
            </w:r>
          </w:p>
        </w:tc>
        <w:tc>
          <w:tcPr>
            <w:tcW w:w="7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0</w:t>
            </w:r>
          </w:p>
        </w:tc>
        <w:tc>
          <w:tcPr>
            <w:tcW w:w="820" w:type="dxa"/>
            <w:vAlign w:val="bottom"/>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0</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Arial" w:cs="Arial" w:eastAsia="Arial" w:hAnsi="Arial"/>
                <w:sz w:val="17"/>
                <w:szCs w:val="17"/>
                <w:color w:val="auto"/>
              </w:rPr>
              <w:t>Maiden Quarry</w:t>
            </w:r>
          </w:p>
        </w:tc>
        <w:tc>
          <w:tcPr>
            <w:tcW w:w="780" w:type="dxa"/>
            <w:vAlign w:val="bottom"/>
          </w:tcPr>
          <w:p>
            <w:pPr>
              <w:ind w:left="80"/>
              <w:spacing w:after="0"/>
              <w:rPr>
                <w:sz w:val="20"/>
                <w:szCs w:val="20"/>
                <w:color w:val="auto"/>
              </w:rPr>
            </w:pPr>
            <w:r>
              <w:rPr>
                <w:rFonts w:ascii="Arial" w:cs="Arial" w:eastAsia="Arial" w:hAnsi="Arial"/>
                <w:sz w:val="17"/>
                <w:szCs w:val="17"/>
                <w:color w:val="auto"/>
              </w:rPr>
              <w:t>3102125</w:t>
            </w:r>
          </w:p>
        </w:tc>
        <w:tc>
          <w:tcPr>
            <w:tcW w:w="72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60" w:type="dxa"/>
            <w:vAlign w:val="bottom"/>
          </w:tcPr>
          <w:p>
            <w:pPr>
              <w:jc w:val="right"/>
              <w:ind w:right="36"/>
              <w:spacing w:after="0"/>
              <w:rPr>
                <w:sz w:val="20"/>
                <w:szCs w:val="20"/>
                <w:color w:val="auto"/>
              </w:rPr>
            </w:pPr>
            <w:r>
              <w:rPr>
                <w:rFonts w:ascii="Arial" w:cs="Arial" w:eastAsia="Arial" w:hAnsi="Arial"/>
                <w:sz w:val="17"/>
                <w:szCs w:val="17"/>
                <w:color w:val="auto"/>
              </w:rPr>
              <w:t>0</w:t>
            </w: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820" w:type="dxa"/>
            <w:vAlign w:val="bottom"/>
          </w:tcPr>
          <w:p>
            <w:pPr>
              <w:jc w:val="right"/>
              <w:ind w:right="3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tcPr>
          <w:p>
            <w:pPr>
              <w:ind w:left="100"/>
              <w:spacing w:after="0"/>
              <w:rPr>
                <w:sz w:val="20"/>
                <w:szCs w:val="20"/>
                <w:color w:val="auto"/>
              </w:rPr>
            </w:pPr>
            <w:r>
              <w:rPr>
                <w:rFonts w:ascii="Arial" w:cs="Arial" w:eastAsia="Arial" w:hAnsi="Arial"/>
                <w:sz w:val="17"/>
                <w:szCs w:val="17"/>
                <w:b w:val="1"/>
                <w:bCs w:val="1"/>
                <w:color w:val="auto"/>
              </w:rPr>
              <w:t>$</w:t>
            </w:r>
          </w:p>
        </w:tc>
        <w:tc>
          <w:tcPr>
            <w:tcW w:w="720" w:type="dxa"/>
            <w:vAlign w:val="bottom"/>
          </w:tcPr>
          <w:p>
            <w:pPr>
              <w:jc w:val="right"/>
              <w:ind w:right="36"/>
              <w:spacing w:after="0"/>
              <w:rPr>
                <w:sz w:val="20"/>
                <w:szCs w:val="20"/>
                <w:color w:val="auto"/>
              </w:rPr>
            </w:pPr>
            <w:r>
              <w:rPr>
                <w:rFonts w:ascii="Arial" w:cs="Arial" w:eastAsia="Arial" w:hAnsi="Arial"/>
                <w:sz w:val="17"/>
                <w:szCs w:val="17"/>
                <w:b w:val="1"/>
                <w:bCs w:val="1"/>
                <w:color w:val="auto"/>
              </w:rPr>
              <w:t>0</w:t>
            </w:r>
          </w:p>
        </w:tc>
        <w:tc>
          <w:tcPr>
            <w:tcW w:w="76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72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tcPr>
          <w:p>
            <w:pPr>
              <w:jc w:val="right"/>
              <w:ind w:right="18"/>
              <w:spacing w:after="0"/>
              <w:rPr>
                <w:sz w:val="20"/>
                <w:szCs w:val="20"/>
                <w:color w:val="auto"/>
              </w:rPr>
            </w:pPr>
            <w:r>
              <w:rPr>
                <w:rFonts w:ascii="Arial" w:cs="Arial" w:eastAsia="Arial" w:hAnsi="Arial"/>
                <w:sz w:val="17"/>
                <w:szCs w:val="17"/>
                <w:b w:val="1"/>
                <w:bCs w:val="1"/>
                <w:color w:val="auto"/>
              </w:rPr>
              <w:t>0</w:t>
            </w:r>
          </w:p>
        </w:tc>
        <w:tc>
          <w:tcPr>
            <w:tcW w:w="820" w:type="dxa"/>
            <w:vAlign w:val="bottom"/>
          </w:tcPr>
          <w:p>
            <w:pPr>
              <w:jc w:val="right"/>
              <w:ind w:right="37"/>
              <w:spacing w:after="0"/>
              <w:rPr>
                <w:sz w:val="20"/>
                <w:szCs w:val="20"/>
                <w:color w:val="auto"/>
              </w:rPr>
            </w:pPr>
            <w:r>
              <w:rPr>
                <w:rFonts w:ascii="Arial" w:cs="Arial" w:eastAsia="Arial" w:hAnsi="Arial"/>
                <w:sz w:val="17"/>
                <w:szCs w:val="17"/>
                <w:b w:val="1"/>
                <w:bCs w:val="1"/>
                <w:color w:val="auto"/>
              </w:rPr>
              <w:t>0</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7"/>
                <w:szCs w:val="17"/>
                <w:color w:val="auto"/>
              </w:rPr>
              <w:t>Mallard Creek Quarry</w:t>
            </w:r>
          </w:p>
        </w:tc>
        <w:tc>
          <w:tcPr>
            <w:tcW w:w="780" w:type="dxa"/>
            <w:vAlign w:val="bottom"/>
            <w:shd w:val="clear" w:color="auto" w:fill="CCEEFF"/>
          </w:tcPr>
          <w:p>
            <w:pPr>
              <w:ind w:left="80"/>
              <w:spacing w:after="0"/>
              <w:rPr>
                <w:sz w:val="20"/>
                <w:szCs w:val="20"/>
                <w:color w:val="auto"/>
              </w:rPr>
            </w:pPr>
            <w:r>
              <w:rPr>
                <w:rFonts w:ascii="Arial" w:cs="Arial" w:eastAsia="Arial" w:hAnsi="Arial"/>
                <w:sz w:val="17"/>
                <w:szCs w:val="17"/>
                <w:color w:val="auto"/>
              </w:rPr>
              <w:t>3102006</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0</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8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rPr>
              <w:t>$</w:t>
            </w:r>
          </w:p>
        </w:tc>
        <w:tc>
          <w:tcPr>
            <w:tcW w:w="720" w:type="dxa"/>
            <w:vAlign w:val="bottom"/>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0</w:t>
            </w:r>
          </w:p>
        </w:tc>
        <w:tc>
          <w:tcPr>
            <w:tcW w:w="7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0</w:t>
            </w:r>
          </w:p>
        </w:tc>
        <w:tc>
          <w:tcPr>
            <w:tcW w:w="820" w:type="dxa"/>
            <w:vAlign w:val="bottom"/>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0</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Arial" w:cs="Arial" w:eastAsia="Arial" w:hAnsi="Arial"/>
                <w:sz w:val="17"/>
                <w:szCs w:val="17"/>
                <w:color w:val="auto"/>
              </w:rPr>
              <w:t>Matthews Quarry</w:t>
            </w:r>
          </w:p>
        </w:tc>
        <w:tc>
          <w:tcPr>
            <w:tcW w:w="780" w:type="dxa"/>
            <w:vAlign w:val="bottom"/>
          </w:tcPr>
          <w:p>
            <w:pPr>
              <w:ind w:left="80"/>
              <w:spacing w:after="0"/>
              <w:rPr>
                <w:sz w:val="20"/>
                <w:szCs w:val="20"/>
                <w:color w:val="auto"/>
              </w:rPr>
            </w:pPr>
            <w:r>
              <w:rPr>
                <w:rFonts w:ascii="Arial" w:cs="Arial" w:eastAsia="Arial" w:hAnsi="Arial"/>
                <w:sz w:val="17"/>
                <w:szCs w:val="17"/>
                <w:color w:val="auto"/>
              </w:rPr>
              <w:t>3102084</w:t>
            </w:r>
          </w:p>
        </w:tc>
        <w:tc>
          <w:tcPr>
            <w:tcW w:w="72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60" w:type="dxa"/>
            <w:vAlign w:val="bottom"/>
          </w:tcPr>
          <w:p>
            <w:pPr>
              <w:jc w:val="right"/>
              <w:ind w:right="36"/>
              <w:spacing w:after="0"/>
              <w:rPr>
                <w:sz w:val="20"/>
                <w:szCs w:val="20"/>
                <w:color w:val="auto"/>
              </w:rPr>
            </w:pPr>
            <w:r>
              <w:rPr>
                <w:rFonts w:ascii="Arial" w:cs="Arial" w:eastAsia="Arial" w:hAnsi="Arial"/>
                <w:sz w:val="17"/>
                <w:szCs w:val="17"/>
                <w:color w:val="auto"/>
              </w:rPr>
              <w:t>0</w:t>
            </w: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820" w:type="dxa"/>
            <w:vAlign w:val="bottom"/>
          </w:tcPr>
          <w:p>
            <w:pPr>
              <w:jc w:val="right"/>
              <w:ind w:right="3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tcPr>
          <w:p>
            <w:pPr>
              <w:ind w:left="100"/>
              <w:spacing w:after="0"/>
              <w:rPr>
                <w:sz w:val="20"/>
                <w:szCs w:val="20"/>
                <w:color w:val="auto"/>
              </w:rPr>
            </w:pPr>
            <w:r>
              <w:rPr>
                <w:rFonts w:ascii="Arial" w:cs="Arial" w:eastAsia="Arial" w:hAnsi="Arial"/>
                <w:sz w:val="17"/>
                <w:szCs w:val="17"/>
                <w:b w:val="1"/>
                <w:bCs w:val="1"/>
                <w:color w:val="auto"/>
              </w:rPr>
              <w:t>$</w:t>
            </w:r>
          </w:p>
        </w:tc>
        <w:tc>
          <w:tcPr>
            <w:tcW w:w="720" w:type="dxa"/>
            <w:vAlign w:val="bottom"/>
          </w:tcPr>
          <w:p>
            <w:pPr>
              <w:jc w:val="right"/>
              <w:ind w:right="36"/>
              <w:spacing w:after="0"/>
              <w:rPr>
                <w:sz w:val="20"/>
                <w:szCs w:val="20"/>
                <w:color w:val="auto"/>
              </w:rPr>
            </w:pPr>
            <w:r>
              <w:rPr>
                <w:rFonts w:ascii="Arial" w:cs="Arial" w:eastAsia="Arial" w:hAnsi="Arial"/>
                <w:sz w:val="17"/>
                <w:szCs w:val="17"/>
                <w:b w:val="1"/>
                <w:bCs w:val="1"/>
                <w:color w:val="auto"/>
              </w:rPr>
              <w:t>0</w:t>
            </w:r>
          </w:p>
        </w:tc>
        <w:tc>
          <w:tcPr>
            <w:tcW w:w="76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72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tcPr>
          <w:p>
            <w:pPr>
              <w:jc w:val="right"/>
              <w:ind w:right="18"/>
              <w:spacing w:after="0"/>
              <w:rPr>
                <w:sz w:val="20"/>
                <w:szCs w:val="20"/>
                <w:color w:val="auto"/>
              </w:rPr>
            </w:pPr>
            <w:r>
              <w:rPr>
                <w:rFonts w:ascii="Arial" w:cs="Arial" w:eastAsia="Arial" w:hAnsi="Arial"/>
                <w:sz w:val="17"/>
                <w:szCs w:val="17"/>
                <w:b w:val="1"/>
                <w:bCs w:val="1"/>
                <w:color w:val="auto"/>
              </w:rPr>
              <w:t>0</w:t>
            </w:r>
          </w:p>
        </w:tc>
        <w:tc>
          <w:tcPr>
            <w:tcW w:w="820" w:type="dxa"/>
            <w:vAlign w:val="bottom"/>
          </w:tcPr>
          <w:p>
            <w:pPr>
              <w:jc w:val="right"/>
              <w:ind w:right="37"/>
              <w:spacing w:after="0"/>
              <w:rPr>
                <w:sz w:val="20"/>
                <w:szCs w:val="20"/>
                <w:color w:val="auto"/>
              </w:rPr>
            </w:pPr>
            <w:r>
              <w:rPr>
                <w:rFonts w:ascii="Arial" w:cs="Arial" w:eastAsia="Arial" w:hAnsi="Arial"/>
                <w:sz w:val="17"/>
                <w:szCs w:val="17"/>
                <w:b w:val="1"/>
                <w:bCs w:val="1"/>
                <w:color w:val="auto"/>
              </w:rPr>
              <w:t>1</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7"/>
                <w:szCs w:val="17"/>
                <w:color w:val="auto"/>
              </w:rPr>
              <w:t>Midlothian Quarry</w:t>
            </w:r>
          </w:p>
        </w:tc>
        <w:tc>
          <w:tcPr>
            <w:tcW w:w="780" w:type="dxa"/>
            <w:vAlign w:val="bottom"/>
            <w:shd w:val="clear" w:color="auto" w:fill="CCEEFF"/>
          </w:tcPr>
          <w:p>
            <w:pPr>
              <w:ind w:left="80"/>
              <w:spacing w:after="0"/>
              <w:rPr>
                <w:sz w:val="20"/>
                <w:szCs w:val="20"/>
                <w:color w:val="auto"/>
              </w:rPr>
            </w:pPr>
            <w:r>
              <w:rPr>
                <w:rFonts w:ascii="Arial" w:cs="Arial" w:eastAsia="Arial" w:hAnsi="Arial"/>
                <w:sz w:val="17"/>
                <w:szCs w:val="17"/>
                <w:color w:val="auto"/>
              </w:rPr>
              <w:t>4403767</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0</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8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rPr>
              <w:t>$</w:t>
            </w:r>
          </w:p>
        </w:tc>
        <w:tc>
          <w:tcPr>
            <w:tcW w:w="720" w:type="dxa"/>
            <w:vAlign w:val="bottom"/>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0</w:t>
            </w:r>
          </w:p>
        </w:tc>
        <w:tc>
          <w:tcPr>
            <w:tcW w:w="7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0</w:t>
            </w:r>
          </w:p>
        </w:tc>
        <w:tc>
          <w:tcPr>
            <w:tcW w:w="820" w:type="dxa"/>
            <w:vAlign w:val="bottom"/>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0</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Arial" w:cs="Arial" w:eastAsia="Arial" w:hAnsi="Arial"/>
                <w:sz w:val="17"/>
                <w:szCs w:val="17"/>
                <w:color w:val="auto"/>
                <w:w w:val="98"/>
              </w:rPr>
              <w:t>North Columbia Quarry</w:t>
            </w:r>
          </w:p>
        </w:tc>
        <w:tc>
          <w:tcPr>
            <w:tcW w:w="780" w:type="dxa"/>
            <w:vAlign w:val="bottom"/>
          </w:tcPr>
          <w:p>
            <w:pPr>
              <w:ind w:left="80"/>
              <w:spacing w:after="0"/>
              <w:rPr>
                <w:sz w:val="20"/>
                <w:szCs w:val="20"/>
                <w:color w:val="auto"/>
              </w:rPr>
            </w:pPr>
            <w:r>
              <w:rPr>
                <w:rFonts w:ascii="Arial" w:cs="Arial" w:eastAsia="Arial" w:hAnsi="Arial"/>
                <w:sz w:val="17"/>
                <w:szCs w:val="17"/>
                <w:color w:val="auto"/>
              </w:rPr>
              <w:t>3800146</w:t>
            </w:r>
          </w:p>
        </w:tc>
        <w:tc>
          <w:tcPr>
            <w:tcW w:w="720" w:type="dxa"/>
            <w:vAlign w:val="bottom"/>
          </w:tcPr>
          <w:p>
            <w:pPr>
              <w:jc w:val="right"/>
              <w:ind w:right="16"/>
              <w:spacing w:after="0"/>
              <w:rPr>
                <w:sz w:val="20"/>
                <w:szCs w:val="20"/>
                <w:color w:val="auto"/>
              </w:rPr>
            </w:pPr>
            <w:r>
              <w:rPr>
                <w:rFonts w:ascii="Arial" w:cs="Arial" w:eastAsia="Arial" w:hAnsi="Arial"/>
                <w:sz w:val="17"/>
                <w:szCs w:val="17"/>
                <w:color w:val="auto"/>
              </w:rPr>
              <w:t>1</w:t>
            </w:r>
          </w:p>
        </w:tc>
        <w:tc>
          <w:tcPr>
            <w:tcW w:w="660" w:type="dxa"/>
            <w:vAlign w:val="bottom"/>
          </w:tcPr>
          <w:p>
            <w:pPr>
              <w:jc w:val="right"/>
              <w:ind w:right="36"/>
              <w:spacing w:after="0"/>
              <w:rPr>
                <w:sz w:val="20"/>
                <w:szCs w:val="20"/>
                <w:color w:val="auto"/>
              </w:rPr>
            </w:pPr>
            <w:r>
              <w:rPr>
                <w:rFonts w:ascii="Arial" w:cs="Arial" w:eastAsia="Arial" w:hAnsi="Arial"/>
                <w:sz w:val="17"/>
                <w:szCs w:val="17"/>
                <w:color w:val="auto"/>
              </w:rPr>
              <w:t>0</w:t>
            </w: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820" w:type="dxa"/>
            <w:vAlign w:val="bottom"/>
          </w:tcPr>
          <w:p>
            <w:pPr>
              <w:jc w:val="right"/>
              <w:ind w:right="3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tcPr>
          <w:p>
            <w:pPr>
              <w:ind w:left="100"/>
              <w:spacing w:after="0"/>
              <w:rPr>
                <w:sz w:val="20"/>
                <w:szCs w:val="20"/>
                <w:color w:val="auto"/>
              </w:rPr>
            </w:pPr>
            <w:r>
              <w:rPr>
                <w:rFonts w:ascii="Arial" w:cs="Arial" w:eastAsia="Arial" w:hAnsi="Arial"/>
                <w:sz w:val="17"/>
                <w:szCs w:val="17"/>
                <w:b w:val="1"/>
                <w:bCs w:val="1"/>
                <w:color w:val="auto"/>
              </w:rPr>
              <w:t>$</w:t>
            </w:r>
          </w:p>
        </w:tc>
        <w:tc>
          <w:tcPr>
            <w:tcW w:w="720" w:type="dxa"/>
            <w:vAlign w:val="bottom"/>
          </w:tcPr>
          <w:p>
            <w:pPr>
              <w:jc w:val="right"/>
              <w:ind w:right="36"/>
              <w:spacing w:after="0"/>
              <w:rPr>
                <w:sz w:val="20"/>
                <w:szCs w:val="20"/>
                <w:color w:val="auto"/>
              </w:rPr>
            </w:pPr>
            <w:r>
              <w:rPr>
                <w:rFonts w:ascii="Arial" w:cs="Arial" w:eastAsia="Arial" w:hAnsi="Arial"/>
                <w:sz w:val="17"/>
                <w:szCs w:val="17"/>
                <w:b w:val="1"/>
                <w:bCs w:val="1"/>
                <w:color w:val="auto"/>
              </w:rPr>
              <w:t>0</w:t>
            </w:r>
          </w:p>
        </w:tc>
        <w:tc>
          <w:tcPr>
            <w:tcW w:w="76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72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tcPr>
          <w:p>
            <w:pPr>
              <w:jc w:val="right"/>
              <w:ind w:right="18"/>
              <w:spacing w:after="0"/>
              <w:rPr>
                <w:sz w:val="20"/>
                <w:szCs w:val="20"/>
                <w:color w:val="auto"/>
              </w:rPr>
            </w:pPr>
            <w:r>
              <w:rPr>
                <w:rFonts w:ascii="Arial" w:cs="Arial" w:eastAsia="Arial" w:hAnsi="Arial"/>
                <w:sz w:val="17"/>
                <w:szCs w:val="17"/>
                <w:b w:val="1"/>
                <w:bCs w:val="1"/>
                <w:color w:val="auto"/>
              </w:rPr>
              <w:t>0</w:t>
            </w:r>
          </w:p>
        </w:tc>
        <w:tc>
          <w:tcPr>
            <w:tcW w:w="820" w:type="dxa"/>
            <w:vAlign w:val="bottom"/>
          </w:tcPr>
          <w:p>
            <w:pPr>
              <w:jc w:val="right"/>
              <w:ind w:right="37"/>
              <w:spacing w:after="0"/>
              <w:rPr>
                <w:sz w:val="20"/>
                <w:szCs w:val="20"/>
                <w:color w:val="auto"/>
              </w:rPr>
            </w:pPr>
            <w:r>
              <w:rPr>
                <w:rFonts w:ascii="Arial" w:cs="Arial" w:eastAsia="Arial" w:hAnsi="Arial"/>
                <w:sz w:val="17"/>
                <w:szCs w:val="17"/>
                <w:b w:val="1"/>
                <w:bCs w:val="1"/>
                <w:color w:val="auto"/>
              </w:rPr>
              <w:t>0</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7"/>
                <w:szCs w:val="17"/>
                <w:color w:val="auto"/>
              </w:rPr>
              <w:t>Onslow Quarry</w:t>
            </w:r>
          </w:p>
        </w:tc>
        <w:tc>
          <w:tcPr>
            <w:tcW w:w="780" w:type="dxa"/>
            <w:vAlign w:val="bottom"/>
            <w:shd w:val="clear" w:color="auto" w:fill="CCEEFF"/>
          </w:tcPr>
          <w:p>
            <w:pPr>
              <w:ind w:left="80"/>
              <w:spacing w:after="0"/>
              <w:rPr>
                <w:sz w:val="20"/>
                <w:szCs w:val="20"/>
                <w:color w:val="auto"/>
              </w:rPr>
            </w:pPr>
            <w:r>
              <w:rPr>
                <w:rFonts w:ascii="Arial" w:cs="Arial" w:eastAsia="Arial" w:hAnsi="Arial"/>
                <w:sz w:val="17"/>
                <w:szCs w:val="17"/>
                <w:color w:val="auto"/>
              </w:rPr>
              <w:t>3102120</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0</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8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rPr>
              <w:t>$</w:t>
            </w:r>
          </w:p>
        </w:tc>
        <w:tc>
          <w:tcPr>
            <w:tcW w:w="720" w:type="dxa"/>
            <w:vAlign w:val="bottom"/>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0</w:t>
            </w:r>
          </w:p>
        </w:tc>
        <w:tc>
          <w:tcPr>
            <w:tcW w:w="7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0</w:t>
            </w:r>
          </w:p>
        </w:tc>
        <w:tc>
          <w:tcPr>
            <w:tcW w:w="820" w:type="dxa"/>
            <w:vAlign w:val="bottom"/>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0</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Arial" w:cs="Arial" w:eastAsia="Arial" w:hAnsi="Arial"/>
                <w:sz w:val="17"/>
                <w:szCs w:val="17"/>
                <w:color w:val="auto"/>
              </w:rPr>
              <w:t>Pinesburg</w:t>
            </w:r>
          </w:p>
        </w:tc>
        <w:tc>
          <w:tcPr>
            <w:tcW w:w="780" w:type="dxa"/>
            <w:vAlign w:val="bottom"/>
          </w:tcPr>
          <w:p>
            <w:pPr>
              <w:ind w:left="80"/>
              <w:spacing w:after="0"/>
              <w:rPr>
                <w:sz w:val="20"/>
                <w:szCs w:val="20"/>
                <w:color w:val="auto"/>
              </w:rPr>
            </w:pPr>
            <w:r>
              <w:rPr>
                <w:rFonts w:ascii="Arial" w:cs="Arial" w:eastAsia="Arial" w:hAnsi="Arial"/>
                <w:sz w:val="17"/>
                <w:szCs w:val="17"/>
                <w:color w:val="auto"/>
              </w:rPr>
              <w:t>1800021</w:t>
            </w:r>
          </w:p>
        </w:tc>
        <w:tc>
          <w:tcPr>
            <w:tcW w:w="720" w:type="dxa"/>
            <w:vAlign w:val="bottom"/>
          </w:tcPr>
          <w:p>
            <w:pPr>
              <w:jc w:val="right"/>
              <w:ind w:right="16"/>
              <w:spacing w:after="0"/>
              <w:rPr>
                <w:sz w:val="20"/>
                <w:szCs w:val="20"/>
                <w:color w:val="auto"/>
              </w:rPr>
            </w:pPr>
            <w:r>
              <w:rPr>
                <w:rFonts w:ascii="Arial" w:cs="Arial" w:eastAsia="Arial" w:hAnsi="Arial"/>
                <w:sz w:val="17"/>
                <w:szCs w:val="17"/>
                <w:color w:val="auto"/>
              </w:rPr>
              <w:t>1</w:t>
            </w:r>
          </w:p>
        </w:tc>
        <w:tc>
          <w:tcPr>
            <w:tcW w:w="660" w:type="dxa"/>
            <w:vAlign w:val="bottom"/>
          </w:tcPr>
          <w:p>
            <w:pPr>
              <w:jc w:val="right"/>
              <w:ind w:right="36"/>
              <w:spacing w:after="0"/>
              <w:rPr>
                <w:sz w:val="20"/>
                <w:szCs w:val="20"/>
                <w:color w:val="auto"/>
              </w:rPr>
            </w:pPr>
            <w:r>
              <w:rPr>
                <w:rFonts w:ascii="Arial" w:cs="Arial" w:eastAsia="Arial" w:hAnsi="Arial"/>
                <w:sz w:val="17"/>
                <w:szCs w:val="17"/>
                <w:color w:val="auto"/>
              </w:rPr>
              <w:t>0</w:t>
            </w: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820" w:type="dxa"/>
            <w:vAlign w:val="bottom"/>
          </w:tcPr>
          <w:p>
            <w:pPr>
              <w:jc w:val="right"/>
              <w:ind w:right="3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tcPr>
          <w:p>
            <w:pPr>
              <w:ind w:left="100"/>
              <w:spacing w:after="0"/>
              <w:rPr>
                <w:sz w:val="20"/>
                <w:szCs w:val="20"/>
                <w:color w:val="auto"/>
              </w:rPr>
            </w:pPr>
            <w:r>
              <w:rPr>
                <w:rFonts w:ascii="Arial" w:cs="Arial" w:eastAsia="Arial" w:hAnsi="Arial"/>
                <w:sz w:val="17"/>
                <w:szCs w:val="17"/>
                <w:b w:val="1"/>
                <w:bCs w:val="1"/>
                <w:color w:val="auto"/>
              </w:rPr>
              <w:t>$</w:t>
            </w:r>
          </w:p>
        </w:tc>
        <w:tc>
          <w:tcPr>
            <w:tcW w:w="720" w:type="dxa"/>
            <w:vAlign w:val="bottom"/>
          </w:tcPr>
          <w:p>
            <w:pPr>
              <w:jc w:val="right"/>
              <w:ind w:right="36"/>
              <w:spacing w:after="0"/>
              <w:rPr>
                <w:sz w:val="20"/>
                <w:szCs w:val="20"/>
                <w:color w:val="auto"/>
              </w:rPr>
            </w:pPr>
            <w:r>
              <w:rPr>
                <w:rFonts w:ascii="Arial" w:cs="Arial" w:eastAsia="Arial" w:hAnsi="Arial"/>
                <w:sz w:val="17"/>
                <w:szCs w:val="17"/>
                <w:b w:val="1"/>
                <w:bCs w:val="1"/>
                <w:color w:val="auto"/>
              </w:rPr>
              <w:t>537</w:t>
            </w:r>
          </w:p>
        </w:tc>
        <w:tc>
          <w:tcPr>
            <w:tcW w:w="76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72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tcPr>
          <w:p>
            <w:pPr>
              <w:jc w:val="right"/>
              <w:ind w:right="18"/>
              <w:spacing w:after="0"/>
              <w:rPr>
                <w:sz w:val="20"/>
                <w:szCs w:val="20"/>
                <w:color w:val="auto"/>
              </w:rPr>
            </w:pPr>
            <w:r>
              <w:rPr>
                <w:rFonts w:ascii="Arial" w:cs="Arial" w:eastAsia="Arial" w:hAnsi="Arial"/>
                <w:sz w:val="17"/>
                <w:szCs w:val="17"/>
                <w:b w:val="1"/>
                <w:bCs w:val="1"/>
                <w:color w:val="auto"/>
              </w:rPr>
              <w:t>0</w:t>
            </w:r>
          </w:p>
        </w:tc>
        <w:tc>
          <w:tcPr>
            <w:tcW w:w="820" w:type="dxa"/>
            <w:vAlign w:val="bottom"/>
          </w:tcPr>
          <w:p>
            <w:pPr>
              <w:jc w:val="right"/>
              <w:ind w:right="37"/>
              <w:spacing w:after="0"/>
              <w:rPr>
                <w:sz w:val="20"/>
                <w:szCs w:val="20"/>
                <w:color w:val="auto"/>
              </w:rPr>
            </w:pPr>
            <w:r>
              <w:rPr>
                <w:rFonts w:ascii="Arial" w:cs="Arial" w:eastAsia="Arial" w:hAnsi="Arial"/>
                <w:sz w:val="17"/>
                <w:szCs w:val="17"/>
                <w:b w:val="1"/>
                <w:bCs w:val="1"/>
                <w:color w:val="auto"/>
              </w:rPr>
              <w:t>0</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7"/>
                <w:szCs w:val="17"/>
                <w:color w:val="auto"/>
              </w:rPr>
              <w:t>Pomona Quarry</w:t>
            </w:r>
          </w:p>
        </w:tc>
        <w:tc>
          <w:tcPr>
            <w:tcW w:w="780" w:type="dxa"/>
            <w:vAlign w:val="bottom"/>
            <w:shd w:val="clear" w:color="auto" w:fill="CCEEFF"/>
          </w:tcPr>
          <w:p>
            <w:pPr>
              <w:ind w:left="80"/>
              <w:spacing w:after="0"/>
              <w:rPr>
                <w:sz w:val="20"/>
                <w:szCs w:val="20"/>
                <w:color w:val="auto"/>
              </w:rPr>
            </w:pPr>
            <w:r>
              <w:rPr>
                <w:rFonts w:ascii="Arial" w:cs="Arial" w:eastAsia="Arial" w:hAnsi="Arial"/>
                <w:sz w:val="17"/>
                <w:szCs w:val="17"/>
                <w:color w:val="auto"/>
              </w:rPr>
              <w:t>3100052</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0</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8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rPr>
              <w:t>$</w:t>
            </w:r>
          </w:p>
        </w:tc>
        <w:tc>
          <w:tcPr>
            <w:tcW w:w="720" w:type="dxa"/>
            <w:vAlign w:val="bottom"/>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0</w:t>
            </w:r>
          </w:p>
        </w:tc>
        <w:tc>
          <w:tcPr>
            <w:tcW w:w="7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0</w:t>
            </w:r>
          </w:p>
        </w:tc>
        <w:tc>
          <w:tcPr>
            <w:tcW w:w="820" w:type="dxa"/>
            <w:vAlign w:val="bottom"/>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0</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Arial" w:cs="Arial" w:eastAsia="Arial" w:hAnsi="Arial"/>
                <w:sz w:val="17"/>
                <w:szCs w:val="17"/>
                <w:color w:val="auto"/>
                <w:w w:val="95"/>
              </w:rPr>
              <w:t>Raleigh Durham Quarry</w:t>
            </w:r>
          </w:p>
        </w:tc>
        <w:tc>
          <w:tcPr>
            <w:tcW w:w="780" w:type="dxa"/>
            <w:vAlign w:val="bottom"/>
          </w:tcPr>
          <w:p>
            <w:pPr>
              <w:ind w:left="80"/>
              <w:spacing w:after="0"/>
              <w:rPr>
                <w:sz w:val="20"/>
                <w:szCs w:val="20"/>
                <w:color w:val="auto"/>
              </w:rPr>
            </w:pPr>
            <w:r>
              <w:rPr>
                <w:rFonts w:ascii="Arial" w:cs="Arial" w:eastAsia="Arial" w:hAnsi="Arial"/>
                <w:sz w:val="17"/>
                <w:szCs w:val="17"/>
                <w:color w:val="auto"/>
              </w:rPr>
              <w:t>3101941</w:t>
            </w:r>
          </w:p>
        </w:tc>
        <w:tc>
          <w:tcPr>
            <w:tcW w:w="72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60" w:type="dxa"/>
            <w:vAlign w:val="bottom"/>
          </w:tcPr>
          <w:p>
            <w:pPr>
              <w:jc w:val="right"/>
              <w:ind w:right="36"/>
              <w:spacing w:after="0"/>
              <w:rPr>
                <w:sz w:val="20"/>
                <w:szCs w:val="20"/>
                <w:color w:val="auto"/>
              </w:rPr>
            </w:pPr>
            <w:r>
              <w:rPr>
                <w:rFonts w:ascii="Arial" w:cs="Arial" w:eastAsia="Arial" w:hAnsi="Arial"/>
                <w:sz w:val="17"/>
                <w:szCs w:val="17"/>
                <w:color w:val="auto"/>
              </w:rPr>
              <w:t>0</w:t>
            </w: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820" w:type="dxa"/>
            <w:vAlign w:val="bottom"/>
          </w:tcPr>
          <w:p>
            <w:pPr>
              <w:jc w:val="right"/>
              <w:ind w:right="3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tcPr>
          <w:p>
            <w:pPr>
              <w:ind w:left="100"/>
              <w:spacing w:after="0"/>
              <w:rPr>
                <w:sz w:val="20"/>
                <w:szCs w:val="20"/>
                <w:color w:val="auto"/>
              </w:rPr>
            </w:pPr>
            <w:r>
              <w:rPr>
                <w:rFonts w:ascii="Arial" w:cs="Arial" w:eastAsia="Arial" w:hAnsi="Arial"/>
                <w:sz w:val="17"/>
                <w:szCs w:val="17"/>
                <w:b w:val="1"/>
                <w:bCs w:val="1"/>
                <w:color w:val="auto"/>
              </w:rPr>
              <w:t>$</w:t>
            </w:r>
          </w:p>
        </w:tc>
        <w:tc>
          <w:tcPr>
            <w:tcW w:w="720" w:type="dxa"/>
            <w:vAlign w:val="bottom"/>
          </w:tcPr>
          <w:p>
            <w:pPr>
              <w:jc w:val="right"/>
              <w:ind w:right="36"/>
              <w:spacing w:after="0"/>
              <w:rPr>
                <w:sz w:val="20"/>
                <w:szCs w:val="20"/>
                <w:color w:val="auto"/>
              </w:rPr>
            </w:pPr>
            <w:r>
              <w:rPr>
                <w:rFonts w:ascii="Arial" w:cs="Arial" w:eastAsia="Arial" w:hAnsi="Arial"/>
                <w:sz w:val="17"/>
                <w:szCs w:val="17"/>
                <w:b w:val="1"/>
                <w:bCs w:val="1"/>
                <w:color w:val="auto"/>
              </w:rPr>
              <w:t>0</w:t>
            </w:r>
          </w:p>
        </w:tc>
        <w:tc>
          <w:tcPr>
            <w:tcW w:w="76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72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tcPr>
          <w:p>
            <w:pPr>
              <w:jc w:val="right"/>
              <w:ind w:right="18"/>
              <w:spacing w:after="0"/>
              <w:rPr>
                <w:sz w:val="20"/>
                <w:szCs w:val="20"/>
                <w:color w:val="auto"/>
              </w:rPr>
            </w:pPr>
            <w:r>
              <w:rPr>
                <w:rFonts w:ascii="Arial" w:cs="Arial" w:eastAsia="Arial" w:hAnsi="Arial"/>
                <w:sz w:val="17"/>
                <w:szCs w:val="17"/>
                <w:b w:val="1"/>
                <w:bCs w:val="1"/>
                <w:color w:val="auto"/>
              </w:rPr>
              <w:t>0</w:t>
            </w:r>
          </w:p>
        </w:tc>
        <w:tc>
          <w:tcPr>
            <w:tcW w:w="820" w:type="dxa"/>
            <w:vAlign w:val="bottom"/>
          </w:tcPr>
          <w:p>
            <w:pPr>
              <w:jc w:val="right"/>
              <w:ind w:right="37"/>
              <w:spacing w:after="0"/>
              <w:rPr>
                <w:sz w:val="20"/>
                <w:szCs w:val="20"/>
                <w:color w:val="auto"/>
              </w:rPr>
            </w:pPr>
            <w:r>
              <w:rPr>
                <w:rFonts w:ascii="Arial" w:cs="Arial" w:eastAsia="Arial" w:hAnsi="Arial"/>
                <w:sz w:val="17"/>
                <w:szCs w:val="17"/>
                <w:b w:val="1"/>
                <w:bCs w:val="1"/>
                <w:color w:val="auto"/>
              </w:rPr>
              <w:t>0</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7"/>
                <w:szCs w:val="17"/>
                <w:color w:val="auto"/>
              </w:rPr>
              <w:t>Red Hill Quarry</w:t>
            </w:r>
          </w:p>
        </w:tc>
        <w:tc>
          <w:tcPr>
            <w:tcW w:w="780" w:type="dxa"/>
            <w:vAlign w:val="bottom"/>
            <w:shd w:val="clear" w:color="auto" w:fill="CCEEFF"/>
          </w:tcPr>
          <w:p>
            <w:pPr>
              <w:ind w:left="80"/>
              <w:spacing w:after="0"/>
              <w:rPr>
                <w:sz w:val="20"/>
                <w:szCs w:val="20"/>
                <w:color w:val="auto"/>
              </w:rPr>
            </w:pPr>
            <w:r>
              <w:rPr>
                <w:rFonts w:ascii="Arial" w:cs="Arial" w:eastAsia="Arial" w:hAnsi="Arial"/>
                <w:sz w:val="17"/>
                <w:szCs w:val="17"/>
                <w:color w:val="auto"/>
              </w:rPr>
              <w:t>4400072</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0</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8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rPr>
              <w:t>$</w:t>
            </w:r>
          </w:p>
        </w:tc>
        <w:tc>
          <w:tcPr>
            <w:tcW w:w="720" w:type="dxa"/>
            <w:vAlign w:val="bottom"/>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116</w:t>
            </w:r>
          </w:p>
        </w:tc>
        <w:tc>
          <w:tcPr>
            <w:tcW w:w="7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0</w:t>
            </w:r>
          </w:p>
        </w:tc>
        <w:tc>
          <w:tcPr>
            <w:tcW w:w="820" w:type="dxa"/>
            <w:vAlign w:val="bottom"/>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0</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740" w:type="dxa"/>
            <w:vAlign w:val="bottom"/>
          </w:tcPr>
          <w:p>
            <w:pPr>
              <w:spacing w:after="0"/>
              <w:rPr>
                <w:sz w:val="20"/>
                <w:szCs w:val="20"/>
                <w:color w:val="auto"/>
              </w:rPr>
            </w:pPr>
            <w:r>
              <w:rPr>
                <w:rFonts w:ascii="Arial" w:cs="Arial" w:eastAsia="Arial" w:hAnsi="Arial"/>
                <w:sz w:val="17"/>
                <w:szCs w:val="17"/>
                <w:color w:val="auto"/>
              </w:rPr>
              <w:t>Reidsville Quarry</w:t>
            </w:r>
          </w:p>
        </w:tc>
        <w:tc>
          <w:tcPr>
            <w:tcW w:w="780" w:type="dxa"/>
            <w:vAlign w:val="bottom"/>
          </w:tcPr>
          <w:p>
            <w:pPr>
              <w:ind w:left="80"/>
              <w:spacing w:after="0"/>
              <w:rPr>
                <w:sz w:val="20"/>
                <w:szCs w:val="20"/>
                <w:color w:val="auto"/>
              </w:rPr>
            </w:pPr>
            <w:r>
              <w:rPr>
                <w:rFonts w:ascii="Arial" w:cs="Arial" w:eastAsia="Arial" w:hAnsi="Arial"/>
                <w:sz w:val="17"/>
                <w:szCs w:val="17"/>
                <w:color w:val="auto"/>
              </w:rPr>
              <w:t>3100068</w:t>
            </w:r>
          </w:p>
        </w:tc>
        <w:tc>
          <w:tcPr>
            <w:tcW w:w="72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60" w:type="dxa"/>
            <w:vAlign w:val="bottom"/>
          </w:tcPr>
          <w:p>
            <w:pPr>
              <w:jc w:val="right"/>
              <w:ind w:right="36"/>
              <w:spacing w:after="0"/>
              <w:rPr>
                <w:sz w:val="20"/>
                <w:szCs w:val="20"/>
                <w:color w:val="auto"/>
              </w:rPr>
            </w:pPr>
            <w:r>
              <w:rPr>
                <w:rFonts w:ascii="Arial" w:cs="Arial" w:eastAsia="Arial" w:hAnsi="Arial"/>
                <w:sz w:val="17"/>
                <w:szCs w:val="17"/>
                <w:color w:val="auto"/>
              </w:rPr>
              <w:t>0</w:t>
            </w: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820" w:type="dxa"/>
            <w:vAlign w:val="bottom"/>
          </w:tcPr>
          <w:p>
            <w:pPr>
              <w:jc w:val="right"/>
              <w:ind w:right="3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tcPr>
          <w:p>
            <w:pPr>
              <w:ind w:left="100"/>
              <w:spacing w:after="0"/>
              <w:rPr>
                <w:sz w:val="20"/>
                <w:szCs w:val="20"/>
                <w:color w:val="auto"/>
              </w:rPr>
            </w:pPr>
            <w:r>
              <w:rPr>
                <w:rFonts w:ascii="Arial" w:cs="Arial" w:eastAsia="Arial" w:hAnsi="Arial"/>
                <w:sz w:val="17"/>
                <w:szCs w:val="17"/>
                <w:b w:val="1"/>
                <w:bCs w:val="1"/>
                <w:color w:val="auto"/>
              </w:rPr>
              <w:t>$</w:t>
            </w:r>
          </w:p>
        </w:tc>
        <w:tc>
          <w:tcPr>
            <w:tcW w:w="720" w:type="dxa"/>
            <w:vAlign w:val="bottom"/>
          </w:tcPr>
          <w:p>
            <w:pPr>
              <w:jc w:val="right"/>
              <w:ind w:right="36"/>
              <w:spacing w:after="0"/>
              <w:rPr>
                <w:sz w:val="20"/>
                <w:szCs w:val="20"/>
                <w:color w:val="auto"/>
              </w:rPr>
            </w:pPr>
            <w:r>
              <w:rPr>
                <w:rFonts w:ascii="Arial" w:cs="Arial" w:eastAsia="Arial" w:hAnsi="Arial"/>
                <w:sz w:val="17"/>
                <w:szCs w:val="17"/>
                <w:b w:val="1"/>
                <w:bCs w:val="1"/>
                <w:color w:val="auto"/>
              </w:rPr>
              <w:t>0</w:t>
            </w:r>
          </w:p>
        </w:tc>
        <w:tc>
          <w:tcPr>
            <w:tcW w:w="76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72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tcPr>
          <w:p>
            <w:pPr>
              <w:jc w:val="right"/>
              <w:ind w:right="18"/>
              <w:spacing w:after="0"/>
              <w:rPr>
                <w:sz w:val="20"/>
                <w:szCs w:val="20"/>
                <w:color w:val="auto"/>
              </w:rPr>
            </w:pPr>
            <w:r>
              <w:rPr>
                <w:rFonts w:ascii="Arial" w:cs="Arial" w:eastAsia="Arial" w:hAnsi="Arial"/>
                <w:sz w:val="17"/>
                <w:szCs w:val="17"/>
                <w:b w:val="1"/>
                <w:bCs w:val="1"/>
                <w:color w:val="auto"/>
              </w:rPr>
              <w:t>0</w:t>
            </w:r>
          </w:p>
        </w:tc>
        <w:tc>
          <w:tcPr>
            <w:tcW w:w="820" w:type="dxa"/>
            <w:vAlign w:val="bottom"/>
          </w:tcPr>
          <w:p>
            <w:pPr>
              <w:jc w:val="right"/>
              <w:ind w:right="37"/>
              <w:spacing w:after="0"/>
              <w:rPr>
                <w:sz w:val="20"/>
                <w:szCs w:val="20"/>
                <w:color w:val="auto"/>
              </w:rPr>
            </w:pPr>
            <w:r>
              <w:rPr>
                <w:rFonts w:ascii="Arial" w:cs="Arial" w:eastAsia="Arial" w:hAnsi="Arial"/>
                <w:sz w:val="17"/>
                <w:szCs w:val="17"/>
                <w:b w:val="1"/>
                <w:bCs w:val="1"/>
                <w:color w:val="auto"/>
              </w:rPr>
              <w:t>0</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bl>
    <w:p>
      <w:pPr>
        <w:sectPr>
          <w:pgSz w:w="11900" w:h="16838" w:orient="portrait"/>
          <w:cols w:equalWidth="0" w:num="1">
            <w:col w:w="11420"/>
          </w:cols>
          <w:pgMar w:left="240" w:top="241" w:right="239" w:bottom="1440" w:gutter="0" w:footer="0" w:header="0"/>
        </w:sectPr>
      </w:pPr>
    </w:p>
    <w:bookmarkStart w:id="159" w:name="page160"/>
    <w:bookmarkEnd w:id="15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8">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4"/>
              </w:rPr>
              <w:t>Received</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4"/>
              </w:rPr>
              <w:t>Received</w:t>
            </w: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Legal</w:t>
            </w: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Total</w:t>
            </w:r>
          </w:p>
        </w:tc>
        <w:tc>
          <w:tcPr>
            <w:tcW w:w="7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6"/>
              </w:rPr>
              <w:t>Notice of</w:t>
            </w:r>
          </w:p>
        </w:tc>
        <w:tc>
          <w:tcPr>
            <w:tcW w:w="6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6"/>
              </w:rPr>
              <w:t>Notice of</w:t>
            </w:r>
          </w:p>
        </w:tc>
        <w:tc>
          <w:tcPr>
            <w:tcW w:w="66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Section</w:t>
            </w: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vMerge w:val="restart"/>
          </w:tcPr>
          <w:p>
            <w:pPr>
              <w:jc w:val="center"/>
              <w:ind w:right="137"/>
              <w:spacing w:after="0"/>
              <w:rPr>
                <w:sz w:val="20"/>
                <w:szCs w:val="20"/>
                <w:color w:val="auto"/>
              </w:rPr>
            </w:pPr>
            <w:r>
              <w:rPr>
                <w:rFonts w:ascii="Arial" w:cs="Arial" w:eastAsia="Arial" w:hAnsi="Arial"/>
                <w:sz w:val="14"/>
                <w:szCs w:val="14"/>
                <w:b w:val="1"/>
                <w:bCs w:val="1"/>
                <w:color w:val="auto"/>
                <w:w w:val="95"/>
              </w:rPr>
              <w:t>Total</w:t>
            </w:r>
          </w:p>
        </w:tc>
        <w:tc>
          <w:tcPr>
            <w:tcW w:w="760" w:type="dxa"/>
            <w:vAlign w:val="bottom"/>
            <w:vMerge w:val="continue"/>
          </w:tcPr>
          <w:p>
            <w:pPr>
              <w:spacing w:after="0"/>
              <w:rPr>
                <w:sz w:val="12"/>
                <w:szCs w:val="12"/>
                <w:color w:val="auto"/>
              </w:rPr>
            </w:pPr>
          </w:p>
        </w:tc>
        <w:tc>
          <w:tcPr>
            <w:tcW w:w="7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1"/>
              </w:rPr>
              <w:t>Pattern</w:t>
            </w:r>
          </w:p>
        </w:tc>
        <w:tc>
          <w:tcPr>
            <w:tcW w:w="6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1"/>
              </w:rPr>
              <w:t>Potential</w:t>
            </w:r>
          </w:p>
        </w:tc>
        <w:tc>
          <w:tcPr>
            <w:tcW w:w="6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5"/>
              </w:rPr>
              <w:t>Actions</w:t>
            </w: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Legal</w:t>
            </w: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Legal</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7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0"/>
              </w:rPr>
              <w:t>Number</w:t>
            </w:r>
          </w:p>
        </w:tc>
        <w:tc>
          <w:tcPr>
            <w:tcW w:w="7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0"/>
              </w:rPr>
              <w:t>of</w:t>
            </w:r>
          </w:p>
        </w:tc>
        <w:tc>
          <w:tcPr>
            <w:tcW w:w="6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5"/>
              </w:rPr>
              <w:t>to have</w:t>
            </w:r>
          </w:p>
        </w:tc>
        <w:tc>
          <w:tcPr>
            <w:tcW w:w="660" w:type="dxa"/>
            <w:vAlign w:val="bottom"/>
          </w:tcPr>
          <w:p>
            <w:pPr>
              <w:jc w:val="right"/>
              <w:ind w:right="18"/>
              <w:spacing w:after="0" w:line="143" w:lineRule="exact"/>
              <w:rPr>
                <w:sz w:val="20"/>
                <w:szCs w:val="20"/>
                <w:color w:val="auto"/>
              </w:rPr>
            </w:pPr>
            <w:r>
              <w:rPr>
                <w:rFonts w:ascii="Arial" w:cs="Arial" w:eastAsia="Arial" w:hAnsi="Arial"/>
                <w:sz w:val="14"/>
                <w:szCs w:val="14"/>
                <w:b w:val="1"/>
                <w:bCs w:val="1"/>
                <w:color w:val="auto"/>
                <w:w w:val="97"/>
              </w:rPr>
              <w:t>Pending</w:t>
            </w:r>
          </w:p>
        </w:tc>
        <w:tc>
          <w:tcPr>
            <w:tcW w:w="78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2"/>
              </w:rPr>
              <w:t>Section</w:t>
            </w:r>
          </w:p>
        </w:tc>
        <w:tc>
          <w:tcPr>
            <w:tcW w:w="64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w w:val="98"/>
              </w:rPr>
              <w:t>Section</w:t>
            </w:r>
          </w:p>
        </w:tc>
        <w:tc>
          <w:tcPr>
            <w:tcW w:w="7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2"/>
              </w:rPr>
              <w:t>104(d)</w:t>
            </w:r>
          </w:p>
        </w:tc>
        <w:tc>
          <w:tcPr>
            <w:tcW w:w="78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Section</w:t>
            </w:r>
          </w:p>
        </w:tc>
        <w:tc>
          <w:tcPr>
            <w:tcW w:w="64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rPr>
              <w:t>Section</w:t>
            </w:r>
          </w:p>
        </w:tc>
        <w:tc>
          <w:tcPr>
            <w:tcW w:w="220" w:type="dxa"/>
            <w:vAlign w:val="bottom"/>
          </w:tcPr>
          <w:p>
            <w:pPr>
              <w:spacing w:after="0"/>
              <w:rPr>
                <w:sz w:val="12"/>
                <w:szCs w:val="12"/>
                <w:color w:val="auto"/>
              </w:rPr>
            </w:pPr>
          </w:p>
        </w:tc>
        <w:tc>
          <w:tcPr>
            <w:tcW w:w="700" w:type="dxa"/>
            <w:vAlign w:val="bottom"/>
          </w:tcPr>
          <w:p>
            <w:pPr>
              <w:jc w:val="center"/>
              <w:ind w:right="137"/>
              <w:spacing w:after="0" w:line="143" w:lineRule="exact"/>
              <w:rPr>
                <w:sz w:val="20"/>
                <w:szCs w:val="20"/>
                <w:color w:val="auto"/>
              </w:rPr>
            </w:pPr>
            <w:r>
              <w:rPr>
                <w:rFonts w:ascii="Arial" w:cs="Arial" w:eastAsia="Arial" w:hAnsi="Arial"/>
                <w:sz w:val="14"/>
                <w:szCs w:val="14"/>
                <w:b w:val="1"/>
                <w:bCs w:val="1"/>
                <w:color w:val="auto"/>
                <w:w w:val="90"/>
              </w:rPr>
              <w:t>Dollar</w:t>
            </w:r>
          </w:p>
        </w:tc>
        <w:tc>
          <w:tcPr>
            <w:tcW w:w="7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0"/>
              </w:rPr>
              <w:t>of</w:t>
            </w:r>
          </w:p>
        </w:tc>
        <w:tc>
          <w:tcPr>
            <w:tcW w:w="7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1"/>
              </w:rPr>
              <w:t>Violation</w:t>
            </w:r>
          </w:p>
        </w:tc>
        <w:tc>
          <w:tcPr>
            <w:tcW w:w="6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1"/>
              </w:rPr>
              <w:t>Pattern</w:t>
            </w:r>
          </w:p>
        </w:tc>
        <w:tc>
          <w:tcPr>
            <w:tcW w:w="6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5"/>
              </w:rPr>
              <w:t>as of</w:t>
            </w:r>
          </w:p>
        </w:tc>
        <w:tc>
          <w:tcPr>
            <w:tcW w:w="7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5"/>
              </w:rPr>
              <w:t>Actions</w:t>
            </w:r>
          </w:p>
        </w:tc>
        <w:tc>
          <w:tcPr>
            <w:tcW w:w="6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5"/>
              </w:rPr>
              <w:t>Actions</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740" w:type="dxa"/>
            <w:vAlign w:val="bottom"/>
          </w:tcPr>
          <w:p>
            <w:pPr>
              <w:jc w:val="right"/>
              <w:ind w:right="17"/>
              <w:spacing w:after="0" w:line="143" w:lineRule="exact"/>
              <w:rPr>
                <w:sz w:val="20"/>
                <w:szCs w:val="20"/>
                <w:color w:val="auto"/>
              </w:rPr>
            </w:pPr>
            <w:r>
              <w:rPr>
                <w:rFonts w:ascii="Arial" w:cs="Arial" w:eastAsia="Arial" w:hAnsi="Arial"/>
                <w:sz w:val="14"/>
                <w:szCs w:val="14"/>
                <w:b w:val="1"/>
                <w:bCs w:val="1"/>
                <w:color w:val="auto"/>
              </w:rPr>
              <w:t>Citations</w:t>
            </w:r>
          </w:p>
        </w:tc>
        <w:tc>
          <w:tcPr>
            <w:tcW w:w="78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center"/>
              <w:ind w:right="137"/>
              <w:spacing w:after="0" w:line="143" w:lineRule="exact"/>
              <w:rPr>
                <w:sz w:val="20"/>
                <w:szCs w:val="20"/>
                <w:color w:val="auto"/>
              </w:rPr>
            </w:pPr>
            <w:r>
              <w:rPr>
                <w:rFonts w:ascii="Arial" w:cs="Arial" w:eastAsia="Arial" w:hAnsi="Arial"/>
                <w:sz w:val="14"/>
                <w:szCs w:val="14"/>
                <w:b w:val="1"/>
                <w:bCs w:val="1"/>
                <w:color w:val="auto"/>
                <w:w w:val="88"/>
              </w:rPr>
              <w:t>Value of</w:t>
            </w:r>
          </w:p>
        </w:tc>
        <w:tc>
          <w:tcPr>
            <w:tcW w:w="7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7"/>
              </w:rPr>
              <w:t>Mining</w:t>
            </w:r>
          </w:p>
        </w:tc>
        <w:tc>
          <w:tcPr>
            <w:tcW w:w="7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3"/>
              </w:rPr>
              <w:t>Under</w:t>
            </w:r>
          </w:p>
        </w:tc>
        <w:tc>
          <w:tcPr>
            <w:tcW w:w="6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2"/>
              </w:rPr>
              <w:t>under</w:t>
            </w:r>
          </w:p>
        </w:tc>
        <w:tc>
          <w:tcPr>
            <w:tcW w:w="6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7"/>
              </w:rPr>
              <w:t>Last</w:t>
            </w:r>
          </w:p>
        </w:tc>
        <w:tc>
          <w:tcPr>
            <w:tcW w:w="780" w:type="dxa"/>
            <w:vAlign w:val="bottom"/>
          </w:tcPr>
          <w:p>
            <w:pPr>
              <w:jc w:val="right"/>
              <w:ind w:right="17"/>
              <w:spacing w:after="0" w:line="143" w:lineRule="exact"/>
              <w:rPr>
                <w:sz w:val="20"/>
                <w:szCs w:val="20"/>
                <w:color w:val="auto"/>
              </w:rPr>
            </w:pPr>
            <w:r>
              <w:rPr>
                <w:rFonts w:ascii="Arial" w:cs="Arial" w:eastAsia="Arial" w:hAnsi="Arial"/>
                <w:sz w:val="14"/>
                <w:szCs w:val="14"/>
                <w:b w:val="1"/>
                <w:bCs w:val="1"/>
                <w:color w:val="auto"/>
              </w:rPr>
              <w:t>Instituted</w:t>
            </w:r>
          </w:p>
        </w:tc>
        <w:tc>
          <w:tcPr>
            <w:tcW w:w="680" w:type="dxa"/>
            <w:vAlign w:val="bottom"/>
          </w:tcPr>
          <w:p>
            <w:pPr>
              <w:jc w:val="right"/>
              <w:spacing w:after="0" w:line="143" w:lineRule="exact"/>
              <w:rPr>
                <w:sz w:val="20"/>
                <w:szCs w:val="20"/>
                <w:color w:val="auto"/>
              </w:rPr>
            </w:pPr>
            <w:r>
              <w:rPr>
                <w:rFonts w:ascii="Arial" w:cs="Arial" w:eastAsia="Arial" w:hAnsi="Arial"/>
                <w:sz w:val="14"/>
                <w:szCs w:val="14"/>
                <w:b w:val="1"/>
                <w:bCs w:val="1"/>
                <w:color w:val="auto"/>
                <w:w w:val="99"/>
              </w:rPr>
              <w:t>Resolved</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9"/>
              </w:rPr>
              <w:t>104 S&amp;S</w:t>
            </w:r>
          </w:p>
        </w:tc>
        <w:tc>
          <w:tcPr>
            <w:tcW w:w="6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2"/>
              </w:rPr>
              <w:t>104(b)</w:t>
            </w:r>
          </w:p>
        </w:tc>
        <w:tc>
          <w:tcPr>
            <w:tcW w:w="7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8"/>
              </w:rPr>
              <w:t>and</w:t>
            </w:r>
          </w:p>
        </w:tc>
        <w:tc>
          <w:tcPr>
            <w:tcW w:w="7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2"/>
              </w:rPr>
              <w:t>110(b)(2)</w:t>
            </w:r>
          </w:p>
        </w:tc>
        <w:tc>
          <w:tcPr>
            <w:tcW w:w="6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8"/>
              </w:rPr>
              <w:t>107(a)</w:t>
            </w:r>
          </w:p>
        </w:tc>
        <w:tc>
          <w:tcPr>
            <w:tcW w:w="220" w:type="dxa"/>
            <w:vAlign w:val="bottom"/>
          </w:tcPr>
          <w:p>
            <w:pPr>
              <w:spacing w:after="0"/>
              <w:rPr>
                <w:sz w:val="12"/>
                <w:szCs w:val="12"/>
                <w:color w:val="auto"/>
              </w:rPr>
            </w:pPr>
          </w:p>
        </w:tc>
        <w:tc>
          <w:tcPr>
            <w:tcW w:w="700" w:type="dxa"/>
            <w:vAlign w:val="bottom"/>
          </w:tcPr>
          <w:p>
            <w:pPr>
              <w:jc w:val="center"/>
              <w:ind w:right="137"/>
              <w:spacing w:after="0" w:line="143" w:lineRule="exact"/>
              <w:rPr>
                <w:sz w:val="20"/>
                <w:szCs w:val="20"/>
                <w:color w:val="auto"/>
              </w:rPr>
            </w:pPr>
            <w:r>
              <w:rPr>
                <w:rFonts w:ascii="Arial" w:cs="Arial" w:eastAsia="Arial" w:hAnsi="Arial"/>
                <w:sz w:val="14"/>
                <w:szCs w:val="14"/>
                <w:b w:val="1"/>
                <w:bCs w:val="1"/>
                <w:color w:val="auto"/>
                <w:w w:val="96"/>
              </w:rPr>
              <w:t>MSHA</w:t>
            </w:r>
          </w:p>
        </w:tc>
        <w:tc>
          <w:tcPr>
            <w:tcW w:w="7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6"/>
              </w:rPr>
              <w:t>Related</w:t>
            </w:r>
          </w:p>
        </w:tc>
        <w:tc>
          <w:tcPr>
            <w:tcW w:w="7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6"/>
              </w:rPr>
              <w:t>Section</w:t>
            </w:r>
          </w:p>
        </w:tc>
        <w:tc>
          <w:tcPr>
            <w:tcW w:w="6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6"/>
              </w:rPr>
              <w:t>Section</w:t>
            </w:r>
          </w:p>
        </w:tc>
        <w:tc>
          <w:tcPr>
            <w:tcW w:w="6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3"/>
              </w:rPr>
              <w:t>Day of</w:t>
            </w:r>
          </w:p>
        </w:tc>
        <w:tc>
          <w:tcPr>
            <w:tcW w:w="7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3"/>
              </w:rPr>
              <w:t>During</w:t>
            </w:r>
          </w:p>
        </w:tc>
        <w:tc>
          <w:tcPr>
            <w:tcW w:w="6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3"/>
              </w:rPr>
              <w:t>During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jc w:val="right"/>
              <w:ind w:right="16"/>
              <w:spacing w:after="0" w:line="143" w:lineRule="exact"/>
              <w:rPr>
                <w:sz w:val="20"/>
                <w:szCs w:val="20"/>
                <w:color w:val="auto"/>
              </w:rPr>
            </w:pPr>
            <w:r>
              <w:rPr>
                <w:rFonts w:ascii="Arial" w:cs="Arial" w:eastAsia="Arial" w:hAnsi="Arial"/>
                <w:sz w:val="14"/>
                <w:szCs w:val="14"/>
                <w:b w:val="1"/>
                <w:bCs w:val="1"/>
                <w:color w:val="auto"/>
              </w:rPr>
              <w:t>Citations</w:t>
            </w:r>
          </w:p>
        </w:tc>
        <w:tc>
          <w:tcPr>
            <w:tcW w:w="640" w:type="dxa"/>
            <w:vAlign w:val="bottom"/>
          </w:tcPr>
          <w:p>
            <w:pPr>
              <w:jc w:val="right"/>
              <w:ind w:right="36"/>
              <w:spacing w:after="0" w:line="143" w:lineRule="exact"/>
              <w:rPr>
                <w:sz w:val="20"/>
                <w:szCs w:val="20"/>
                <w:color w:val="auto"/>
              </w:rPr>
            </w:pPr>
            <w:r>
              <w:rPr>
                <w:rFonts w:ascii="Arial" w:cs="Arial" w:eastAsia="Arial" w:hAnsi="Arial"/>
                <w:sz w:val="14"/>
                <w:szCs w:val="14"/>
                <w:b w:val="1"/>
                <w:bCs w:val="1"/>
                <w:color w:val="auto"/>
              </w:rPr>
              <w:t>Orders</w:t>
            </w:r>
          </w:p>
        </w:tc>
        <w:tc>
          <w:tcPr>
            <w:tcW w:w="7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1"/>
              </w:rPr>
              <w:t>Orders</w:t>
            </w:r>
          </w:p>
        </w:tc>
        <w:tc>
          <w:tcPr>
            <w:tcW w:w="780" w:type="dxa"/>
            <w:vAlign w:val="bottom"/>
          </w:tcPr>
          <w:p>
            <w:pPr>
              <w:jc w:val="right"/>
              <w:ind w:right="16"/>
              <w:spacing w:after="0" w:line="143" w:lineRule="exact"/>
              <w:rPr>
                <w:sz w:val="20"/>
                <w:szCs w:val="20"/>
                <w:color w:val="auto"/>
              </w:rPr>
            </w:pPr>
            <w:r>
              <w:rPr>
                <w:rFonts w:ascii="Arial" w:cs="Arial" w:eastAsia="Arial" w:hAnsi="Arial"/>
                <w:sz w:val="14"/>
                <w:szCs w:val="14"/>
                <w:b w:val="1"/>
                <w:bCs w:val="1"/>
                <w:color w:val="auto"/>
                <w:w w:val="98"/>
              </w:rPr>
              <w:t>Violations</w:t>
            </w:r>
          </w:p>
        </w:tc>
        <w:tc>
          <w:tcPr>
            <w:tcW w:w="640" w:type="dxa"/>
            <w:vAlign w:val="bottom"/>
          </w:tcPr>
          <w:p>
            <w:pPr>
              <w:jc w:val="right"/>
              <w:ind w:right="16"/>
              <w:spacing w:after="0" w:line="143" w:lineRule="exact"/>
              <w:rPr>
                <w:sz w:val="20"/>
                <w:szCs w:val="20"/>
                <w:color w:val="auto"/>
              </w:rPr>
            </w:pPr>
            <w:r>
              <w:rPr>
                <w:rFonts w:ascii="Arial" w:cs="Arial" w:eastAsia="Arial" w:hAnsi="Arial"/>
                <w:sz w:val="14"/>
                <w:szCs w:val="14"/>
                <w:b w:val="1"/>
                <w:bCs w:val="1"/>
                <w:color w:val="auto"/>
              </w:rPr>
              <w:t>Orders</w:t>
            </w:r>
          </w:p>
        </w:tc>
        <w:tc>
          <w:tcPr>
            <w:tcW w:w="920" w:type="dxa"/>
            <w:vAlign w:val="bottom"/>
            <w:gridSpan w:val="2"/>
          </w:tcPr>
          <w:p>
            <w:pPr>
              <w:ind w:left="100"/>
              <w:spacing w:after="0" w:line="143" w:lineRule="exact"/>
              <w:rPr>
                <w:sz w:val="20"/>
                <w:szCs w:val="20"/>
                <w:color w:val="auto"/>
              </w:rPr>
            </w:pPr>
            <w:r>
              <w:rPr>
                <w:rFonts w:ascii="Arial" w:cs="Arial" w:eastAsia="Arial" w:hAnsi="Arial"/>
                <w:sz w:val="14"/>
                <w:szCs w:val="14"/>
                <w:b w:val="1"/>
                <w:bCs w:val="1"/>
                <w:color w:val="auto"/>
                <w:w w:val="92"/>
              </w:rPr>
              <w:t>Assessment/</w:t>
            </w:r>
          </w:p>
        </w:tc>
        <w:tc>
          <w:tcPr>
            <w:tcW w:w="760" w:type="dxa"/>
            <w:vAlign w:val="bottom"/>
          </w:tcPr>
          <w:p>
            <w:pPr>
              <w:jc w:val="right"/>
              <w:ind w:right="18"/>
              <w:spacing w:after="0" w:line="143" w:lineRule="exact"/>
              <w:rPr>
                <w:sz w:val="20"/>
                <w:szCs w:val="20"/>
                <w:color w:val="auto"/>
              </w:rPr>
            </w:pPr>
            <w:r>
              <w:rPr>
                <w:rFonts w:ascii="Arial" w:cs="Arial" w:eastAsia="Arial" w:hAnsi="Arial"/>
                <w:sz w:val="14"/>
                <w:szCs w:val="14"/>
                <w:b w:val="1"/>
                <w:bCs w:val="1"/>
                <w:color w:val="auto"/>
              </w:rPr>
              <w:t>Fatalities</w:t>
            </w:r>
          </w:p>
        </w:tc>
        <w:tc>
          <w:tcPr>
            <w:tcW w:w="7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8"/>
              </w:rPr>
              <w:t>104(e)</w:t>
            </w:r>
          </w:p>
        </w:tc>
        <w:tc>
          <w:tcPr>
            <w:tcW w:w="6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8"/>
              </w:rPr>
              <w:t>104(e)</w:t>
            </w:r>
          </w:p>
        </w:tc>
        <w:tc>
          <w:tcPr>
            <w:tcW w:w="6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1"/>
              </w:rPr>
              <w:t>Period</w:t>
            </w:r>
          </w:p>
        </w:tc>
        <w:tc>
          <w:tcPr>
            <w:tcW w:w="7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7"/>
              </w:rPr>
              <w:t>Period</w:t>
            </w:r>
          </w:p>
        </w:tc>
        <w:tc>
          <w:tcPr>
            <w:tcW w:w="6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7"/>
              </w:rPr>
              <w:t>Period</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820" w:type="dxa"/>
            <w:vAlign w:val="bottom"/>
          </w:tcPr>
          <w:p>
            <w:pPr>
              <w:ind w:left="680"/>
              <w:spacing w:after="0"/>
              <w:rPr>
                <w:sz w:val="20"/>
                <w:szCs w:val="20"/>
                <w:color w:val="auto"/>
              </w:rPr>
            </w:pPr>
            <w:r>
              <w:rPr>
                <w:rFonts w:ascii="Arial" w:cs="Arial" w:eastAsia="Arial" w:hAnsi="Arial"/>
                <w:sz w:val="14"/>
                <w:szCs w:val="14"/>
                <w:b w:val="1"/>
                <w:bCs w:val="1"/>
                <w:color w:val="auto"/>
              </w:rPr>
              <w:t>Location</w:t>
            </w:r>
          </w:p>
        </w:tc>
        <w:tc>
          <w:tcPr>
            <w:tcW w:w="880" w:type="dxa"/>
            <w:vAlign w:val="bottom"/>
          </w:tcPr>
          <w:p>
            <w:pPr>
              <w:ind w:left="200"/>
              <w:spacing w:after="0"/>
              <w:rPr>
                <w:sz w:val="20"/>
                <w:szCs w:val="20"/>
                <w:color w:val="auto"/>
              </w:rPr>
            </w:pPr>
            <w:r>
              <w:rPr>
                <w:rFonts w:ascii="Arial" w:cs="Arial" w:eastAsia="Arial" w:hAnsi="Arial"/>
                <w:sz w:val="14"/>
                <w:szCs w:val="14"/>
                <w:b w:val="1"/>
                <w:bCs w:val="1"/>
                <w:color w:val="auto"/>
              </w:rPr>
              <w:t>MSHA ID</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640" w:type="dxa"/>
            <w:vAlign w:val="bottom"/>
          </w:tcPr>
          <w:p>
            <w:pPr>
              <w:jc w:val="right"/>
              <w:ind w:right="156"/>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ind w:right="217"/>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236"/>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ind w:right="156"/>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ind w:left="140"/>
              <w:spacing w:after="0"/>
              <w:rPr>
                <w:sz w:val="20"/>
                <w:szCs w:val="20"/>
                <w:color w:val="auto"/>
              </w:rPr>
            </w:pPr>
            <w:r>
              <w:rPr>
                <w:rFonts w:ascii="Arial" w:cs="Arial" w:eastAsia="Arial" w:hAnsi="Arial"/>
                <w:sz w:val="14"/>
                <w:szCs w:val="14"/>
                <w:b w:val="1"/>
                <w:bCs w:val="1"/>
                <w:color w:val="auto"/>
                <w:w w:val="76"/>
              </w:rPr>
              <w:t>$</w:t>
            </w:r>
          </w:p>
        </w:tc>
        <w:tc>
          <w:tcPr>
            <w:tcW w:w="700" w:type="dxa"/>
            <w:vAlign w:val="bottom"/>
          </w:tcPr>
          <w:p>
            <w:pPr>
              <w:jc w:val="right"/>
              <w:ind w:right="57"/>
              <w:spacing w:after="0"/>
              <w:rPr>
                <w:sz w:val="20"/>
                <w:szCs w:val="20"/>
                <w:color w:val="auto"/>
              </w:rPr>
            </w:pPr>
            <w:r>
              <w:rPr>
                <w:rFonts w:ascii="Arial" w:cs="Arial" w:eastAsia="Arial" w:hAnsi="Arial"/>
                <w:sz w:val="14"/>
                <w:szCs w:val="14"/>
                <w:b w:val="1"/>
                <w:bCs w:val="1"/>
                <w:color w:val="auto"/>
                <w:w w:val="83"/>
              </w:rPr>
              <w:t>Proposed</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5"/>
              </w:rPr>
              <w:t>(yes/no)</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5"/>
              </w:rPr>
              <w:t>(yes/no)</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1820" w:type="dxa"/>
            <w:vAlign w:val="bottom"/>
          </w:tcPr>
          <w:p>
            <w:pPr>
              <w:spacing w:after="0"/>
              <w:rPr>
                <w:sz w:val="7"/>
                <w:szCs w:val="7"/>
                <w:color w:val="auto"/>
              </w:rPr>
            </w:pPr>
          </w:p>
        </w:tc>
        <w:tc>
          <w:tcPr>
            <w:tcW w:w="8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7"/>
                <w:szCs w:val="17"/>
                <w:color w:val="auto"/>
              </w:rPr>
              <w:t>Rock Hill Quarry</w:t>
            </w:r>
          </w:p>
        </w:tc>
        <w:tc>
          <w:tcPr>
            <w:tcW w:w="880" w:type="dxa"/>
            <w:vAlign w:val="bottom"/>
            <w:shd w:val="clear" w:color="auto" w:fill="CCEEFF"/>
          </w:tcPr>
          <w:p>
            <w:pPr>
              <w:ind w:left="200"/>
              <w:spacing w:after="0"/>
              <w:rPr>
                <w:sz w:val="20"/>
                <w:szCs w:val="20"/>
                <w:color w:val="auto"/>
              </w:rPr>
            </w:pPr>
            <w:r>
              <w:rPr>
                <w:rFonts w:ascii="Arial" w:cs="Arial" w:eastAsia="Arial" w:hAnsi="Arial"/>
                <w:sz w:val="17"/>
                <w:szCs w:val="17"/>
                <w:color w:val="auto"/>
                <w:w w:val="99"/>
              </w:rPr>
              <w:t>3800026</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0</w:t>
            </w: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7"/>
                <w:szCs w:val="17"/>
                <w:color w:val="auto"/>
              </w:rPr>
              <w:t>Rocky Point Quarry</w:t>
            </w:r>
          </w:p>
        </w:tc>
        <w:tc>
          <w:tcPr>
            <w:tcW w:w="880" w:type="dxa"/>
            <w:vAlign w:val="bottom"/>
          </w:tcPr>
          <w:p>
            <w:pPr>
              <w:ind w:left="200"/>
              <w:spacing w:after="0"/>
              <w:rPr>
                <w:sz w:val="20"/>
                <w:szCs w:val="20"/>
                <w:color w:val="auto"/>
              </w:rPr>
            </w:pPr>
            <w:r>
              <w:rPr>
                <w:rFonts w:ascii="Arial" w:cs="Arial" w:eastAsia="Arial" w:hAnsi="Arial"/>
                <w:sz w:val="17"/>
                <w:szCs w:val="17"/>
                <w:color w:val="auto"/>
                <w:w w:val="99"/>
              </w:rPr>
              <w:t>3101956</w:t>
            </w:r>
          </w:p>
        </w:tc>
        <w:tc>
          <w:tcPr>
            <w:tcW w:w="72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tcPr>
          <w:p>
            <w:pPr>
              <w:jc w:val="right"/>
              <w:ind w:right="17"/>
              <w:spacing w:after="0"/>
              <w:rPr>
                <w:sz w:val="20"/>
                <w:szCs w:val="20"/>
                <w:color w:val="auto"/>
              </w:rPr>
            </w:pPr>
            <w:r>
              <w:rPr>
                <w:rFonts w:ascii="Arial" w:cs="Arial" w:eastAsia="Arial" w:hAnsi="Arial"/>
                <w:sz w:val="17"/>
                <w:szCs w:val="17"/>
                <w:b w:val="1"/>
                <w:bCs w:val="1"/>
                <w:color w:val="auto"/>
              </w:rPr>
              <w:t>232</w:t>
            </w:r>
          </w:p>
        </w:tc>
        <w:tc>
          <w:tcPr>
            <w:tcW w:w="760" w:type="dxa"/>
            <w:vAlign w:val="bottom"/>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7"/>
                <w:szCs w:val="17"/>
                <w:color w:val="auto"/>
              </w:rPr>
              <w:t>Salem Stone Company</w:t>
            </w:r>
          </w:p>
        </w:tc>
        <w:tc>
          <w:tcPr>
            <w:tcW w:w="880" w:type="dxa"/>
            <w:vAlign w:val="bottom"/>
            <w:shd w:val="clear" w:color="auto" w:fill="CCEEFF"/>
          </w:tcPr>
          <w:p>
            <w:pPr>
              <w:ind w:left="200"/>
              <w:spacing w:after="0"/>
              <w:rPr>
                <w:sz w:val="20"/>
                <w:szCs w:val="20"/>
                <w:color w:val="auto"/>
              </w:rPr>
            </w:pPr>
            <w:r>
              <w:rPr>
                <w:rFonts w:ascii="Arial" w:cs="Arial" w:eastAsia="Arial" w:hAnsi="Arial"/>
                <w:sz w:val="17"/>
                <w:szCs w:val="17"/>
                <w:color w:val="auto"/>
                <w:w w:val="99"/>
              </w:rPr>
              <w:t>3102038</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0</w:t>
            </w: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7"/>
                <w:szCs w:val="17"/>
                <w:color w:val="auto"/>
              </w:rPr>
              <w:t>Statesville Quarry</w:t>
            </w:r>
          </w:p>
        </w:tc>
        <w:tc>
          <w:tcPr>
            <w:tcW w:w="880" w:type="dxa"/>
            <w:vAlign w:val="bottom"/>
          </w:tcPr>
          <w:p>
            <w:pPr>
              <w:ind w:left="200"/>
              <w:spacing w:after="0"/>
              <w:rPr>
                <w:sz w:val="20"/>
                <w:szCs w:val="20"/>
                <w:color w:val="auto"/>
              </w:rPr>
            </w:pPr>
            <w:r>
              <w:rPr>
                <w:rFonts w:ascii="Arial" w:cs="Arial" w:eastAsia="Arial" w:hAnsi="Arial"/>
                <w:sz w:val="17"/>
                <w:szCs w:val="17"/>
                <w:color w:val="auto"/>
                <w:w w:val="99"/>
              </w:rPr>
              <w:t>3100055</w:t>
            </w:r>
          </w:p>
        </w:tc>
        <w:tc>
          <w:tcPr>
            <w:tcW w:w="720" w:type="dxa"/>
            <w:vAlign w:val="bottom"/>
          </w:tcPr>
          <w:p>
            <w:pPr>
              <w:jc w:val="right"/>
              <w:ind w:right="16"/>
              <w:spacing w:after="0"/>
              <w:rPr>
                <w:sz w:val="20"/>
                <w:szCs w:val="20"/>
                <w:color w:val="auto"/>
              </w:rPr>
            </w:pPr>
            <w:r>
              <w:rPr>
                <w:rFonts w:ascii="Arial" w:cs="Arial" w:eastAsia="Arial" w:hAnsi="Arial"/>
                <w:sz w:val="17"/>
                <w:szCs w:val="17"/>
                <w:color w:val="auto"/>
              </w:rPr>
              <w:t>1</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tcPr>
          <w:p>
            <w:pPr>
              <w:jc w:val="right"/>
              <w:ind w:right="17"/>
              <w:spacing w:after="0"/>
              <w:rPr>
                <w:sz w:val="20"/>
                <w:szCs w:val="20"/>
                <w:color w:val="auto"/>
              </w:rPr>
            </w:pPr>
            <w:r>
              <w:rPr>
                <w:rFonts w:ascii="Arial" w:cs="Arial" w:eastAsia="Arial" w:hAnsi="Arial"/>
                <w:sz w:val="17"/>
                <w:szCs w:val="17"/>
                <w:b w:val="1"/>
                <w:bCs w:val="1"/>
                <w:color w:val="auto"/>
              </w:rPr>
              <w:t>356</w:t>
            </w:r>
          </w:p>
        </w:tc>
        <w:tc>
          <w:tcPr>
            <w:tcW w:w="760" w:type="dxa"/>
            <w:vAlign w:val="bottom"/>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7"/>
                <w:szCs w:val="17"/>
                <w:color w:val="auto"/>
              </w:rPr>
              <w:t>Thomasville Quarry</w:t>
            </w:r>
          </w:p>
        </w:tc>
        <w:tc>
          <w:tcPr>
            <w:tcW w:w="880" w:type="dxa"/>
            <w:vAlign w:val="bottom"/>
            <w:shd w:val="clear" w:color="auto" w:fill="CCEEFF"/>
          </w:tcPr>
          <w:p>
            <w:pPr>
              <w:ind w:left="200"/>
              <w:spacing w:after="0"/>
              <w:rPr>
                <w:sz w:val="20"/>
                <w:szCs w:val="20"/>
                <w:color w:val="auto"/>
              </w:rPr>
            </w:pPr>
            <w:r>
              <w:rPr>
                <w:rFonts w:ascii="Arial" w:cs="Arial" w:eastAsia="Arial" w:hAnsi="Arial"/>
                <w:sz w:val="17"/>
                <w:szCs w:val="17"/>
                <w:color w:val="auto"/>
                <w:w w:val="99"/>
              </w:rPr>
              <w:t>3101475</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0</w:t>
            </w: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7"/>
                <w:szCs w:val="17"/>
                <w:color w:val="auto"/>
              </w:rPr>
              <w:t>Wilmington Sand</w:t>
            </w:r>
          </w:p>
        </w:tc>
        <w:tc>
          <w:tcPr>
            <w:tcW w:w="880" w:type="dxa"/>
            <w:vAlign w:val="bottom"/>
          </w:tcPr>
          <w:p>
            <w:pPr>
              <w:ind w:left="200"/>
              <w:spacing w:after="0"/>
              <w:rPr>
                <w:sz w:val="20"/>
                <w:szCs w:val="20"/>
                <w:color w:val="auto"/>
              </w:rPr>
            </w:pPr>
            <w:r>
              <w:rPr>
                <w:rFonts w:ascii="Arial" w:cs="Arial" w:eastAsia="Arial" w:hAnsi="Arial"/>
                <w:sz w:val="17"/>
                <w:szCs w:val="17"/>
                <w:color w:val="auto"/>
                <w:w w:val="99"/>
              </w:rPr>
              <w:t>3101308</w:t>
            </w:r>
          </w:p>
        </w:tc>
        <w:tc>
          <w:tcPr>
            <w:tcW w:w="72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tcPr>
          <w:p>
            <w:pPr>
              <w:jc w:val="right"/>
              <w:ind w:right="17"/>
              <w:spacing w:after="0"/>
              <w:rPr>
                <w:sz w:val="20"/>
                <w:szCs w:val="20"/>
                <w:color w:val="auto"/>
              </w:rPr>
            </w:pPr>
            <w:r>
              <w:rPr>
                <w:rFonts w:ascii="Arial" w:cs="Arial" w:eastAsia="Arial" w:hAnsi="Arial"/>
                <w:sz w:val="17"/>
                <w:szCs w:val="17"/>
                <w:b w:val="1"/>
                <w:bCs w:val="1"/>
                <w:color w:val="auto"/>
              </w:rPr>
              <w:t>0</w:t>
            </w:r>
          </w:p>
        </w:tc>
        <w:tc>
          <w:tcPr>
            <w:tcW w:w="760" w:type="dxa"/>
            <w:vAlign w:val="bottom"/>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7"/>
                <w:szCs w:val="17"/>
                <w:color w:val="auto"/>
              </w:rPr>
              <w:t>Woodleaf Quarry</w:t>
            </w:r>
          </w:p>
        </w:tc>
        <w:tc>
          <w:tcPr>
            <w:tcW w:w="880" w:type="dxa"/>
            <w:vAlign w:val="bottom"/>
            <w:shd w:val="clear" w:color="auto" w:fill="CCEEFF"/>
          </w:tcPr>
          <w:p>
            <w:pPr>
              <w:ind w:left="200"/>
              <w:spacing w:after="0"/>
              <w:rPr>
                <w:sz w:val="20"/>
                <w:szCs w:val="20"/>
                <w:color w:val="auto"/>
              </w:rPr>
            </w:pPr>
            <w:r>
              <w:rPr>
                <w:rFonts w:ascii="Arial" w:cs="Arial" w:eastAsia="Arial" w:hAnsi="Arial"/>
                <w:sz w:val="17"/>
                <w:szCs w:val="17"/>
                <w:color w:val="auto"/>
                <w:w w:val="99"/>
              </w:rPr>
              <w:t>3100069</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116</w:t>
            </w: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820" w:type="dxa"/>
            <w:vAlign w:val="bottom"/>
          </w:tcPr>
          <w:p>
            <w:pPr>
              <w:spacing w:after="0"/>
              <w:rPr>
                <w:sz w:val="20"/>
                <w:szCs w:val="20"/>
                <w:color w:val="auto"/>
              </w:rPr>
            </w:pPr>
            <w:r>
              <w:rPr>
                <w:rFonts w:ascii="Arial" w:cs="Arial" w:eastAsia="Arial" w:hAnsi="Arial"/>
                <w:sz w:val="17"/>
                <w:szCs w:val="17"/>
                <w:color w:val="auto"/>
              </w:rPr>
              <w:t>(45) North Indianapolis</w:t>
            </w:r>
          </w:p>
        </w:tc>
        <w:tc>
          <w:tcPr>
            <w:tcW w:w="8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vMerge w:val="restart"/>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vMerge w:val="restart"/>
          </w:tcPr>
          <w:p>
            <w:pPr>
              <w:jc w:val="right"/>
              <w:ind w:right="17"/>
              <w:spacing w:after="0"/>
              <w:rPr>
                <w:sz w:val="20"/>
                <w:szCs w:val="20"/>
                <w:color w:val="auto"/>
              </w:rPr>
            </w:pPr>
            <w:r>
              <w:rPr>
                <w:rFonts w:ascii="Arial" w:cs="Arial" w:eastAsia="Arial" w:hAnsi="Arial"/>
                <w:sz w:val="17"/>
                <w:szCs w:val="17"/>
                <w:b w:val="1"/>
                <w:bCs w:val="1"/>
                <w:color w:val="auto"/>
              </w:rPr>
              <w:t>1,270</w:t>
            </w: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vMerge w:val="restart"/>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vMerge w:val="restart"/>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820" w:type="dxa"/>
            <w:vAlign w:val="bottom"/>
          </w:tcPr>
          <w:p>
            <w:pPr>
              <w:ind w:left="160"/>
              <w:spacing w:after="0"/>
              <w:rPr>
                <w:sz w:val="20"/>
                <w:szCs w:val="20"/>
                <w:color w:val="auto"/>
              </w:rPr>
            </w:pPr>
            <w:r>
              <w:rPr>
                <w:rFonts w:ascii="Arial" w:cs="Arial" w:eastAsia="Arial" w:hAnsi="Arial"/>
                <w:sz w:val="17"/>
                <w:szCs w:val="17"/>
                <w:color w:val="auto"/>
              </w:rPr>
              <w:t>SURFACE</w:t>
            </w:r>
          </w:p>
        </w:tc>
        <w:tc>
          <w:tcPr>
            <w:tcW w:w="880" w:type="dxa"/>
            <w:vAlign w:val="bottom"/>
          </w:tcPr>
          <w:p>
            <w:pPr>
              <w:ind w:left="200"/>
              <w:spacing w:after="0"/>
              <w:rPr>
                <w:sz w:val="20"/>
                <w:szCs w:val="20"/>
                <w:color w:val="auto"/>
              </w:rPr>
            </w:pPr>
            <w:r>
              <w:rPr>
                <w:rFonts w:ascii="Arial" w:cs="Arial" w:eastAsia="Arial" w:hAnsi="Arial"/>
                <w:sz w:val="17"/>
                <w:szCs w:val="17"/>
                <w:color w:val="auto"/>
                <w:w w:val="99"/>
              </w:rPr>
              <w:t>1200002</w:t>
            </w:r>
          </w:p>
        </w:tc>
        <w:tc>
          <w:tcPr>
            <w:tcW w:w="720" w:type="dxa"/>
            <w:vAlign w:val="bottom"/>
          </w:tcPr>
          <w:p>
            <w:pPr>
              <w:jc w:val="right"/>
              <w:ind w:right="16"/>
              <w:spacing w:after="0"/>
              <w:rPr>
                <w:sz w:val="20"/>
                <w:szCs w:val="20"/>
                <w:color w:val="auto"/>
              </w:rPr>
            </w:pPr>
            <w:r>
              <w:rPr>
                <w:rFonts w:ascii="Arial" w:cs="Arial" w:eastAsia="Arial" w:hAnsi="Arial"/>
                <w:sz w:val="17"/>
                <w:szCs w:val="17"/>
                <w:color w:val="auto"/>
              </w:rPr>
              <w:t>2</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760" w:type="dxa"/>
            <w:vAlign w:val="bottom"/>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7"/>
                <w:szCs w:val="17"/>
                <w:color w:val="auto"/>
              </w:rPr>
              <w:t>Apple Grove</w:t>
            </w:r>
          </w:p>
        </w:tc>
        <w:tc>
          <w:tcPr>
            <w:tcW w:w="880" w:type="dxa"/>
            <w:vAlign w:val="bottom"/>
            <w:shd w:val="clear" w:color="auto" w:fill="CCEEFF"/>
          </w:tcPr>
          <w:p>
            <w:pPr>
              <w:ind w:left="200"/>
              <w:spacing w:after="0"/>
              <w:rPr>
                <w:sz w:val="20"/>
                <w:szCs w:val="20"/>
                <w:color w:val="auto"/>
              </w:rPr>
            </w:pPr>
            <w:r>
              <w:rPr>
                <w:rFonts w:ascii="Arial" w:cs="Arial" w:eastAsia="Arial" w:hAnsi="Arial"/>
                <w:sz w:val="17"/>
                <w:szCs w:val="17"/>
                <w:color w:val="auto"/>
                <w:w w:val="99"/>
              </w:rPr>
              <w:t>3301676</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116</w:t>
            </w: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7"/>
                <w:szCs w:val="17"/>
                <w:color w:val="auto"/>
              </w:rPr>
              <w:t>Belmont Sand</w:t>
            </w:r>
          </w:p>
        </w:tc>
        <w:tc>
          <w:tcPr>
            <w:tcW w:w="880" w:type="dxa"/>
            <w:vAlign w:val="bottom"/>
          </w:tcPr>
          <w:p>
            <w:pPr>
              <w:ind w:left="200"/>
              <w:spacing w:after="0"/>
              <w:rPr>
                <w:sz w:val="20"/>
                <w:szCs w:val="20"/>
                <w:color w:val="auto"/>
              </w:rPr>
            </w:pPr>
            <w:r>
              <w:rPr>
                <w:rFonts w:ascii="Arial" w:cs="Arial" w:eastAsia="Arial" w:hAnsi="Arial"/>
                <w:sz w:val="17"/>
                <w:szCs w:val="17"/>
                <w:color w:val="auto"/>
                <w:w w:val="99"/>
              </w:rPr>
              <w:t>1201911</w:t>
            </w:r>
          </w:p>
        </w:tc>
        <w:tc>
          <w:tcPr>
            <w:tcW w:w="72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tcPr>
          <w:p>
            <w:pPr>
              <w:jc w:val="right"/>
              <w:ind w:right="17"/>
              <w:spacing w:after="0"/>
              <w:rPr>
                <w:sz w:val="20"/>
                <w:szCs w:val="20"/>
                <w:color w:val="auto"/>
              </w:rPr>
            </w:pPr>
            <w:r>
              <w:rPr>
                <w:rFonts w:ascii="Arial" w:cs="Arial" w:eastAsia="Arial" w:hAnsi="Arial"/>
                <w:sz w:val="17"/>
                <w:szCs w:val="17"/>
                <w:b w:val="1"/>
                <w:bCs w:val="1"/>
                <w:color w:val="auto"/>
              </w:rPr>
              <w:t>232</w:t>
            </w:r>
          </w:p>
        </w:tc>
        <w:tc>
          <w:tcPr>
            <w:tcW w:w="760" w:type="dxa"/>
            <w:vAlign w:val="bottom"/>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7"/>
                <w:szCs w:val="17"/>
                <w:color w:val="auto"/>
              </w:rPr>
              <w:t>Burning Springs</w:t>
            </w:r>
          </w:p>
        </w:tc>
        <w:tc>
          <w:tcPr>
            <w:tcW w:w="880" w:type="dxa"/>
            <w:vAlign w:val="bottom"/>
            <w:shd w:val="clear" w:color="auto" w:fill="CCEEFF"/>
          </w:tcPr>
          <w:p>
            <w:pPr>
              <w:ind w:left="200"/>
              <w:spacing w:after="0"/>
              <w:rPr>
                <w:sz w:val="20"/>
                <w:szCs w:val="20"/>
                <w:color w:val="auto"/>
              </w:rPr>
            </w:pPr>
            <w:r>
              <w:rPr>
                <w:rFonts w:ascii="Arial" w:cs="Arial" w:eastAsia="Arial" w:hAnsi="Arial"/>
                <w:sz w:val="17"/>
                <w:szCs w:val="17"/>
                <w:color w:val="auto"/>
                <w:w w:val="99"/>
              </w:rPr>
              <w:t>4608862</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1,491</w:t>
            </w: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1</w:t>
            </w: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1</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7"/>
                <w:szCs w:val="17"/>
                <w:color w:val="auto"/>
              </w:rPr>
              <w:t>Carmel SandG</w:t>
            </w:r>
          </w:p>
        </w:tc>
        <w:tc>
          <w:tcPr>
            <w:tcW w:w="880" w:type="dxa"/>
            <w:vAlign w:val="bottom"/>
          </w:tcPr>
          <w:p>
            <w:pPr>
              <w:ind w:left="200"/>
              <w:spacing w:after="0"/>
              <w:rPr>
                <w:sz w:val="20"/>
                <w:szCs w:val="20"/>
                <w:color w:val="auto"/>
              </w:rPr>
            </w:pPr>
            <w:r>
              <w:rPr>
                <w:rFonts w:ascii="Arial" w:cs="Arial" w:eastAsia="Arial" w:hAnsi="Arial"/>
                <w:sz w:val="17"/>
                <w:szCs w:val="17"/>
                <w:color w:val="auto"/>
                <w:w w:val="99"/>
              </w:rPr>
              <w:t>1202124</w:t>
            </w:r>
          </w:p>
        </w:tc>
        <w:tc>
          <w:tcPr>
            <w:tcW w:w="720" w:type="dxa"/>
            <w:vAlign w:val="bottom"/>
          </w:tcPr>
          <w:p>
            <w:pPr>
              <w:jc w:val="right"/>
              <w:ind w:right="16"/>
              <w:spacing w:after="0"/>
              <w:rPr>
                <w:sz w:val="20"/>
                <w:szCs w:val="20"/>
                <w:color w:val="auto"/>
              </w:rPr>
            </w:pPr>
            <w:r>
              <w:rPr>
                <w:rFonts w:ascii="Arial" w:cs="Arial" w:eastAsia="Arial" w:hAnsi="Arial"/>
                <w:sz w:val="17"/>
                <w:szCs w:val="17"/>
                <w:color w:val="auto"/>
              </w:rPr>
              <w:t>1</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tcPr>
          <w:p>
            <w:pPr>
              <w:jc w:val="right"/>
              <w:ind w:right="17"/>
              <w:spacing w:after="0"/>
              <w:rPr>
                <w:sz w:val="20"/>
                <w:szCs w:val="20"/>
                <w:color w:val="auto"/>
              </w:rPr>
            </w:pPr>
            <w:r>
              <w:rPr>
                <w:rFonts w:ascii="Arial" w:cs="Arial" w:eastAsia="Arial" w:hAnsi="Arial"/>
                <w:sz w:val="17"/>
                <w:szCs w:val="17"/>
                <w:b w:val="1"/>
                <w:bCs w:val="1"/>
                <w:color w:val="auto"/>
              </w:rPr>
              <w:t>320</w:t>
            </w:r>
          </w:p>
        </w:tc>
        <w:tc>
          <w:tcPr>
            <w:tcW w:w="760" w:type="dxa"/>
            <w:vAlign w:val="bottom"/>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7"/>
                <w:szCs w:val="17"/>
                <w:color w:val="auto"/>
              </w:rPr>
              <w:t>Cedarville</w:t>
            </w:r>
          </w:p>
        </w:tc>
        <w:tc>
          <w:tcPr>
            <w:tcW w:w="880" w:type="dxa"/>
            <w:vAlign w:val="bottom"/>
            <w:shd w:val="clear" w:color="auto" w:fill="CCEEFF"/>
          </w:tcPr>
          <w:p>
            <w:pPr>
              <w:ind w:left="200"/>
              <w:spacing w:after="0"/>
              <w:rPr>
                <w:sz w:val="20"/>
                <w:szCs w:val="20"/>
                <w:color w:val="auto"/>
              </w:rPr>
            </w:pPr>
            <w:r>
              <w:rPr>
                <w:rFonts w:ascii="Arial" w:cs="Arial" w:eastAsia="Arial" w:hAnsi="Arial"/>
                <w:sz w:val="17"/>
                <w:szCs w:val="17"/>
                <w:color w:val="auto"/>
                <w:w w:val="99"/>
              </w:rPr>
              <w:t>3304072</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0</w:t>
            </w: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7"/>
                <w:szCs w:val="17"/>
                <w:color w:val="auto"/>
              </w:rPr>
              <w:t>Cloverdale</w:t>
            </w:r>
          </w:p>
        </w:tc>
        <w:tc>
          <w:tcPr>
            <w:tcW w:w="880" w:type="dxa"/>
            <w:vAlign w:val="bottom"/>
          </w:tcPr>
          <w:p>
            <w:pPr>
              <w:ind w:left="200"/>
              <w:spacing w:after="0"/>
              <w:rPr>
                <w:sz w:val="20"/>
                <w:szCs w:val="20"/>
                <w:color w:val="auto"/>
              </w:rPr>
            </w:pPr>
            <w:r>
              <w:rPr>
                <w:rFonts w:ascii="Arial" w:cs="Arial" w:eastAsia="Arial" w:hAnsi="Arial"/>
                <w:sz w:val="17"/>
                <w:szCs w:val="17"/>
                <w:color w:val="auto"/>
                <w:w w:val="99"/>
              </w:rPr>
              <w:t>1201744</w:t>
            </w:r>
          </w:p>
        </w:tc>
        <w:tc>
          <w:tcPr>
            <w:tcW w:w="720" w:type="dxa"/>
            <w:vAlign w:val="bottom"/>
          </w:tcPr>
          <w:p>
            <w:pPr>
              <w:jc w:val="right"/>
              <w:ind w:right="16"/>
              <w:spacing w:after="0"/>
              <w:rPr>
                <w:sz w:val="20"/>
                <w:szCs w:val="20"/>
                <w:color w:val="auto"/>
              </w:rPr>
            </w:pPr>
            <w:r>
              <w:rPr>
                <w:rFonts w:ascii="Arial" w:cs="Arial" w:eastAsia="Arial" w:hAnsi="Arial"/>
                <w:sz w:val="17"/>
                <w:szCs w:val="17"/>
                <w:color w:val="auto"/>
              </w:rPr>
              <w:t>1</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tcPr>
          <w:p>
            <w:pPr>
              <w:jc w:val="right"/>
              <w:ind w:right="17"/>
              <w:spacing w:after="0"/>
              <w:rPr>
                <w:sz w:val="20"/>
                <w:szCs w:val="20"/>
                <w:color w:val="auto"/>
              </w:rPr>
            </w:pPr>
            <w:r>
              <w:rPr>
                <w:rFonts w:ascii="Arial" w:cs="Arial" w:eastAsia="Arial" w:hAnsi="Arial"/>
                <w:sz w:val="17"/>
                <w:szCs w:val="17"/>
                <w:b w:val="1"/>
                <w:bCs w:val="1"/>
                <w:color w:val="auto"/>
              </w:rPr>
              <w:t>734</w:t>
            </w:r>
          </w:p>
        </w:tc>
        <w:tc>
          <w:tcPr>
            <w:tcW w:w="760" w:type="dxa"/>
            <w:vAlign w:val="bottom"/>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7"/>
                <w:szCs w:val="17"/>
                <w:color w:val="auto"/>
              </w:rPr>
              <w:t>Cook Road</w:t>
            </w:r>
          </w:p>
        </w:tc>
        <w:tc>
          <w:tcPr>
            <w:tcW w:w="880" w:type="dxa"/>
            <w:vAlign w:val="bottom"/>
            <w:shd w:val="clear" w:color="auto" w:fill="CCEEFF"/>
          </w:tcPr>
          <w:p>
            <w:pPr>
              <w:ind w:left="200"/>
              <w:spacing w:after="0"/>
              <w:rPr>
                <w:sz w:val="20"/>
                <w:szCs w:val="20"/>
                <w:color w:val="auto"/>
              </w:rPr>
            </w:pPr>
            <w:r>
              <w:rPr>
                <w:rFonts w:ascii="Arial" w:cs="Arial" w:eastAsia="Arial" w:hAnsi="Arial"/>
                <w:sz w:val="17"/>
                <w:szCs w:val="17"/>
                <w:color w:val="auto"/>
                <w:w w:val="99"/>
              </w:rPr>
              <w:t>3304534</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0</w:t>
            </w: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7"/>
                <w:szCs w:val="17"/>
                <w:color w:val="auto"/>
              </w:rPr>
              <w:t>E-Town SandG</w:t>
            </w:r>
          </w:p>
        </w:tc>
        <w:tc>
          <w:tcPr>
            <w:tcW w:w="880" w:type="dxa"/>
            <w:vAlign w:val="bottom"/>
          </w:tcPr>
          <w:p>
            <w:pPr>
              <w:ind w:left="200"/>
              <w:spacing w:after="0"/>
              <w:rPr>
                <w:sz w:val="20"/>
                <w:szCs w:val="20"/>
                <w:color w:val="auto"/>
              </w:rPr>
            </w:pPr>
            <w:r>
              <w:rPr>
                <w:rFonts w:ascii="Arial" w:cs="Arial" w:eastAsia="Arial" w:hAnsi="Arial"/>
                <w:sz w:val="17"/>
                <w:szCs w:val="17"/>
                <w:color w:val="auto"/>
                <w:w w:val="99"/>
              </w:rPr>
              <w:t>3304279</w:t>
            </w:r>
          </w:p>
        </w:tc>
        <w:tc>
          <w:tcPr>
            <w:tcW w:w="72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tcPr>
          <w:p>
            <w:pPr>
              <w:jc w:val="right"/>
              <w:ind w:right="17"/>
              <w:spacing w:after="0"/>
              <w:rPr>
                <w:sz w:val="20"/>
                <w:szCs w:val="20"/>
                <w:color w:val="auto"/>
              </w:rPr>
            </w:pPr>
            <w:r>
              <w:rPr>
                <w:rFonts w:ascii="Arial" w:cs="Arial" w:eastAsia="Arial" w:hAnsi="Arial"/>
                <w:sz w:val="17"/>
                <w:szCs w:val="17"/>
                <w:b w:val="1"/>
                <w:bCs w:val="1"/>
                <w:color w:val="auto"/>
              </w:rPr>
              <w:t>0</w:t>
            </w:r>
          </w:p>
        </w:tc>
        <w:tc>
          <w:tcPr>
            <w:tcW w:w="760" w:type="dxa"/>
            <w:vAlign w:val="bottom"/>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7"/>
                <w:szCs w:val="17"/>
                <w:color w:val="auto"/>
              </w:rPr>
              <w:t>Fairfield</w:t>
            </w:r>
          </w:p>
        </w:tc>
        <w:tc>
          <w:tcPr>
            <w:tcW w:w="880" w:type="dxa"/>
            <w:vAlign w:val="bottom"/>
            <w:shd w:val="clear" w:color="auto" w:fill="CCEEFF"/>
          </w:tcPr>
          <w:p>
            <w:pPr>
              <w:ind w:left="200"/>
              <w:spacing w:after="0"/>
              <w:rPr>
                <w:sz w:val="20"/>
                <w:szCs w:val="20"/>
                <w:color w:val="auto"/>
              </w:rPr>
            </w:pPr>
            <w:r>
              <w:rPr>
                <w:rFonts w:ascii="Arial" w:cs="Arial" w:eastAsia="Arial" w:hAnsi="Arial"/>
                <w:sz w:val="17"/>
                <w:szCs w:val="17"/>
                <w:color w:val="auto"/>
                <w:w w:val="99"/>
              </w:rPr>
              <w:t>3301396</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0</w:t>
            </w: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7"/>
                <w:szCs w:val="17"/>
                <w:color w:val="auto"/>
              </w:rPr>
              <w:t>Franklin Gravel</w:t>
            </w:r>
          </w:p>
        </w:tc>
        <w:tc>
          <w:tcPr>
            <w:tcW w:w="880" w:type="dxa"/>
            <w:vAlign w:val="bottom"/>
          </w:tcPr>
          <w:p>
            <w:pPr>
              <w:ind w:left="200"/>
              <w:spacing w:after="0"/>
              <w:rPr>
                <w:sz w:val="20"/>
                <w:szCs w:val="20"/>
                <w:color w:val="auto"/>
              </w:rPr>
            </w:pPr>
            <w:r>
              <w:rPr>
                <w:rFonts w:ascii="Arial" w:cs="Arial" w:eastAsia="Arial" w:hAnsi="Arial"/>
                <w:sz w:val="17"/>
                <w:szCs w:val="17"/>
                <w:color w:val="auto"/>
                <w:w w:val="99"/>
              </w:rPr>
              <w:t>3302940</w:t>
            </w:r>
          </w:p>
        </w:tc>
        <w:tc>
          <w:tcPr>
            <w:tcW w:w="72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tcPr>
          <w:p>
            <w:pPr>
              <w:jc w:val="right"/>
              <w:ind w:right="17"/>
              <w:spacing w:after="0"/>
              <w:rPr>
                <w:sz w:val="20"/>
                <w:szCs w:val="20"/>
                <w:color w:val="auto"/>
              </w:rPr>
            </w:pPr>
            <w:r>
              <w:rPr>
                <w:rFonts w:ascii="Arial" w:cs="Arial" w:eastAsia="Arial" w:hAnsi="Arial"/>
                <w:sz w:val="17"/>
                <w:szCs w:val="17"/>
                <w:b w:val="1"/>
                <w:bCs w:val="1"/>
                <w:color w:val="auto"/>
              </w:rPr>
              <w:t>0</w:t>
            </w:r>
          </w:p>
        </w:tc>
        <w:tc>
          <w:tcPr>
            <w:tcW w:w="760" w:type="dxa"/>
            <w:vAlign w:val="bottom"/>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7"/>
                <w:szCs w:val="17"/>
                <w:color w:val="auto"/>
              </w:rPr>
              <w:t>Kentucky Ave Mine</w:t>
            </w:r>
          </w:p>
        </w:tc>
        <w:tc>
          <w:tcPr>
            <w:tcW w:w="880" w:type="dxa"/>
            <w:vAlign w:val="bottom"/>
            <w:shd w:val="clear" w:color="auto" w:fill="CCEEFF"/>
          </w:tcPr>
          <w:p>
            <w:pPr>
              <w:ind w:left="200"/>
              <w:spacing w:after="0"/>
              <w:rPr>
                <w:sz w:val="20"/>
                <w:szCs w:val="20"/>
                <w:color w:val="auto"/>
              </w:rPr>
            </w:pPr>
            <w:r>
              <w:rPr>
                <w:rFonts w:ascii="Arial" w:cs="Arial" w:eastAsia="Arial" w:hAnsi="Arial"/>
                <w:sz w:val="17"/>
                <w:szCs w:val="17"/>
                <w:color w:val="auto"/>
                <w:w w:val="99"/>
              </w:rPr>
              <w:t>1201762</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3</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4,477</w:t>
            </w: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1</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7"/>
                <w:szCs w:val="17"/>
                <w:color w:val="auto"/>
              </w:rPr>
              <w:t>Kokomo Mine</w:t>
            </w:r>
          </w:p>
        </w:tc>
        <w:tc>
          <w:tcPr>
            <w:tcW w:w="880" w:type="dxa"/>
            <w:vAlign w:val="bottom"/>
          </w:tcPr>
          <w:p>
            <w:pPr>
              <w:ind w:left="200"/>
              <w:spacing w:after="0"/>
              <w:rPr>
                <w:sz w:val="20"/>
                <w:szCs w:val="20"/>
                <w:color w:val="auto"/>
              </w:rPr>
            </w:pPr>
            <w:r>
              <w:rPr>
                <w:rFonts w:ascii="Arial" w:cs="Arial" w:eastAsia="Arial" w:hAnsi="Arial"/>
                <w:sz w:val="17"/>
                <w:szCs w:val="17"/>
                <w:color w:val="auto"/>
                <w:w w:val="99"/>
              </w:rPr>
              <w:t>1202105</w:t>
            </w:r>
          </w:p>
        </w:tc>
        <w:tc>
          <w:tcPr>
            <w:tcW w:w="72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tcPr>
          <w:p>
            <w:pPr>
              <w:jc w:val="right"/>
              <w:ind w:right="17"/>
              <w:spacing w:after="0"/>
              <w:rPr>
                <w:sz w:val="20"/>
                <w:szCs w:val="20"/>
                <w:color w:val="auto"/>
              </w:rPr>
            </w:pPr>
            <w:r>
              <w:rPr>
                <w:rFonts w:ascii="Arial" w:cs="Arial" w:eastAsia="Arial" w:hAnsi="Arial"/>
                <w:sz w:val="17"/>
                <w:szCs w:val="17"/>
                <w:b w:val="1"/>
                <w:bCs w:val="1"/>
                <w:color w:val="auto"/>
              </w:rPr>
              <w:t>0</w:t>
            </w:r>
          </w:p>
        </w:tc>
        <w:tc>
          <w:tcPr>
            <w:tcW w:w="760" w:type="dxa"/>
            <w:vAlign w:val="bottom"/>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7"/>
                <w:szCs w:val="17"/>
                <w:color w:val="auto"/>
              </w:rPr>
              <w:t>Kokomo Sand</w:t>
            </w:r>
          </w:p>
        </w:tc>
        <w:tc>
          <w:tcPr>
            <w:tcW w:w="880" w:type="dxa"/>
            <w:vAlign w:val="bottom"/>
            <w:shd w:val="clear" w:color="auto" w:fill="CCEEFF"/>
          </w:tcPr>
          <w:p>
            <w:pPr>
              <w:ind w:left="200"/>
              <w:spacing w:after="0"/>
              <w:rPr>
                <w:sz w:val="20"/>
                <w:szCs w:val="20"/>
                <w:color w:val="auto"/>
              </w:rPr>
            </w:pPr>
            <w:r>
              <w:rPr>
                <w:rFonts w:ascii="Arial" w:cs="Arial" w:eastAsia="Arial" w:hAnsi="Arial"/>
                <w:sz w:val="17"/>
                <w:szCs w:val="17"/>
                <w:color w:val="auto"/>
                <w:w w:val="99"/>
              </w:rPr>
              <w:t>1202203</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0</w:t>
            </w: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820" w:type="dxa"/>
            <w:vAlign w:val="bottom"/>
          </w:tcPr>
          <w:p>
            <w:pPr>
              <w:spacing w:after="0"/>
              <w:rPr>
                <w:sz w:val="20"/>
                <w:szCs w:val="20"/>
                <w:color w:val="auto"/>
              </w:rPr>
            </w:pPr>
            <w:r>
              <w:rPr>
                <w:rFonts w:ascii="Arial" w:cs="Arial" w:eastAsia="Arial" w:hAnsi="Arial"/>
                <w:sz w:val="17"/>
                <w:szCs w:val="17"/>
                <w:color w:val="auto"/>
              </w:rPr>
              <w:t>Kokomo Stone</w:t>
            </w:r>
          </w:p>
        </w:tc>
        <w:tc>
          <w:tcPr>
            <w:tcW w:w="880" w:type="dxa"/>
            <w:vAlign w:val="bottom"/>
          </w:tcPr>
          <w:p>
            <w:pPr>
              <w:ind w:left="200"/>
              <w:spacing w:after="0"/>
              <w:rPr>
                <w:sz w:val="20"/>
                <w:szCs w:val="20"/>
                <w:color w:val="auto"/>
              </w:rPr>
            </w:pPr>
            <w:r>
              <w:rPr>
                <w:rFonts w:ascii="Arial" w:cs="Arial" w:eastAsia="Arial" w:hAnsi="Arial"/>
                <w:sz w:val="17"/>
                <w:szCs w:val="17"/>
                <w:color w:val="auto"/>
                <w:w w:val="99"/>
              </w:rPr>
              <w:t>1200142</w:t>
            </w:r>
          </w:p>
        </w:tc>
        <w:tc>
          <w:tcPr>
            <w:tcW w:w="72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tcPr>
          <w:p>
            <w:pPr>
              <w:jc w:val="right"/>
              <w:ind w:right="17"/>
              <w:spacing w:after="0"/>
              <w:rPr>
                <w:sz w:val="20"/>
                <w:szCs w:val="20"/>
                <w:color w:val="auto"/>
              </w:rPr>
            </w:pPr>
            <w:r>
              <w:rPr>
                <w:rFonts w:ascii="Arial" w:cs="Arial" w:eastAsia="Arial" w:hAnsi="Arial"/>
                <w:sz w:val="17"/>
                <w:szCs w:val="17"/>
                <w:b w:val="1"/>
                <w:bCs w:val="1"/>
                <w:color w:val="auto"/>
              </w:rPr>
              <w:t>0</w:t>
            </w:r>
          </w:p>
        </w:tc>
        <w:tc>
          <w:tcPr>
            <w:tcW w:w="760" w:type="dxa"/>
            <w:vAlign w:val="bottom"/>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bl>
    <w:p>
      <w:pPr>
        <w:sectPr>
          <w:pgSz w:w="11900" w:h="16838" w:orient="portrait"/>
          <w:cols w:equalWidth="0" w:num="1">
            <w:col w:w="11420"/>
          </w:cols>
          <w:pgMar w:left="240" w:top="242" w:right="239" w:bottom="1440" w:gutter="0" w:footer="0" w:header="0"/>
        </w:sectPr>
      </w:pPr>
    </w:p>
    <w:bookmarkStart w:id="160" w:name="page161"/>
    <w:bookmarkEnd w:id="16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9">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4"/>
              </w:rPr>
              <w:t>Received</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4"/>
              </w:rPr>
              <w:t>Received</w:t>
            </w: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Legal</w:t>
            </w: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Total</w:t>
            </w:r>
          </w:p>
        </w:tc>
        <w:tc>
          <w:tcPr>
            <w:tcW w:w="7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6"/>
              </w:rPr>
              <w:t>Notice of</w:t>
            </w:r>
          </w:p>
        </w:tc>
        <w:tc>
          <w:tcPr>
            <w:tcW w:w="6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6"/>
              </w:rPr>
              <w:t>Notice of</w:t>
            </w:r>
          </w:p>
        </w:tc>
        <w:tc>
          <w:tcPr>
            <w:tcW w:w="66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Section</w:t>
            </w: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vMerge w:val="restart"/>
          </w:tcPr>
          <w:p>
            <w:pPr>
              <w:jc w:val="center"/>
              <w:ind w:right="137"/>
              <w:spacing w:after="0"/>
              <w:rPr>
                <w:sz w:val="20"/>
                <w:szCs w:val="20"/>
                <w:color w:val="auto"/>
              </w:rPr>
            </w:pPr>
            <w:r>
              <w:rPr>
                <w:rFonts w:ascii="Arial" w:cs="Arial" w:eastAsia="Arial" w:hAnsi="Arial"/>
                <w:sz w:val="14"/>
                <w:szCs w:val="14"/>
                <w:b w:val="1"/>
                <w:bCs w:val="1"/>
                <w:color w:val="auto"/>
                <w:w w:val="95"/>
              </w:rPr>
              <w:t>Total</w:t>
            </w:r>
          </w:p>
        </w:tc>
        <w:tc>
          <w:tcPr>
            <w:tcW w:w="760" w:type="dxa"/>
            <w:vAlign w:val="bottom"/>
            <w:vMerge w:val="continue"/>
          </w:tcPr>
          <w:p>
            <w:pPr>
              <w:spacing w:after="0"/>
              <w:rPr>
                <w:sz w:val="12"/>
                <w:szCs w:val="12"/>
                <w:color w:val="auto"/>
              </w:rPr>
            </w:pPr>
          </w:p>
        </w:tc>
        <w:tc>
          <w:tcPr>
            <w:tcW w:w="7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1"/>
              </w:rPr>
              <w:t>Pattern</w:t>
            </w:r>
          </w:p>
        </w:tc>
        <w:tc>
          <w:tcPr>
            <w:tcW w:w="6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1"/>
              </w:rPr>
              <w:t>Potential</w:t>
            </w:r>
          </w:p>
        </w:tc>
        <w:tc>
          <w:tcPr>
            <w:tcW w:w="6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5"/>
              </w:rPr>
              <w:t>Actions</w:t>
            </w: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Legal</w:t>
            </w: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Legal</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7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0"/>
              </w:rPr>
              <w:t>Number</w:t>
            </w:r>
          </w:p>
        </w:tc>
        <w:tc>
          <w:tcPr>
            <w:tcW w:w="7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0"/>
              </w:rPr>
              <w:t>of</w:t>
            </w:r>
          </w:p>
        </w:tc>
        <w:tc>
          <w:tcPr>
            <w:tcW w:w="6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5"/>
              </w:rPr>
              <w:t>to have</w:t>
            </w:r>
          </w:p>
        </w:tc>
        <w:tc>
          <w:tcPr>
            <w:tcW w:w="660" w:type="dxa"/>
            <w:vAlign w:val="bottom"/>
          </w:tcPr>
          <w:p>
            <w:pPr>
              <w:jc w:val="right"/>
              <w:ind w:right="18"/>
              <w:spacing w:after="0" w:line="143" w:lineRule="exact"/>
              <w:rPr>
                <w:sz w:val="20"/>
                <w:szCs w:val="20"/>
                <w:color w:val="auto"/>
              </w:rPr>
            </w:pPr>
            <w:r>
              <w:rPr>
                <w:rFonts w:ascii="Arial" w:cs="Arial" w:eastAsia="Arial" w:hAnsi="Arial"/>
                <w:sz w:val="14"/>
                <w:szCs w:val="14"/>
                <w:b w:val="1"/>
                <w:bCs w:val="1"/>
                <w:color w:val="auto"/>
                <w:w w:val="97"/>
              </w:rPr>
              <w:t>Pending</w:t>
            </w:r>
          </w:p>
        </w:tc>
        <w:tc>
          <w:tcPr>
            <w:tcW w:w="78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2"/>
              </w:rPr>
              <w:t>Section</w:t>
            </w:r>
          </w:p>
        </w:tc>
        <w:tc>
          <w:tcPr>
            <w:tcW w:w="64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w w:val="98"/>
              </w:rPr>
              <w:t>Section</w:t>
            </w:r>
          </w:p>
        </w:tc>
        <w:tc>
          <w:tcPr>
            <w:tcW w:w="7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2"/>
              </w:rPr>
              <w:t>104(d)</w:t>
            </w:r>
          </w:p>
        </w:tc>
        <w:tc>
          <w:tcPr>
            <w:tcW w:w="78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Section</w:t>
            </w:r>
          </w:p>
        </w:tc>
        <w:tc>
          <w:tcPr>
            <w:tcW w:w="64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rPr>
              <w:t>Section</w:t>
            </w:r>
          </w:p>
        </w:tc>
        <w:tc>
          <w:tcPr>
            <w:tcW w:w="220" w:type="dxa"/>
            <w:vAlign w:val="bottom"/>
          </w:tcPr>
          <w:p>
            <w:pPr>
              <w:spacing w:after="0"/>
              <w:rPr>
                <w:sz w:val="12"/>
                <w:szCs w:val="12"/>
                <w:color w:val="auto"/>
              </w:rPr>
            </w:pPr>
          </w:p>
        </w:tc>
        <w:tc>
          <w:tcPr>
            <w:tcW w:w="700" w:type="dxa"/>
            <w:vAlign w:val="bottom"/>
          </w:tcPr>
          <w:p>
            <w:pPr>
              <w:jc w:val="center"/>
              <w:ind w:right="137"/>
              <w:spacing w:after="0" w:line="143" w:lineRule="exact"/>
              <w:rPr>
                <w:sz w:val="20"/>
                <w:szCs w:val="20"/>
                <w:color w:val="auto"/>
              </w:rPr>
            </w:pPr>
            <w:r>
              <w:rPr>
                <w:rFonts w:ascii="Arial" w:cs="Arial" w:eastAsia="Arial" w:hAnsi="Arial"/>
                <w:sz w:val="14"/>
                <w:szCs w:val="14"/>
                <w:b w:val="1"/>
                <w:bCs w:val="1"/>
                <w:color w:val="auto"/>
                <w:w w:val="90"/>
              </w:rPr>
              <w:t>Dollar</w:t>
            </w:r>
          </w:p>
        </w:tc>
        <w:tc>
          <w:tcPr>
            <w:tcW w:w="7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0"/>
              </w:rPr>
              <w:t>of</w:t>
            </w:r>
          </w:p>
        </w:tc>
        <w:tc>
          <w:tcPr>
            <w:tcW w:w="7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1"/>
              </w:rPr>
              <w:t>Violation</w:t>
            </w:r>
          </w:p>
        </w:tc>
        <w:tc>
          <w:tcPr>
            <w:tcW w:w="6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1"/>
              </w:rPr>
              <w:t>Pattern</w:t>
            </w:r>
          </w:p>
        </w:tc>
        <w:tc>
          <w:tcPr>
            <w:tcW w:w="6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5"/>
              </w:rPr>
              <w:t>as of</w:t>
            </w:r>
          </w:p>
        </w:tc>
        <w:tc>
          <w:tcPr>
            <w:tcW w:w="7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5"/>
              </w:rPr>
              <w:t>Actions</w:t>
            </w:r>
          </w:p>
        </w:tc>
        <w:tc>
          <w:tcPr>
            <w:tcW w:w="6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5"/>
              </w:rPr>
              <w:t>Actions</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740" w:type="dxa"/>
            <w:vAlign w:val="bottom"/>
          </w:tcPr>
          <w:p>
            <w:pPr>
              <w:jc w:val="right"/>
              <w:ind w:right="17"/>
              <w:spacing w:after="0" w:line="143" w:lineRule="exact"/>
              <w:rPr>
                <w:sz w:val="20"/>
                <w:szCs w:val="20"/>
                <w:color w:val="auto"/>
              </w:rPr>
            </w:pPr>
            <w:r>
              <w:rPr>
                <w:rFonts w:ascii="Arial" w:cs="Arial" w:eastAsia="Arial" w:hAnsi="Arial"/>
                <w:sz w:val="14"/>
                <w:szCs w:val="14"/>
                <w:b w:val="1"/>
                <w:bCs w:val="1"/>
                <w:color w:val="auto"/>
              </w:rPr>
              <w:t>Citations</w:t>
            </w:r>
          </w:p>
        </w:tc>
        <w:tc>
          <w:tcPr>
            <w:tcW w:w="78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center"/>
              <w:ind w:right="137"/>
              <w:spacing w:after="0" w:line="143" w:lineRule="exact"/>
              <w:rPr>
                <w:sz w:val="20"/>
                <w:szCs w:val="20"/>
                <w:color w:val="auto"/>
              </w:rPr>
            </w:pPr>
            <w:r>
              <w:rPr>
                <w:rFonts w:ascii="Arial" w:cs="Arial" w:eastAsia="Arial" w:hAnsi="Arial"/>
                <w:sz w:val="14"/>
                <w:szCs w:val="14"/>
                <w:b w:val="1"/>
                <w:bCs w:val="1"/>
                <w:color w:val="auto"/>
                <w:w w:val="88"/>
              </w:rPr>
              <w:t>Value of</w:t>
            </w:r>
          </w:p>
        </w:tc>
        <w:tc>
          <w:tcPr>
            <w:tcW w:w="7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7"/>
              </w:rPr>
              <w:t>Mining</w:t>
            </w:r>
          </w:p>
        </w:tc>
        <w:tc>
          <w:tcPr>
            <w:tcW w:w="7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3"/>
              </w:rPr>
              <w:t>Under</w:t>
            </w:r>
          </w:p>
        </w:tc>
        <w:tc>
          <w:tcPr>
            <w:tcW w:w="6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2"/>
              </w:rPr>
              <w:t>under</w:t>
            </w:r>
          </w:p>
        </w:tc>
        <w:tc>
          <w:tcPr>
            <w:tcW w:w="6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7"/>
              </w:rPr>
              <w:t>Last</w:t>
            </w:r>
          </w:p>
        </w:tc>
        <w:tc>
          <w:tcPr>
            <w:tcW w:w="780" w:type="dxa"/>
            <w:vAlign w:val="bottom"/>
          </w:tcPr>
          <w:p>
            <w:pPr>
              <w:jc w:val="right"/>
              <w:ind w:right="17"/>
              <w:spacing w:after="0" w:line="143" w:lineRule="exact"/>
              <w:rPr>
                <w:sz w:val="20"/>
                <w:szCs w:val="20"/>
                <w:color w:val="auto"/>
              </w:rPr>
            </w:pPr>
            <w:r>
              <w:rPr>
                <w:rFonts w:ascii="Arial" w:cs="Arial" w:eastAsia="Arial" w:hAnsi="Arial"/>
                <w:sz w:val="14"/>
                <w:szCs w:val="14"/>
                <w:b w:val="1"/>
                <w:bCs w:val="1"/>
                <w:color w:val="auto"/>
              </w:rPr>
              <w:t>Instituted</w:t>
            </w:r>
          </w:p>
        </w:tc>
        <w:tc>
          <w:tcPr>
            <w:tcW w:w="680" w:type="dxa"/>
            <w:vAlign w:val="bottom"/>
          </w:tcPr>
          <w:p>
            <w:pPr>
              <w:jc w:val="right"/>
              <w:spacing w:after="0" w:line="143" w:lineRule="exact"/>
              <w:rPr>
                <w:sz w:val="20"/>
                <w:szCs w:val="20"/>
                <w:color w:val="auto"/>
              </w:rPr>
            </w:pPr>
            <w:r>
              <w:rPr>
                <w:rFonts w:ascii="Arial" w:cs="Arial" w:eastAsia="Arial" w:hAnsi="Arial"/>
                <w:sz w:val="14"/>
                <w:szCs w:val="14"/>
                <w:b w:val="1"/>
                <w:bCs w:val="1"/>
                <w:color w:val="auto"/>
                <w:w w:val="99"/>
              </w:rPr>
              <w:t>Resolved</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9"/>
              </w:rPr>
              <w:t>104 S&amp;S</w:t>
            </w:r>
          </w:p>
        </w:tc>
        <w:tc>
          <w:tcPr>
            <w:tcW w:w="6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2"/>
              </w:rPr>
              <w:t>104(b)</w:t>
            </w:r>
          </w:p>
        </w:tc>
        <w:tc>
          <w:tcPr>
            <w:tcW w:w="7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8"/>
              </w:rPr>
              <w:t>and</w:t>
            </w:r>
          </w:p>
        </w:tc>
        <w:tc>
          <w:tcPr>
            <w:tcW w:w="7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2"/>
              </w:rPr>
              <w:t>110(b)(2)</w:t>
            </w:r>
          </w:p>
        </w:tc>
        <w:tc>
          <w:tcPr>
            <w:tcW w:w="6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8"/>
              </w:rPr>
              <w:t>107(a)</w:t>
            </w:r>
          </w:p>
        </w:tc>
        <w:tc>
          <w:tcPr>
            <w:tcW w:w="220" w:type="dxa"/>
            <w:vAlign w:val="bottom"/>
          </w:tcPr>
          <w:p>
            <w:pPr>
              <w:spacing w:after="0"/>
              <w:rPr>
                <w:sz w:val="12"/>
                <w:szCs w:val="12"/>
                <w:color w:val="auto"/>
              </w:rPr>
            </w:pPr>
          </w:p>
        </w:tc>
        <w:tc>
          <w:tcPr>
            <w:tcW w:w="700" w:type="dxa"/>
            <w:vAlign w:val="bottom"/>
          </w:tcPr>
          <w:p>
            <w:pPr>
              <w:jc w:val="center"/>
              <w:ind w:right="137"/>
              <w:spacing w:after="0" w:line="143" w:lineRule="exact"/>
              <w:rPr>
                <w:sz w:val="20"/>
                <w:szCs w:val="20"/>
                <w:color w:val="auto"/>
              </w:rPr>
            </w:pPr>
            <w:r>
              <w:rPr>
                <w:rFonts w:ascii="Arial" w:cs="Arial" w:eastAsia="Arial" w:hAnsi="Arial"/>
                <w:sz w:val="14"/>
                <w:szCs w:val="14"/>
                <w:b w:val="1"/>
                <w:bCs w:val="1"/>
                <w:color w:val="auto"/>
                <w:w w:val="96"/>
              </w:rPr>
              <w:t>MSHA</w:t>
            </w:r>
          </w:p>
        </w:tc>
        <w:tc>
          <w:tcPr>
            <w:tcW w:w="7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6"/>
              </w:rPr>
              <w:t>Related</w:t>
            </w:r>
          </w:p>
        </w:tc>
        <w:tc>
          <w:tcPr>
            <w:tcW w:w="7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6"/>
              </w:rPr>
              <w:t>Section</w:t>
            </w:r>
          </w:p>
        </w:tc>
        <w:tc>
          <w:tcPr>
            <w:tcW w:w="6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6"/>
              </w:rPr>
              <w:t>Section</w:t>
            </w:r>
          </w:p>
        </w:tc>
        <w:tc>
          <w:tcPr>
            <w:tcW w:w="6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3"/>
              </w:rPr>
              <w:t>Day of</w:t>
            </w:r>
          </w:p>
        </w:tc>
        <w:tc>
          <w:tcPr>
            <w:tcW w:w="7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3"/>
              </w:rPr>
              <w:t>During</w:t>
            </w:r>
          </w:p>
        </w:tc>
        <w:tc>
          <w:tcPr>
            <w:tcW w:w="6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3"/>
              </w:rPr>
              <w:t>During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20" w:type="dxa"/>
            <w:vAlign w:val="bottom"/>
          </w:tcPr>
          <w:p>
            <w:pPr>
              <w:jc w:val="right"/>
              <w:ind w:right="16"/>
              <w:spacing w:after="0" w:line="143" w:lineRule="exact"/>
              <w:rPr>
                <w:sz w:val="20"/>
                <w:szCs w:val="20"/>
                <w:color w:val="auto"/>
              </w:rPr>
            </w:pPr>
            <w:r>
              <w:rPr>
                <w:rFonts w:ascii="Arial" w:cs="Arial" w:eastAsia="Arial" w:hAnsi="Arial"/>
                <w:sz w:val="14"/>
                <w:szCs w:val="14"/>
                <w:b w:val="1"/>
                <w:bCs w:val="1"/>
                <w:color w:val="auto"/>
              </w:rPr>
              <w:t>Citations</w:t>
            </w:r>
          </w:p>
        </w:tc>
        <w:tc>
          <w:tcPr>
            <w:tcW w:w="640" w:type="dxa"/>
            <w:vAlign w:val="bottom"/>
          </w:tcPr>
          <w:p>
            <w:pPr>
              <w:jc w:val="right"/>
              <w:ind w:right="36"/>
              <w:spacing w:after="0" w:line="143" w:lineRule="exact"/>
              <w:rPr>
                <w:sz w:val="20"/>
                <w:szCs w:val="20"/>
                <w:color w:val="auto"/>
              </w:rPr>
            </w:pPr>
            <w:r>
              <w:rPr>
                <w:rFonts w:ascii="Arial" w:cs="Arial" w:eastAsia="Arial" w:hAnsi="Arial"/>
                <w:sz w:val="14"/>
                <w:szCs w:val="14"/>
                <w:b w:val="1"/>
                <w:bCs w:val="1"/>
                <w:color w:val="auto"/>
              </w:rPr>
              <w:t>Orders</w:t>
            </w:r>
          </w:p>
        </w:tc>
        <w:tc>
          <w:tcPr>
            <w:tcW w:w="7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1"/>
              </w:rPr>
              <w:t>Orders</w:t>
            </w:r>
          </w:p>
        </w:tc>
        <w:tc>
          <w:tcPr>
            <w:tcW w:w="780" w:type="dxa"/>
            <w:vAlign w:val="bottom"/>
          </w:tcPr>
          <w:p>
            <w:pPr>
              <w:jc w:val="right"/>
              <w:ind w:right="16"/>
              <w:spacing w:after="0" w:line="143" w:lineRule="exact"/>
              <w:rPr>
                <w:sz w:val="20"/>
                <w:szCs w:val="20"/>
                <w:color w:val="auto"/>
              </w:rPr>
            </w:pPr>
            <w:r>
              <w:rPr>
                <w:rFonts w:ascii="Arial" w:cs="Arial" w:eastAsia="Arial" w:hAnsi="Arial"/>
                <w:sz w:val="14"/>
                <w:szCs w:val="14"/>
                <w:b w:val="1"/>
                <w:bCs w:val="1"/>
                <w:color w:val="auto"/>
                <w:w w:val="98"/>
              </w:rPr>
              <w:t>Violations</w:t>
            </w:r>
          </w:p>
        </w:tc>
        <w:tc>
          <w:tcPr>
            <w:tcW w:w="640" w:type="dxa"/>
            <w:vAlign w:val="bottom"/>
          </w:tcPr>
          <w:p>
            <w:pPr>
              <w:jc w:val="right"/>
              <w:ind w:right="16"/>
              <w:spacing w:after="0" w:line="143" w:lineRule="exact"/>
              <w:rPr>
                <w:sz w:val="20"/>
                <w:szCs w:val="20"/>
                <w:color w:val="auto"/>
              </w:rPr>
            </w:pPr>
            <w:r>
              <w:rPr>
                <w:rFonts w:ascii="Arial" w:cs="Arial" w:eastAsia="Arial" w:hAnsi="Arial"/>
                <w:sz w:val="14"/>
                <w:szCs w:val="14"/>
                <w:b w:val="1"/>
                <w:bCs w:val="1"/>
                <w:color w:val="auto"/>
              </w:rPr>
              <w:t>Orders</w:t>
            </w:r>
          </w:p>
        </w:tc>
        <w:tc>
          <w:tcPr>
            <w:tcW w:w="920" w:type="dxa"/>
            <w:vAlign w:val="bottom"/>
            <w:gridSpan w:val="2"/>
          </w:tcPr>
          <w:p>
            <w:pPr>
              <w:ind w:left="100"/>
              <w:spacing w:after="0" w:line="143" w:lineRule="exact"/>
              <w:rPr>
                <w:sz w:val="20"/>
                <w:szCs w:val="20"/>
                <w:color w:val="auto"/>
              </w:rPr>
            </w:pPr>
            <w:r>
              <w:rPr>
                <w:rFonts w:ascii="Arial" w:cs="Arial" w:eastAsia="Arial" w:hAnsi="Arial"/>
                <w:sz w:val="14"/>
                <w:szCs w:val="14"/>
                <w:b w:val="1"/>
                <w:bCs w:val="1"/>
                <w:color w:val="auto"/>
                <w:w w:val="92"/>
              </w:rPr>
              <w:t>Assessment/</w:t>
            </w:r>
          </w:p>
        </w:tc>
        <w:tc>
          <w:tcPr>
            <w:tcW w:w="760" w:type="dxa"/>
            <w:vAlign w:val="bottom"/>
          </w:tcPr>
          <w:p>
            <w:pPr>
              <w:jc w:val="right"/>
              <w:ind w:right="18"/>
              <w:spacing w:after="0" w:line="143" w:lineRule="exact"/>
              <w:rPr>
                <w:sz w:val="20"/>
                <w:szCs w:val="20"/>
                <w:color w:val="auto"/>
              </w:rPr>
            </w:pPr>
            <w:r>
              <w:rPr>
                <w:rFonts w:ascii="Arial" w:cs="Arial" w:eastAsia="Arial" w:hAnsi="Arial"/>
                <w:sz w:val="14"/>
                <w:szCs w:val="14"/>
                <w:b w:val="1"/>
                <w:bCs w:val="1"/>
                <w:color w:val="auto"/>
              </w:rPr>
              <w:t>Fatalities</w:t>
            </w:r>
          </w:p>
        </w:tc>
        <w:tc>
          <w:tcPr>
            <w:tcW w:w="7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8"/>
              </w:rPr>
              <w:t>104(e)</w:t>
            </w:r>
          </w:p>
        </w:tc>
        <w:tc>
          <w:tcPr>
            <w:tcW w:w="6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8"/>
              </w:rPr>
              <w:t>104(e)</w:t>
            </w:r>
          </w:p>
        </w:tc>
        <w:tc>
          <w:tcPr>
            <w:tcW w:w="6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1"/>
              </w:rPr>
              <w:t>Period</w:t>
            </w:r>
          </w:p>
        </w:tc>
        <w:tc>
          <w:tcPr>
            <w:tcW w:w="7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7"/>
              </w:rPr>
              <w:t>Period</w:t>
            </w:r>
          </w:p>
        </w:tc>
        <w:tc>
          <w:tcPr>
            <w:tcW w:w="6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7"/>
              </w:rPr>
              <w:t>Period</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740" w:type="dxa"/>
            <w:vAlign w:val="bottom"/>
          </w:tcPr>
          <w:p>
            <w:pPr>
              <w:ind w:left="680"/>
              <w:spacing w:after="0"/>
              <w:rPr>
                <w:sz w:val="20"/>
                <w:szCs w:val="20"/>
                <w:color w:val="auto"/>
              </w:rPr>
            </w:pPr>
            <w:r>
              <w:rPr>
                <w:rFonts w:ascii="Arial" w:cs="Arial" w:eastAsia="Arial" w:hAnsi="Arial"/>
                <w:sz w:val="14"/>
                <w:szCs w:val="14"/>
                <w:b w:val="1"/>
                <w:bCs w:val="1"/>
                <w:color w:val="auto"/>
              </w:rPr>
              <w:t>Location</w:t>
            </w:r>
          </w:p>
        </w:tc>
        <w:tc>
          <w:tcPr>
            <w:tcW w:w="960" w:type="dxa"/>
            <w:vAlign w:val="bottom"/>
          </w:tcPr>
          <w:p>
            <w:pPr>
              <w:ind w:left="280"/>
              <w:spacing w:after="0"/>
              <w:rPr>
                <w:sz w:val="20"/>
                <w:szCs w:val="20"/>
                <w:color w:val="auto"/>
              </w:rPr>
            </w:pPr>
            <w:r>
              <w:rPr>
                <w:rFonts w:ascii="Arial" w:cs="Arial" w:eastAsia="Arial" w:hAnsi="Arial"/>
                <w:sz w:val="14"/>
                <w:szCs w:val="14"/>
                <w:b w:val="1"/>
                <w:bCs w:val="1"/>
                <w:color w:val="auto"/>
              </w:rPr>
              <w:t>MSHA ID</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640" w:type="dxa"/>
            <w:vAlign w:val="bottom"/>
          </w:tcPr>
          <w:p>
            <w:pPr>
              <w:jc w:val="right"/>
              <w:ind w:right="156"/>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ind w:right="217"/>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236"/>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ind w:right="156"/>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ind w:left="140"/>
              <w:spacing w:after="0"/>
              <w:rPr>
                <w:sz w:val="20"/>
                <w:szCs w:val="20"/>
                <w:color w:val="auto"/>
              </w:rPr>
            </w:pPr>
            <w:r>
              <w:rPr>
                <w:rFonts w:ascii="Arial" w:cs="Arial" w:eastAsia="Arial" w:hAnsi="Arial"/>
                <w:sz w:val="14"/>
                <w:szCs w:val="14"/>
                <w:b w:val="1"/>
                <w:bCs w:val="1"/>
                <w:color w:val="auto"/>
                <w:w w:val="76"/>
              </w:rPr>
              <w:t>$</w:t>
            </w:r>
          </w:p>
        </w:tc>
        <w:tc>
          <w:tcPr>
            <w:tcW w:w="700" w:type="dxa"/>
            <w:vAlign w:val="bottom"/>
          </w:tcPr>
          <w:p>
            <w:pPr>
              <w:jc w:val="right"/>
              <w:ind w:right="57"/>
              <w:spacing w:after="0"/>
              <w:rPr>
                <w:sz w:val="20"/>
                <w:szCs w:val="20"/>
                <w:color w:val="auto"/>
              </w:rPr>
            </w:pPr>
            <w:r>
              <w:rPr>
                <w:rFonts w:ascii="Arial" w:cs="Arial" w:eastAsia="Arial" w:hAnsi="Arial"/>
                <w:sz w:val="14"/>
                <w:szCs w:val="14"/>
                <w:b w:val="1"/>
                <w:bCs w:val="1"/>
                <w:color w:val="auto"/>
                <w:w w:val="83"/>
              </w:rPr>
              <w:t>Proposed</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5"/>
              </w:rPr>
              <w:t>(yes/no)</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5"/>
              </w:rPr>
              <w:t>(yes/no)</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17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7"/>
                <w:szCs w:val="17"/>
                <w:color w:val="auto"/>
              </w:rPr>
              <w:t>Noblesville SandG</w:t>
            </w:r>
          </w:p>
        </w:tc>
        <w:tc>
          <w:tcPr>
            <w:tcW w:w="960" w:type="dxa"/>
            <w:vAlign w:val="bottom"/>
            <w:shd w:val="clear" w:color="auto" w:fill="CCEEFF"/>
          </w:tcPr>
          <w:p>
            <w:pPr>
              <w:jc w:val="center"/>
              <w:ind w:left="114"/>
              <w:spacing w:after="0"/>
              <w:rPr>
                <w:sz w:val="20"/>
                <w:szCs w:val="20"/>
                <w:color w:val="auto"/>
              </w:rPr>
            </w:pPr>
            <w:r>
              <w:rPr>
                <w:rFonts w:ascii="Arial" w:cs="Arial" w:eastAsia="Arial" w:hAnsi="Arial"/>
                <w:sz w:val="17"/>
                <w:szCs w:val="17"/>
                <w:color w:val="auto"/>
                <w:w w:val="90"/>
              </w:rPr>
              <w:t>1201994</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844</w:t>
            </w: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Arial" w:cs="Arial" w:eastAsia="Arial" w:hAnsi="Arial"/>
                <w:sz w:val="17"/>
                <w:szCs w:val="17"/>
                <w:color w:val="auto"/>
              </w:rPr>
              <w:t>Noblesville Stone</w:t>
            </w:r>
          </w:p>
        </w:tc>
        <w:tc>
          <w:tcPr>
            <w:tcW w:w="960" w:type="dxa"/>
            <w:vAlign w:val="bottom"/>
          </w:tcPr>
          <w:p>
            <w:pPr>
              <w:jc w:val="center"/>
              <w:ind w:left="114"/>
              <w:spacing w:after="0"/>
              <w:rPr>
                <w:sz w:val="20"/>
                <w:szCs w:val="20"/>
                <w:color w:val="auto"/>
              </w:rPr>
            </w:pPr>
            <w:r>
              <w:rPr>
                <w:rFonts w:ascii="Arial" w:cs="Arial" w:eastAsia="Arial" w:hAnsi="Arial"/>
                <w:sz w:val="17"/>
                <w:szCs w:val="17"/>
                <w:color w:val="auto"/>
                <w:w w:val="90"/>
              </w:rPr>
              <w:t>1202176</w:t>
            </w:r>
          </w:p>
        </w:tc>
        <w:tc>
          <w:tcPr>
            <w:tcW w:w="720" w:type="dxa"/>
            <w:vAlign w:val="bottom"/>
          </w:tcPr>
          <w:p>
            <w:pPr>
              <w:jc w:val="right"/>
              <w:ind w:right="16"/>
              <w:spacing w:after="0"/>
              <w:rPr>
                <w:sz w:val="20"/>
                <w:szCs w:val="20"/>
                <w:color w:val="auto"/>
              </w:rPr>
            </w:pPr>
            <w:r>
              <w:rPr>
                <w:rFonts w:ascii="Arial" w:cs="Arial" w:eastAsia="Arial" w:hAnsi="Arial"/>
                <w:sz w:val="17"/>
                <w:szCs w:val="17"/>
                <w:color w:val="auto"/>
              </w:rPr>
              <w:t>4</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tcPr>
          <w:p>
            <w:pPr>
              <w:jc w:val="right"/>
              <w:ind w:right="17"/>
              <w:spacing w:after="0"/>
              <w:rPr>
                <w:sz w:val="20"/>
                <w:szCs w:val="20"/>
                <w:color w:val="auto"/>
              </w:rPr>
            </w:pPr>
            <w:r>
              <w:rPr>
                <w:rFonts w:ascii="Arial" w:cs="Arial" w:eastAsia="Arial" w:hAnsi="Arial"/>
                <w:sz w:val="17"/>
                <w:szCs w:val="17"/>
                <w:b w:val="1"/>
                <w:bCs w:val="1"/>
                <w:color w:val="auto"/>
              </w:rPr>
              <w:t>7,891</w:t>
            </w:r>
          </w:p>
        </w:tc>
        <w:tc>
          <w:tcPr>
            <w:tcW w:w="760" w:type="dxa"/>
            <w:vAlign w:val="bottom"/>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tcPr>
          <w:p>
            <w:pPr>
              <w:jc w:val="right"/>
              <w:ind w:right="18"/>
              <w:spacing w:after="0"/>
              <w:rPr>
                <w:sz w:val="20"/>
                <w:szCs w:val="20"/>
                <w:color w:val="auto"/>
              </w:rPr>
            </w:pPr>
            <w:r>
              <w:rPr>
                <w:rFonts w:ascii="Arial" w:cs="Arial" w:eastAsia="Arial" w:hAnsi="Arial"/>
                <w:sz w:val="17"/>
                <w:szCs w:val="17"/>
                <w:b w:val="1"/>
                <w:bCs w:val="1"/>
                <w:color w:val="auto"/>
              </w:rPr>
              <w:t>1</w:t>
            </w:r>
          </w:p>
        </w:tc>
        <w:tc>
          <w:tcPr>
            <w:tcW w:w="780" w:type="dxa"/>
            <w:vAlign w:val="bottom"/>
          </w:tcPr>
          <w:p>
            <w:pPr>
              <w:jc w:val="right"/>
              <w:ind w:right="17"/>
              <w:spacing w:after="0"/>
              <w:rPr>
                <w:sz w:val="20"/>
                <w:szCs w:val="20"/>
                <w:color w:val="auto"/>
              </w:rPr>
            </w:pPr>
            <w:r>
              <w:rPr>
                <w:rFonts w:ascii="Arial" w:cs="Arial" w:eastAsia="Arial" w:hAnsi="Arial"/>
                <w:sz w:val="17"/>
                <w:szCs w:val="17"/>
                <w:b w:val="1"/>
                <w:bCs w:val="1"/>
                <w:color w:val="auto"/>
              </w:rPr>
              <w:t>4</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7"/>
                <w:szCs w:val="17"/>
                <w:color w:val="auto"/>
              </w:rPr>
              <w:t>North Indianapolis</w:t>
            </w:r>
          </w:p>
        </w:tc>
        <w:tc>
          <w:tcPr>
            <w:tcW w:w="960" w:type="dxa"/>
            <w:vAlign w:val="bottom"/>
            <w:shd w:val="clear" w:color="auto" w:fill="CCEEFF"/>
          </w:tcPr>
          <w:p>
            <w:pPr>
              <w:jc w:val="center"/>
              <w:ind w:left="114"/>
              <w:spacing w:after="0"/>
              <w:rPr>
                <w:sz w:val="20"/>
                <w:szCs w:val="20"/>
                <w:color w:val="auto"/>
              </w:rPr>
            </w:pPr>
            <w:r>
              <w:rPr>
                <w:rFonts w:ascii="Arial" w:cs="Arial" w:eastAsia="Arial" w:hAnsi="Arial"/>
                <w:sz w:val="17"/>
                <w:szCs w:val="17"/>
                <w:color w:val="auto"/>
                <w:w w:val="90"/>
              </w:rPr>
              <w:t>1201993</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1,849</w:t>
            </w: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1</w:t>
            </w: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1</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Arial" w:cs="Arial" w:eastAsia="Arial" w:hAnsi="Arial"/>
                <w:sz w:val="17"/>
                <w:szCs w:val="17"/>
                <w:color w:val="auto"/>
              </w:rPr>
              <w:t>Petersburg</w:t>
            </w:r>
          </w:p>
        </w:tc>
        <w:tc>
          <w:tcPr>
            <w:tcW w:w="960" w:type="dxa"/>
            <w:vAlign w:val="bottom"/>
          </w:tcPr>
          <w:p>
            <w:pPr>
              <w:jc w:val="center"/>
              <w:ind w:left="114"/>
              <w:spacing w:after="0"/>
              <w:rPr>
                <w:sz w:val="20"/>
                <w:szCs w:val="20"/>
                <w:color w:val="auto"/>
              </w:rPr>
            </w:pPr>
            <w:r>
              <w:rPr>
                <w:rFonts w:ascii="Arial" w:cs="Arial" w:eastAsia="Arial" w:hAnsi="Arial"/>
                <w:sz w:val="17"/>
                <w:szCs w:val="17"/>
                <w:color w:val="auto"/>
                <w:w w:val="90"/>
              </w:rPr>
              <w:t>1516895</w:t>
            </w:r>
          </w:p>
        </w:tc>
        <w:tc>
          <w:tcPr>
            <w:tcW w:w="72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tcPr>
          <w:p>
            <w:pPr>
              <w:jc w:val="right"/>
              <w:ind w:right="17"/>
              <w:spacing w:after="0"/>
              <w:rPr>
                <w:sz w:val="20"/>
                <w:szCs w:val="20"/>
                <w:color w:val="auto"/>
              </w:rPr>
            </w:pPr>
            <w:r>
              <w:rPr>
                <w:rFonts w:ascii="Arial" w:cs="Arial" w:eastAsia="Arial" w:hAnsi="Arial"/>
                <w:sz w:val="17"/>
                <w:szCs w:val="17"/>
                <w:b w:val="1"/>
                <w:bCs w:val="1"/>
                <w:color w:val="auto"/>
              </w:rPr>
              <w:t>232</w:t>
            </w:r>
          </w:p>
        </w:tc>
        <w:tc>
          <w:tcPr>
            <w:tcW w:w="760" w:type="dxa"/>
            <w:vAlign w:val="bottom"/>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7"/>
                <w:szCs w:val="17"/>
                <w:color w:val="auto"/>
              </w:rPr>
              <w:t>Phillipsburg</w:t>
            </w:r>
          </w:p>
        </w:tc>
        <w:tc>
          <w:tcPr>
            <w:tcW w:w="960" w:type="dxa"/>
            <w:vAlign w:val="bottom"/>
            <w:shd w:val="clear" w:color="auto" w:fill="CCEEFF"/>
          </w:tcPr>
          <w:p>
            <w:pPr>
              <w:jc w:val="center"/>
              <w:ind w:left="114"/>
              <w:spacing w:after="0"/>
              <w:rPr>
                <w:sz w:val="20"/>
                <w:szCs w:val="20"/>
                <w:color w:val="auto"/>
              </w:rPr>
            </w:pPr>
            <w:r>
              <w:rPr>
                <w:rFonts w:ascii="Arial" w:cs="Arial" w:eastAsia="Arial" w:hAnsi="Arial"/>
                <w:sz w:val="17"/>
                <w:szCs w:val="17"/>
                <w:color w:val="auto"/>
                <w:w w:val="90"/>
              </w:rPr>
              <w:t>3300006</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135</w:t>
            </w: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Arial" w:cs="Arial" w:eastAsia="Arial" w:hAnsi="Arial"/>
                <w:sz w:val="17"/>
                <w:szCs w:val="17"/>
                <w:color w:val="auto"/>
              </w:rPr>
              <w:t>Shamrock SG</w:t>
            </w:r>
          </w:p>
        </w:tc>
        <w:tc>
          <w:tcPr>
            <w:tcW w:w="960" w:type="dxa"/>
            <w:vAlign w:val="bottom"/>
          </w:tcPr>
          <w:p>
            <w:pPr>
              <w:jc w:val="center"/>
              <w:ind w:left="114"/>
              <w:spacing w:after="0"/>
              <w:rPr>
                <w:sz w:val="20"/>
                <w:szCs w:val="20"/>
                <w:color w:val="auto"/>
              </w:rPr>
            </w:pPr>
            <w:r>
              <w:rPr>
                <w:rFonts w:ascii="Arial" w:cs="Arial" w:eastAsia="Arial" w:hAnsi="Arial"/>
                <w:sz w:val="17"/>
                <w:szCs w:val="17"/>
                <w:color w:val="auto"/>
                <w:w w:val="90"/>
              </w:rPr>
              <w:t>3304011</w:t>
            </w:r>
          </w:p>
        </w:tc>
        <w:tc>
          <w:tcPr>
            <w:tcW w:w="72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tcPr>
          <w:p>
            <w:pPr>
              <w:jc w:val="right"/>
              <w:ind w:right="17"/>
              <w:spacing w:after="0"/>
              <w:rPr>
                <w:sz w:val="20"/>
                <w:szCs w:val="20"/>
                <w:color w:val="auto"/>
              </w:rPr>
            </w:pPr>
            <w:r>
              <w:rPr>
                <w:rFonts w:ascii="Arial" w:cs="Arial" w:eastAsia="Arial" w:hAnsi="Arial"/>
                <w:sz w:val="17"/>
                <w:szCs w:val="17"/>
                <w:b w:val="1"/>
                <w:bCs w:val="1"/>
                <w:color w:val="auto"/>
              </w:rPr>
              <w:t>0</w:t>
            </w:r>
          </w:p>
        </w:tc>
        <w:tc>
          <w:tcPr>
            <w:tcW w:w="760" w:type="dxa"/>
            <w:vAlign w:val="bottom"/>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7"/>
                <w:szCs w:val="17"/>
                <w:color w:val="auto"/>
              </w:rPr>
              <w:t>Troy Gravel</w:t>
            </w:r>
          </w:p>
        </w:tc>
        <w:tc>
          <w:tcPr>
            <w:tcW w:w="960" w:type="dxa"/>
            <w:vAlign w:val="bottom"/>
            <w:shd w:val="clear" w:color="auto" w:fill="CCEEFF"/>
          </w:tcPr>
          <w:p>
            <w:pPr>
              <w:jc w:val="center"/>
              <w:ind w:left="114"/>
              <w:spacing w:after="0"/>
              <w:rPr>
                <w:sz w:val="20"/>
                <w:szCs w:val="20"/>
                <w:color w:val="auto"/>
              </w:rPr>
            </w:pPr>
            <w:r>
              <w:rPr>
                <w:rFonts w:ascii="Arial" w:cs="Arial" w:eastAsia="Arial" w:hAnsi="Arial"/>
                <w:sz w:val="17"/>
                <w:szCs w:val="17"/>
                <w:color w:val="auto"/>
                <w:w w:val="90"/>
              </w:rPr>
              <w:t>3301678</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280</w:t>
            </w: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Arial" w:cs="Arial" w:eastAsia="Arial" w:hAnsi="Arial"/>
                <w:sz w:val="17"/>
                <w:szCs w:val="17"/>
                <w:color w:val="auto"/>
              </w:rPr>
              <w:t>Waverly Sand</w:t>
            </w:r>
          </w:p>
        </w:tc>
        <w:tc>
          <w:tcPr>
            <w:tcW w:w="960" w:type="dxa"/>
            <w:vAlign w:val="bottom"/>
          </w:tcPr>
          <w:p>
            <w:pPr>
              <w:jc w:val="center"/>
              <w:ind w:left="114"/>
              <w:spacing w:after="0"/>
              <w:rPr>
                <w:sz w:val="20"/>
                <w:szCs w:val="20"/>
                <w:color w:val="auto"/>
              </w:rPr>
            </w:pPr>
            <w:r>
              <w:rPr>
                <w:rFonts w:ascii="Arial" w:cs="Arial" w:eastAsia="Arial" w:hAnsi="Arial"/>
                <w:sz w:val="17"/>
                <w:szCs w:val="17"/>
                <w:color w:val="auto"/>
                <w:w w:val="90"/>
              </w:rPr>
              <w:t>1202038</w:t>
            </w:r>
          </w:p>
        </w:tc>
        <w:tc>
          <w:tcPr>
            <w:tcW w:w="72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tcPr>
          <w:p>
            <w:pPr>
              <w:jc w:val="right"/>
              <w:ind w:right="17"/>
              <w:spacing w:after="0"/>
              <w:rPr>
                <w:sz w:val="20"/>
                <w:szCs w:val="20"/>
                <w:color w:val="auto"/>
              </w:rPr>
            </w:pPr>
            <w:r>
              <w:rPr>
                <w:rFonts w:ascii="Arial" w:cs="Arial" w:eastAsia="Arial" w:hAnsi="Arial"/>
                <w:sz w:val="17"/>
                <w:szCs w:val="17"/>
                <w:b w:val="1"/>
                <w:bCs w:val="1"/>
                <w:color w:val="auto"/>
              </w:rPr>
              <w:t>0</w:t>
            </w:r>
          </w:p>
        </w:tc>
        <w:tc>
          <w:tcPr>
            <w:tcW w:w="760" w:type="dxa"/>
            <w:vAlign w:val="bottom"/>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7"/>
                <w:szCs w:val="17"/>
                <w:color w:val="auto"/>
              </w:rPr>
              <w:t>Xenia</w:t>
            </w:r>
          </w:p>
        </w:tc>
        <w:tc>
          <w:tcPr>
            <w:tcW w:w="960" w:type="dxa"/>
            <w:vAlign w:val="bottom"/>
            <w:shd w:val="clear" w:color="auto" w:fill="CCEEFF"/>
          </w:tcPr>
          <w:p>
            <w:pPr>
              <w:jc w:val="center"/>
              <w:ind w:left="114"/>
              <w:spacing w:after="0"/>
              <w:rPr>
                <w:sz w:val="20"/>
                <w:szCs w:val="20"/>
                <w:color w:val="auto"/>
              </w:rPr>
            </w:pPr>
            <w:r>
              <w:rPr>
                <w:rFonts w:ascii="Arial" w:cs="Arial" w:eastAsia="Arial" w:hAnsi="Arial"/>
                <w:sz w:val="17"/>
                <w:szCs w:val="17"/>
                <w:color w:val="auto"/>
                <w:w w:val="90"/>
              </w:rPr>
              <w:t>3301393</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116</w:t>
            </w: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Arial" w:cs="Arial" w:eastAsia="Arial" w:hAnsi="Arial"/>
                <w:sz w:val="17"/>
                <w:szCs w:val="17"/>
                <w:color w:val="auto"/>
              </w:rPr>
              <w:t>Appling Quarry</w:t>
            </w:r>
          </w:p>
        </w:tc>
        <w:tc>
          <w:tcPr>
            <w:tcW w:w="960" w:type="dxa"/>
            <w:vAlign w:val="bottom"/>
          </w:tcPr>
          <w:p>
            <w:pPr>
              <w:jc w:val="center"/>
              <w:ind w:left="114"/>
              <w:spacing w:after="0"/>
              <w:rPr>
                <w:sz w:val="20"/>
                <w:szCs w:val="20"/>
                <w:color w:val="auto"/>
              </w:rPr>
            </w:pPr>
            <w:r>
              <w:rPr>
                <w:rFonts w:ascii="Arial" w:cs="Arial" w:eastAsia="Arial" w:hAnsi="Arial"/>
                <w:sz w:val="17"/>
                <w:szCs w:val="17"/>
                <w:color w:val="auto"/>
                <w:w w:val="91"/>
              </w:rPr>
              <w:t>901083</w:t>
            </w:r>
          </w:p>
        </w:tc>
        <w:tc>
          <w:tcPr>
            <w:tcW w:w="72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tcPr>
          <w:p>
            <w:pPr>
              <w:jc w:val="right"/>
              <w:ind w:right="17"/>
              <w:spacing w:after="0"/>
              <w:rPr>
                <w:sz w:val="20"/>
                <w:szCs w:val="20"/>
                <w:color w:val="auto"/>
              </w:rPr>
            </w:pPr>
            <w:r>
              <w:rPr>
                <w:rFonts w:ascii="Arial" w:cs="Arial" w:eastAsia="Arial" w:hAnsi="Arial"/>
                <w:sz w:val="17"/>
                <w:szCs w:val="17"/>
                <w:b w:val="1"/>
                <w:bCs w:val="1"/>
                <w:color w:val="auto"/>
              </w:rPr>
              <w:t>0</w:t>
            </w:r>
          </w:p>
        </w:tc>
        <w:tc>
          <w:tcPr>
            <w:tcW w:w="760" w:type="dxa"/>
            <w:vAlign w:val="bottom"/>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7"/>
                <w:szCs w:val="17"/>
                <w:color w:val="auto"/>
              </w:rPr>
              <w:t>Auburn, Al Quarry</w:t>
            </w:r>
          </w:p>
        </w:tc>
        <w:tc>
          <w:tcPr>
            <w:tcW w:w="960" w:type="dxa"/>
            <w:vAlign w:val="bottom"/>
            <w:shd w:val="clear" w:color="auto" w:fill="CCEEFF"/>
          </w:tcPr>
          <w:p>
            <w:pPr>
              <w:jc w:val="center"/>
              <w:ind w:left="114"/>
              <w:spacing w:after="0"/>
              <w:rPr>
                <w:sz w:val="20"/>
                <w:szCs w:val="20"/>
                <w:color w:val="auto"/>
              </w:rPr>
            </w:pPr>
            <w:r>
              <w:rPr>
                <w:rFonts w:ascii="Arial" w:cs="Arial" w:eastAsia="Arial" w:hAnsi="Arial"/>
                <w:sz w:val="17"/>
                <w:szCs w:val="17"/>
                <w:color w:val="auto"/>
                <w:w w:val="91"/>
              </w:rPr>
              <w:t>100006</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471</w:t>
            </w: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Arial" w:cs="Arial" w:eastAsia="Arial" w:hAnsi="Arial"/>
                <w:sz w:val="17"/>
                <w:szCs w:val="17"/>
                <w:color w:val="auto"/>
              </w:rPr>
              <w:t>Auburn, GA Quarry</w:t>
            </w:r>
          </w:p>
        </w:tc>
        <w:tc>
          <w:tcPr>
            <w:tcW w:w="960" w:type="dxa"/>
            <w:vAlign w:val="bottom"/>
          </w:tcPr>
          <w:p>
            <w:pPr>
              <w:jc w:val="center"/>
              <w:ind w:left="114"/>
              <w:spacing w:after="0"/>
              <w:rPr>
                <w:sz w:val="20"/>
                <w:szCs w:val="20"/>
                <w:color w:val="auto"/>
              </w:rPr>
            </w:pPr>
            <w:r>
              <w:rPr>
                <w:rFonts w:ascii="Arial" w:cs="Arial" w:eastAsia="Arial" w:hAnsi="Arial"/>
                <w:sz w:val="17"/>
                <w:szCs w:val="17"/>
                <w:color w:val="auto"/>
                <w:w w:val="91"/>
              </w:rPr>
              <w:t>900436</w:t>
            </w:r>
          </w:p>
        </w:tc>
        <w:tc>
          <w:tcPr>
            <w:tcW w:w="72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tcPr>
          <w:p>
            <w:pPr>
              <w:jc w:val="right"/>
              <w:ind w:right="17"/>
              <w:spacing w:after="0"/>
              <w:rPr>
                <w:sz w:val="20"/>
                <w:szCs w:val="20"/>
                <w:color w:val="auto"/>
              </w:rPr>
            </w:pPr>
            <w:r>
              <w:rPr>
                <w:rFonts w:ascii="Arial" w:cs="Arial" w:eastAsia="Arial" w:hAnsi="Arial"/>
                <w:sz w:val="17"/>
                <w:szCs w:val="17"/>
                <w:b w:val="1"/>
                <w:bCs w:val="1"/>
                <w:color w:val="auto"/>
              </w:rPr>
              <w:t>116</w:t>
            </w:r>
          </w:p>
        </w:tc>
        <w:tc>
          <w:tcPr>
            <w:tcW w:w="760" w:type="dxa"/>
            <w:vAlign w:val="bottom"/>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7"/>
                <w:szCs w:val="17"/>
                <w:color w:val="auto"/>
              </w:rPr>
              <w:t>Augusta Quarry-GA</w:t>
            </w:r>
          </w:p>
        </w:tc>
        <w:tc>
          <w:tcPr>
            <w:tcW w:w="960" w:type="dxa"/>
            <w:vAlign w:val="bottom"/>
            <w:shd w:val="clear" w:color="auto" w:fill="CCEEFF"/>
          </w:tcPr>
          <w:p>
            <w:pPr>
              <w:jc w:val="center"/>
              <w:ind w:left="114"/>
              <w:spacing w:after="0"/>
              <w:rPr>
                <w:sz w:val="20"/>
                <w:szCs w:val="20"/>
                <w:color w:val="auto"/>
              </w:rPr>
            </w:pPr>
            <w:r>
              <w:rPr>
                <w:rFonts w:ascii="Arial" w:cs="Arial" w:eastAsia="Arial" w:hAnsi="Arial"/>
                <w:sz w:val="17"/>
                <w:szCs w:val="17"/>
                <w:color w:val="auto"/>
                <w:w w:val="91"/>
              </w:rPr>
              <w:t>900065</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0</w:t>
            </w: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Arial" w:cs="Arial" w:eastAsia="Arial" w:hAnsi="Arial"/>
                <w:sz w:val="17"/>
                <w:szCs w:val="17"/>
                <w:color w:val="auto"/>
              </w:rPr>
              <w:t>Chattanooga Quarry</w:t>
            </w:r>
          </w:p>
        </w:tc>
        <w:tc>
          <w:tcPr>
            <w:tcW w:w="960" w:type="dxa"/>
            <w:vAlign w:val="bottom"/>
          </w:tcPr>
          <w:p>
            <w:pPr>
              <w:jc w:val="center"/>
              <w:ind w:left="114"/>
              <w:spacing w:after="0"/>
              <w:rPr>
                <w:sz w:val="20"/>
                <w:szCs w:val="20"/>
                <w:color w:val="auto"/>
              </w:rPr>
            </w:pPr>
            <w:r>
              <w:rPr>
                <w:rFonts w:ascii="Arial" w:cs="Arial" w:eastAsia="Arial" w:hAnsi="Arial"/>
                <w:sz w:val="17"/>
                <w:szCs w:val="17"/>
                <w:color w:val="auto"/>
                <w:w w:val="90"/>
              </w:rPr>
              <w:t>4003159</w:t>
            </w:r>
          </w:p>
        </w:tc>
        <w:tc>
          <w:tcPr>
            <w:tcW w:w="72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tcPr>
          <w:p>
            <w:pPr>
              <w:jc w:val="right"/>
              <w:ind w:right="17"/>
              <w:spacing w:after="0"/>
              <w:rPr>
                <w:sz w:val="20"/>
                <w:szCs w:val="20"/>
                <w:color w:val="auto"/>
              </w:rPr>
            </w:pPr>
            <w:r>
              <w:rPr>
                <w:rFonts w:ascii="Arial" w:cs="Arial" w:eastAsia="Arial" w:hAnsi="Arial"/>
                <w:sz w:val="17"/>
                <w:szCs w:val="17"/>
                <w:b w:val="1"/>
                <w:bCs w:val="1"/>
                <w:color w:val="auto"/>
              </w:rPr>
              <w:t>116</w:t>
            </w:r>
          </w:p>
        </w:tc>
        <w:tc>
          <w:tcPr>
            <w:tcW w:w="760" w:type="dxa"/>
            <w:vAlign w:val="bottom"/>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7"/>
                <w:szCs w:val="17"/>
                <w:color w:val="auto"/>
              </w:rPr>
              <w:t>Forsyth Quarry</w:t>
            </w:r>
          </w:p>
        </w:tc>
        <w:tc>
          <w:tcPr>
            <w:tcW w:w="960" w:type="dxa"/>
            <w:vAlign w:val="bottom"/>
            <w:shd w:val="clear" w:color="auto" w:fill="CCEEFF"/>
          </w:tcPr>
          <w:p>
            <w:pPr>
              <w:jc w:val="center"/>
              <w:ind w:left="114"/>
              <w:spacing w:after="0"/>
              <w:rPr>
                <w:sz w:val="20"/>
                <w:szCs w:val="20"/>
                <w:color w:val="auto"/>
              </w:rPr>
            </w:pPr>
            <w:r>
              <w:rPr>
                <w:rFonts w:ascii="Arial" w:cs="Arial" w:eastAsia="Arial" w:hAnsi="Arial"/>
                <w:sz w:val="17"/>
                <w:szCs w:val="17"/>
                <w:color w:val="auto"/>
                <w:w w:val="91"/>
              </w:rPr>
              <w:t>901035</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116</w:t>
            </w: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Arial" w:cs="Arial" w:eastAsia="Arial" w:hAnsi="Arial"/>
                <w:sz w:val="17"/>
                <w:szCs w:val="17"/>
                <w:color w:val="auto"/>
              </w:rPr>
              <w:t>Jefferson Quarry</w:t>
            </w:r>
          </w:p>
        </w:tc>
        <w:tc>
          <w:tcPr>
            <w:tcW w:w="960" w:type="dxa"/>
            <w:vAlign w:val="bottom"/>
          </w:tcPr>
          <w:p>
            <w:pPr>
              <w:jc w:val="center"/>
              <w:ind w:left="134"/>
              <w:spacing w:after="0"/>
              <w:rPr>
                <w:sz w:val="20"/>
                <w:szCs w:val="20"/>
                <w:color w:val="auto"/>
              </w:rPr>
            </w:pPr>
            <w:r>
              <w:rPr>
                <w:rFonts w:ascii="Arial" w:cs="Arial" w:eastAsia="Arial" w:hAnsi="Arial"/>
                <w:sz w:val="17"/>
                <w:szCs w:val="17"/>
                <w:color w:val="auto"/>
                <w:w w:val="88"/>
              </w:rPr>
              <w:t>901106</w:t>
            </w:r>
          </w:p>
        </w:tc>
        <w:tc>
          <w:tcPr>
            <w:tcW w:w="720" w:type="dxa"/>
            <w:vAlign w:val="bottom"/>
          </w:tcPr>
          <w:p>
            <w:pPr>
              <w:jc w:val="right"/>
              <w:ind w:right="16"/>
              <w:spacing w:after="0"/>
              <w:rPr>
                <w:sz w:val="20"/>
                <w:szCs w:val="20"/>
                <w:color w:val="auto"/>
              </w:rPr>
            </w:pPr>
            <w:r>
              <w:rPr>
                <w:rFonts w:ascii="Arial" w:cs="Arial" w:eastAsia="Arial" w:hAnsi="Arial"/>
                <w:sz w:val="17"/>
                <w:szCs w:val="17"/>
                <w:color w:val="auto"/>
              </w:rPr>
              <w:t>1</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tcPr>
          <w:p>
            <w:pPr>
              <w:jc w:val="right"/>
              <w:ind w:right="17"/>
              <w:spacing w:after="0"/>
              <w:rPr>
                <w:sz w:val="20"/>
                <w:szCs w:val="20"/>
                <w:color w:val="auto"/>
              </w:rPr>
            </w:pPr>
            <w:r>
              <w:rPr>
                <w:rFonts w:ascii="Arial" w:cs="Arial" w:eastAsia="Arial" w:hAnsi="Arial"/>
                <w:sz w:val="17"/>
                <w:szCs w:val="17"/>
                <w:b w:val="1"/>
                <w:bCs w:val="1"/>
                <w:color w:val="auto"/>
              </w:rPr>
              <w:t>348</w:t>
            </w:r>
          </w:p>
        </w:tc>
        <w:tc>
          <w:tcPr>
            <w:tcW w:w="760" w:type="dxa"/>
            <w:vAlign w:val="bottom"/>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7"/>
                <w:szCs w:val="17"/>
                <w:color w:val="auto"/>
              </w:rPr>
              <w:t>Junction City Quarry</w:t>
            </w:r>
          </w:p>
        </w:tc>
        <w:tc>
          <w:tcPr>
            <w:tcW w:w="960" w:type="dxa"/>
            <w:vAlign w:val="bottom"/>
            <w:shd w:val="clear" w:color="auto" w:fill="CCEEFF"/>
          </w:tcPr>
          <w:p>
            <w:pPr>
              <w:jc w:val="center"/>
              <w:ind w:left="114"/>
              <w:spacing w:after="0"/>
              <w:rPr>
                <w:sz w:val="20"/>
                <w:szCs w:val="20"/>
                <w:color w:val="auto"/>
              </w:rPr>
            </w:pPr>
            <w:r>
              <w:rPr>
                <w:rFonts w:ascii="Arial" w:cs="Arial" w:eastAsia="Arial" w:hAnsi="Arial"/>
                <w:sz w:val="17"/>
                <w:szCs w:val="17"/>
                <w:color w:val="auto"/>
                <w:w w:val="91"/>
              </w:rPr>
              <w:t>901029</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116</w:t>
            </w: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Arial" w:cs="Arial" w:eastAsia="Arial" w:hAnsi="Arial"/>
                <w:sz w:val="17"/>
                <w:szCs w:val="17"/>
                <w:color w:val="auto"/>
              </w:rPr>
              <w:t>Lithonia Quarry</w:t>
            </w:r>
          </w:p>
        </w:tc>
        <w:tc>
          <w:tcPr>
            <w:tcW w:w="960" w:type="dxa"/>
            <w:vAlign w:val="bottom"/>
          </w:tcPr>
          <w:p>
            <w:pPr>
              <w:jc w:val="center"/>
              <w:ind w:left="114"/>
              <w:spacing w:after="0"/>
              <w:rPr>
                <w:sz w:val="20"/>
                <w:szCs w:val="20"/>
                <w:color w:val="auto"/>
              </w:rPr>
            </w:pPr>
            <w:r>
              <w:rPr>
                <w:rFonts w:ascii="Arial" w:cs="Arial" w:eastAsia="Arial" w:hAnsi="Arial"/>
                <w:sz w:val="17"/>
                <w:szCs w:val="17"/>
                <w:color w:val="auto"/>
                <w:w w:val="91"/>
              </w:rPr>
              <w:t>900023</w:t>
            </w:r>
          </w:p>
        </w:tc>
        <w:tc>
          <w:tcPr>
            <w:tcW w:w="72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tcPr>
          <w:p>
            <w:pPr>
              <w:jc w:val="right"/>
              <w:ind w:right="17"/>
              <w:spacing w:after="0"/>
              <w:rPr>
                <w:sz w:val="20"/>
                <w:szCs w:val="20"/>
                <w:color w:val="auto"/>
              </w:rPr>
            </w:pPr>
            <w:r>
              <w:rPr>
                <w:rFonts w:ascii="Arial" w:cs="Arial" w:eastAsia="Arial" w:hAnsi="Arial"/>
                <w:sz w:val="17"/>
                <w:szCs w:val="17"/>
                <w:b w:val="1"/>
                <w:bCs w:val="1"/>
                <w:color w:val="auto"/>
              </w:rPr>
              <w:t>116</w:t>
            </w:r>
          </w:p>
        </w:tc>
        <w:tc>
          <w:tcPr>
            <w:tcW w:w="760" w:type="dxa"/>
            <w:vAlign w:val="bottom"/>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tcPr>
          <w:p>
            <w:pPr>
              <w:jc w:val="right"/>
              <w:ind w:right="17"/>
              <w:spacing w:after="0"/>
              <w:rPr>
                <w:sz w:val="20"/>
                <w:szCs w:val="20"/>
                <w:color w:val="auto"/>
              </w:rPr>
            </w:pPr>
            <w:r>
              <w:rPr>
                <w:rFonts w:ascii="Arial" w:cs="Arial" w:eastAsia="Arial" w:hAnsi="Arial"/>
                <w:sz w:val="17"/>
                <w:szCs w:val="17"/>
                <w:b w:val="1"/>
                <w:bCs w:val="1"/>
                <w:color w:val="auto"/>
              </w:rPr>
              <w:t>1</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7"/>
                <w:szCs w:val="17"/>
                <w:color w:val="auto"/>
              </w:rPr>
              <w:t>Maylene Quarry</w:t>
            </w:r>
          </w:p>
        </w:tc>
        <w:tc>
          <w:tcPr>
            <w:tcW w:w="960" w:type="dxa"/>
            <w:vAlign w:val="bottom"/>
            <w:shd w:val="clear" w:color="auto" w:fill="CCEEFF"/>
          </w:tcPr>
          <w:p>
            <w:pPr>
              <w:jc w:val="center"/>
              <w:ind w:left="114"/>
              <w:spacing w:after="0"/>
              <w:rPr>
                <w:sz w:val="20"/>
                <w:szCs w:val="20"/>
                <w:color w:val="auto"/>
              </w:rPr>
            </w:pPr>
            <w:r>
              <w:rPr>
                <w:rFonts w:ascii="Arial" w:cs="Arial" w:eastAsia="Arial" w:hAnsi="Arial"/>
                <w:sz w:val="17"/>
                <w:szCs w:val="17"/>
                <w:color w:val="auto"/>
                <w:w w:val="91"/>
              </w:rPr>
              <w:t>100634</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0</w:t>
            </w: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Arial" w:cs="Arial" w:eastAsia="Arial" w:hAnsi="Arial"/>
                <w:sz w:val="17"/>
                <w:szCs w:val="17"/>
                <w:color w:val="auto"/>
              </w:rPr>
              <w:t>Morgan Co Quarry</w:t>
            </w:r>
          </w:p>
        </w:tc>
        <w:tc>
          <w:tcPr>
            <w:tcW w:w="960" w:type="dxa"/>
            <w:vAlign w:val="bottom"/>
          </w:tcPr>
          <w:p>
            <w:pPr>
              <w:jc w:val="center"/>
              <w:ind w:left="134"/>
              <w:spacing w:after="0"/>
              <w:rPr>
                <w:sz w:val="20"/>
                <w:szCs w:val="20"/>
                <w:color w:val="auto"/>
              </w:rPr>
            </w:pPr>
            <w:r>
              <w:rPr>
                <w:rFonts w:ascii="Arial" w:cs="Arial" w:eastAsia="Arial" w:hAnsi="Arial"/>
                <w:sz w:val="17"/>
                <w:szCs w:val="17"/>
                <w:color w:val="auto"/>
                <w:w w:val="88"/>
              </w:rPr>
              <w:t>901126</w:t>
            </w:r>
          </w:p>
        </w:tc>
        <w:tc>
          <w:tcPr>
            <w:tcW w:w="72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tcPr>
          <w:p>
            <w:pPr>
              <w:jc w:val="right"/>
              <w:ind w:right="17"/>
              <w:spacing w:after="0"/>
              <w:rPr>
                <w:sz w:val="20"/>
                <w:szCs w:val="20"/>
                <w:color w:val="auto"/>
              </w:rPr>
            </w:pPr>
            <w:r>
              <w:rPr>
                <w:rFonts w:ascii="Arial" w:cs="Arial" w:eastAsia="Arial" w:hAnsi="Arial"/>
                <w:sz w:val="17"/>
                <w:szCs w:val="17"/>
                <w:b w:val="1"/>
                <w:bCs w:val="1"/>
                <w:color w:val="auto"/>
              </w:rPr>
              <w:t>0</w:t>
            </w:r>
          </w:p>
        </w:tc>
        <w:tc>
          <w:tcPr>
            <w:tcW w:w="760" w:type="dxa"/>
            <w:vAlign w:val="bottom"/>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7"/>
                <w:szCs w:val="17"/>
                <w:color w:val="auto"/>
              </w:rPr>
              <w:t>Newton Quarry</w:t>
            </w:r>
          </w:p>
        </w:tc>
        <w:tc>
          <w:tcPr>
            <w:tcW w:w="960" w:type="dxa"/>
            <w:vAlign w:val="bottom"/>
            <w:shd w:val="clear" w:color="auto" w:fill="CCEEFF"/>
          </w:tcPr>
          <w:p>
            <w:pPr>
              <w:jc w:val="center"/>
              <w:ind w:left="114"/>
              <w:spacing w:after="0"/>
              <w:rPr>
                <w:sz w:val="20"/>
                <w:szCs w:val="20"/>
                <w:color w:val="auto"/>
              </w:rPr>
            </w:pPr>
            <w:r>
              <w:rPr>
                <w:rFonts w:ascii="Arial" w:cs="Arial" w:eastAsia="Arial" w:hAnsi="Arial"/>
                <w:sz w:val="17"/>
                <w:szCs w:val="17"/>
                <w:color w:val="auto"/>
                <w:w w:val="91"/>
              </w:rPr>
              <w:t>900899</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251</w:t>
            </w: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Arial" w:cs="Arial" w:eastAsia="Arial" w:hAnsi="Arial"/>
                <w:sz w:val="17"/>
                <w:szCs w:val="17"/>
                <w:color w:val="auto"/>
              </w:rPr>
              <w:t>ONeal Quarry Co19</w:t>
            </w:r>
          </w:p>
        </w:tc>
        <w:tc>
          <w:tcPr>
            <w:tcW w:w="960" w:type="dxa"/>
            <w:vAlign w:val="bottom"/>
          </w:tcPr>
          <w:p>
            <w:pPr>
              <w:jc w:val="center"/>
              <w:ind w:left="114"/>
              <w:spacing w:after="0"/>
              <w:rPr>
                <w:sz w:val="20"/>
                <w:szCs w:val="20"/>
                <w:color w:val="auto"/>
              </w:rPr>
            </w:pPr>
            <w:r>
              <w:rPr>
                <w:rFonts w:ascii="Arial" w:cs="Arial" w:eastAsia="Arial" w:hAnsi="Arial"/>
                <w:sz w:val="17"/>
                <w:szCs w:val="17"/>
                <w:color w:val="auto"/>
                <w:w w:val="91"/>
              </w:rPr>
              <w:t>103076</w:t>
            </w:r>
          </w:p>
        </w:tc>
        <w:tc>
          <w:tcPr>
            <w:tcW w:w="72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tcPr>
          <w:p>
            <w:pPr>
              <w:jc w:val="right"/>
              <w:ind w:right="17"/>
              <w:spacing w:after="0"/>
              <w:rPr>
                <w:sz w:val="20"/>
                <w:szCs w:val="20"/>
                <w:color w:val="auto"/>
              </w:rPr>
            </w:pPr>
            <w:r>
              <w:rPr>
                <w:rFonts w:ascii="Arial" w:cs="Arial" w:eastAsia="Arial" w:hAnsi="Arial"/>
                <w:sz w:val="17"/>
                <w:szCs w:val="17"/>
                <w:b w:val="1"/>
                <w:bCs w:val="1"/>
                <w:color w:val="auto"/>
              </w:rPr>
              <w:t>0</w:t>
            </w:r>
          </w:p>
        </w:tc>
        <w:tc>
          <w:tcPr>
            <w:tcW w:w="760" w:type="dxa"/>
            <w:vAlign w:val="bottom"/>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7"/>
                <w:szCs w:val="17"/>
                <w:color w:val="auto"/>
              </w:rPr>
              <w:t>Paulding Quarry</w:t>
            </w:r>
          </w:p>
        </w:tc>
        <w:tc>
          <w:tcPr>
            <w:tcW w:w="960" w:type="dxa"/>
            <w:vAlign w:val="bottom"/>
            <w:shd w:val="clear" w:color="auto" w:fill="CCEEFF"/>
          </w:tcPr>
          <w:p>
            <w:pPr>
              <w:jc w:val="center"/>
              <w:ind w:left="134"/>
              <w:spacing w:after="0"/>
              <w:rPr>
                <w:sz w:val="20"/>
                <w:szCs w:val="20"/>
                <w:color w:val="auto"/>
              </w:rPr>
            </w:pPr>
            <w:r>
              <w:rPr>
                <w:rFonts w:ascii="Arial" w:cs="Arial" w:eastAsia="Arial" w:hAnsi="Arial"/>
                <w:sz w:val="17"/>
                <w:szCs w:val="17"/>
                <w:color w:val="auto"/>
                <w:w w:val="88"/>
              </w:rPr>
              <w:t>901107</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220</w:t>
            </w: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bl>
    <w:p>
      <w:pPr>
        <w:sectPr>
          <w:pgSz w:w="11900" w:h="16838" w:orient="portrait"/>
          <w:cols w:equalWidth="0" w:num="1">
            <w:col w:w="11420"/>
          </w:cols>
          <w:pgMar w:left="240" w:top="242" w:right="239" w:bottom="1440" w:gutter="0" w:footer="0" w:header="0"/>
        </w:sectPr>
      </w:pPr>
    </w:p>
    <w:bookmarkStart w:id="161" w:name="page162"/>
    <w:bookmarkEnd w:id="16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0">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4"/>
              </w:rPr>
              <w:t>Received</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4"/>
              </w:rPr>
              <w:t>Received</w:t>
            </w: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Legal</w:t>
            </w: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Total</w:t>
            </w:r>
          </w:p>
        </w:tc>
        <w:tc>
          <w:tcPr>
            <w:tcW w:w="7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6"/>
              </w:rPr>
              <w:t>Notice of</w:t>
            </w:r>
          </w:p>
        </w:tc>
        <w:tc>
          <w:tcPr>
            <w:tcW w:w="6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6"/>
              </w:rPr>
              <w:t>Notice of</w:t>
            </w:r>
          </w:p>
        </w:tc>
        <w:tc>
          <w:tcPr>
            <w:tcW w:w="66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Section</w:t>
            </w: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vMerge w:val="restart"/>
          </w:tcPr>
          <w:p>
            <w:pPr>
              <w:jc w:val="center"/>
              <w:ind w:right="137"/>
              <w:spacing w:after="0"/>
              <w:rPr>
                <w:sz w:val="20"/>
                <w:szCs w:val="20"/>
                <w:color w:val="auto"/>
              </w:rPr>
            </w:pPr>
            <w:r>
              <w:rPr>
                <w:rFonts w:ascii="Arial" w:cs="Arial" w:eastAsia="Arial" w:hAnsi="Arial"/>
                <w:sz w:val="14"/>
                <w:szCs w:val="14"/>
                <w:b w:val="1"/>
                <w:bCs w:val="1"/>
                <w:color w:val="auto"/>
                <w:w w:val="95"/>
              </w:rPr>
              <w:t>Total</w:t>
            </w:r>
          </w:p>
        </w:tc>
        <w:tc>
          <w:tcPr>
            <w:tcW w:w="760" w:type="dxa"/>
            <w:vAlign w:val="bottom"/>
            <w:vMerge w:val="continue"/>
          </w:tcPr>
          <w:p>
            <w:pPr>
              <w:spacing w:after="0"/>
              <w:rPr>
                <w:sz w:val="12"/>
                <w:szCs w:val="12"/>
                <w:color w:val="auto"/>
              </w:rPr>
            </w:pPr>
          </w:p>
        </w:tc>
        <w:tc>
          <w:tcPr>
            <w:tcW w:w="7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1"/>
              </w:rPr>
              <w:t>Pattern</w:t>
            </w:r>
          </w:p>
        </w:tc>
        <w:tc>
          <w:tcPr>
            <w:tcW w:w="6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1"/>
              </w:rPr>
              <w:t>Potential</w:t>
            </w:r>
          </w:p>
        </w:tc>
        <w:tc>
          <w:tcPr>
            <w:tcW w:w="6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5"/>
              </w:rPr>
              <w:t>Actions</w:t>
            </w: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Legal</w:t>
            </w: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Legal</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7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0"/>
              </w:rPr>
              <w:t>Number</w:t>
            </w:r>
          </w:p>
        </w:tc>
        <w:tc>
          <w:tcPr>
            <w:tcW w:w="7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0"/>
              </w:rPr>
              <w:t>of</w:t>
            </w:r>
          </w:p>
        </w:tc>
        <w:tc>
          <w:tcPr>
            <w:tcW w:w="6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5"/>
              </w:rPr>
              <w:t>to have</w:t>
            </w:r>
          </w:p>
        </w:tc>
        <w:tc>
          <w:tcPr>
            <w:tcW w:w="660" w:type="dxa"/>
            <w:vAlign w:val="bottom"/>
          </w:tcPr>
          <w:p>
            <w:pPr>
              <w:jc w:val="right"/>
              <w:ind w:right="18"/>
              <w:spacing w:after="0" w:line="143" w:lineRule="exact"/>
              <w:rPr>
                <w:sz w:val="20"/>
                <w:szCs w:val="20"/>
                <w:color w:val="auto"/>
              </w:rPr>
            </w:pPr>
            <w:r>
              <w:rPr>
                <w:rFonts w:ascii="Arial" w:cs="Arial" w:eastAsia="Arial" w:hAnsi="Arial"/>
                <w:sz w:val="14"/>
                <w:szCs w:val="14"/>
                <w:b w:val="1"/>
                <w:bCs w:val="1"/>
                <w:color w:val="auto"/>
                <w:w w:val="97"/>
              </w:rPr>
              <w:t>Pending</w:t>
            </w:r>
          </w:p>
        </w:tc>
        <w:tc>
          <w:tcPr>
            <w:tcW w:w="78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2"/>
              </w:rPr>
              <w:t>Section</w:t>
            </w:r>
          </w:p>
        </w:tc>
        <w:tc>
          <w:tcPr>
            <w:tcW w:w="62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w w:val="98"/>
              </w:rPr>
              <w:t>Section</w:t>
            </w:r>
          </w:p>
        </w:tc>
        <w:tc>
          <w:tcPr>
            <w:tcW w:w="7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2"/>
              </w:rPr>
              <w:t>104(d)</w:t>
            </w:r>
          </w:p>
        </w:tc>
        <w:tc>
          <w:tcPr>
            <w:tcW w:w="78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Section</w:t>
            </w:r>
          </w:p>
        </w:tc>
        <w:tc>
          <w:tcPr>
            <w:tcW w:w="64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rPr>
              <w:t>Section</w:t>
            </w:r>
          </w:p>
        </w:tc>
        <w:tc>
          <w:tcPr>
            <w:tcW w:w="220" w:type="dxa"/>
            <w:vAlign w:val="bottom"/>
          </w:tcPr>
          <w:p>
            <w:pPr>
              <w:spacing w:after="0"/>
              <w:rPr>
                <w:sz w:val="12"/>
                <w:szCs w:val="12"/>
                <w:color w:val="auto"/>
              </w:rPr>
            </w:pPr>
          </w:p>
        </w:tc>
        <w:tc>
          <w:tcPr>
            <w:tcW w:w="700" w:type="dxa"/>
            <w:vAlign w:val="bottom"/>
          </w:tcPr>
          <w:p>
            <w:pPr>
              <w:jc w:val="center"/>
              <w:ind w:right="137"/>
              <w:spacing w:after="0" w:line="143" w:lineRule="exact"/>
              <w:rPr>
                <w:sz w:val="20"/>
                <w:szCs w:val="20"/>
                <w:color w:val="auto"/>
              </w:rPr>
            </w:pPr>
            <w:r>
              <w:rPr>
                <w:rFonts w:ascii="Arial" w:cs="Arial" w:eastAsia="Arial" w:hAnsi="Arial"/>
                <w:sz w:val="14"/>
                <w:szCs w:val="14"/>
                <w:b w:val="1"/>
                <w:bCs w:val="1"/>
                <w:color w:val="auto"/>
                <w:w w:val="90"/>
              </w:rPr>
              <w:t>Dollar</w:t>
            </w:r>
          </w:p>
        </w:tc>
        <w:tc>
          <w:tcPr>
            <w:tcW w:w="7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0"/>
              </w:rPr>
              <w:t>of</w:t>
            </w:r>
          </w:p>
        </w:tc>
        <w:tc>
          <w:tcPr>
            <w:tcW w:w="7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1"/>
              </w:rPr>
              <w:t>Violation</w:t>
            </w:r>
          </w:p>
        </w:tc>
        <w:tc>
          <w:tcPr>
            <w:tcW w:w="6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1"/>
              </w:rPr>
              <w:t>Pattern</w:t>
            </w:r>
          </w:p>
        </w:tc>
        <w:tc>
          <w:tcPr>
            <w:tcW w:w="6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5"/>
              </w:rPr>
              <w:t>as of</w:t>
            </w:r>
          </w:p>
        </w:tc>
        <w:tc>
          <w:tcPr>
            <w:tcW w:w="7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5"/>
              </w:rPr>
              <w:t>Actions</w:t>
            </w:r>
          </w:p>
        </w:tc>
        <w:tc>
          <w:tcPr>
            <w:tcW w:w="6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5"/>
              </w:rPr>
              <w:t>Actions</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720" w:type="dxa"/>
            <w:vAlign w:val="bottom"/>
          </w:tcPr>
          <w:p>
            <w:pPr>
              <w:jc w:val="right"/>
              <w:ind w:right="17"/>
              <w:spacing w:after="0" w:line="143" w:lineRule="exact"/>
              <w:rPr>
                <w:sz w:val="20"/>
                <w:szCs w:val="20"/>
                <w:color w:val="auto"/>
              </w:rPr>
            </w:pPr>
            <w:r>
              <w:rPr>
                <w:rFonts w:ascii="Arial" w:cs="Arial" w:eastAsia="Arial" w:hAnsi="Arial"/>
                <w:sz w:val="14"/>
                <w:szCs w:val="14"/>
                <w:b w:val="1"/>
                <w:bCs w:val="1"/>
                <w:color w:val="auto"/>
              </w:rPr>
              <w:t>Citations</w:t>
            </w:r>
          </w:p>
        </w:tc>
        <w:tc>
          <w:tcPr>
            <w:tcW w:w="78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center"/>
              <w:ind w:right="137"/>
              <w:spacing w:after="0" w:line="143" w:lineRule="exact"/>
              <w:rPr>
                <w:sz w:val="20"/>
                <w:szCs w:val="20"/>
                <w:color w:val="auto"/>
              </w:rPr>
            </w:pPr>
            <w:r>
              <w:rPr>
                <w:rFonts w:ascii="Arial" w:cs="Arial" w:eastAsia="Arial" w:hAnsi="Arial"/>
                <w:sz w:val="14"/>
                <w:szCs w:val="14"/>
                <w:b w:val="1"/>
                <w:bCs w:val="1"/>
                <w:color w:val="auto"/>
                <w:w w:val="88"/>
              </w:rPr>
              <w:t>Value of</w:t>
            </w:r>
          </w:p>
        </w:tc>
        <w:tc>
          <w:tcPr>
            <w:tcW w:w="7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7"/>
              </w:rPr>
              <w:t>Mining</w:t>
            </w:r>
          </w:p>
        </w:tc>
        <w:tc>
          <w:tcPr>
            <w:tcW w:w="7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3"/>
              </w:rPr>
              <w:t>Under</w:t>
            </w:r>
          </w:p>
        </w:tc>
        <w:tc>
          <w:tcPr>
            <w:tcW w:w="6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2"/>
              </w:rPr>
              <w:t>under</w:t>
            </w:r>
          </w:p>
        </w:tc>
        <w:tc>
          <w:tcPr>
            <w:tcW w:w="6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7"/>
              </w:rPr>
              <w:t>Last</w:t>
            </w:r>
          </w:p>
        </w:tc>
        <w:tc>
          <w:tcPr>
            <w:tcW w:w="780" w:type="dxa"/>
            <w:vAlign w:val="bottom"/>
          </w:tcPr>
          <w:p>
            <w:pPr>
              <w:jc w:val="right"/>
              <w:ind w:right="17"/>
              <w:spacing w:after="0" w:line="143" w:lineRule="exact"/>
              <w:rPr>
                <w:sz w:val="20"/>
                <w:szCs w:val="20"/>
                <w:color w:val="auto"/>
              </w:rPr>
            </w:pPr>
            <w:r>
              <w:rPr>
                <w:rFonts w:ascii="Arial" w:cs="Arial" w:eastAsia="Arial" w:hAnsi="Arial"/>
                <w:sz w:val="14"/>
                <w:szCs w:val="14"/>
                <w:b w:val="1"/>
                <w:bCs w:val="1"/>
                <w:color w:val="auto"/>
              </w:rPr>
              <w:t>Instituted</w:t>
            </w:r>
          </w:p>
        </w:tc>
        <w:tc>
          <w:tcPr>
            <w:tcW w:w="680" w:type="dxa"/>
            <w:vAlign w:val="bottom"/>
          </w:tcPr>
          <w:p>
            <w:pPr>
              <w:jc w:val="right"/>
              <w:spacing w:after="0" w:line="143" w:lineRule="exact"/>
              <w:rPr>
                <w:sz w:val="20"/>
                <w:szCs w:val="20"/>
                <w:color w:val="auto"/>
              </w:rPr>
            </w:pPr>
            <w:r>
              <w:rPr>
                <w:rFonts w:ascii="Arial" w:cs="Arial" w:eastAsia="Arial" w:hAnsi="Arial"/>
                <w:sz w:val="14"/>
                <w:szCs w:val="14"/>
                <w:b w:val="1"/>
                <w:bCs w:val="1"/>
                <w:color w:val="auto"/>
                <w:w w:val="99"/>
              </w:rPr>
              <w:t>Resolved</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9"/>
              </w:rPr>
              <w:t>104 S&amp;S</w:t>
            </w:r>
          </w:p>
        </w:tc>
        <w:tc>
          <w:tcPr>
            <w:tcW w:w="6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7"/>
              </w:rPr>
              <w:t>104(b)</w:t>
            </w:r>
          </w:p>
        </w:tc>
        <w:tc>
          <w:tcPr>
            <w:tcW w:w="7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8"/>
              </w:rPr>
              <w:t>and</w:t>
            </w:r>
          </w:p>
        </w:tc>
        <w:tc>
          <w:tcPr>
            <w:tcW w:w="7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2"/>
              </w:rPr>
              <w:t>110(b)(2)</w:t>
            </w:r>
          </w:p>
        </w:tc>
        <w:tc>
          <w:tcPr>
            <w:tcW w:w="6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8"/>
              </w:rPr>
              <w:t>107(a)</w:t>
            </w:r>
          </w:p>
        </w:tc>
        <w:tc>
          <w:tcPr>
            <w:tcW w:w="220" w:type="dxa"/>
            <w:vAlign w:val="bottom"/>
          </w:tcPr>
          <w:p>
            <w:pPr>
              <w:spacing w:after="0"/>
              <w:rPr>
                <w:sz w:val="12"/>
                <w:szCs w:val="12"/>
                <w:color w:val="auto"/>
              </w:rPr>
            </w:pPr>
          </w:p>
        </w:tc>
        <w:tc>
          <w:tcPr>
            <w:tcW w:w="700" w:type="dxa"/>
            <w:vAlign w:val="bottom"/>
          </w:tcPr>
          <w:p>
            <w:pPr>
              <w:jc w:val="center"/>
              <w:ind w:right="137"/>
              <w:spacing w:after="0" w:line="143" w:lineRule="exact"/>
              <w:rPr>
                <w:sz w:val="20"/>
                <w:szCs w:val="20"/>
                <w:color w:val="auto"/>
              </w:rPr>
            </w:pPr>
            <w:r>
              <w:rPr>
                <w:rFonts w:ascii="Arial" w:cs="Arial" w:eastAsia="Arial" w:hAnsi="Arial"/>
                <w:sz w:val="14"/>
                <w:szCs w:val="14"/>
                <w:b w:val="1"/>
                <w:bCs w:val="1"/>
                <w:color w:val="auto"/>
                <w:w w:val="96"/>
              </w:rPr>
              <w:t>MSHA</w:t>
            </w:r>
          </w:p>
        </w:tc>
        <w:tc>
          <w:tcPr>
            <w:tcW w:w="7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6"/>
              </w:rPr>
              <w:t>Related</w:t>
            </w:r>
          </w:p>
        </w:tc>
        <w:tc>
          <w:tcPr>
            <w:tcW w:w="7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6"/>
              </w:rPr>
              <w:t>Section</w:t>
            </w:r>
          </w:p>
        </w:tc>
        <w:tc>
          <w:tcPr>
            <w:tcW w:w="6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6"/>
              </w:rPr>
              <w:t>Section</w:t>
            </w:r>
          </w:p>
        </w:tc>
        <w:tc>
          <w:tcPr>
            <w:tcW w:w="6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3"/>
              </w:rPr>
              <w:t>Day of</w:t>
            </w:r>
          </w:p>
        </w:tc>
        <w:tc>
          <w:tcPr>
            <w:tcW w:w="7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3"/>
              </w:rPr>
              <w:t>During</w:t>
            </w:r>
          </w:p>
        </w:tc>
        <w:tc>
          <w:tcPr>
            <w:tcW w:w="6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3"/>
              </w:rPr>
              <w:t>During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jc w:val="right"/>
              <w:ind w:right="16"/>
              <w:spacing w:after="0" w:line="143" w:lineRule="exact"/>
              <w:rPr>
                <w:sz w:val="20"/>
                <w:szCs w:val="20"/>
                <w:color w:val="auto"/>
              </w:rPr>
            </w:pPr>
            <w:r>
              <w:rPr>
                <w:rFonts w:ascii="Arial" w:cs="Arial" w:eastAsia="Arial" w:hAnsi="Arial"/>
                <w:sz w:val="14"/>
                <w:szCs w:val="14"/>
                <w:b w:val="1"/>
                <w:bCs w:val="1"/>
                <w:color w:val="auto"/>
              </w:rPr>
              <w:t>Citations</w:t>
            </w:r>
          </w:p>
        </w:tc>
        <w:tc>
          <w:tcPr>
            <w:tcW w:w="620" w:type="dxa"/>
            <w:vAlign w:val="bottom"/>
          </w:tcPr>
          <w:p>
            <w:pPr>
              <w:jc w:val="right"/>
              <w:ind w:right="16"/>
              <w:spacing w:after="0" w:line="143" w:lineRule="exact"/>
              <w:rPr>
                <w:sz w:val="20"/>
                <w:szCs w:val="20"/>
                <w:color w:val="auto"/>
              </w:rPr>
            </w:pPr>
            <w:r>
              <w:rPr>
                <w:rFonts w:ascii="Arial" w:cs="Arial" w:eastAsia="Arial" w:hAnsi="Arial"/>
                <w:sz w:val="14"/>
                <w:szCs w:val="14"/>
                <w:b w:val="1"/>
                <w:bCs w:val="1"/>
                <w:color w:val="auto"/>
              </w:rPr>
              <w:t>Orders</w:t>
            </w:r>
          </w:p>
        </w:tc>
        <w:tc>
          <w:tcPr>
            <w:tcW w:w="7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1"/>
              </w:rPr>
              <w:t>Orders</w:t>
            </w:r>
          </w:p>
        </w:tc>
        <w:tc>
          <w:tcPr>
            <w:tcW w:w="780" w:type="dxa"/>
            <w:vAlign w:val="bottom"/>
          </w:tcPr>
          <w:p>
            <w:pPr>
              <w:jc w:val="right"/>
              <w:ind w:right="16"/>
              <w:spacing w:after="0" w:line="143" w:lineRule="exact"/>
              <w:rPr>
                <w:sz w:val="20"/>
                <w:szCs w:val="20"/>
                <w:color w:val="auto"/>
              </w:rPr>
            </w:pPr>
            <w:r>
              <w:rPr>
                <w:rFonts w:ascii="Arial" w:cs="Arial" w:eastAsia="Arial" w:hAnsi="Arial"/>
                <w:sz w:val="14"/>
                <w:szCs w:val="14"/>
                <w:b w:val="1"/>
                <w:bCs w:val="1"/>
                <w:color w:val="auto"/>
                <w:w w:val="98"/>
              </w:rPr>
              <w:t>Violations</w:t>
            </w:r>
          </w:p>
        </w:tc>
        <w:tc>
          <w:tcPr>
            <w:tcW w:w="640" w:type="dxa"/>
            <w:vAlign w:val="bottom"/>
          </w:tcPr>
          <w:p>
            <w:pPr>
              <w:jc w:val="right"/>
              <w:ind w:right="16"/>
              <w:spacing w:after="0" w:line="143" w:lineRule="exact"/>
              <w:rPr>
                <w:sz w:val="20"/>
                <w:szCs w:val="20"/>
                <w:color w:val="auto"/>
              </w:rPr>
            </w:pPr>
            <w:r>
              <w:rPr>
                <w:rFonts w:ascii="Arial" w:cs="Arial" w:eastAsia="Arial" w:hAnsi="Arial"/>
                <w:sz w:val="14"/>
                <w:szCs w:val="14"/>
                <w:b w:val="1"/>
                <w:bCs w:val="1"/>
                <w:color w:val="auto"/>
              </w:rPr>
              <w:t>Orders</w:t>
            </w:r>
          </w:p>
        </w:tc>
        <w:tc>
          <w:tcPr>
            <w:tcW w:w="920" w:type="dxa"/>
            <w:vAlign w:val="bottom"/>
            <w:gridSpan w:val="2"/>
          </w:tcPr>
          <w:p>
            <w:pPr>
              <w:ind w:left="100"/>
              <w:spacing w:after="0" w:line="143" w:lineRule="exact"/>
              <w:rPr>
                <w:sz w:val="20"/>
                <w:szCs w:val="20"/>
                <w:color w:val="auto"/>
              </w:rPr>
            </w:pPr>
            <w:r>
              <w:rPr>
                <w:rFonts w:ascii="Arial" w:cs="Arial" w:eastAsia="Arial" w:hAnsi="Arial"/>
                <w:sz w:val="14"/>
                <w:szCs w:val="14"/>
                <w:b w:val="1"/>
                <w:bCs w:val="1"/>
                <w:color w:val="auto"/>
                <w:w w:val="92"/>
              </w:rPr>
              <w:t>Assessment/</w:t>
            </w:r>
          </w:p>
        </w:tc>
        <w:tc>
          <w:tcPr>
            <w:tcW w:w="760" w:type="dxa"/>
            <w:vAlign w:val="bottom"/>
          </w:tcPr>
          <w:p>
            <w:pPr>
              <w:jc w:val="right"/>
              <w:ind w:right="18"/>
              <w:spacing w:after="0" w:line="143" w:lineRule="exact"/>
              <w:rPr>
                <w:sz w:val="20"/>
                <w:szCs w:val="20"/>
                <w:color w:val="auto"/>
              </w:rPr>
            </w:pPr>
            <w:r>
              <w:rPr>
                <w:rFonts w:ascii="Arial" w:cs="Arial" w:eastAsia="Arial" w:hAnsi="Arial"/>
                <w:sz w:val="14"/>
                <w:szCs w:val="14"/>
                <w:b w:val="1"/>
                <w:bCs w:val="1"/>
                <w:color w:val="auto"/>
              </w:rPr>
              <w:t>Fatalities</w:t>
            </w:r>
          </w:p>
        </w:tc>
        <w:tc>
          <w:tcPr>
            <w:tcW w:w="7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8"/>
              </w:rPr>
              <w:t>104(e)</w:t>
            </w:r>
          </w:p>
        </w:tc>
        <w:tc>
          <w:tcPr>
            <w:tcW w:w="6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8"/>
              </w:rPr>
              <w:t>104(e)</w:t>
            </w:r>
          </w:p>
        </w:tc>
        <w:tc>
          <w:tcPr>
            <w:tcW w:w="6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1"/>
              </w:rPr>
              <w:t>Period</w:t>
            </w:r>
          </w:p>
        </w:tc>
        <w:tc>
          <w:tcPr>
            <w:tcW w:w="7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7"/>
              </w:rPr>
              <w:t>Period</w:t>
            </w:r>
          </w:p>
        </w:tc>
        <w:tc>
          <w:tcPr>
            <w:tcW w:w="6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7"/>
              </w:rPr>
              <w:t>Period</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980" w:type="dxa"/>
            <w:vAlign w:val="bottom"/>
          </w:tcPr>
          <w:p>
            <w:pPr>
              <w:jc w:val="right"/>
              <w:ind w:right="674"/>
              <w:spacing w:after="0"/>
              <w:rPr>
                <w:sz w:val="20"/>
                <w:szCs w:val="20"/>
                <w:color w:val="auto"/>
              </w:rPr>
            </w:pPr>
            <w:r>
              <w:rPr>
                <w:rFonts w:ascii="Arial" w:cs="Arial" w:eastAsia="Arial" w:hAnsi="Arial"/>
                <w:sz w:val="14"/>
                <w:szCs w:val="14"/>
                <w:b w:val="1"/>
                <w:bCs w:val="1"/>
                <w:color w:val="auto"/>
              </w:rPr>
              <w:t>Location</w:t>
            </w:r>
          </w:p>
        </w:tc>
        <w:tc>
          <w:tcPr>
            <w:tcW w:w="760" w:type="dxa"/>
            <w:vAlign w:val="bottom"/>
          </w:tcPr>
          <w:p>
            <w:pPr>
              <w:ind w:left="100"/>
              <w:spacing w:after="0"/>
              <w:rPr>
                <w:sz w:val="20"/>
                <w:szCs w:val="20"/>
                <w:color w:val="auto"/>
              </w:rPr>
            </w:pPr>
            <w:r>
              <w:rPr>
                <w:rFonts w:ascii="Arial" w:cs="Arial" w:eastAsia="Arial" w:hAnsi="Arial"/>
                <w:sz w:val="14"/>
                <w:szCs w:val="14"/>
                <w:b w:val="1"/>
                <w:bCs w:val="1"/>
                <w:color w:val="auto"/>
              </w:rPr>
              <w:t>MSHA ID</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620" w:type="dxa"/>
            <w:vAlign w:val="bottom"/>
          </w:tcPr>
          <w:p>
            <w:pPr>
              <w:jc w:val="right"/>
              <w:ind w:right="156"/>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ind w:right="197"/>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236"/>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ind w:right="156"/>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ind w:left="140"/>
              <w:spacing w:after="0"/>
              <w:rPr>
                <w:sz w:val="20"/>
                <w:szCs w:val="20"/>
                <w:color w:val="auto"/>
              </w:rPr>
            </w:pPr>
            <w:r>
              <w:rPr>
                <w:rFonts w:ascii="Arial" w:cs="Arial" w:eastAsia="Arial" w:hAnsi="Arial"/>
                <w:sz w:val="14"/>
                <w:szCs w:val="14"/>
                <w:b w:val="1"/>
                <w:bCs w:val="1"/>
                <w:color w:val="auto"/>
                <w:w w:val="76"/>
              </w:rPr>
              <w:t>$</w:t>
            </w:r>
          </w:p>
        </w:tc>
        <w:tc>
          <w:tcPr>
            <w:tcW w:w="700" w:type="dxa"/>
            <w:vAlign w:val="bottom"/>
          </w:tcPr>
          <w:p>
            <w:pPr>
              <w:jc w:val="right"/>
              <w:ind w:right="57"/>
              <w:spacing w:after="0"/>
              <w:rPr>
                <w:sz w:val="20"/>
                <w:szCs w:val="20"/>
                <w:color w:val="auto"/>
              </w:rPr>
            </w:pPr>
            <w:r>
              <w:rPr>
                <w:rFonts w:ascii="Arial" w:cs="Arial" w:eastAsia="Arial" w:hAnsi="Arial"/>
                <w:sz w:val="14"/>
                <w:szCs w:val="14"/>
                <w:b w:val="1"/>
                <w:bCs w:val="1"/>
                <w:color w:val="auto"/>
                <w:w w:val="83"/>
              </w:rPr>
              <w:t>Proposed</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5"/>
              </w:rPr>
              <w:t>(yes/no)</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5"/>
              </w:rPr>
              <w:t>(yes/no)</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1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7"/>
                <w:szCs w:val="17"/>
                <w:color w:val="auto"/>
              </w:rPr>
              <w:t>Perry Quarry</w:t>
            </w:r>
          </w:p>
        </w:tc>
        <w:tc>
          <w:tcPr>
            <w:tcW w:w="7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801083</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0</w:t>
            </w: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7"/>
                <w:szCs w:val="17"/>
                <w:color w:val="auto"/>
              </w:rPr>
              <w:t>Red Oak Quarry</w:t>
            </w:r>
          </w:p>
        </w:tc>
        <w:tc>
          <w:tcPr>
            <w:tcW w:w="760" w:type="dxa"/>
            <w:vAlign w:val="bottom"/>
          </w:tcPr>
          <w:p>
            <w:pPr>
              <w:jc w:val="center"/>
              <w:spacing w:after="0"/>
              <w:rPr>
                <w:sz w:val="20"/>
                <w:szCs w:val="20"/>
                <w:color w:val="auto"/>
              </w:rPr>
            </w:pPr>
            <w:r>
              <w:rPr>
                <w:rFonts w:ascii="Arial" w:cs="Arial" w:eastAsia="Arial" w:hAnsi="Arial"/>
                <w:sz w:val="17"/>
                <w:szCs w:val="17"/>
                <w:color w:val="auto"/>
                <w:w w:val="91"/>
              </w:rPr>
              <w:t>900069</w:t>
            </w:r>
          </w:p>
        </w:tc>
        <w:tc>
          <w:tcPr>
            <w:tcW w:w="720" w:type="dxa"/>
            <w:vAlign w:val="bottom"/>
          </w:tcPr>
          <w:p>
            <w:pPr>
              <w:jc w:val="right"/>
              <w:ind w:right="16"/>
              <w:spacing w:after="0"/>
              <w:rPr>
                <w:sz w:val="20"/>
                <w:szCs w:val="20"/>
                <w:color w:val="auto"/>
              </w:rPr>
            </w:pPr>
            <w:r>
              <w:rPr>
                <w:rFonts w:ascii="Arial" w:cs="Arial" w:eastAsia="Arial" w:hAnsi="Arial"/>
                <w:sz w:val="17"/>
                <w:szCs w:val="17"/>
                <w:color w:val="auto"/>
              </w:rPr>
              <w:t>1</w:t>
            </w:r>
          </w:p>
        </w:tc>
        <w:tc>
          <w:tcPr>
            <w:tcW w:w="62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72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tcPr>
          <w:p>
            <w:pPr>
              <w:jc w:val="right"/>
              <w:ind w:right="17"/>
              <w:spacing w:after="0"/>
              <w:rPr>
                <w:sz w:val="20"/>
                <w:szCs w:val="20"/>
                <w:color w:val="auto"/>
              </w:rPr>
            </w:pPr>
            <w:r>
              <w:rPr>
                <w:rFonts w:ascii="Arial" w:cs="Arial" w:eastAsia="Arial" w:hAnsi="Arial"/>
                <w:sz w:val="17"/>
                <w:szCs w:val="17"/>
                <w:b w:val="1"/>
                <w:bCs w:val="1"/>
                <w:color w:val="auto"/>
              </w:rPr>
              <w:t>239</w:t>
            </w:r>
          </w:p>
        </w:tc>
        <w:tc>
          <w:tcPr>
            <w:tcW w:w="760" w:type="dxa"/>
            <w:vAlign w:val="bottom"/>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7"/>
                <w:szCs w:val="17"/>
                <w:color w:val="auto"/>
              </w:rPr>
              <w:t>Ruby Quarry</w:t>
            </w:r>
          </w:p>
        </w:tc>
        <w:tc>
          <w:tcPr>
            <w:tcW w:w="7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900074</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0</w:t>
            </w: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7"/>
                <w:szCs w:val="17"/>
                <w:color w:val="auto"/>
              </w:rPr>
              <w:t>Six Mile Quarry</w:t>
            </w:r>
          </w:p>
        </w:tc>
        <w:tc>
          <w:tcPr>
            <w:tcW w:w="760" w:type="dxa"/>
            <w:vAlign w:val="bottom"/>
          </w:tcPr>
          <w:p>
            <w:pPr>
              <w:jc w:val="center"/>
              <w:spacing w:after="0"/>
              <w:rPr>
                <w:sz w:val="20"/>
                <w:szCs w:val="20"/>
                <w:color w:val="auto"/>
              </w:rPr>
            </w:pPr>
            <w:r>
              <w:rPr>
                <w:rFonts w:ascii="Arial" w:cs="Arial" w:eastAsia="Arial" w:hAnsi="Arial"/>
                <w:sz w:val="17"/>
                <w:szCs w:val="17"/>
                <w:color w:val="auto"/>
                <w:w w:val="91"/>
              </w:rPr>
              <w:t>901144</w:t>
            </w:r>
          </w:p>
        </w:tc>
        <w:tc>
          <w:tcPr>
            <w:tcW w:w="720" w:type="dxa"/>
            <w:vAlign w:val="bottom"/>
          </w:tcPr>
          <w:p>
            <w:pPr>
              <w:jc w:val="right"/>
              <w:ind w:right="16"/>
              <w:spacing w:after="0"/>
              <w:rPr>
                <w:sz w:val="20"/>
                <w:szCs w:val="20"/>
                <w:color w:val="auto"/>
              </w:rPr>
            </w:pPr>
            <w:r>
              <w:rPr>
                <w:rFonts w:ascii="Arial" w:cs="Arial" w:eastAsia="Arial" w:hAnsi="Arial"/>
                <w:sz w:val="17"/>
                <w:szCs w:val="17"/>
                <w:color w:val="auto"/>
              </w:rPr>
              <w:t>1</w:t>
            </w:r>
          </w:p>
        </w:tc>
        <w:tc>
          <w:tcPr>
            <w:tcW w:w="62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72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tcPr>
          <w:p>
            <w:pPr>
              <w:jc w:val="right"/>
              <w:ind w:right="17"/>
              <w:spacing w:after="0"/>
              <w:rPr>
                <w:sz w:val="20"/>
                <w:szCs w:val="20"/>
                <w:color w:val="auto"/>
              </w:rPr>
            </w:pPr>
            <w:r>
              <w:rPr>
                <w:rFonts w:ascii="Arial" w:cs="Arial" w:eastAsia="Arial" w:hAnsi="Arial"/>
                <w:sz w:val="17"/>
                <w:szCs w:val="17"/>
                <w:b w:val="1"/>
                <w:bCs w:val="1"/>
                <w:color w:val="auto"/>
              </w:rPr>
              <w:t>812</w:t>
            </w:r>
          </w:p>
        </w:tc>
        <w:tc>
          <w:tcPr>
            <w:tcW w:w="760" w:type="dxa"/>
            <w:vAlign w:val="bottom"/>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7"/>
                <w:szCs w:val="17"/>
                <w:color w:val="auto"/>
              </w:rPr>
              <w:t>Tyrone Quarry</w:t>
            </w:r>
          </w:p>
        </w:tc>
        <w:tc>
          <w:tcPr>
            <w:tcW w:w="7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900306</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0</w:t>
            </w: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7"/>
                <w:szCs w:val="17"/>
                <w:color w:val="auto"/>
              </w:rPr>
              <w:t>Vance Quarry Co19</w:t>
            </w:r>
          </w:p>
        </w:tc>
        <w:tc>
          <w:tcPr>
            <w:tcW w:w="760" w:type="dxa"/>
            <w:vAlign w:val="bottom"/>
          </w:tcPr>
          <w:p>
            <w:pPr>
              <w:jc w:val="center"/>
              <w:spacing w:after="0"/>
              <w:rPr>
                <w:sz w:val="20"/>
                <w:szCs w:val="20"/>
                <w:color w:val="auto"/>
              </w:rPr>
            </w:pPr>
            <w:r>
              <w:rPr>
                <w:rFonts w:ascii="Arial" w:cs="Arial" w:eastAsia="Arial" w:hAnsi="Arial"/>
                <w:sz w:val="17"/>
                <w:szCs w:val="17"/>
                <w:color w:val="auto"/>
                <w:w w:val="91"/>
              </w:rPr>
              <w:t>103022</w:t>
            </w:r>
          </w:p>
        </w:tc>
        <w:tc>
          <w:tcPr>
            <w:tcW w:w="72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72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tcPr>
          <w:p>
            <w:pPr>
              <w:jc w:val="right"/>
              <w:ind w:right="17"/>
              <w:spacing w:after="0"/>
              <w:rPr>
                <w:sz w:val="20"/>
                <w:szCs w:val="20"/>
                <w:color w:val="auto"/>
              </w:rPr>
            </w:pPr>
            <w:r>
              <w:rPr>
                <w:rFonts w:ascii="Arial" w:cs="Arial" w:eastAsia="Arial" w:hAnsi="Arial"/>
                <w:sz w:val="17"/>
                <w:szCs w:val="17"/>
                <w:b w:val="1"/>
                <w:bCs w:val="1"/>
                <w:color w:val="auto"/>
              </w:rPr>
              <w:t>348</w:t>
            </w:r>
          </w:p>
        </w:tc>
        <w:tc>
          <w:tcPr>
            <w:tcW w:w="760" w:type="dxa"/>
            <w:vAlign w:val="bottom"/>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7"/>
                <w:szCs w:val="17"/>
                <w:color w:val="auto"/>
              </w:rPr>
              <w:t>Warrenton Quarry</w:t>
            </w:r>
          </w:p>
        </w:tc>
        <w:tc>
          <w:tcPr>
            <w:tcW w:w="7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900580</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0</w:t>
            </w: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7"/>
                <w:szCs w:val="17"/>
                <w:color w:val="auto"/>
              </w:rPr>
              <w:t>Alden Portable Sand</w:t>
            </w:r>
          </w:p>
        </w:tc>
        <w:tc>
          <w:tcPr>
            <w:tcW w:w="760" w:type="dxa"/>
            <w:vAlign w:val="bottom"/>
          </w:tcPr>
          <w:p>
            <w:pPr>
              <w:jc w:val="center"/>
              <w:spacing w:after="0"/>
              <w:rPr>
                <w:sz w:val="20"/>
                <w:szCs w:val="20"/>
                <w:color w:val="auto"/>
              </w:rPr>
            </w:pPr>
            <w:r>
              <w:rPr>
                <w:rFonts w:ascii="Arial" w:cs="Arial" w:eastAsia="Arial" w:hAnsi="Arial"/>
                <w:sz w:val="17"/>
                <w:szCs w:val="17"/>
                <w:color w:val="auto"/>
                <w:w w:val="90"/>
              </w:rPr>
              <w:t>1302037</w:t>
            </w:r>
          </w:p>
        </w:tc>
        <w:tc>
          <w:tcPr>
            <w:tcW w:w="72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72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tcPr>
          <w:p>
            <w:pPr>
              <w:jc w:val="right"/>
              <w:ind w:right="17"/>
              <w:spacing w:after="0"/>
              <w:rPr>
                <w:sz w:val="20"/>
                <w:szCs w:val="20"/>
                <w:color w:val="auto"/>
              </w:rPr>
            </w:pPr>
            <w:r>
              <w:rPr>
                <w:rFonts w:ascii="Arial" w:cs="Arial" w:eastAsia="Arial" w:hAnsi="Arial"/>
                <w:sz w:val="17"/>
                <w:szCs w:val="17"/>
                <w:b w:val="1"/>
                <w:bCs w:val="1"/>
                <w:color w:val="auto"/>
              </w:rPr>
              <w:t>0</w:t>
            </w:r>
          </w:p>
        </w:tc>
        <w:tc>
          <w:tcPr>
            <w:tcW w:w="760" w:type="dxa"/>
            <w:vAlign w:val="bottom"/>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7"/>
                <w:szCs w:val="17"/>
                <w:color w:val="auto"/>
              </w:rPr>
              <w:t>Alden Portable Plant 1</w:t>
            </w:r>
          </w:p>
        </w:tc>
        <w:tc>
          <w:tcPr>
            <w:tcW w:w="7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1302031</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0</w:t>
            </w: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7"/>
                <w:szCs w:val="17"/>
                <w:color w:val="auto"/>
              </w:rPr>
              <w:t>Alden Portable Plant 2</w:t>
            </w:r>
          </w:p>
        </w:tc>
        <w:tc>
          <w:tcPr>
            <w:tcW w:w="760" w:type="dxa"/>
            <w:vAlign w:val="bottom"/>
          </w:tcPr>
          <w:p>
            <w:pPr>
              <w:jc w:val="center"/>
              <w:spacing w:after="0"/>
              <w:rPr>
                <w:sz w:val="20"/>
                <w:szCs w:val="20"/>
                <w:color w:val="auto"/>
              </w:rPr>
            </w:pPr>
            <w:r>
              <w:rPr>
                <w:rFonts w:ascii="Arial" w:cs="Arial" w:eastAsia="Arial" w:hAnsi="Arial"/>
                <w:sz w:val="17"/>
                <w:szCs w:val="17"/>
                <w:color w:val="auto"/>
                <w:w w:val="90"/>
              </w:rPr>
              <w:t>1302033</w:t>
            </w:r>
          </w:p>
        </w:tc>
        <w:tc>
          <w:tcPr>
            <w:tcW w:w="72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72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tcPr>
          <w:p>
            <w:pPr>
              <w:jc w:val="right"/>
              <w:ind w:right="17"/>
              <w:spacing w:after="0"/>
              <w:rPr>
                <w:sz w:val="20"/>
                <w:szCs w:val="20"/>
                <w:color w:val="auto"/>
              </w:rPr>
            </w:pPr>
            <w:r>
              <w:rPr>
                <w:rFonts w:ascii="Arial" w:cs="Arial" w:eastAsia="Arial" w:hAnsi="Arial"/>
                <w:sz w:val="17"/>
                <w:szCs w:val="17"/>
                <w:b w:val="1"/>
                <w:bCs w:val="1"/>
                <w:color w:val="auto"/>
              </w:rPr>
              <w:t>624</w:t>
            </w:r>
          </w:p>
        </w:tc>
        <w:tc>
          <w:tcPr>
            <w:tcW w:w="760" w:type="dxa"/>
            <w:vAlign w:val="bottom"/>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7"/>
                <w:szCs w:val="17"/>
                <w:color w:val="auto"/>
              </w:rPr>
              <w:t>Alden Portable Wash</w:t>
            </w:r>
          </w:p>
        </w:tc>
        <w:tc>
          <w:tcPr>
            <w:tcW w:w="7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1302122</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116</w:t>
            </w: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7"/>
                <w:szCs w:val="17"/>
                <w:color w:val="auto"/>
              </w:rPr>
              <w:t>Alden Quarry - Shop</w:t>
            </w:r>
          </w:p>
        </w:tc>
        <w:tc>
          <w:tcPr>
            <w:tcW w:w="760" w:type="dxa"/>
            <w:vAlign w:val="bottom"/>
          </w:tcPr>
          <w:p>
            <w:pPr>
              <w:jc w:val="center"/>
              <w:spacing w:after="0"/>
              <w:rPr>
                <w:sz w:val="20"/>
                <w:szCs w:val="20"/>
                <w:color w:val="auto"/>
              </w:rPr>
            </w:pPr>
            <w:r>
              <w:rPr>
                <w:rFonts w:ascii="Arial" w:cs="Arial" w:eastAsia="Arial" w:hAnsi="Arial"/>
                <w:sz w:val="17"/>
                <w:szCs w:val="17"/>
                <w:color w:val="auto"/>
                <w:w w:val="90"/>
              </w:rPr>
              <w:t>1300228</w:t>
            </w:r>
          </w:p>
        </w:tc>
        <w:tc>
          <w:tcPr>
            <w:tcW w:w="72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72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tcPr>
          <w:p>
            <w:pPr>
              <w:jc w:val="right"/>
              <w:ind w:right="17"/>
              <w:spacing w:after="0"/>
              <w:rPr>
                <w:sz w:val="20"/>
                <w:szCs w:val="20"/>
                <w:color w:val="auto"/>
              </w:rPr>
            </w:pPr>
            <w:r>
              <w:rPr>
                <w:rFonts w:ascii="Arial" w:cs="Arial" w:eastAsia="Arial" w:hAnsi="Arial"/>
                <w:sz w:val="17"/>
                <w:szCs w:val="17"/>
                <w:b w:val="1"/>
                <w:bCs w:val="1"/>
                <w:color w:val="auto"/>
              </w:rPr>
              <w:t>1,292</w:t>
            </w:r>
          </w:p>
        </w:tc>
        <w:tc>
          <w:tcPr>
            <w:tcW w:w="760" w:type="dxa"/>
            <w:vAlign w:val="bottom"/>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7"/>
                <w:szCs w:val="17"/>
                <w:color w:val="auto"/>
              </w:rPr>
              <w:t>Ames Mine</w:t>
            </w:r>
          </w:p>
        </w:tc>
        <w:tc>
          <w:tcPr>
            <w:tcW w:w="7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1300014</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w:t>
            </w: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4,602</w:t>
            </w: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7"/>
                <w:szCs w:val="17"/>
                <w:color w:val="auto"/>
              </w:rPr>
              <w:t>Cedar Rapids Quarry</w:t>
            </w:r>
          </w:p>
        </w:tc>
        <w:tc>
          <w:tcPr>
            <w:tcW w:w="760" w:type="dxa"/>
            <w:vAlign w:val="bottom"/>
          </w:tcPr>
          <w:p>
            <w:pPr>
              <w:jc w:val="center"/>
              <w:spacing w:after="0"/>
              <w:rPr>
                <w:sz w:val="20"/>
                <w:szCs w:val="20"/>
                <w:color w:val="auto"/>
              </w:rPr>
            </w:pPr>
            <w:r>
              <w:rPr>
                <w:rFonts w:ascii="Arial" w:cs="Arial" w:eastAsia="Arial" w:hAnsi="Arial"/>
                <w:sz w:val="17"/>
                <w:szCs w:val="17"/>
                <w:color w:val="auto"/>
                <w:w w:val="90"/>
              </w:rPr>
              <w:t>1300122</w:t>
            </w:r>
          </w:p>
        </w:tc>
        <w:tc>
          <w:tcPr>
            <w:tcW w:w="720" w:type="dxa"/>
            <w:vAlign w:val="bottom"/>
          </w:tcPr>
          <w:p>
            <w:pPr>
              <w:jc w:val="right"/>
              <w:ind w:right="16"/>
              <w:spacing w:after="0"/>
              <w:rPr>
                <w:sz w:val="20"/>
                <w:szCs w:val="20"/>
                <w:color w:val="auto"/>
              </w:rPr>
            </w:pPr>
            <w:r>
              <w:rPr>
                <w:rFonts w:ascii="Arial" w:cs="Arial" w:eastAsia="Arial" w:hAnsi="Arial"/>
                <w:sz w:val="17"/>
                <w:szCs w:val="17"/>
                <w:color w:val="auto"/>
              </w:rPr>
              <w:t>1</w:t>
            </w:r>
          </w:p>
        </w:tc>
        <w:tc>
          <w:tcPr>
            <w:tcW w:w="62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72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tcPr>
          <w:p>
            <w:pPr>
              <w:jc w:val="right"/>
              <w:ind w:right="17"/>
              <w:spacing w:after="0"/>
              <w:rPr>
                <w:sz w:val="20"/>
                <w:szCs w:val="20"/>
                <w:color w:val="auto"/>
              </w:rPr>
            </w:pPr>
            <w:r>
              <w:rPr>
                <w:rFonts w:ascii="Arial" w:cs="Arial" w:eastAsia="Arial" w:hAnsi="Arial"/>
                <w:sz w:val="17"/>
                <w:szCs w:val="17"/>
                <w:b w:val="1"/>
                <w:bCs w:val="1"/>
                <w:color w:val="auto"/>
              </w:rPr>
              <w:t>492</w:t>
            </w:r>
          </w:p>
        </w:tc>
        <w:tc>
          <w:tcPr>
            <w:tcW w:w="760" w:type="dxa"/>
            <w:vAlign w:val="bottom"/>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7"/>
                <w:szCs w:val="17"/>
                <w:color w:val="auto"/>
                <w:w w:val="94"/>
              </w:rPr>
              <w:t>Des Moines Portable (Plant</w:t>
            </w:r>
          </w:p>
        </w:tc>
        <w:tc>
          <w:tcPr>
            <w:tcW w:w="7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vMerge w:val="restart"/>
            <w:shd w:val="clear" w:color="auto" w:fill="CCEEFF"/>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vMerge w:val="restart"/>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6,275</w:t>
            </w:r>
          </w:p>
        </w:tc>
        <w:tc>
          <w:tcPr>
            <w:tcW w:w="7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1</w:t>
            </w:r>
          </w:p>
        </w:tc>
        <w:tc>
          <w:tcPr>
            <w:tcW w:w="780" w:type="dxa"/>
            <w:vAlign w:val="bottom"/>
            <w:vMerge w:val="restart"/>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2</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980" w:type="dxa"/>
            <w:vAlign w:val="bottom"/>
            <w:shd w:val="clear" w:color="auto" w:fill="CCEEFF"/>
          </w:tcPr>
          <w:p>
            <w:pPr>
              <w:jc w:val="right"/>
              <w:ind w:right="1414"/>
              <w:spacing w:after="0"/>
              <w:rPr>
                <w:sz w:val="20"/>
                <w:szCs w:val="20"/>
                <w:color w:val="auto"/>
              </w:rPr>
            </w:pPr>
            <w:r>
              <w:rPr>
                <w:rFonts w:ascii="Arial" w:cs="Arial" w:eastAsia="Arial" w:hAnsi="Arial"/>
                <w:sz w:val="17"/>
                <w:szCs w:val="17"/>
                <w:color w:val="auto"/>
              </w:rPr>
              <w:t>861)</w:t>
            </w:r>
          </w:p>
        </w:tc>
        <w:tc>
          <w:tcPr>
            <w:tcW w:w="7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1300150</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w:t>
            </w: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vMerge w:val="continue"/>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7"/>
                <w:szCs w:val="17"/>
                <w:color w:val="auto"/>
              </w:rPr>
              <w:t>Dubois Quarry</w:t>
            </w:r>
          </w:p>
        </w:tc>
        <w:tc>
          <w:tcPr>
            <w:tcW w:w="760" w:type="dxa"/>
            <w:vAlign w:val="bottom"/>
          </w:tcPr>
          <w:p>
            <w:pPr>
              <w:jc w:val="center"/>
              <w:spacing w:after="0"/>
              <w:rPr>
                <w:sz w:val="20"/>
                <w:szCs w:val="20"/>
                <w:color w:val="auto"/>
              </w:rPr>
            </w:pPr>
            <w:r>
              <w:rPr>
                <w:rFonts w:ascii="Arial" w:cs="Arial" w:eastAsia="Arial" w:hAnsi="Arial"/>
                <w:sz w:val="17"/>
                <w:szCs w:val="17"/>
                <w:color w:val="auto"/>
                <w:w w:val="90"/>
              </w:rPr>
              <w:t>2501046</w:t>
            </w:r>
          </w:p>
        </w:tc>
        <w:tc>
          <w:tcPr>
            <w:tcW w:w="720" w:type="dxa"/>
            <w:vAlign w:val="bottom"/>
          </w:tcPr>
          <w:p>
            <w:pPr>
              <w:jc w:val="right"/>
              <w:ind w:right="16"/>
              <w:spacing w:after="0"/>
              <w:rPr>
                <w:sz w:val="20"/>
                <w:szCs w:val="20"/>
                <w:color w:val="auto"/>
              </w:rPr>
            </w:pPr>
            <w:r>
              <w:rPr>
                <w:rFonts w:ascii="Arial" w:cs="Arial" w:eastAsia="Arial" w:hAnsi="Arial"/>
                <w:sz w:val="17"/>
                <w:szCs w:val="17"/>
                <w:color w:val="auto"/>
              </w:rPr>
              <w:t>1</w:t>
            </w:r>
          </w:p>
        </w:tc>
        <w:tc>
          <w:tcPr>
            <w:tcW w:w="62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72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tcPr>
          <w:p>
            <w:pPr>
              <w:jc w:val="right"/>
              <w:ind w:right="17"/>
              <w:spacing w:after="0"/>
              <w:rPr>
                <w:sz w:val="20"/>
                <w:szCs w:val="20"/>
                <w:color w:val="auto"/>
              </w:rPr>
            </w:pPr>
            <w:r>
              <w:rPr>
                <w:rFonts w:ascii="Arial" w:cs="Arial" w:eastAsia="Arial" w:hAnsi="Arial"/>
                <w:sz w:val="17"/>
                <w:szCs w:val="17"/>
                <w:b w:val="1"/>
                <w:bCs w:val="1"/>
                <w:color w:val="auto"/>
              </w:rPr>
              <w:t>3,435</w:t>
            </w:r>
          </w:p>
        </w:tc>
        <w:tc>
          <w:tcPr>
            <w:tcW w:w="760" w:type="dxa"/>
            <w:vAlign w:val="bottom"/>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tcPr>
          <w:p>
            <w:pPr>
              <w:jc w:val="right"/>
              <w:ind w:right="18"/>
              <w:spacing w:after="0"/>
              <w:rPr>
                <w:sz w:val="20"/>
                <w:szCs w:val="20"/>
                <w:color w:val="auto"/>
              </w:rPr>
            </w:pPr>
            <w:r>
              <w:rPr>
                <w:rFonts w:ascii="Arial" w:cs="Arial" w:eastAsia="Arial" w:hAnsi="Arial"/>
                <w:sz w:val="17"/>
                <w:szCs w:val="17"/>
                <w:b w:val="1"/>
                <w:bCs w:val="1"/>
                <w:color w:val="auto"/>
              </w:rPr>
              <w:t>2</w:t>
            </w:r>
          </w:p>
        </w:tc>
        <w:tc>
          <w:tcPr>
            <w:tcW w:w="780" w:type="dxa"/>
            <w:vAlign w:val="bottom"/>
          </w:tcPr>
          <w:p>
            <w:pPr>
              <w:jc w:val="right"/>
              <w:ind w:right="17"/>
              <w:spacing w:after="0"/>
              <w:rPr>
                <w:sz w:val="20"/>
                <w:szCs w:val="20"/>
                <w:color w:val="auto"/>
              </w:rPr>
            </w:pPr>
            <w:r>
              <w:rPr>
                <w:rFonts w:ascii="Arial" w:cs="Arial" w:eastAsia="Arial" w:hAnsi="Arial"/>
                <w:sz w:val="17"/>
                <w:szCs w:val="17"/>
                <w:b w:val="1"/>
                <w:bCs w:val="1"/>
                <w:color w:val="auto"/>
              </w:rPr>
              <w:t>3</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7"/>
                <w:szCs w:val="17"/>
                <w:color w:val="auto"/>
              </w:rPr>
              <w:t>Durham Mine</w:t>
            </w:r>
          </w:p>
        </w:tc>
        <w:tc>
          <w:tcPr>
            <w:tcW w:w="7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1301225</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4</w:t>
            </w: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5,384</w:t>
            </w: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7"/>
                <w:szCs w:val="17"/>
                <w:color w:val="auto"/>
              </w:rPr>
              <w:t>Earlham Quarry</w:t>
            </w:r>
          </w:p>
        </w:tc>
        <w:tc>
          <w:tcPr>
            <w:tcW w:w="760" w:type="dxa"/>
            <w:vAlign w:val="bottom"/>
          </w:tcPr>
          <w:p>
            <w:pPr>
              <w:jc w:val="center"/>
              <w:spacing w:after="0"/>
              <w:rPr>
                <w:sz w:val="20"/>
                <w:szCs w:val="20"/>
                <w:color w:val="auto"/>
              </w:rPr>
            </w:pPr>
            <w:r>
              <w:rPr>
                <w:rFonts w:ascii="Arial" w:cs="Arial" w:eastAsia="Arial" w:hAnsi="Arial"/>
                <w:sz w:val="17"/>
                <w:szCs w:val="17"/>
                <w:color w:val="auto"/>
                <w:w w:val="90"/>
              </w:rPr>
              <w:t>1302123</w:t>
            </w:r>
          </w:p>
        </w:tc>
        <w:tc>
          <w:tcPr>
            <w:tcW w:w="72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72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tcPr>
          <w:p>
            <w:pPr>
              <w:jc w:val="right"/>
              <w:ind w:right="17"/>
              <w:spacing w:after="0"/>
              <w:rPr>
                <w:sz w:val="20"/>
                <w:szCs w:val="20"/>
                <w:color w:val="auto"/>
              </w:rPr>
            </w:pPr>
            <w:r>
              <w:rPr>
                <w:rFonts w:ascii="Arial" w:cs="Arial" w:eastAsia="Arial" w:hAnsi="Arial"/>
                <w:sz w:val="17"/>
                <w:szCs w:val="17"/>
                <w:b w:val="1"/>
                <w:bCs w:val="1"/>
                <w:color w:val="auto"/>
              </w:rPr>
              <w:t>116</w:t>
            </w:r>
          </w:p>
        </w:tc>
        <w:tc>
          <w:tcPr>
            <w:tcW w:w="760" w:type="dxa"/>
            <w:vAlign w:val="bottom"/>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tcPr>
          <w:p>
            <w:pPr>
              <w:jc w:val="right"/>
              <w:ind w:right="17"/>
              <w:spacing w:after="0"/>
              <w:rPr>
                <w:sz w:val="20"/>
                <w:szCs w:val="20"/>
                <w:color w:val="auto"/>
              </w:rPr>
            </w:pPr>
            <w:r>
              <w:rPr>
                <w:rFonts w:ascii="Arial" w:cs="Arial" w:eastAsia="Arial" w:hAnsi="Arial"/>
                <w:sz w:val="17"/>
                <w:szCs w:val="17"/>
                <w:b w:val="1"/>
                <w:bCs w:val="1"/>
                <w:color w:val="auto"/>
              </w:rPr>
              <w:t>1</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7"/>
                <w:szCs w:val="17"/>
                <w:color w:val="auto"/>
                <w:w w:val="96"/>
              </w:rPr>
              <w:t>Environmental Crew (Plant</w:t>
            </w:r>
          </w:p>
        </w:tc>
        <w:tc>
          <w:tcPr>
            <w:tcW w:w="7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vMerge w:val="restart"/>
            <w:shd w:val="clear" w:color="auto" w:fill="CCEEFF"/>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vMerge w:val="restart"/>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116</w:t>
            </w:r>
          </w:p>
        </w:tc>
        <w:tc>
          <w:tcPr>
            <w:tcW w:w="7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vMerge w:val="restart"/>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980" w:type="dxa"/>
            <w:vAlign w:val="bottom"/>
            <w:shd w:val="clear" w:color="auto" w:fill="CCEEFF"/>
          </w:tcPr>
          <w:p>
            <w:pPr>
              <w:jc w:val="right"/>
              <w:ind w:right="1414"/>
              <w:spacing w:after="0"/>
              <w:rPr>
                <w:sz w:val="20"/>
                <w:szCs w:val="20"/>
                <w:color w:val="auto"/>
              </w:rPr>
            </w:pPr>
            <w:r>
              <w:rPr>
                <w:rFonts w:ascii="Arial" w:cs="Arial" w:eastAsia="Arial" w:hAnsi="Arial"/>
                <w:sz w:val="17"/>
                <w:szCs w:val="17"/>
                <w:color w:val="auto"/>
              </w:rPr>
              <w:t>854)</w:t>
            </w:r>
          </w:p>
        </w:tc>
        <w:tc>
          <w:tcPr>
            <w:tcW w:w="7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1302126</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vMerge w:val="continue"/>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7"/>
                <w:szCs w:val="17"/>
                <w:color w:val="auto"/>
              </w:rPr>
              <w:t>Ferguson Quarry</w:t>
            </w:r>
          </w:p>
        </w:tc>
        <w:tc>
          <w:tcPr>
            <w:tcW w:w="760" w:type="dxa"/>
            <w:vAlign w:val="bottom"/>
          </w:tcPr>
          <w:p>
            <w:pPr>
              <w:jc w:val="center"/>
              <w:spacing w:after="0"/>
              <w:rPr>
                <w:sz w:val="20"/>
                <w:szCs w:val="20"/>
                <w:color w:val="auto"/>
              </w:rPr>
            </w:pPr>
            <w:r>
              <w:rPr>
                <w:rFonts w:ascii="Arial" w:cs="Arial" w:eastAsia="Arial" w:hAnsi="Arial"/>
                <w:sz w:val="17"/>
                <w:szCs w:val="17"/>
                <w:color w:val="auto"/>
                <w:w w:val="90"/>
              </w:rPr>
              <w:t>1300124</w:t>
            </w:r>
          </w:p>
        </w:tc>
        <w:tc>
          <w:tcPr>
            <w:tcW w:w="72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72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tcPr>
          <w:p>
            <w:pPr>
              <w:jc w:val="right"/>
              <w:ind w:right="17"/>
              <w:spacing w:after="0"/>
              <w:rPr>
                <w:sz w:val="20"/>
                <w:szCs w:val="20"/>
                <w:color w:val="auto"/>
              </w:rPr>
            </w:pPr>
            <w:r>
              <w:rPr>
                <w:rFonts w:ascii="Arial" w:cs="Arial" w:eastAsia="Arial" w:hAnsi="Arial"/>
                <w:sz w:val="17"/>
                <w:szCs w:val="17"/>
                <w:b w:val="1"/>
                <w:bCs w:val="1"/>
                <w:color w:val="auto"/>
              </w:rPr>
              <w:t>232</w:t>
            </w:r>
          </w:p>
        </w:tc>
        <w:tc>
          <w:tcPr>
            <w:tcW w:w="760" w:type="dxa"/>
            <w:vAlign w:val="bottom"/>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7"/>
                <w:szCs w:val="17"/>
                <w:color w:val="auto"/>
              </w:rPr>
              <w:t>Fort Calhoun</w:t>
            </w:r>
          </w:p>
        </w:tc>
        <w:tc>
          <w:tcPr>
            <w:tcW w:w="7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2500006</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w:t>
            </w: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878</w:t>
            </w: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1</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980" w:type="dxa"/>
            <w:vAlign w:val="bottom"/>
          </w:tcPr>
          <w:p>
            <w:pPr>
              <w:spacing w:after="0"/>
              <w:rPr>
                <w:sz w:val="20"/>
                <w:szCs w:val="20"/>
                <w:color w:val="auto"/>
              </w:rPr>
            </w:pPr>
            <w:r>
              <w:rPr>
                <w:rFonts w:ascii="Arial" w:cs="Arial" w:eastAsia="Arial" w:hAnsi="Arial"/>
                <w:sz w:val="17"/>
                <w:szCs w:val="17"/>
                <w:color w:val="auto"/>
              </w:rPr>
              <w:t>Fort Calhoun UG</w:t>
            </w:r>
          </w:p>
        </w:tc>
        <w:tc>
          <w:tcPr>
            <w:tcW w:w="760" w:type="dxa"/>
            <w:vAlign w:val="bottom"/>
          </w:tcPr>
          <w:p>
            <w:pPr>
              <w:jc w:val="center"/>
              <w:spacing w:after="0"/>
              <w:rPr>
                <w:sz w:val="20"/>
                <w:szCs w:val="20"/>
                <w:color w:val="auto"/>
              </w:rPr>
            </w:pPr>
            <w:r>
              <w:rPr>
                <w:rFonts w:ascii="Arial" w:cs="Arial" w:eastAsia="Arial" w:hAnsi="Arial"/>
                <w:sz w:val="17"/>
                <w:szCs w:val="17"/>
                <w:color w:val="auto"/>
                <w:w w:val="90"/>
              </w:rPr>
              <w:t>2501300</w:t>
            </w:r>
          </w:p>
        </w:tc>
        <w:tc>
          <w:tcPr>
            <w:tcW w:w="72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72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tcPr>
          <w:p>
            <w:pPr>
              <w:jc w:val="right"/>
              <w:ind w:right="17"/>
              <w:spacing w:after="0"/>
              <w:rPr>
                <w:sz w:val="20"/>
                <w:szCs w:val="20"/>
                <w:color w:val="auto"/>
              </w:rPr>
            </w:pPr>
            <w:r>
              <w:rPr>
                <w:rFonts w:ascii="Arial" w:cs="Arial" w:eastAsia="Arial" w:hAnsi="Arial"/>
                <w:sz w:val="17"/>
                <w:szCs w:val="17"/>
                <w:b w:val="1"/>
                <w:bCs w:val="1"/>
                <w:color w:val="auto"/>
              </w:rPr>
              <w:t>348</w:t>
            </w:r>
          </w:p>
        </w:tc>
        <w:tc>
          <w:tcPr>
            <w:tcW w:w="760" w:type="dxa"/>
            <w:vAlign w:val="bottom"/>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bl>
    <w:p>
      <w:pPr>
        <w:sectPr>
          <w:pgSz w:w="11900" w:h="16838" w:orient="portrait"/>
          <w:cols w:equalWidth="0" w:num="1">
            <w:col w:w="11420"/>
          </w:cols>
          <w:pgMar w:left="240" w:top="242" w:right="239" w:bottom="1440" w:gutter="0" w:footer="0" w:header="0"/>
        </w:sectPr>
      </w:pPr>
    </w:p>
    <w:bookmarkStart w:id="162" w:name="page163"/>
    <w:bookmarkEnd w:id="16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1">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4"/>
              </w:rPr>
              <w:t>Received</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4"/>
              </w:rPr>
              <w:t>Received</w:t>
            </w: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Legal</w:t>
            </w: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Total</w:t>
            </w:r>
          </w:p>
        </w:tc>
        <w:tc>
          <w:tcPr>
            <w:tcW w:w="7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6"/>
              </w:rPr>
              <w:t>Notice of</w:t>
            </w:r>
          </w:p>
        </w:tc>
        <w:tc>
          <w:tcPr>
            <w:tcW w:w="6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6"/>
              </w:rPr>
              <w:t>Notice of</w:t>
            </w:r>
          </w:p>
        </w:tc>
        <w:tc>
          <w:tcPr>
            <w:tcW w:w="66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Section</w:t>
            </w: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vMerge w:val="restart"/>
          </w:tcPr>
          <w:p>
            <w:pPr>
              <w:jc w:val="center"/>
              <w:ind w:right="137"/>
              <w:spacing w:after="0"/>
              <w:rPr>
                <w:sz w:val="20"/>
                <w:szCs w:val="20"/>
                <w:color w:val="auto"/>
              </w:rPr>
            </w:pPr>
            <w:r>
              <w:rPr>
                <w:rFonts w:ascii="Arial" w:cs="Arial" w:eastAsia="Arial" w:hAnsi="Arial"/>
                <w:sz w:val="14"/>
                <w:szCs w:val="14"/>
                <w:b w:val="1"/>
                <w:bCs w:val="1"/>
                <w:color w:val="auto"/>
                <w:w w:val="95"/>
              </w:rPr>
              <w:t>Total</w:t>
            </w:r>
          </w:p>
        </w:tc>
        <w:tc>
          <w:tcPr>
            <w:tcW w:w="760" w:type="dxa"/>
            <w:vAlign w:val="bottom"/>
            <w:vMerge w:val="continue"/>
          </w:tcPr>
          <w:p>
            <w:pPr>
              <w:spacing w:after="0"/>
              <w:rPr>
                <w:sz w:val="12"/>
                <w:szCs w:val="12"/>
                <w:color w:val="auto"/>
              </w:rPr>
            </w:pPr>
          </w:p>
        </w:tc>
        <w:tc>
          <w:tcPr>
            <w:tcW w:w="7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1"/>
              </w:rPr>
              <w:t>Pattern</w:t>
            </w:r>
          </w:p>
        </w:tc>
        <w:tc>
          <w:tcPr>
            <w:tcW w:w="6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1"/>
              </w:rPr>
              <w:t>Potential</w:t>
            </w:r>
          </w:p>
        </w:tc>
        <w:tc>
          <w:tcPr>
            <w:tcW w:w="6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5"/>
              </w:rPr>
              <w:t>Actions</w:t>
            </w: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Legal</w:t>
            </w: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Legal</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7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0"/>
              </w:rPr>
              <w:t>Number</w:t>
            </w:r>
          </w:p>
        </w:tc>
        <w:tc>
          <w:tcPr>
            <w:tcW w:w="7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0"/>
              </w:rPr>
              <w:t>of</w:t>
            </w:r>
          </w:p>
        </w:tc>
        <w:tc>
          <w:tcPr>
            <w:tcW w:w="6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5"/>
              </w:rPr>
              <w:t>to have</w:t>
            </w:r>
          </w:p>
        </w:tc>
        <w:tc>
          <w:tcPr>
            <w:tcW w:w="660" w:type="dxa"/>
            <w:vAlign w:val="bottom"/>
          </w:tcPr>
          <w:p>
            <w:pPr>
              <w:jc w:val="right"/>
              <w:ind w:right="18"/>
              <w:spacing w:after="0" w:line="143" w:lineRule="exact"/>
              <w:rPr>
                <w:sz w:val="20"/>
                <w:szCs w:val="20"/>
                <w:color w:val="auto"/>
              </w:rPr>
            </w:pPr>
            <w:r>
              <w:rPr>
                <w:rFonts w:ascii="Arial" w:cs="Arial" w:eastAsia="Arial" w:hAnsi="Arial"/>
                <w:sz w:val="14"/>
                <w:szCs w:val="14"/>
                <w:b w:val="1"/>
                <w:bCs w:val="1"/>
                <w:color w:val="auto"/>
                <w:w w:val="97"/>
              </w:rPr>
              <w:t>Pending</w:t>
            </w:r>
          </w:p>
        </w:tc>
        <w:tc>
          <w:tcPr>
            <w:tcW w:w="78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2"/>
              </w:rPr>
              <w:t>Section</w:t>
            </w:r>
          </w:p>
        </w:tc>
        <w:tc>
          <w:tcPr>
            <w:tcW w:w="64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w w:val="98"/>
              </w:rPr>
              <w:t>Section</w:t>
            </w:r>
          </w:p>
        </w:tc>
        <w:tc>
          <w:tcPr>
            <w:tcW w:w="7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2"/>
              </w:rPr>
              <w:t>104(d)</w:t>
            </w:r>
          </w:p>
        </w:tc>
        <w:tc>
          <w:tcPr>
            <w:tcW w:w="78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Section</w:t>
            </w:r>
          </w:p>
        </w:tc>
        <w:tc>
          <w:tcPr>
            <w:tcW w:w="64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rPr>
              <w:t>Section</w:t>
            </w:r>
          </w:p>
        </w:tc>
        <w:tc>
          <w:tcPr>
            <w:tcW w:w="220" w:type="dxa"/>
            <w:vAlign w:val="bottom"/>
          </w:tcPr>
          <w:p>
            <w:pPr>
              <w:spacing w:after="0"/>
              <w:rPr>
                <w:sz w:val="12"/>
                <w:szCs w:val="12"/>
                <w:color w:val="auto"/>
              </w:rPr>
            </w:pPr>
          </w:p>
        </w:tc>
        <w:tc>
          <w:tcPr>
            <w:tcW w:w="700" w:type="dxa"/>
            <w:vAlign w:val="bottom"/>
          </w:tcPr>
          <w:p>
            <w:pPr>
              <w:jc w:val="center"/>
              <w:ind w:right="137"/>
              <w:spacing w:after="0" w:line="143" w:lineRule="exact"/>
              <w:rPr>
                <w:sz w:val="20"/>
                <w:szCs w:val="20"/>
                <w:color w:val="auto"/>
              </w:rPr>
            </w:pPr>
            <w:r>
              <w:rPr>
                <w:rFonts w:ascii="Arial" w:cs="Arial" w:eastAsia="Arial" w:hAnsi="Arial"/>
                <w:sz w:val="14"/>
                <w:szCs w:val="14"/>
                <w:b w:val="1"/>
                <w:bCs w:val="1"/>
                <w:color w:val="auto"/>
                <w:w w:val="90"/>
              </w:rPr>
              <w:t>Dollar</w:t>
            </w:r>
          </w:p>
        </w:tc>
        <w:tc>
          <w:tcPr>
            <w:tcW w:w="7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0"/>
              </w:rPr>
              <w:t>of</w:t>
            </w:r>
          </w:p>
        </w:tc>
        <w:tc>
          <w:tcPr>
            <w:tcW w:w="7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1"/>
              </w:rPr>
              <w:t>Violation</w:t>
            </w:r>
          </w:p>
        </w:tc>
        <w:tc>
          <w:tcPr>
            <w:tcW w:w="6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1"/>
              </w:rPr>
              <w:t>Pattern</w:t>
            </w:r>
          </w:p>
        </w:tc>
        <w:tc>
          <w:tcPr>
            <w:tcW w:w="6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5"/>
              </w:rPr>
              <w:t>as of</w:t>
            </w:r>
          </w:p>
        </w:tc>
        <w:tc>
          <w:tcPr>
            <w:tcW w:w="7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5"/>
              </w:rPr>
              <w:t>Actions</w:t>
            </w:r>
          </w:p>
        </w:tc>
        <w:tc>
          <w:tcPr>
            <w:tcW w:w="6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5"/>
              </w:rPr>
              <w:t>Actions</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740" w:type="dxa"/>
            <w:vAlign w:val="bottom"/>
          </w:tcPr>
          <w:p>
            <w:pPr>
              <w:jc w:val="right"/>
              <w:ind w:right="17"/>
              <w:spacing w:after="0" w:line="143" w:lineRule="exact"/>
              <w:rPr>
                <w:sz w:val="20"/>
                <w:szCs w:val="20"/>
                <w:color w:val="auto"/>
              </w:rPr>
            </w:pPr>
            <w:r>
              <w:rPr>
                <w:rFonts w:ascii="Arial" w:cs="Arial" w:eastAsia="Arial" w:hAnsi="Arial"/>
                <w:sz w:val="14"/>
                <w:szCs w:val="14"/>
                <w:b w:val="1"/>
                <w:bCs w:val="1"/>
                <w:color w:val="auto"/>
              </w:rPr>
              <w:t>Citations</w:t>
            </w:r>
          </w:p>
        </w:tc>
        <w:tc>
          <w:tcPr>
            <w:tcW w:w="78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center"/>
              <w:ind w:right="137"/>
              <w:spacing w:after="0" w:line="143" w:lineRule="exact"/>
              <w:rPr>
                <w:sz w:val="20"/>
                <w:szCs w:val="20"/>
                <w:color w:val="auto"/>
              </w:rPr>
            </w:pPr>
            <w:r>
              <w:rPr>
                <w:rFonts w:ascii="Arial" w:cs="Arial" w:eastAsia="Arial" w:hAnsi="Arial"/>
                <w:sz w:val="14"/>
                <w:szCs w:val="14"/>
                <w:b w:val="1"/>
                <w:bCs w:val="1"/>
                <w:color w:val="auto"/>
                <w:w w:val="88"/>
              </w:rPr>
              <w:t>Value of</w:t>
            </w:r>
          </w:p>
        </w:tc>
        <w:tc>
          <w:tcPr>
            <w:tcW w:w="7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7"/>
              </w:rPr>
              <w:t>Mining</w:t>
            </w:r>
          </w:p>
        </w:tc>
        <w:tc>
          <w:tcPr>
            <w:tcW w:w="7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3"/>
              </w:rPr>
              <w:t>Under</w:t>
            </w:r>
          </w:p>
        </w:tc>
        <w:tc>
          <w:tcPr>
            <w:tcW w:w="6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2"/>
              </w:rPr>
              <w:t>under</w:t>
            </w:r>
          </w:p>
        </w:tc>
        <w:tc>
          <w:tcPr>
            <w:tcW w:w="6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7"/>
              </w:rPr>
              <w:t>Last</w:t>
            </w:r>
          </w:p>
        </w:tc>
        <w:tc>
          <w:tcPr>
            <w:tcW w:w="780" w:type="dxa"/>
            <w:vAlign w:val="bottom"/>
          </w:tcPr>
          <w:p>
            <w:pPr>
              <w:jc w:val="right"/>
              <w:ind w:right="17"/>
              <w:spacing w:after="0" w:line="143" w:lineRule="exact"/>
              <w:rPr>
                <w:sz w:val="20"/>
                <w:szCs w:val="20"/>
                <w:color w:val="auto"/>
              </w:rPr>
            </w:pPr>
            <w:r>
              <w:rPr>
                <w:rFonts w:ascii="Arial" w:cs="Arial" w:eastAsia="Arial" w:hAnsi="Arial"/>
                <w:sz w:val="14"/>
                <w:szCs w:val="14"/>
                <w:b w:val="1"/>
                <w:bCs w:val="1"/>
                <w:color w:val="auto"/>
              </w:rPr>
              <w:t>Instituted</w:t>
            </w:r>
          </w:p>
        </w:tc>
        <w:tc>
          <w:tcPr>
            <w:tcW w:w="6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6"/>
              </w:rPr>
              <w:t>Resolved</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9"/>
              </w:rPr>
              <w:t>104 S&amp;S</w:t>
            </w:r>
          </w:p>
        </w:tc>
        <w:tc>
          <w:tcPr>
            <w:tcW w:w="6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2"/>
              </w:rPr>
              <w:t>104(b)</w:t>
            </w:r>
          </w:p>
        </w:tc>
        <w:tc>
          <w:tcPr>
            <w:tcW w:w="7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8"/>
              </w:rPr>
              <w:t>and</w:t>
            </w:r>
          </w:p>
        </w:tc>
        <w:tc>
          <w:tcPr>
            <w:tcW w:w="7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2"/>
              </w:rPr>
              <w:t>110(b)(2)</w:t>
            </w:r>
          </w:p>
        </w:tc>
        <w:tc>
          <w:tcPr>
            <w:tcW w:w="6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8"/>
              </w:rPr>
              <w:t>107(a)</w:t>
            </w:r>
          </w:p>
        </w:tc>
        <w:tc>
          <w:tcPr>
            <w:tcW w:w="220" w:type="dxa"/>
            <w:vAlign w:val="bottom"/>
          </w:tcPr>
          <w:p>
            <w:pPr>
              <w:spacing w:after="0"/>
              <w:rPr>
                <w:sz w:val="12"/>
                <w:szCs w:val="12"/>
                <w:color w:val="auto"/>
              </w:rPr>
            </w:pPr>
          </w:p>
        </w:tc>
        <w:tc>
          <w:tcPr>
            <w:tcW w:w="700" w:type="dxa"/>
            <w:vAlign w:val="bottom"/>
          </w:tcPr>
          <w:p>
            <w:pPr>
              <w:jc w:val="center"/>
              <w:ind w:right="137"/>
              <w:spacing w:after="0" w:line="143" w:lineRule="exact"/>
              <w:rPr>
                <w:sz w:val="20"/>
                <w:szCs w:val="20"/>
                <w:color w:val="auto"/>
              </w:rPr>
            </w:pPr>
            <w:r>
              <w:rPr>
                <w:rFonts w:ascii="Arial" w:cs="Arial" w:eastAsia="Arial" w:hAnsi="Arial"/>
                <w:sz w:val="14"/>
                <w:szCs w:val="14"/>
                <w:b w:val="1"/>
                <w:bCs w:val="1"/>
                <w:color w:val="auto"/>
                <w:w w:val="96"/>
              </w:rPr>
              <w:t>MSHA</w:t>
            </w:r>
          </w:p>
        </w:tc>
        <w:tc>
          <w:tcPr>
            <w:tcW w:w="7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6"/>
              </w:rPr>
              <w:t>Related</w:t>
            </w:r>
          </w:p>
        </w:tc>
        <w:tc>
          <w:tcPr>
            <w:tcW w:w="7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6"/>
              </w:rPr>
              <w:t>Section</w:t>
            </w:r>
          </w:p>
        </w:tc>
        <w:tc>
          <w:tcPr>
            <w:tcW w:w="6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6"/>
              </w:rPr>
              <w:t>Section</w:t>
            </w:r>
          </w:p>
        </w:tc>
        <w:tc>
          <w:tcPr>
            <w:tcW w:w="6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3"/>
              </w:rPr>
              <w:t>Day of</w:t>
            </w:r>
          </w:p>
        </w:tc>
        <w:tc>
          <w:tcPr>
            <w:tcW w:w="7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3"/>
              </w:rPr>
              <w:t>During</w:t>
            </w:r>
          </w:p>
        </w:tc>
        <w:tc>
          <w:tcPr>
            <w:tcW w:w="6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3"/>
              </w:rPr>
              <w:t>During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jc w:val="right"/>
              <w:ind w:right="16"/>
              <w:spacing w:after="0" w:line="143" w:lineRule="exact"/>
              <w:rPr>
                <w:sz w:val="20"/>
                <w:szCs w:val="20"/>
                <w:color w:val="auto"/>
              </w:rPr>
            </w:pPr>
            <w:r>
              <w:rPr>
                <w:rFonts w:ascii="Arial" w:cs="Arial" w:eastAsia="Arial" w:hAnsi="Arial"/>
                <w:sz w:val="14"/>
                <w:szCs w:val="14"/>
                <w:b w:val="1"/>
                <w:bCs w:val="1"/>
                <w:color w:val="auto"/>
              </w:rPr>
              <w:t>Citations</w:t>
            </w:r>
          </w:p>
        </w:tc>
        <w:tc>
          <w:tcPr>
            <w:tcW w:w="640" w:type="dxa"/>
            <w:vAlign w:val="bottom"/>
          </w:tcPr>
          <w:p>
            <w:pPr>
              <w:jc w:val="right"/>
              <w:ind w:right="36"/>
              <w:spacing w:after="0" w:line="143" w:lineRule="exact"/>
              <w:rPr>
                <w:sz w:val="20"/>
                <w:szCs w:val="20"/>
                <w:color w:val="auto"/>
              </w:rPr>
            </w:pPr>
            <w:r>
              <w:rPr>
                <w:rFonts w:ascii="Arial" w:cs="Arial" w:eastAsia="Arial" w:hAnsi="Arial"/>
                <w:sz w:val="14"/>
                <w:szCs w:val="14"/>
                <w:b w:val="1"/>
                <w:bCs w:val="1"/>
                <w:color w:val="auto"/>
              </w:rPr>
              <w:t>Orders</w:t>
            </w:r>
          </w:p>
        </w:tc>
        <w:tc>
          <w:tcPr>
            <w:tcW w:w="7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1"/>
              </w:rPr>
              <w:t>Orders</w:t>
            </w:r>
          </w:p>
        </w:tc>
        <w:tc>
          <w:tcPr>
            <w:tcW w:w="780" w:type="dxa"/>
            <w:vAlign w:val="bottom"/>
          </w:tcPr>
          <w:p>
            <w:pPr>
              <w:jc w:val="right"/>
              <w:ind w:right="16"/>
              <w:spacing w:after="0" w:line="143" w:lineRule="exact"/>
              <w:rPr>
                <w:sz w:val="20"/>
                <w:szCs w:val="20"/>
                <w:color w:val="auto"/>
              </w:rPr>
            </w:pPr>
            <w:r>
              <w:rPr>
                <w:rFonts w:ascii="Arial" w:cs="Arial" w:eastAsia="Arial" w:hAnsi="Arial"/>
                <w:sz w:val="14"/>
                <w:szCs w:val="14"/>
                <w:b w:val="1"/>
                <w:bCs w:val="1"/>
                <w:color w:val="auto"/>
                <w:w w:val="98"/>
              </w:rPr>
              <w:t>Violations</w:t>
            </w:r>
          </w:p>
        </w:tc>
        <w:tc>
          <w:tcPr>
            <w:tcW w:w="640" w:type="dxa"/>
            <w:vAlign w:val="bottom"/>
          </w:tcPr>
          <w:p>
            <w:pPr>
              <w:jc w:val="right"/>
              <w:ind w:right="16"/>
              <w:spacing w:after="0" w:line="143" w:lineRule="exact"/>
              <w:rPr>
                <w:sz w:val="20"/>
                <w:szCs w:val="20"/>
                <w:color w:val="auto"/>
              </w:rPr>
            </w:pPr>
            <w:r>
              <w:rPr>
                <w:rFonts w:ascii="Arial" w:cs="Arial" w:eastAsia="Arial" w:hAnsi="Arial"/>
                <w:sz w:val="14"/>
                <w:szCs w:val="14"/>
                <w:b w:val="1"/>
                <w:bCs w:val="1"/>
                <w:color w:val="auto"/>
              </w:rPr>
              <w:t>Orders</w:t>
            </w:r>
          </w:p>
        </w:tc>
        <w:tc>
          <w:tcPr>
            <w:tcW w:w="920" w:type="dxa"/>
            <w:vAlign w:val="bottom"/>
            <w:gridSpan w:val="2"/>
          </w:tcPr>
          <w:p>
            <w:pPr>
              <w:ind w:left="100"/>
              <w:spacing w:after="0" w:line="143" w:lineRule="exact"/>
              <w:rPr>
                <w:sz w:val="20"/>
                <w:szCs w:val="20"/>
                <w:color w:val="auto"/>
              </w:rPr>
            </w:pPr>
            <w:r>
              <w:rPr>
                <w:rFonts w:ascii="Arial" w:cs="Arial" w:eastAsia="Arial" w:hAnsi="Arial"/>
                <w:sz w:val="14"/>
                <w:szCs w:val="14"/>
                <w:b w:val="1"/>
                <w:bCs w:val="1"/>
                <w:color w:val="auto"/>
                <w:w w:val="92"/>
              </w:rPr>
              <w:t>Assessment/</w:t>
            </w:r>
          </w:p>
        </w:tc>
        <w:tc>
          <w:tcPr>
            <w:tcW w:w="760" w:type="dxa"/>
            <w:vAlign w:val="bottom"/>
          </w:tcPr>
          <w:p>
            <w:pPr>
              <w:jc w:val="right"/>
              <w:ind w:right="18"/>
              <w:spacing w:after="0" w:line="143" w:lineRule="exact"/>
              <w:rPr>
                <w:sz w:val="20"/>
                <w:szCs w:val="20"/>
                <w:color w:val="auto"/>
              </w:rPr>
            </w:pPr>
            <w:r>
              <w:rPr>
                <w:rFonts w:ascii="Arial" w:cs="Arial" w:eastAsia="Arial" w:hAnsi="Arial"/>
                <w:sz w:val="14"/>
                <w:szCs w:val="14"/>
                <w:b w:val="1"/>
                <w:bCs w:val="1"/>
                <w:color w:val="auto"/>
              </w:rPr>
              <w:t>Fatalities</w:t>
            </w:r>
          </w:p>
        </w:tc>
        <w:tc>
          <w:tcPr>
            <w:tcW w:w="7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8"/>
              </w:rPr>
              <w:t>104(e)</w:t>
            </w:r>
          </w:p>
        </w:tc>
        <w:tc>
          <w:tcPr>
            <w:tcW w:w="6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8"/>
              </w:rPr>
              <w:t>104(e)</w:t>
            </w:r>
          </w:p>
        </w:tc>
        <w:tc>
          <w:tcPr>
            <w:tcW w:w="6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1"/>
              </w:rPr>
              <w:t>Period</w:t>
            </w:r>
          </w:p>
        </w:tc>
        <w:tc>
          <w:tcPr>
            <w:tcW w:w="7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7"/>
              </w:rPr>
              <w:t>Period</w:t>
            </w:r>
          </w:p>
        </w:tc>
        <w:tc>
          <w:tcPr>
            <w:tcW w:w="6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7"/>
              </w:rPr>
              <w:t>Period</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840" w:type="dxa"/>
            <w:vAlign w:val="bottom"/>
          </w:tcPr>
          <w:p>
            <w:pPr>
              <w:ind w:left="680"/>
              <w:spacing w:after="0"/>
              <w:rPr>
                <w:sz w:val="20"/>
                <w:szCs w:val="20"/>
                <w:color w:val="auto"/>
              </w:rPr>
            </w:pPr>
            <w:r>
              <w:rPr>
                <w:rFonts w:ascii="Arial" w:cs="Arial" w:eastAsia="Arial" w:hAnsi="Arial"/>
                <w:sz w:val="14"/>
                <w:szCs w:val="14"/>
                <w:b w:val="1"/>
                <w:bCs w:val="1"/>
                <w:color w:val="auto"/>
              </w:rPr>
              <w:t>Location</w:t>
            </w:r>
          </w:p>
        </w:tc>
        <w:tc>
          <w:tcPr>
            <w:tcW w:w="860" w:type="dxa"/>
            <w:vAlign w:val="bottom"/>
          </w:tcPr>
          <w:p>
            <w:pPr>
              <w:ind w:left="200"/>
              <w:spacing w:after="0"/>
              <w:rPr>
                <w:sz w:val="20"/>
                <w:szCs w:val="20"/>
                <w:color w:val="auto"/>
              </w:rPr>
            </w:pPr>
            <w:r>
              <w:rPr>
                <w:rFonts w:ascii="Arial" w:cs="Arial" w:eastAsia="Arial" w:hAnsi="Arial"/>
                <w:sz w:val="14"/>
                <w:szCs w:val="14"/>
                <w:b w:val="1"/>
                <w:bCs w:val="1"/>
                <w:color w:val="auto"/>
              </w:rPr>
              <w:t>MSHA ID</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640" w:type="dxa"/>
            <w:vAlign w:val="bottom"/>
          </w:tcPr>
          <w:p>
            <w:pPr>
              <w:jc w:val="right"/>
              <w:ind w:right="156"/>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ind w:right="217"/>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236"/>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ind w:right="156"/>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ind w:left="140"/>
              <w:spacing w:after="0"/>
              <w:rPr>
                <w:sz w:val="20"/>
                <w:szCs w:val="20"/>
                <w:color w:val="auto"/>
              </w:rPr>
            </w:pPr>
            <w:r>
              <w:rPr>
                <w:rFonts w:ascii="Arial" w:cs="Arial" w:eastAsia="Arial" w:hAnsi="Arial"/>
                <w:sz w:val="14"/>
                <w:szCs w:val="14"/>
                <w:b w:val="1"/>
                <w:bCs w:val="1"/>
                <w:color w:val="auto"/>
                <w:w w:val="76"/>
              </w:rPr>
              <w:t>$</w:t>
            </w:r>
          </w:p>
        </w:tc>
        <w:tc>
          <w:tcPr>
            <w:tcW w:w="700" w:type="dxa"/>
            <w:vAlign w:val="bottom"/>
          </w:tcPr>
          <w:p>
            <w:pPr>
              <w:jc w:val="right"/>
              <w:ind w:right="57"/>
              <w:spacing w:after="0"/>
              <w:rPr>
                <w:sz w:val="20"/>
                <w:szCs w:val="20"/>
                <w:color w:val="auto"/>
              </w:rPr>
            </w:pPr>
            <w:r>
              <w:rPr>
                <w:rFonts w:ascii="Arial" w:cs="Arial" w:eastAsia="Arial" w:hAnsi="Arial"/>
                <w:sz w:val="14"/>
                <w:szCs w:val="14"/>
                <w:b w:val="1"/>
                <w:bCs w:val="1"/>
                <w:color w:val="auto"/>
                <w:w w:val="83"/>
              </w:rPr>
              <w:t>Proposed</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5"/>
              </w:rPr>
              <w:t>(yes/no)</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5"/>
              </w:rPr>
              <w:t>(yes/no)</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1840" w:type="dxa"/>
            <w:vAlign w:val="bottom"/>
          </w:tcPr>
          <w:p>
            <w:pPr>
              <w:spacing w:after="0"/>
              <w:rPr>
                <w:sz w:val="7"/>
                <w:szCs w:val="7"/>
                <w:color w:val="auto"/>
              </w:rPr>
            </w:pPr>
          </w:p>
        </w:tc>
        <w:tc>
          <w:tcPr>
            <w:tcW w:w="8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7"/>
                <w:szCs w:val="17"/>
                <w:color w:val="auto"/>
              </w:rPr>
              <w:t>Fort Dodge Mine</w:t>
            </w:r>
          </w:p>
        </w:tc>
        <w:tc>
          <w:tcPr>
            <w:tcW w:w="860" w:type="dxa"/>
            <w:vAlign w:val="bottom"/>
            <w:shd w:val="clear" w:color="auto" w:fill="CCEEFF"/>
          </w:tcPr>
          <w:p>
            <w:pPr>
              <w:jc w:val="center"/>
              <w:ind w:left="54"/>
              <w:spacing w:after="0"/>
              <w:rPr>
                <w:sz w:val="20"/>
                <w:szCs w:val="20"/>
                <w:color w:val="auto"/>
              </w:rPr>
            </w:pPr>
            <w:r>
              <w:rPr>
                <w:rFonts w:ascii="Arial" w:cs="Arial" w:eastAsia="Arial" w:hAnsi="Arial"/>
                <w:sz w:val="17"/>
                <w:szCs w:val="17"/>
                <w:color w:val="auto"/>
                <w:w w:val="90"/>
              </w:rPr>
              <w:t>1300032</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3</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16,462</w:t>
            </w: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1</w:t>
            </w: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1</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7"/>
                <w:szCs w:val="17"/>
                <w:color w:val="auto"/>
              </w:rPr>
              <w:t>Greenwood</w:t>
            </w:r>
          </w:p>
        </w:tc>
        <w:tc>
          <w:tcPr>
            <w:tcW w:w="860" w:type="dxa"/>
            <w:vAlign w:val="bottom"/>
          </w:tcPr>
          <w:p>
            <w:pPr>
              <w:jc w:val="center"/>
              <w:ind w:left="54"/>
              <w:spacing w:after="0"/>
              <w:rPr>
                <w:sz w:val="20"/>
                <w:szCs w:val="20"/>
                <w:color w:val="auto"/>
              </w:rPr>
            </w:pPr>
            <w:r>
              <w:rPr>
                <w:rFonts w:ascii="Arial" w:cs="Arial" w:eastAsia="Arial" w:hAnsi="Arial"/>
                <w:sz w:val="17"/>
                <w:szCs w:val="17"/>
                <w:color w:val="auto"/>
                <w:w w:val="90"/>
              </w:rPr>
              <w:t>2300141</w:t>
            </w:r>
          </w:p>
        </w:tc>
        <w:tc>
          <w:tcPr>
            <w:tcW w:w="72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tcPr>
          <w:p>
            <w:pPr>
              <w:jc w:val="right"/>
              <w:ind w:right="17"/>
              <w:spacing w:after="0"/>
              <w:rPr>
                <w:sz w:val="20"/>
                <w:szCs w:val="20"/>
                <w:color w:val="auto"/>
              </w:rPr>
            </w:pPr>
            <w:r>
              <w:rPr>
                <w:rFonts w:ascii="Arial" w:cs="Arial" w:eastAsia="Arial" w:hAnsi="Arial"/>
                <w:sz w:val="17"/>
                <w:szCs w:val="17"/>
                <w:b w:val="1"/>
                <w:bCs w:val="1"/>
                <w:color w:val="auto"/>
              </w:rPr>
              <w:t>696</w:t>
            </w:r>
          </w:p>
        </w:tc>
        <w:tc>
          <w:tcPr>
            <w:tcW w:w="760" w:type="dxa"/>
            <w:vAlign w:val="bottom"/>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tcPr>
          <w:p>
            <w:pPr>
              <w:jc w:val="right"/>
              <w:ind w:right="18"/>
              <w:spacing w:after="0"/>
              <w:rPr>
                <w:sz w:val="20"/>
                <w:szCs w:val="20"/>
                <w:color w:val="auto"/>
              </w:rPr>
            </w:pPr>
            <w:r>
              <w:rPr>
                <w:rFonts w:ascii="Arial" w:cs="Arial" w:eastAsia="Arial" w:hAnsi="Arial"/>
                <w:sz w:val="17"/>
                <w:szCs w:val="17"/>
                <w:b w:val="1"/>
                <w:bCs w:val="1"/>
                <w:color w:val="auto"/>
              </w:rPr>
              <w:t>1</w:t>
            </w:r>
          </w:p>
        </w:tc>
        <w:tc>
          <w:tcPr>
            <w:tcW w:w="780" w:type="dxa"/>
            <w:vAlign w:val="bottom"/>
          </w:tcPr>
          <w:p>
            <w:pPr>
              <w:jc w:val="right"/>
              <w:ind w:right="17"/>
              <w:spacing w:after="0"/>
              <w:rPr>
                <w:sz w:val="20"/>
                <w:szCs w:val="20"/>
                <w:color w:val="auto"/>
              </w:rPr>
            </w:pPr>
            <w:r>
              <w:rPr>
                <w:rFonts w:ascii="Arial" w:cs="Arial" w:eastAsia="Arial" w:hAnsi="Arial"/>
                <w:sz w:val="17"/>
                <w:szCs w:val="17"/>
                <w:b w:val="1"/>
                <w:bCs w:val="1"/>
                <w:color w:val="auto"/>
              </w:rPr>
              <w:t>1</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7"/>
                <w:szCs w:val="17"/>
                <w:color w:val="auto"/>
              </w:rPr>
              <w:t>Iowa Grading</w:t>
            </w:r>
          </w:p>
        </w:tc>
        <w:tc>
          <w:tcPr>
            <w:tcW w:w="860" w:type="dxa"/>
            <w:vAlign w:val="bottom"/>
            <w:shd w:val="clear" w:color="auto" w:fill="CCEEFF"/>
          </w:tcPr>
          <w:p>
            <w:pPr>
              <w:jc w:val="center"/>
              <w:ind w:left="54"/>
              <w:spacing w:after="0"/>
              <w:rPr>
                <w:sz w:val="20"/>
                <w:szCs w:val="20"/>
                <w:color w:val="auto"/>
              </w:rPr>
            </w:pPr>
            <w:r>
              <w:rPr>
                <w:rFonts w:ascii="Arial" w:cs="Arial" w:eastAsia="Arial" w:hAnsi="Arial"/>
                <w:sz w:val="17"/>
                <w:szCs w:val="17"/>
                <w:color w:val="auto"/>
                <w:w w:val="90"/>
              </w:rPr>
              <w:t>1302316</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116</w:t>
            </w: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7"/>
                <w:szCs w:val="17"/>
                <w:color w:val="auto"/>
              </w:rPr>
              <w:t>Linn County Sand</w:t>
            </w:r>
          </w:p>
        </w:tc>
        <w:tc>
          <w:tcPr>
            <w:tcW w:w="860" w:type="dxa"/>
            <w:vAlign w:val="bottom"/>
          </w:tcPr>
          <w:p>
            <w:pPr>
              <w:jc w:val="center"/>
              <w:ind w:left="54"/>
              <w:spacing w:after="0"/>
              <w:rPr>
                <w:sz w:val="20"/>
                <w:szCs w:val="20"/>
                <w:color w:val="auto"/>
              </w:rPr>
            </w:pPr>
            <w:r>
              <w:rPr>
                <w:rFonts w:ascii="Arial" w:cs="Arial" w:eastAsia="Arial" w:hAnsi="Arial"/>
                <w:sz w:val="17"/>
                <w:szCs w:val="17"/>
                <w:color w:val="auto"/>
                <w:w w:val="90"/>
              </w:rPr>
              <w:t>1302208</w:t>
            </w:r>
          </w:p>
        </w:tc>
        <w:tc>
          <w:tcPr>
            <w:tcW w:w="72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tcPr>
          <w:p>
            <w:pPr>
              <w:jc w:val="right"/>
              <w:ind w:right="17"/>
              <w:spacing w:after="0"/>
              <w:rPr>
                <w:sz w:val="20"/>
                <w:szCs w:val="20"/>
                <w:color w:val="auto"/>
              </w:rPr>
            </w:pPr>
            <w:r>
              <w:rPr>
                <w:rFonts w:ascii="Arial" w:cs="Arial" w:eastAsia="Arial" w:hAnsi="Arial"/>
                <w:sz w:val="17"/>
                <w:szCs w:val="17"/>
                <w:b w:val="1"/>
                <w:bCs w:val="1"/>
                <w:color w:val="auto"/>
              </w:rPr>
              <w:t>232</w:t>
            </w:r>
          </w:p>
        </w:tc>
        <w:tc>
          <w:tcPr>
            <w:tcW w:w="760" w:type="dxa"/>
            <w:vAlign w:val="bottom"/>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7"/>
                <w:szCs w:val="17"/>
                <w:color w:val="auto"/>
              </w:rPr>
              <w:t>Malcom Mine</w:t>
            </w:r>
          </w:p>
        </w:tc>
        <w:tc>
          <w:tcPr>
            <w:tcW w:w="860" w:type="dxa"/>
            <w:vAlign w:val="bottom"/>
            <w:shd w:val="clear" w:color="auto" w:fill="CCEEFF"/>
          </w:tcPr>
          <w:p>
            <w:pPr>
              <w:jc w:val="center"/>
              <w:ind w:left="54"/>
              <w:spacing w:after="0"/>
              <w:rPr>
                <w:sz w:val="20"/>
                <w:szCs w:val="20"/>
                <w:color w:val="auto"/>
              </w:rPr>
            </w:pPr>
            <w:r>
              <w:rPr>
                <w:rFonts w:ascii="Arial" w:cs="Arial" w:eastAsia="Arial" w:hAnsi="Arial"/>
                <w:sz w:val="17"/>
                <w:szCs w:val="17"/>
                <w:color w:val="auto"/>
                <w:w w:val="90"/>
              </w:rPr>
              <w:t>1300112</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1,136</w:t>
            </w: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7"/>
                <w:szCs w:val="17"/>
                <w:color w:val="auto"/>
              </w:rPr>
              <w:t>Marshalltown Sand</w:t>
            </w:r>
          </w:p>
        </w:tc>
        <w:tc>
          <w:tcPr>
            <w:tcW w:w="860" w:type="dxa"/>
            <w:vAlign w:val="bottom"/>
          </w:tcPr>
          <w:p>
            <w:pPr>
              <w:jc w:val="center"/>
              <w:ind w:left="54"/>
              <w:spacing w:after="0"/>
              <w:rPr>
                <w:sz w:val="20"/>
                <w:szCs w:val="20"/>
                <w:color w:val="auto"/>
              </w:rPr>
            </w:pPr>
            <w:r>
              <w:rPr>
                <w:rFonts w:ascii="Arial" w:cs="Arial" w:eastAsia="Arial" w:hAnsi="Arial"/>
                <w:sz w:val="17"/>
                <w:szCs w:val="17"/>
                <w:color w:val="auto"/>
                <w:w w:val="90"/>
              </w:rPr>
              <w:t>1300718</w:t>
            </w:r>
          </w:p>
        </w:tc>
        <w:tc>
          <w:tcPr>
            <w:tcW w:w="72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tcPr>
          <w:p>
            <w:pPr>
              <w:jc w:val="right"/>
              <w:ind w:right="17"/>
              <w:spacing w:after="0"/>
              <w:rPr>
                <w:sz w:val="20"/>
                <w:szCs w:val="20"/>
                <w:color w:val="auto"/>
              </w:rPr>
            </w:pPr>
            <w:r>
              <w:rPr>
                <w:rFonts w:ascii="Arial" w:cs="Arial" w:eastAsia="Arial" w:hAnsi="Arial"/>
                <w:sz w:val="17"/>
                <w:szCs w:val="17"/>
                <w:b w:val="1"/>
                <w:bCs w:val="1"/>
                <w:color w:val="auto"/>
              </w:rPr>
              <w:t>0</w:t>
            </w:r>
          </w:p>
        </w:tc>
        <w:tc>
          <w:tcPr>
            <w:tcW w:w="760" w:type="dxa"/>
            <w:vAlign w:val="bottom"/>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7"/>
                <w:szCs w:val="17"/>
                <w:color w:val="auto"/>
              </w:rPr>
              <w:t>Moore Quarry</w:t>
            </w:r>
          </w:p>
        </w:tc>
        <w:tc>
          <w:tcPr>
            <w:tcW w:w="860" w:type="dxa"/>
            <w:vAlign w:val="bottom"/>
            <w:shd w:val="clear" w:color="auto" w:fill="CCEEFF"/>
          </w:tcPr>
          <w:p>
            <w:pPr>
              <w:jc w:val="center"/>
              <w:ind w:left="54"/>
              <w:spacing w:after="0"/>
              <w:rPr>
                <w:sz w:val="20"/>
                <w:szCs w:val="20"/>
                <w:color w:val="auto"/>
              </w:rPr>
            </w:pPr>
            <w:r>
              <w:rPr>
                <w:rFonts w:ascii="Arial" w:cs="Arial" w:eastAsia="Arial" w:hAnsi="Arial"/>
                <w:sz w:val="17"/>
                <w:szCs w:val="17"/>
                <w:color w:val="auto"/>
                <w:w w:val="90"/>
              </w:rPr>
              <w:t>1302188</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1,342</w:t>
            </w: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7"/>
                <w:szCs w:val="17"/>
                <w:color w:val="auto"/>
              </w:rPr>
              <w:t>New Harvey Sand</w:t>
            </w:r>
          </w:p>
        </w:tc>
        <w:tc>
          <w:tcPr>
            <w:tcW w:w="860" w:type="dxa"/>
            <w:vAlign w:val="bottom"/>
          </w:tcPr>
          <w:p>
            <w:pPr>
              <w:jc w:val="center"/>
              <w:ind w:left="54"/>
              <w:spacing w:after="0"/>
              <w:rPr>
                <w:sz w:val="20"/>
                <w:szCs w:val="20"/>
                <w:color w:val="auto"/>
              </w:rPr>
            </w:pPr>
            <w:r>
              <w:rPr>
                <w:rFonts w:ascii="Arial" w:cs="Arial" w:eastAsia="Arial" w:hAnsi="Arial"/>
                <w:sz w:val="17"/>
                <w:szCs w:val="17"/>
                <w:color w:val="auto"/>
                <w:w w:val="90"/>
              </w:rPr>
              <w:t>1301778</w:t>
            </w:r>
          </w:p>
        </w:tc>
        <w:tc>
          <w:tcPr>
            <w:tcW w:w="72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tcPr>
          <w:p>
            <w:pPr>
              <w:jc w:val="right"/>
              <w:ind w:right="17"/>
              <w:spacing w:after="0"/>
              <w:rPr>
                <w:sz w:val="20"/>
                <w:szCs w:val="20"/>
                <w:color w:val="auto"/>
              </w:rPr>
            </w:pPr>
            <w:r>
              <w:rPr>
                <w:rFonts w:ascii="Arial" w:cs="Arial" w:eastAsia="Arial" w:hAnsi="Arial"/>
                <w:sz w:val="17"/>
                <w:szCs w:val="17"/>
                <w:b w:val="1"/>
                <w:bCs w:val="1"/>
                <w:color w:val="auto"/>
              </w:rPr>
              <w:t>0</w:t>
            </w:r>
          </w:p>
        </w:tc>
        <w:tc>
          <w:tcPr>
            <w:tcW w:w="760" w:type="dxa"/>
            <w:vAlign w:val="bottom"/>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7"/>
                <w:szCs w:val="17"/>
                <w:color w:val="auto"/>
              </w:rPr>
              <w:t>Northwest Division OH</w:t>
            </w:r>
          </w:p>
        </w:tc>
        <w:tc>
          <w:tcPr>
            <w:tcW w:w="860" w:type="dxa"/>
            <w:vAlign w:val="bottom"/>
            <w:shd w:val="clear" w:color="auto" w:fill="CCEEFF"/>
          </w:tcPr>
          <w:p>
            <w:pPr>
              <w:jc w:val="center"/>
              <w:ind w:left="54"/>
              <w:spacing w:after="0"/>
              <w:rPr>
                <w:sz w:val="20"/>
                <w:szCs w:val="20"/>
                <w:color w:val="auto"/>
              </w:rPr>
            </w:pPr>
            <w:r>
              <w:rPr>
                <w:rFonts w:ascii="Arial" w:cs="Arial" w:eastAsia="Arial" w:hAnsi="Arial"/>
                <w:sz w:val="17"/>
                <w:szCs w:val="17"/>
                <w:color w:val="auto"/>
                <w:w w:val="97"/>
              </w:rPr>
              <w:t>A2354</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0</w:t>
            </w: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7"/>
                <w:szCs w:val="17"/>
                <w:color w:val="auto"/>
              </w:rPr>
              <w:t>Ottawa Quarry</w:t>
            </w:r>
          </w:p>
        </w:tc>
        <w:tc>
          <w:tcPr>
            <w:tcW w:w="860" w:type="dxa"/>
            <w:vAlign w:val="bottom"/>
          </w:tcPr>
          <w:p>
            <w:pPr>
              <w:jc w:val="center"/>
              <w:ind w:left="54"/>
              <w:spacing w:after="0"/>
              <w:rPr>
                <w:sz w:val="20"/>
                <w:szCs w:val="20"/>
                <w:color w:val="auto"/>
              </w:rPr>
            </w:pPr>
            <w:r>
              <w:rPr>
                <w:rFonts w:ascii="Arial" w:cs="Arial" w:eastAsia="Arial" w:hAnsi="Arial"/>
                <w:sz w:val="17"/>
                <w:szCs w:val="17"/>
                <w:color w:val="auto"/>
                <w:w w:val="90"/>
              </w:rPr>
              <w:t>1401590</w:t>
            </w:r>
          </w:p>
        </w:tc>
        <w:tc>
          <w:tcPr>
            <w:tcW w:w="720" w:type="dxa"/>
            <w:vAlign w:val="bottom"/>
          </w:tcPr>
          <w:p>
            <w:pPr>
              <w:jc w:val="right"/>
              <w:ind w:right="16"/>
              <w:spacing w:after="0"/>
              <w:rPr>
                <w:sz w:val="20"/>
                <w:szCs w:val="20"/>
                <w:color w:val="auto"/>
              </w:rPr>
            </w:pPr>
            <w:r>
              <w:rPr>
                <w:rFonts w:ascii="Arial" w:cs="Arial" w:eastAsia="Arial" w:hAnsi="Arial"/>
                <w:sz w:val="17"/>
                <w:szCs w:val="17"/>
                <w:color w:val="auto"/>
              </w:rPr>
              <w:t>1</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tcPr>
          <w:p>
            <w:pPr>
              <w:jc w:val="right"/>
              <w:ind w:right="17"/>
              <w:spacing w:after="0"/>
              <w:rPr>
                <w:sz w:val="20"/>
                <w:szCs w:val="20"/>
                <w:color w:val="auto"/>
              </w:rPr>
            </w:pPr>
            <w:r>
              <w:rPr>
                <w:rFonts w:ascii="Arial" w:cs="Arial" w:eastAsia="Arial" w:hAnsi="Arial"/>
                <w:sz w:val="17"/>
                <w:szCs w:val="17"/>
                <w:b w:val="1"/>
                <w:bCs w:val="1"/>
                <w:color w:val="auto"/>
              </w:rPr>
              <w:t>232</w:t>
            </w:r>
          </w:p>
        </w:tc>
        <w:tc>
          <w:tcPr>
            <w:tcW w:w="760" w:type="dxa"/>
            <w:vAlign w:val="bottom"/>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7"/>
                <w:szCs w:val="17"/>
                <w:color w:val="auto"/>
              </w:rPr>
              <w:t>Pacific Quarry</w:t>
            </w:r>
          </w:p>
        </w:tc>
        <w:tc>
          <w:tcPr>
            <w:tcW w:w="860" w:type="dxa"/>
            <w:vAlign w:val="bottom"/>
            <w:shd w:val="clear" w:color="auto" w:fill="CCEEFF"/>
          </w:tcPr>
          <w:p>
            <w:pPr>
              <w:jc w:val="center"/>
              <w:ind w:left="54"/>
              <w:spacing w:after="0"/>
              <w:rPr>
                <w:sz w:val="20"/>
                <w:szCs w:val="20"/>
                <w:color w:val="auto"/>
              </w:rPr>
            </w:pPr>
            <w:r>
              <w:rPr>
                <w:rFonts w:ascii="Arial" w:cs="Arial" w:eastAsia="Arial" w:hAnsi="Arial"/>
                <w:sz w:val="17"/>
                <w:szCs w:val="17"/>
                <w:color w:val="auto"/>
                <w:w w:val="90"/>
              </w:rPr>
              <w:t>4500844</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812</w:t>
            </w: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7"/>
                <w:szCs w:val="17"/>
                <w:color w:val="auto"/>
              </w:rPr>
              <w:t>Parkville Mine</w:t>
            </w:r>
          </w:p>
        </w:tc>
        <w:tc>
          <w:tcPr>
            <w:tcW w:w="860" w:type="dxa"/>
            <w:vAlign w:val="bottom"/>
          </w:tcPr>
          <w:p>
            <w:pPr>
              <w:jc w:val="center"/>
              <w:ind w:left="54"/>
              <w:spacing w:after="0"/>
              <w:rPr>
                <w:sz w:val="20"/>
                <w:szCs w:val="20"/>
                <w:color w:val="auto"/>
              </w:rPr>
            </w:pPr>
            <w:r>
              <w:rPr>
                <w:rFonts w:ascii="Arial" w:cs="Arial" w:eastAsia="Arial" w:hAnsi="Arial"/>
                <w:sz w:val="17"/>
                <w:szCs w:val="17"/>
                <w:color w:val="auto"/>
                <w:w w:val="90"/>
              </w:rPr>
              <w:t>2301883</w:t>
            </w:r>
          </w:p>
        </w:tc>
        <w:tc>
          <w:tcPr>
            <w:tcW w:w="720" w:type="dxa"/>
            <w:vAlign w:val="bottom"/>
          </w:tcPr>
          <w:p>
            <w:pPr>
              <w:jc w:val="right"/>
              <w:ind w:right="16"/>
              <w:spacing w:after="0"/>
              <w:rPr>
                <w:sz w:val="20"/>
                <w:szCs w:val="20"/>
                <w:color w:val="auto"/>
              </w:rPr>
            </w:pPr>
            <w:r>
              <w:rPr>
                <w:rFonts w:ascii="Arial" w:cs="Arial" w:eastAsia="Arial" w:hAnsi="Arial"/>
                <w:sz w:val="17"/>
                <w:szCs w:val="17"/>
                <w:color w:val="auto"/>
              </w:rPr>
              <w:t>6</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tcPr>
          <w:p>
            <w:pPr>
              <w:jc w:val="right"/>
              <w:ind w:right="17"/>
              <w:spacing w:after="0"/>
              <w:rPr>
                <w:sz w:val="20"/>
                <w:szCs w:val="20"/>
                <w:color w:val="auto"/>
              </w:rPr>
            </w:pPr>
            <w:r>
              <w:rPr>
                <w:rFonts w:ascii="Arial" w:cs="Arial" w:eastAsia="Arial" w:hAnsi="Arial"/>
                <w:sz w:val="17"/>
                <w:szCs w:val="17"/>
                <w:b w:val="1"/>
                <w:bCs w:val="1"/>
                <w:color w:val="auto"/>
              </w:rPr>
              <w:t>4,324</w:t>
            </w:r>
          </w:p>
        </w:tc>
        <w:tc>
          <w:tcPr>
            <w:tcW w:w="760" w:type="dxa"/>
            <w:vAlign w:val="bottom"/>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7"/>
                <w:szCs w:val="17"/>
                <w:color w:val="auto"/>
              </w:rPr>
              <w:t>Pederson Quarry</w:t>
            </w:r>
          </w:p>
        </w:tc>
        <w:tc>
          <w:tcPr>
            <w:tcW w:w="860" w:type="dxa"/>
            <w:vAlign w:val="bottom"/>
            <w:shd w:val="clear" w:color="auto" w:fill="CCEEFF"/>
          </w:tcPr>
          <w:p>
            <w:pPr>
              <w:jc w:val="center"/>
              <w:ind w:left="54"/>
              <w:spacing w:after="0"/>
              <w:rPr>
                <w:sz w:val="20"/>
                <w:szCs w:val="20"/>
                <w:color w:val="auto"/>
              </w:rPr>
            </w:pPr>
            <w:r>
              <w:rPr>
                <w:rFonts w:ascii="Arial" w:cs="Arial" w:eastAsia="Arial" w:hAnsi="Arial"/>
                <w:sz w:val="17"/>
                <w:szCs w:val="17"/>
                <w:color w:val="auto"/>
                <w:w w:val="90"/>
              </w:rPr>
              <w:t>1302192</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420</w:t>
            </w: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7"/>
                <w:szCs w:val="17"/>
                <w:color w:val="auto"/>
              </w:rPr>
              <w:t>Raccoon River Sand</w:t>
            </w:r>
          </w:p>
        </w:tc>
        <w:tc>
          <w:tcPr>
            <w:tcW w:w="860" w:type="dxa"/>
            <w:vAlign w:val="bottom"/>
          </w:tcPr>
          <w:p>
            <w:pPr>
              <w:jc w:val="center"/>
              <w:ind w:left="54"/>
              <w:spacing w:after="0"/>
              <w:rPr>
                <w:sz w:val="20"/>
                <w:szCs w:val="20"/>
                <w:color w:val="auto"/>
              </w:rPr>
            </w:pPr>
            <w:r>
              <w:rPr>
                <w:rFonts w:ascii="Arial" w:cs="Arial" w:eastAsia="Arial" w:hAnsi="Arial"/>
                <w:sz w:val="17"/>
                <w:szCs w:val="17"/>
                <w:color w:val="auto"/>
                <w:w w:val="90"/>
              </w:rPr>
              <w:t>1302315</w:t>
            </w:r>
          </w:p>
        </w:tc>
        <w:tc>
          <w:tcPr>
            <w:tcW w:w="72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tcPr>
          <w:p>
            <w:pPr>
              <w:jc w:val="right"/>
              <w:ind w:right="17"/>
              <w:spacing w:after="0"/>
              <w:rPr>
                <w:sz w:val="20"/>
                <w:szCs w:val="20"/>
                <w:color w:val="auto"/>
              </w:rPr>
            </w:pPr>
            <w:r>
              <w:rPr>
                <w:rFonts w:ascii="Arial" w:cs="Arial" w:eastAsia="Arial" w:hAnsi="Arial"/>
                <w:sz w:val="17"/>
                <w:szCs w:val="17"/>
                <w:b w:val="1"/>
                <w:bCs w:val="1"/>
                <w:color w:val="auto"/>
              </w:rPr>
              <w:t>116</w:t>
            </w:r>
          </w:p>
        </w:tc>
        <w:tc>
          <w:tcPr>
            <w:tcW w:w="760" w:type="dxa"/>
            <w:vAlign w:val="bottom"/>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7"/>
                <w:szCs w:val="17"/>
                <w:color w:val="auto"/>
              </w:rPr>
              <w:t>Randolph Deep Mine</w:t>
            </w:r>
          </w:p>
        </w:tc>
        <w:tc>
          <w:tcPr>
            <w:tcW w:w="860" w:type="dxa"/>
            <w:vAlign w:val="bottom"/>
            <w:shd w:val="clear" w:color="auto" w:fill="CCEEFF"/>
          </w:tcPr>
          <w:p>
            <w:pPr>
              <w:jc w:val="center"/>
              <w:ind w:left="54"/>
              <w:spacing w:after="0"/>
              <w:rPr>
                <w:sz w:val="20"/>
                <w:szCs w:val="20"/>
                <w:color w:val="auto"/>
              </w:rPr>
            </w:pPr>
            <w:r>
              <w:rPr>
                <w:rFonts w:ascii="Arial" w:cs="Arial" w:eastAsia="Arial" w:hAnsi="Arial"/>
                <w:sz w:val="17"/>
                <w:szCs w:val="17"/>
                <w:color w:val="auto"/>
                <w:w w:val="90"/>
              </w:rPr>
              <w:t>2302308</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5</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15,010</w:t>
            </w: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3</w:t>
            </w: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5</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7"/>
                <w:szCs w:val="17"/>
                <w:color w:val="auto"/>
              </w:rPr>
              <w:t>Reasoner Sand</w:t>
            </w:r>
          </w:p>
        </w:tc>
        <w:tc>
          <w:tcPr>
            <w:tcW w:w="860" w:type="dxa"/>
            <w:vAlign w:val="bottom"/>
          </w:tcPr>
          <w:p>
            <w:pPr>
              <w:jc w:val="center"/>
              <w:ind w:left="54"/>
              <w:spacing w:after="0"/>
              <w:rPr>
                <w:sz w:val="20"/>
                <w:szCs w:val="20"/>
                <w:color w:val="auto"/>
              </w:rPr>
            </w:pPr>
            <w:r>
              <w:rPr>
                <w:rFonts w:ascii="Arial" w:cs="Arial" w:eastAsia="Arial" w:hAnsi="Arial"/>
                <w:sz w:val="17"/>
                <w:szCs w:val="17"/>
                <w:color w:val="auto"/>
                <w:w w:val="90"/>
              </w:rPr>
              <w:t>1300814</w:t>
            </w:r>
          </w:p>
        </w:tc>
        <w:tc>
          <w:tcPr>
            <w:tcW w:w="72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tcPr>
          <w:p>
            <w:pPr>
              <w:jc w:val="right"/>
              <w:ind w:right="17"/>
              <w:spacing w:after="0"/>
              <w:rPr>
                <w:sz w:val="20"/>
                <w:szCs w:val="20"/>
                <w:color w:val="auto"/>
              </w:rPr>
            </w:pPr>
            <w:r>
              <w:rPr>
                <w:rFonts w:ascii="Arial" w:cs="Arial" w:eastAsia="Arial" w:hAnsi="Arial"/>
                <w:sz w:val="17"/>
                <w:szCs w:val="17"/>
                <w:b w:val="1"/>
                <w:bCs w:val="1"/>
                <w:color w:val="auto"/>
              </w:rPr>
              <w:t>0</w:t>
            </w:r>
          </w:p>
        </w:tc>
        <w:tc>
          <w:tcPr>
            <w:tcW w:w="760" w:type="dxa"/>
            <w:vAlign w:val="bottom"/>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7"/>
                <w:szCs w:val="17"/>
                <w:color w:val="auto"/>
              </w:rPr>
              <w:t>Saylorville Sand</w:t>
            </w:r>
          </w:p>
        </w:tc>
        <w:tc>
          <w:tcPr>
            <w:tcW w:w="860" w:type="dxa"/>
            <w:vAlign w:val="bottom"/>
            <w:shd w:val="clear" w:color="auto" w:fill="CCEEFF"/>
          </w:tcPr>
          <w:p>
            <w:pPr>
              <w:jc w:val="center"/>
              <w:ind w:left="54"/>
              <w:spacing w:after="0"/>
              <w:rPr>
                <w:sz w:val="20"/>
                <w:szCs w:val="20"/>
                <w:color w:val="auto"/>
              </w:rPr>
            </w:pPr>
            <w:r>
              <w:rPr>
                <w:rFonts w:ascii="Arial" w:cs="Arial" w:eastAsia="Arial" w:hAnsi="Arial"/>
                <w:sz w:val="17"/>
                <w:szCs w:val="17"/>
                <w:color w:val="auto"/>
                <w:w w:val="90"/>
              </w:rPr>
              <w:t>1302290</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0</w:t>
            </w: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7"/>
                <w:szCs w:val="17"/>
                <w:color w:val="auto"/>
              </w:rPr>
              <w:t>Smithson Valley Quarry</w:t>
            </w:r>
          </w:p>
        </w:tc>
        <w:tc>
          <w:tcPr>
            <w:tcW w:w="860" w:type="dxa"/>
            <w:vAlign w:val="bottom"/>
          </w:tcPr>
          <w:p>
            <w:pPr>
              <w:jc w:val="center"/>
              <w:ind w:left="54"/>
              <w:spacing w:after="0"/>
              <w:rPr>
                <w:sz w:val="20"/>
                <w:szCs w:val="20"/>
                <w:color w:val="auto"/>
              </w:rPr>
            </w:pPr>
            <w:r>
              <w:rPr>
                <w:rFonts w:ascii="Arial" w:cs="Arial" w:eastAsia="Arial" w:hAnsi="Arial"/>
                <w:sz w:val="17"/>
                <w:szCs w:val="17"/>
                <w:color w:val="auto"/>
                <w:w w:val="90"/>
              </w:rPr>
              <w:t>4104108</w:t>
            </w:r>
          </w:p>
        </w:tc>
        <w:tc>
          <w:tcPr>
            <w:tcW w:w="720" w:type="dxa"/>
            <w:vAlign w:val="bottom"/>
          </w:tcPr>
          <w:p>
            <w:pPr>
              <w:jc w:val="right"/>
              <w:ind w:right="16"/>
              <w:spacing w:after="0"/>
              <w:rPr>
                <w:sz w:val="20"/>
                <w:szCs w:val="20"/>
                <w:color w:val="auto"/>
              </w:rPr>
            </w:pPr>
            <w:r>
              <w:rPr>
                <w:rFonts w:ascii="Arial" w:cs="Arial" w:eastAsia="Arial" w:hAnsi="Arial"/>
                <w:sz w:val="17"/>
                <w:szCs w:val="17"/>
                <w:color w:val="auto"/>
              </w:rPr>
              <w:t>2</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1</w:t>
            </w: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tcPr>
          <w:p>
            <w:pPr>
              <w:jc w:val="right"/>
              <w:ind w:right="17"/>
              <w:spacing w:after="0"/>
              <w:rPr>
                <w:sz w:val="20"/>
                <w:szCs w:val="20"/>
                <w:color w:val="auto"/>
              </w:rPr>
            </w:pPr>
            <w:r>
              <w:rPr>
                <w:rFonts w:ascii="Arial" w:cs="Arial" w:eastAsia="Arial" w:hAnsi="Arial"/>
                <w:sz w:val="17"/>
                <w:szCs w:val="17"/>
                <w:b w:val="1"/>
                <w:bCs w:val="1"/>
                <w:color w:val="auto"/>
              </w:rPr>
              <w:t>12,917</w:t>
            </w:r>
          </w:p>
        </w:tc>
        <w:tc>
          <w:tcPr>
            <w:tcW w:w="760" w:type="dxa"/>
            <w:vAlign w:val="bottom"/>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7"/>
                <w:szCs w:val="17"/>
                <w:color w:val="auto"/>
              </w:rPr>
              <w:t>St Cloud Quarry</w:t>
            </w:r>
          </w:p>
        </w:tc>
        <w:tc>
          <w:tcPr>
            <w:tcW w:w="860" w:type="dxa"/>
            <w:vAlign w:val="bottom"/>
            <w:shd w:val="clear" w:color="auto" w:fill="CCEEFF"/>
          </w:tcPr>
          <w:p>
            <w:pPr>
              <w:jc w:val="center"/>
              <w:ind w:left="54"/>
              <w:spacing w:after="0"/>
              <w:rPr>
                <w:sz w:val="20"/>
                <w:szCs w:val="20"/>
                <w:color w:val="auto"/>
              </w:rPr>
            </w:pPr>
            <w:r>
              <w:rPr>
                <w:rFonts w:ascii="Arial" w:cs="Arial" w:eastAsia="Arial" w:hAnsi="Arial"/>
                <w:sz w:val="17"/>
                <w:szCs w:val="17"/>
                <w:color w:val="auto"/>
                <w:w w:val="90"/>
              </w:rPr>
              <w:t>2100081</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733</w:t>
            </w: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7"/>
                <w:szCs w:val="17"/>
                <w:color w:val="auto"/>
              </w:rPr>
              <w:t>Stamper Mine</w:t>
            </w:r>
          </w:p>
        </w:tc>
        <w:tc>
          <w:tcPr>
            <w:tcW w:w="860" w:type="dxa"/>
            <w:vAlign w:val="bottom"/>
          </w:tcPr>
          <w:p>
            <w:pPr>
              <w:jc w:val="center"/>
              <w:ind w:left="54"/>
              <w:spacing w:after="0"/>
              <w:rPr>
                <w:sz w:val="20"/>
                <w:szCs w:val="20"/>
                <w:color w:val="auto"/>
              </w:rPr>
            </w:pPr>
            <w:r>
              <w:rPr>
                <w:rFonts w:ascii="Arial" w:cs="Arial" w:eastAsia="Arial" w:hAnsi="Arial"/>
                <w:sz w:val="17"/>
                <w:szCs w:val="17"/>
                <w:color w:val="auto"/>
                <w:w w:val="90"/>
              </w:rPr>
              <w:t>2302232</w:t>
            </w:r>
          </w:p>
        </w:tc>
        <w:tc>
          <w:tcPr>
            <w:tcW w:w="720" w:type="dxa"/>
            <w:vAlign w:val="bottom"/>
          </w:tcPr>
          <w:p>
            <w:pPr>
              <w:jc w:val="right"/>
              <w:ind w:right="16"/>
              <w:spacing w:after="0"/>
              <w:rPr>
                <w:sz w:val="20"/>
                <w:szCs w:val="20"/>
                <w:color w:val="auto"/>
              </w:rPr>
            </w:pPr>
            <w:r>
              <w:rPr>
                <w:rFonts w:ascii="Arial" w:cs="Arial" w:eastAsia="Arial" w:hAnsi="Arial"/>
                <w:sz w:val="17"/>
                <w:szCs w:val="17"/>
                <w:color w:val="auto"/>
              </w:rPr>
              <w:t>5</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tcPr>
          <w:p>
            <w:pPr>
              <w:jc w:val="right"/>
              <w:ind w:right="17"/>
              <w:spacing w:after="0"/>
              <w:rPr>
                <w:sz w:val="20"/>
                <w:szCs w:val="20"/>
                <w:color w:val="auto"/>
              </w:rPr>
            </w:pPr>
            <w:r>
              <w:rPr>
                <w:rFonts w:ascii="Arial" w:cs="Arial" w:eastAsia="Arial" w:hAnsi="Arial"/>
                <w:sz w:val="17"/>
                <w:szCs w:val="17"/>
                <w:b w:val="1"/>
                <w:bCs w:val="1"/>
                <w:color w:val="auto"/>
              </w:rPr>
              <w:t>5,320</w:t>
            </w:r>
          </w:p>
        </w:tc>
        <w:tc>
          <w:tcPr>
            <w:tcW w:w="760" w:type="dxa"/>
            <w:vAlign w:val="bottom"/>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tcPr>
          <w:p>
            <w:pPr>
              <w:jc w:val="right"/>
              <w:ind w:right="18"/>
              <w:spacing w:after="0"/>
              <w:rPr>
                <w:sz w:val="20"/>
                <w:szCs w:val="20"/>
                <w:color w:val="auto"/>
              </w:rPr>
            </w:pPr>
            <w:r>
              <w:rPr>
                <w:rFonts w:ascii="Arial" w:cs="Arial" w:eastAsia="Arial" w:hAnsi="Arial"/>
                <w:sz w:val="17"/>
                <w:szCs w:val="17"/>
                <w:b w:val="1"/>
                <w:bCs w:val="1"/>
                <w:color w:val="auto"/>
              </w:rPr>
              <w:t>3</w:t>
            </w:r>
          </w:p>
        </w:tc>
        <w:tc>
          <w:tcPr>
            <w:tcW w:w="780" w:type="dxa"/>
            <w:vAlign w:val="bottom"/>
          </w:tcPr>
          <w:p>
            <w:pPr>
              <w:jc w:val="right"/>
              <w:ind w:right="17"/>
              <w:spacing w:after="0"/>
              <w:rPr>
                <w:sz w:val="20"/>
                <w:szCs w:val="20"/>
                <w:color w:val="auto"/>
              </w:rPr>
            </w:pPr>
            <w:r>
              <w:rPr>
                <w:rFonts w:ascii="Arial" w:cs="Arial" w:eastAsia="Arial" w:hAnsi="Arial"/>
                <w:sz w:val="17"/>
                <w:szCs w:val="17"/>
                <w:b w:val="1"/>
                <w:bCs w:val="1"/>
                <w:color w:val="auto"/>
              </w:rPr>
              <w:t>3</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7"/>
                <w:szCs w:val="17"/>
                <w:color w:val="auto"/>
              </w:rPr>
              <w:t>Sully Mine</w:t>
            </w:r>
          </w:p>
        </w:tc>
        <w:tc>
          <w:tcPr>
            <w:tcW w:w="860" w:type="dxa"/>
            <w:vAlign w:val="bottom"/>
            <w:shd w:val="clear" w:color="auto" w:fill="CCEEFF"/>
          </w:tcPr>
          <w:p>
            <w:pPr>
              <w:jc w:val="center"/>
              <w:ind w:left="54"/>
              <w:spacing w:after="0"/>
              <w:rPr>
                <w:sz w:val="20"/>
                <w:szCs w:val="20"/>
                <w:color w:val="auto"/>
              </w:rPr>
            </w:pPr>
            <w:r>
              <w:rPr>
                <w:rFonts w:ascii="Arial" w:cs="Arial" w:eastAsia="Arial" w:hAnsi="Arial"/>
                <w:sz w:val="17"/>
                <w:szCs w:val="17"/>
                <w:color w:val="auto"/>
                <w:w w:val="90"/>
              </w:rPr>
              <w:t>1300063</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1,392</w:t>
            </w: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7"/>
                <w:szCs w:val="17"/>
                <w:color w:val="auto"/>
              </w:rPr>
              <w:t>Sunflower</w:t>
            </w:r>
          </w:p>
        </w:tc>
        <w:tc>
          <w:tcPr>
            <w:tcW w:w="860" w:type="dxa"/>
            <w:vAlign w:val="bottom"/>
          </w:tcPr>
          <w:p>
            <w:pPr>
              <w:jc w:val="center"/>
              <w:ind w:left="54"/>
              <w:spacing w:after="0"/>
              <w:rPr>
                <w:sz w:val="20"/>
                <w:szCs w:val="20"/>
                <w:color w:val="auto"/>
              </w:rPr>
            </w:pPr>
            <w:r>
              <w:rPr>
                <w:rFonts w:ascii="Arial" w:cs="Arial" w:eastAsia="Arial" w:hAnsi="Arial"/>
                <w:sz w:val="17"/>
                <w:szCs w:val="17"/>
                <w:color w:val="auto"/>
                <w:w w:val="90"/>
              </w:rPr>
              <w:t>1401556</w:t>
            </w:r>
          </w:p>
        </w:tc>
        <w:tc>
          <w:tcPr>
            <w:tcW w:w="72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tcPr>
          <w:p>
            <w:pPr>
              <w:jc w:val="right"/>
              <w:ind w:right="17"/>
              <w:spacing w:after="0"/>
              <w:rPr>
                <w:sz w:val="20"/>
                <w:szCs w:val="20"/>
                <w:color w:val="auto"/>
              </w:rPr>
            </w:pPr>
            <w:r>
              <w:rPr>
                <w:rFonts w:ascii="Arial" w:cs="Arial" w:eastAsia="Arial" w:hAnsi="Arial"/>
                <w:sz w:val="17"/>
                <w:szCs w:val="17"/>
                <w:b w:val="1"/>
                <w:bCs w:val="1"/>
                <w:color w:val="auto"/>
              </w:rPr>
              <w:t>116</w:t>
            </w:r>
          </w:p>
        </w:tc>
        <w:tc>
          <w:tcPr>
            <w:tcW w:w="760" w:type="dxa"/>
            <w:vAlign w:val="bottom"/>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7"/>
                <w:szCs w:val="17"/>
                <w:color w:val="auto"/>
              </w:rPr>
              <w:t>Weeping Water Mine</w:t>
            </w:r>
          </w:p>
        </w:tc>
        <w:tc>
          <w:tcPr>
            <w:tcW w:w="860" w:type="dxa"/>
            <w:vAlign w:val="bottom"/>
            <w:shd w:val="clear" w:color="auto" w:fill="CCEEFF"/>
          </w:tcPr>
          <w:p>
            <w:pPr>
              <w:jc w:val="center"/>
              <w:ind w:left="54"/>
              <w:spacing w:after="0"/>
              <w:rPr>
                <w:sz w:val="20"/>
                <w:szCs w:val="20"/>
                <w:color w:val="auto"/>
              </w:rPr>
            </w:pPr>
            <w:r>
              <w:rPr>
                <w:rFonts w:ascii="Arial" w:cs="Arial" w:eastAsia="Arial" w:hAnsi="Arial"/>
                <w:sz w:val="17"/>
                <w:szCs w:val="17"/>
                <w:color w:val="auto"/>
                <w:w w:val="90"/>
              </w:rPr>
              <w:t>2500998</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6</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12,315</w:t>
            </w: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1</w:t>
            </w: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6</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10</w:t>
            </w:r>
          </w:p>
        </w:tc>
        <w:tc>
          <w:tcPr>
            <w:tcW w:w="0" w:type="dxa"/>
            <w:vAlign w:val="bottom"/>
          </w:tcPr>
          <w:p>
            <w:pPr>
              <w:spacing w:after="0"/>
              <w:rPr>
                <w:sz w:val="1"/>
                <w:szCs w:val="1"/>
                <w:color w:val="auto"/>
              </w:rPr>
            </w:pPr>
          </w:p>
        </w:tc>
      </w:tr>
    </w:tbl>
    <w:p>
      <w:pPr>
        <w:sectPr>
          <w:pgSz w:w="11900" w:h="16838" w:orient="portrait"/>
          <w:cols w:equalWidth="0" w:num="1">
            <w:col w:w="11420"/>
          </w:cols>
          <w:pgMar w:left="240" w:top="242" w:right="239" w:bottom="1440" w:gutter="0" w:footer="0" w:header="0"/>
        </w:sectPr>
      </w:pPr>
    </w:p>
    <w:bookmarkStart w:id="163" w:name="page164"/>
    <w:bookmarkEnd w:id="16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2">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4"/>
              </w:rPr>
              <w:t>Received</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4"/>
              </w:rPr>
              <w:t>Received</w:t>
            </w: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Legal</w:t>
            </w: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Total</w:t>
            </w:r>
          </w:p>
        </w:tc>
        <w:tc>
          <w:tcPr>
            <w:tcW w:w="7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6"/>
              </w:rPr>
              <w:t>Notice of</w:t>
            </w:r>
          </w:p>
        </w:tc>
        <w:tc>
          <w:tcPr>
            <w:tcW w:w="6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6"/>
              </w:rPr>
              <w:t>Notice of</w:t>
            </w:r>
          </w:p>
        </w:tc>
        <w:tc>
          <w:tcPr>
            <w:tcW w:w="66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Section</w:t>
            </w: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vMerge w:val="restart"/>
          </w:tcPr>
          <w:p>
            <w:pPr>
              <w:jc w:val="center"/>
              <w:ind w:right="137"/>
              <w:spacing w:after="0"/>
              <w:rPr>
                <w:sz w:val="20"/>
                <w:szCs w:val="20"/>
                <w:color w:val="auto"/>
              </w:rPr>
            </w:pPr>
            <w:r>
              <w:rPr>
                <w:rFonts w:ascii="Arial" w:cs="Arial" w:eastAsia="Arial" w:hAnsi="Arial"/>
                <w:sz w:val="14"/>
                <w:szCs w:val="14"/>
                <w:b w:val="1"/>
                <w:bCs w:val="1"/>
                <w:color w:val="auto"/>
                <w:w w:val="95"/>
              </w:rPr>
              <w:t>Total</w:t>
            </w:r>
          </w:p>
        </w:tc>
        <w:tc>
          <w:tcPr>
            <w:tcW w:w="760" w:type="dxa"/>
            <w:vAlign w:val="bottom"/>
            <w:vMerge w:val="continue"/>
          </w:tcPr>
          <w:p>
            <w:pPr>
              <w:spacing w:after="0"/>
              <w:rPr>
                <w:sz w:val="12"/>
                <w:szCs w:val="12"/>
                <w:color w:val="auto"/>
              </w:rPr>
            </w:pPr>
          </w:p>
        </w:tc>
        <w:tc>
          <w:tcPr>
            <w:tcW w:w="7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1"/>
              </w:rPr>
              <w:t>Pattern</w:t>
            </w:r>
          </w:p>
        </w:tc>
        <w:tc>
          <w:tcPr>
            <w:tcW w:w="6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1"/>
              </w:rPr>
              <w:t>Potential</w:t>
            </w:r>
          </w:p>
        </w:tc>
        <w:tc>
          <w:tcPr>
            <w:tcW w:w="6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5"/>
              </w:rPr>
              <w:t>Actions</w:t>
            </w: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Legal</w:t>
            </w: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Legal</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7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0"/>
              </w:rPr>
              <w:t>Number</w:t>
            </w:r>
          </w:p>
        </w:tc>
        <w:tc>
          <w:tcPr>
            <w:tcW w:w="7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0"/>
              </w:rPr>
              <w:t>of</w:t>
            </w:r>
          </w:p>
        </w:tc>
        <w:tc>
          <w:tcPr>
            <w:tcW w:w="6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5"/>
              </w:rPr>
              <w:t>to have</w:t>
            </w:r>
          </w:p>
        </w:tc>
        <w:tc>
          <w:tcPr>
            <w:tcW w:w="660" w:type="dxa"/>
            <w:vAlign w:val="bottom"/>
          </w:tcPr>
          <w:p>
            <w:pPr>
              <w:jc w:val="right"/>
              <w:ind w:right="18"/>
              <w:spacing w:after="0" w:line="143" w:lineRule="exact"/>
              <w:rPr>
                <w:sz w:val="20"/>
                <w:szCs w:val="20"/>
                <w:color w:val="auto"/>
              </w:rPr>
            </w:pPr>
            <w:r>
              <w:rPr>
                <w:rFonts w:ascii="Arial" w:cs="Arial" w:eastAsia="Arial" w:hAnsi="Arial"/>
                <w:sz w:val="14"/>
                <w:szCs w:val="14"/>
                <w:b w:val="1"/>
                <w:bCs w:val="1"/>
                <w:color w:val="auto"/>
                <w:w w:val="97"/>
              </w:rPr>
              <w:t>Pending</w:t>
            </w:r>
          </w:p>
        </w:tc>
        <w:tc>
          <w:tcPr>
            <w:tcW w:w="78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2"/>
              </w:rPr>
              <w:t>Section</w:t>
            </w:r>
          </w:p>
        </w:tc>
        <w:tc>
          <w:tcPr>
            <w:tcW w:w="64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w w:val="98"/>
              </w:rPr>
              <w:t>Section</w:t>
            </w:r>
          </w:p>
        </w:tc>
        <w:tc>
          <w:tcPr>
            <w:tcW w:w="7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2"/>
              </w:rPr>
              <w:t>104(d)</w:t>
            </w:r>
          </w:p>
        </w:tc>
        <w:tc>
          <w:tcPr>
            <w:tcW w:w="78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Section</w:t>
            </w:r>
          </w:p>
        </w:tc>
        <w:tc>
          <w:tcPr>
            <w:tcW w:w="64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rPr>
              <w:t>Section</w:t>
            </w:r>
          </w:p>
        </w:tc>
        <w:tc>
          <w:tcPr>
            <w:tcW w:w="220" w:type="dxa"/>
            <w:vAlign w:val="bottom"/>
          </w:tcPr>
          <w:p>
            <w:pPr>
              <w:spacing w:after="0"/>
              <w:rPr>
                <w:sz w:val="12"/>
                <w:szCs w:val="12"/>
                <w:color w:val="auto"/>
              </w:rPr>
            </w:pPr>
          </w:p>
        </w:tc>
        <w:tc>
          <w:tcPr>
            <w:tcW w:w="700" w:type="dxa"/>
            <w:vAlign w:val="bottom"/>
          </w:tcPr>
          <w:p>
            <w:pPr>
              <w:jc w:val="center"/>
              <w:ind w:right="137"/>
              <w:spacing w:after="0" w:line="143" w:lineRule="exact"/>
              <w:rPr>
                <w:sz w:val="20"/>
                <w:szCs w:val="20"/>
                <w:color w:val="auto"/>
              </w:rPr>
            </w:pPr>
            <w:r>
              <w:rPr>
                <w:rFonts w:ascii="Arial" w:cs="Arial" w:eastAsia="Arial" w:hAnsi="Arial"/>
                <w:sz w:val="14"/>
                <w:szCs w:val="14"/>
                <w:b w:val="1"/>
                <w:bCs w:val="1"/>
                <w:color w:val="auto"/>
                <w:w w:val="90"/>
              </w:rPr>
              <w:t>Dollar</w:t>
            </w:r>
          </w:p>
        </w:tc>
        <w:tc>
          <w:tcPr>
            <w:tcW w:w="7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0"/>
              </w:rPr>
              <w:t>of</w:t>
            </w:r>
          </w:p>
        </w:tc>
        <w:tc>
          <w:tcPr>
            <w:tcW w:w="7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1"/>
              </w:rPr>
              <w:t>Violation</w:t>
            </w:r>
          </w:p>
        </w:tc>
        <w:tc>
          <w:tcPr>
            <w:tcW w:w="6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1"/>
              </w:rPr>
              <w:t>Pattern</w:t>
            </w:r>
          </w:p>
        </w:tc>
        <w:tc>
          <w:tcPr>
            <w:tcW w:w="6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5"/>
              </w:rPr>
              <w:t>as of</w:t>
            </w:r>
          </w:p>
        </w:tc>
        <w:tc>
          <w:tcPr>
            <w:tcW w:w="7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5"/>
              </w:rPr>
              <w:t>Actions</w:t>
            </w:r>
          </w:p>
        </w:tc>
        <w:tc>
          <w:tcPr>
            <w:tcW w:w="6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5"/>
              </w:rPr>
              <w:t>Actions</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740" w:type="dxa"/>
            <w:vAlign w:val="bottom"/>
          </w:tcPr>
          <w:p>
            <w:pPr>
              <w:jc w:val="right"/>
              <w:ind w:right="17"/>
              <w:spacing w:after="0" w:line="143" w:lineRule="exact"/>
              <w:rPr>
                <w:sz w:val="20"/>
                <w:szCs w:val="20"/>
                <w:color w:val="auto"/>
              </w:rPr>
            </w:pPr>
            <w:r>
              <w:rPr>
                <w:rFonts w:ascii="Arial" w:cs="Arial" w:eastAsia="Arial" w:hAnsi="Arial"/>
                <w:sz w:val="14"/>
                <w:szCs w:val="14"/>
                <w:b w:val="1"/>
                <w:bCs w:val="1"/>
                <w:color w:val="auto"/>
              </w:rPr>
              <w:t>Citations</w:t>
            </w:r>
          </w:p>
        </w:tc>
        <w:tc>
          <w:tcPr>
            <w:tcW w:w="78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center"/>
              <w:ind w:right="137"/>
              <w:spacing w:after="0" w:line="143" w:lineRule="exact"/>
              <w:rPr>
                <w:sz w:val="20"/>
                <w:szCs w:val="20"/>
                <w:color w:val="auto"/>
              </w:rPr>
            </w:pPr>
            <w:r>
              <w:rPr>
                <w:rFonts w:ascii="Arial" w:cs="Arial" w:eastAsia="Arial" w:hAnsi="Arial"/>
                <w:sz w:val="14"/>
                <w:szCs w:val="14"/>
                <w:b w:val="1"/>
                <w:bCs w:val="1"/>
                <w:color w:val="auto"/>
                <w:w w:val="88"/>
              </w:rPr>
              <w:t>Value of</w:t>
            </w:r>
          </w:p>
        </w:tc>
        <w:tc>
          <w:tcPr>
            <w:tcW w:w="7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7"/>
              </w:rPr>
              <w:t>Mining</w:t>
            </w:r>
          </w:p>
        </w:tc>
        <w:tc>
          <w:tcPr>
            <w:tcW w:w="7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3"/>
              </w:rPr>
              <w:t>Under</w:t>
            </w:r>
          </w:p>
        </w:tc>
        <w:tc>
          <w:tcPr>
            <w:tcW w:w="6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2"/>
              </w:rPr>
              <w:t>under</w:t>
            </w:r>
          </w:p>
        </w:tc>
        <w:tc>
          <w:tcPr>
            <w:tcW w:w="6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7"/>
              </w:rPr>
              <w:t>Last</w:t>
            </w:r>
          </w:p>
        </w:tc>
        <w:tc>
          <w:tcPr>
            <w:tcW w:w="780" w:type="dxa"/>
            <w:vAlign w:val="bottom"/>
          </w:tcPr>
          <w:p>
            <w:pPr>
              <w:jc w:val="right"/>
              <w:ind w:right="17"/>
              <w:spacing w:after="0" w:line="143" w:lineRule="exact"/>
              <w:rPr>
                <w:sz w:val="20"/>
                <w:szCs w:val="20"/>
                <w:color w:val="auto"/>
              </w:rPr>
            </w:pPr>
            <w:r>
              <w:rPr>
                <w:rFonts w:ascii="Arial" w:cs="Arial" w:eastAsia="Arial" w:hAnsi="Arial"/>
                <w:sz w:val="14"/>
                <w:szCs w:val="14"/>
                <w:b w:val="1"/>
                <w:bCs w:val="1"/>
                <w:color w:val="auto"/>
              </w:rPr>
              <w:t>Instituted</w:t>
            </w:r>
          </w:p>
        </w:tc>
        <w:tc>
          <w:tcPr>
            <w:tcW w:w="680" w:type="dxa"/>
            <w:vAlign w:val="bottom"/>
          </w:tcPr>
          <w:p>
            <w:pPr>
              <w:jc w:val="right"/>
              <w:spacing w:after="0" w:line="143" w:lineRule="exact"/>
              <w:rPr>
                <w:sz w:val="20"/>
                <w:szCs w:val="20"/>
                <w:color w:val="auto"/>
              </w:rPr>
            </w:pPr>
            <w:r>
              <w:rPr>
                <w:rFonts w:ascii="Arial" w:cs="Arial" w:eastAsia="Arial" w:hAnsi="Arial"/>
                <w:sz w:val="14"/>
                <w:szCs w:val="14"/>
                <w:b w:val="1"/>
                <w:bCs w:val="1"/>
                <w:color w:val="auto"/>
                <w:w w:val="99"/>
              </w:rPr>
              <w:t>Resolved</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9"/>
              </w:rPr>
              <w:t>104 S&amp;S</w:t>
            </w:r>
          </w:p>
        </w:tc>
        <w:tc>
          <w:tcPr>
            <w:tcW w:w="6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2"/>
              </w:rPr>
              <w:t>104(b)</w:t>
            </w:r>
          </w:p>
        </w:tc>
        <w:tc>
          <w:tcPr>
            <w:tcW w:w="7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8"/>
              </w:rPr>
              <w:t>and</w:t>
            </w:r>
          </w:p>
        </w:tc>
        <w:tc>
          <w:tcPr>
            <w:tcW w:w="7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2"/>
              </w:rPr>
              <w:t>110(b)(2)</w:t>
            </w:r>
          </w:p>
        </w:tc>
        <w:tc>
          <w:tcPr>
            <w:tcW w:w="6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8"/>
              </w:rPr>
              <w:t>107(a)</w:t>
            </w:r>
          </w:p>
        </w:tc>
        <w:tc>
          <w:tcPr>
            <w:tcW w:w="220" w:type="dxa"/>
            <w:vAlign w:val="bottom"/>
          </w:tcPr>
          <w:p>
            <w:pPr>
              <w:spacing w:after="0"/>
              <w:rPr>
                <w:sz w:val="12"/>
                <w:szCs w:val="12"/>
                <w:color w:val="auto"/>
              </w:rPr>
            </w:pPr>
          </w:p>
        </w:tc>
        <w:tc>
          <w:tcPr>
            <w:tcW w:w="700" w:type="dxa"/>
            <w:vAlign w:val="bottom"/>
          </w:tcPr>
          <w:p>
            <w:pPr>
              <w:jc w:val="center"/>
              <w:ind w:right="137"/>
              <w:spacing w:after="0" w:line="143" w:lineRule="exact"/>
              <w:rPr>
                <w:sz w:val="20"/>
                <w:szCs w:val="20"/>
                <w:color w:val="auto"/>
              </w:rPr>
            </w:pPr>
            <w:r>
              <w:rPr>
                <w:rFonts w:ascii="Arial" w:cs="Arial" w:eastAsia="Arial" w:hAnsi="Arial"/>
                <w:sz w:val="14"/>
                <w:szCs w:val="14"/>
                <w:b w:val="1"/>
                <w:bCs w:val="1"/>
                <w:color w:val="auto"/>
                <w:w w:val="96"/>
              </w:rPr>
              <w:t>MSHA</w:t>
            </w:r>
          </w:p>
        </w:tc>
        <w:tc>
          <w:tcPr>
            <w:tcW w:w="7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6"/>
              </w:rPr>
              <w:t>Related</w:t>
            </w:r>
          </w:p>
        </w:tc>
        <w:tc>
          <w:tcPr>
            <w:tcW w:w="7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6"/>
              </w:rPr>
              <w:t>Section</w:t>
            </w:r>
          </w:p>
        </w:tc>
        <w:tc>
          <w:tcPr>
            <w:tcW w:w="6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6"/>
              </w:rPr>
              <w:t>Section</w:t>
            </w:r>
          </w:p>
        </w:tc>
        <w:tc>
          <w:tcPr>
            <w:tcW w:w="6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3"/>
              </w:rPr>
              <w:t>Day of</w:t>
            </w:r>
          </w:p>
        </w:tc>
        <w:tc>
          <w:tcPr>
            <w:tcW w:w="7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3"/>
              </w:rPr>
              <w:t>During</w:t>
            </w:r>
          </w:p>
        </w:tc>
        <w:tc>
          <w:tcPr>
            <w:tcW w:w="6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3"/>
              </w:rPr>
              <w:t>During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jc w:val="right"/>
              <w:ind w:right="16"/>
              <w:spacing w:after="0" w:line="143" w:lineRule="exact"/>
              <w:rPr>
                <w:sz w:val="20"/>
                <w:szCs w:val="20"/>
                <w:color w:val="auto"/>
              </w:rPr>
            </w:pPr>
            <w:r>
              <w:rPr>
                <w:rFonts w:ascii="Arial" w:cs="Arial" w:eastAsia="Arial" w:hAnsi="Arial"/>
                <w:sz w:val="14"/>
                <w:szCs w:val="14"/>
                <w:b w:val="1"/>
                <w:bCs w:val="1"/>
                <w:color w:val="auto"/>
              </w:rPr>
              <w:t>Citations</w:t>
            </w:r>
          </w:p>
        </w:tc>
        <w:tc>
          <w:tcPr>
            <w:tcW w:w="640" w:type="dxa"/>
            <w:vAlign w:val="bottom"/>
          </w:tcPr>
          <w:p>
            <w:pPr>
              <w:jc w:val="right"/>
              <w:ind w:right="36"/>
              <w:spacing w:after="0" w:line="143" w:lineRule="exact"/>
              <w:rPr>
                <w:sz w:val="20"/>
                <w:szCs w:val="20"/>
                <w:color w:val="auto"/>
              </w:rPr>
            </w:pPr>
            <w:r>
              <w:rPr>
                <w:rFonts w:ascii="Arial" w:cs="Arial" w:eastAsia="Arial" w:hAnsi="Arial"/>
                <w:sz w:val="14"/>
                <w:szCs w:val="14"/>
                <w:b w:val="1"/>
                <w:bCs w:val="1"/>
                <w:color w:val="auto"/>
              </w:rPr>
              <w:t>Orders</w:t>
            </w:r>
          </w:p>
        </w:tc>
        <w:tc>
          <w:tcPr>
            <w:tcW w:w="7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1"/>
              </w:rPr>
              <w:t>Orders</w:t>
            </w:r>
          </w:p>
        </w:tc>
        <w:tc>
          <w:tcPr>
            <w:tcW w:w="780" w:type="dxa"/>
            <w:vAlign w:val="bottom"/>
          </w:tcPr>
          <w:p>
            <w:pPr>
              <w:jc w:val="right"/>
              <w:ind w:right="16"/>
              <w:spacing w:after="0" w:line="143" w:lineRule="exact"/>
              <w:rPr>
                <w:sz w:val="20"/>
                <w:szCs w:val="20"/>
                <w:color w:val="auto"/>
              </w:rPr>
            </w:pPr>
            <w:r>
              <w:rPr>
                <w:rFonts w:ascii="Arial" w:cs="Arial" w:eastAsia="Arial" w:hAnsi="Arial"/>
                <w:sz w:val="14"/>
                <w:szCs w:val="14"/>
                <w:b w:val="1"/>
                <w:bCs w:val="1"/>
                <w:color w:val="auto"/>
                <w:w w:val="98"/>
              </w:rPr>
              <w:t>Violations</w:t>
            </w:r>
          </w:p>
        </w:tc>
        <w:tc>
          <w:tcPr>
            <w:tcW w:w="640" w:type="dxa"/>
            <w:vAlign w:val="bottom"/>
          </w:tcPr>
          <w:p>
            <w:pPr>
              <w:jc w:val="right"/>
              <w:ind w:right="16"/>
              <w:spacing w:after="0" w:line="143" w:lineRule="exact"/>
              <w:rPr>
                <w:sz w:val="20"/>
                <w:szCs w:val="20"/>
                <w:color w:val="auto"/>
              </w:rPr>
            </w:pPr>
            <w:r>
              <w:rPr>
                <w:rFonts w:ascii="Arial" w:cs="Arial" w:eastAsia="Arial" w:hAnsi="Arial"/>
                <w:sz w:val="14"/>
                <w:szCs w:val="14"/>
                <w:b w:val="1"/>
                <w:bCs w:val="1"/>
                <w:color w:val="auto"/>
              </w:rPr>
              <w:t>Orders</w:t>
            </w:r>
          </w:p>
        </w:tc>
        <w:tc>
          <w:tcPr>
            <w:tcW w:w="920" w:type="dxa"/>
            <w:vAlign w:val="bottom"/>
            <w:gridSpan w:val="2"/>
          </w:tcPr>
          <w:p>
            <w:pPr>
              <w:ind w:left="100"/>
              <w:spacing w:after="0" w:line="143" w:lineRule="exact"/>
              <w:rPr>
                <w:sz w:val="20"/>
                <w:szCs w:val="20"/>
                <w:color w:val="auto"/>
              </w:rPr>
            </w:pPr>
            <w:r>
              <w:rPr>
                <w:rFonts w:ascii="Arial" w:cs="Arial" w:eastAsia="Arial" w:hAnsi="Arial"/>
                <w:sz w:val="14"/>
                <w:szCs w:val="14"/>
                <w:b w:val="1"/>
                <w:bCs w:val="1"/>
                <w:color w:val="auto"/>
                <w:w w:val="92"/>
              </w:rPr>
              <w:t>Assessment/</w:t>
            </w:r>
          </w:p>
        </w:tc>
        <w:tc>
          <w:tcPr>
            <w:tcW w:w="760" w:type="dxa"/>
            <w:vAlign w:val="bottom"/>
          </w:tcPr>
          <w:p>
            <w:pPr>
              <w:jc w:val="right"/>
              <w:ind w:right="18"/>
              <w:spacing w:after="0" w:line="143" w:lineRule="exact"/>
              <w:rPr>
                <w:sz w:val="20"/>
                <w:szCs w:val="20"/>
                <w:color w:val="auto"/>
              </w:rPr>
            </w:pPr>
            <w:r>
              <w:rPr>
                <w:rFonts w:ascii="Arial" w:cs="Arial" w:eastAsia="Arial" w:hAnsi="Arial"/>
                <w:sz w:val="14"/>
                <w:szCs w:val="14"/>
                <w:b w:val="1"/>
                <w:bCs w:val="1"/>
                <w:color w:val="auto"/>
              </w:rPr>
              <w:t>Fatalities</w:t>
            </w:r>
          </w:p>
        </w:tc>
        <w:tc>
          <w:tcPr>
            <w:tcW w:w="7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8"/>
              </w:rPr>
              <w:t>104(e)</w:t>
            </w:r>
          </w:p>
        </w:tc>
        <w:tc>
          <w:tcPr>
            <w:tcW w:w="6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8"/>
              </w:rPr>
              <w:t>104(e)</w:t>
            </w:r>
          </w:p>
        </w:tc>
        <w:tc>
          <w:tcPr>
            <w:tcW w:w="6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1"/>
              </w:rPr>
              <w:t>Period</w:t>
            </w:r>
          </w:p>
        </w:tc>
        <w:tc>
          <w:tcPr>
            <w:tcW w:w="7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7"/>
              </w:rPr>
              <w:t>Period</w:t>
            </w:r>
          </w:p>
        </w:tc>
        <w:tc>
          <w:tcPr>
            <w:tcW w:w="6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7"/>
              </w:rPr>
              <w:t>Period</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860" w:type="dxa"/>
            <w:vAlign w:val="bottom"/>
          </w:tcPr>
          <w:p>
            <w:pPr>
              <w:ind w:left="680"/>
              <w:spacing w:after="0"/>
              <w:rPr>
                <w:sz w:val="20"/>
                <w:szCs w:val="20"/>
                <w:color w:val="auto"/>
              </w:rPr>
            </w:pPr>
            <w:r>
              <w:rPr>
                <w:rFonts w:ascii="Arial" w:cs="Arial" w:eastAsia="Arial" w:hAnsi="Arial"/>
                <w:sz w:val="14"/>
                <w:szCs w:val="14"/>
                <w:b w:val="1"/>
                <w:bCs w:val="1"/>
                <w:color w:val="auto"/>
              </w:rPr>
              <w:t>Location</w:t>
            </w:r>
          </w:p>
        </w:tc>
        <w:tc>
          <w:tcPr>
            <w:tcW w:w="840" w:type="dxa"/>
            <w:vAlign w:val="bottom"/>
          </w:tcPr>
          <w:p>
            <w:pPr>
              <w:ind w:left="160"/>
              <w:spacing w:after="0"/>
              <w:rPr>
                <w:sz w:val="20"/>
                <w:szCs w:val="20"/>
                <w:color w:val="auto"/>
              </w:rPr>
            </w:pPr>
            <w:r>
              <w:rPr>
                <w:rFonts w:ascii="Arial" w:cs="Arial" w:eastAsia="Arial" w:hAnsi="Arial"/>
                <w:sz w:val="14"/>
                <w:szCs w:val="14"/>
                <w:b w:val="1"/>
                <w:bCs w:val="1"/>
                <w:color w:val="auto"/>
              </w:rPr>
              <w:t>MSHA ID</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640" w:type="dxa"/>
            <w:vAlign w:val="bottom"/>
          </w:tcPr>
          <w:p>
            <w:pPr>
              <w:jc w:val="right"/>
              <w:ind w:right="156"/>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ind w:right="217"/>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236"/>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ind w:right="156"/>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ind w:left="140"/>
              <w:spacing w:after="0"/>
              <w:rPr>
                <w:sz w:val="20"/>
                <w:szCs w:val="20"/>
                <w:color w:val="auto"/>
              </w:rPr>
            </w:pPr>
            <w:r>
              <w:rPr>
                <w:rFonts w:ascii="Arial" w:cs="Arial" w:eastAsia="Arial" w:hAnsi="Arial"/>
                <w:sz w:val="14"/>
                <w:szCs w:val="14"/>
                <w:b w:val="1"/>
                <w:bCs w:val="1"/>
                <w:color w:val="auto"/>
                <w:w w:val="76"/>
              </w:rPr>
              <w:t>$</w:t>
            </w:r>
          </w:p>
        </w:tc>
        <w:tc>
          <w:tcPr>
            <w:tcW w:w="700" w:type="dxa"/>
            <w:vAlign w:val="bottom"/>
          </w:tcPr>
          <w:p>
            <w:pPr>
              <w:jc w:val="right"/>
              <w:ind w:right="57"/>
              <w:spacing w:after="0"/>
              <w:rPr>
                <w:sz w:val="20"/>
                <w:szCs w:val="20"/>
                <w:color w:val="auto"/>
              </w:rPr>
            </w:pPr>
            <w:r>
              <w:rPr>
                <w:rFonts w:ascii="Arial" w:cs="Arial" w:eastAsia="Arial" w:hAnsi="Arial"/>
                <w:sz w:val="14"/>
                <w:szCs w:val="14"/>
                <w:b w:val="1"/>
                <w:bCs w:val="1"/>
                <w:color w:val="auto"/>
                <w:w w:val="83"/>
              </w:rPr>
              <w:t>Proposed</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5"/>
              </w:rPr>
              <w:t>(yes/no)</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5"/>
              </w:rPr>
              <w:t>(yes/no)</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1860" w:type="dxa"/>
            <w:vAlign w:val="bottom"/>
          </w:tcPr>
          <w:p>
            <w:pPr>
              <w:spacing w:after="0"/>
              <w:rPr>
                <w:sz w:val="7"/>
                <w:szCs w:val="7"/>
                <w:color w:val="auto"/>
              </w:rPr>
            </w:pPr>
          </w:p>
        </w:tc>
        <w:tc>
          <w:tcPr>
            <w:tcW w:w="8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7"/>
                <w:szCs w:val="17"/>
                <w:color w:val="auto"/>
              </w:rPr>
              <w:t>Yellow Medicine Quarry</w:t>
            </w:r>
          </w:p>
        </w:tc>
        <w:tc>
          <w:tcPr>
            <w:tcW w:w="8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2100033</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276</w:t>
            </w: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7"/>
                <w:szCs w:val="17"/>
                <w:color w:val="auto"/>
              </w:rPr>
              <w:t>211 Quarry</w:t>
            </w:r>
          </w:p>
        </w:tc>
        <w:tc>
          <w:tcPr>
            <w:tcW w:w="840" w:type="dxa"/>
            <w:vAlign w:val="bottom"/>
          </w:tcPr>
          <w:p>
            <w:pPr>
              <w:jc w:val="center"/>
              <w:spacing w:after="0"/>
              <w:rPr>
                <w:sz w:val="20"/>
                <w:szCs w:val="20"/>
                <w:color w:val="auto"/>
              </w:rPr>
            </w:pPr>
            <w:r>
              <w:rPr>
                <w:rFonts w:ascii="Arial" w:cs="Arial" w:eastAsia="Arial" w:hAnsi="Arial"/>
                <w:sz w:val="17"/>
                <w:szCs w:val="17"/>
                <w:color w:val="auto"/>
                <w:w w:val="90"/>
              </w:rPr>
              <w:t>4103829</w:t>
            </w:r>
          </w:p>
        </w:tc>
        <w:tc>
          <w:tcPr>
            <w:tcW w:w="720" w:type="dxa"/>
            <w:vAlign w:val="bottom"/>
          </w:tcPr>
          <w:p>
            <w:pPr>
              <w:jc w:val="right"/>
              <w:ind w:right="16"/>
              <w:spacing w:after="0"/>
              <w:rPr>
                <w:sz w:val="20"/>
                <w:szCs w:val="20"/>
                <w:color w:val="auto"/>
              </w:rPr>
            </w:pPr>
            <w:r>
              <w:rPr>
                <w:rFonts w:ascii="Arial" w:cs="Arial" w:eastAsia="Arial" w:hAnsi="Arial"/>
                <w:sz w:val="17"/>
                <w:szCs w:val="17"/>
                <w:color w:val="auto"/>
              </w:rPr>
              <w:t>1</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tcPr>
          <w:p>
            <w:pPr>
              <w:jc w:val="right"/>
              <w:ind w:right="17"/>
              <w:spacing w:after="0"/>
              <w:rPr>
                <w:sz w:val="20"/>
                <w:szCs w:val="20"/>
                <w:color w:val="auto"/>
              </w:rPr>
            </w:pPr>
            <w:r>
              <w:rPr>
                <w:rFonts w:ascii="Arial" w:cs="Arial" w:eastAsia="Arial" w:hAnsi="Arial"/>
                <w:sz w:val="17"/>
                <w:szCs w:val="17"/>
                <w:b w:val="1"/>
                <w:bCs w:val="1"/>
                <w:color w:val="auto"/>
              </w:rPr>
              <w:t>232</w:t>
            </w:r>
          </w:p>
        </w:tc>
        <w:tc>
          <w:tcPr>
            <w:tcW w:w="760" w:type="dxa"/>
            <w:vAlign w:val="bottom"/>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7"/>
                <w:szCs w:val="17"/>
                <w:color w:val="auto"/>
              </w:rPr>
              <w:t>Augusta Quarry-KS</w:t>
            </w:r>
          </w:p>
        </w:tc>
        <w:tc>
          <w:tcPr>
            <w:tcW w:w="8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1400126</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0</w:t>
            </w: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7"/>
                <w:szCs w:val="17"/>
                <w:color w:val="auto"/>
              </w:rPr>
              <w:t>Beckman Quarry</w:t>
            </w:r>
          </w:p>
        </w:tc>
        <w:tc>
          <w:tcPr>
            <w:tcW w:w="840" w:type="dxa"/>
            <w:vAlign w:val="bottom"/>
          </w:tcPr>
          <w:p>
            <w:pPr>
              <w:jc w:val="center"/>
              <w:spacing w:after="0"/>
              <w:rPr>
                <w:sz w:val="20"/>
                <w:szCs w:val="20"/>
                <w:color w:val="auto"/>
              </w:rPr>
            </w:pPr>
            <w:r>
              <w:rPr>
                <w:rFonts w:ascii="Arial" w:cs="Arial" w:eastAsia="Arial" w:hAnsi="Arial"/>
                <w:sz w:val="17"/>
                <w:szCs w:val="17"/>
                <w:color w:val="auto"/>
                <w:w w:val="90"/>
              </w:rPr>
              <w:t>4101335</w:t>
            </w:r>
          </w:p>
        </w:tc>
        <w:tc>
          <w:tcPr>
            <w:tcW w:w="720" w:type="dxa"/>
            <w:vAlign w:val="bottom"/>
          </w:tcPr>
          <w:p>
            <w:pPr>
              <w:jc w:val="right"/>
              <w:ind w:right="16"/>
              <w:spacing w:after="0"/>
              <w:rPr>
                <w:sz w:val="20"/>
                <w:szCs w:val="20"/>
                <w:color w:val="auto"/>
              </w:rPr>
            </w:pPr>
            <w:r>
              <w:rPr>
                <w:rFonts w:ascii="Arial" w:cs="Arial" w:eastAsia="Arial" w:hAnsi="Arial"/>
                <w:sz w:val="17"/>
                <w:szCs w:val="17"/>
                <w:color w:val="auto"/>
              </w:rPr>
              <w:t>7</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2</w:t>
            </w: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tcPr>
          <w:p>
            <w:pPr>
              <w:jc w:val="right"/>
              <w:ind w:right="17"/>
              <w:spacing w:after="0"/>
              <w:rPr>
                <w:sz w:val="20"/>
                <w:szCs w:val="20"/>
                <w:color w:val="auto"/>
              </w:rPr>
            </w:pPr>
            <w:r>
              <w:rPr>
                <w:rFonts w:ascii="Arial" w:cs="Arial" w:eastAsia="Arial" w:hAnsi="Arial"/>
                <w:sz w:val="17"/>
                <w:szCs w:val="17"/>
                <w:b w:val="1"/>
                <w:bCs w:val="1"/>
                <w:color w:val="auto"/>
              </w:rPr>
              <w:t>14,308</w:t>
            </w:r>
          </w:p>
        </w:tc>
        <w:tc>
          <w:tcPr>
            <w:tcW w:w="760" w:type="dxa"/>
            <w:vAlign w:val="bottom"/>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7"/>
                <w:szCs w:val="17"/>
                <w:color w:val="auto"/>
              </w:rPr>
              <w:t>Bedrock Plant</w:t>
            </w:r>
          </w:p>
        </w:tc>
        <w:tc>
          <w:tcPr>
            <w:tcW w:w="8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4103283</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483</w:t>
            </w: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7"/>
                <w:szCs w:val="17"/>
                <w:color w:val="auto"/>
              </w:rPr>
              <w:t>Bells Savoy SG TXI</w:t>
            </w:r>
          </w:p>
        </w:tc>
        <w:tc>
          <w:tcPr>
            <w:tcW w:w="840" w:type="dxa"/>
            <w:vAlign w:val="bottom"/>
          </w:tcPr>
          <w:p>
            <w:pPr>
              <w:jc w:val="center"/>
              <w:spacing w:after="0"/>
              <w:rPr>
                <w:sz w:val="20"/>
                <w:szCs w:val="20"/>
                <w:color w:val="auto"/>
              </w:rPr>
            </w:pPr>
            <w:r>
              <w:rPr>
                <w:rFonts w:ascii="Arial" w:cs="Arial" w:eastAsia="Arial" w:hAnsi="Arial"/>
                <w:sz w:val="17"/>
                <w:szCs w:val="17"/>
                <w:color w:val="auto"/>
                <w:w w:val="90"/>
              </w:rPr>
              <w:t>4104019</w:t>
            </w:r>
          </w:p>
        </w:tc>
        <w:tc>
          <w:tcPr>
            <w:tcW w:w="720" w:type="dxa"/>
            <w:vAlign w:val="bottom"/>
          </w:tcPr>
          <w:p>
            <w:pPr>
              <w:jc w:val="right"/>
              <w:ind w:right="16"/>
              <w:spacing w:after="0"/>
              <w:rPr>
                <w:sz w:val="20"/>
                <w:szCs w:val="20"/>
                <w:color w:val="auto"/>
              </w:rPr>
            </w:pPr>
            <w:r>
              <w:rPr>
                <w:rFonts w:ascii="Arial" w:cs="Arial" w:eastAsia="Arial" w:hAnsi="Arial"/>
                <w:sz w:val="17"/>
                <w:szCs w:val="17"/>
                <w:color w:val="auto"/>
              </w:rPr>
              <w:t>2</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tcPr>
          <w:p>
            <w:pPr>
              <w:jc w:val="right"/>
              <w:ind w:right="17"/>
              <w:spacing w:after="0"/>
              <w:rPr>
                <w:sz w:val="20"/>
                <w:szCs w:val="20"/>
                <w:color w:val="auto"/>
              </w:rPr>
            </w:pPr>
            <w:r>
              <w:rPr>
                <w:rFonts w:ascii="Arial" w:cs="Arial" w:eastAsia="Arial" w:hAnsi="Arial"/>
                <w:sz w:val="17"/>
                <w:szCs w:val="17"/>
                <w:b w:val="1"/>
                <w:bCs w:val="1"/>
                <w:color w:val="auto"/>
              </w:rPr>
              <w:t>462</w:t>
            </w:r>
          </w:p>
        </w:tc>
        <w:tc>
          <w:tcPr>
            <w:tcW w:w="760" w:type="dxa"/>
            <w:vAlign w:val="bottom"/>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7"/>
                <w:szCs w:val="17"/>
                <w:color w:val="auto"/>
              </w:rPr>
              <w:t>Black Rock Quarry</w:t>
            </w:r>
          </w:p>
        </w:tc>
        <w:tc>
          <w:tcPr>
            <w:tcW w:w="840" w:type="dxa"/>
            <w:vAlign w:val="bottom"/>
            <w:shd w:val="clear" w:color="auto" w:fill="CCEEFF"/>
          </w:tcPr>
          <w:p>
            <w:pPr>
              <w:jc w:val="center"/>
              <w:ind w:left="14"/>
              <w:spacing w:after="0"/>
              <w:rPr>
                <w:sz w:val="20"/>
                <w:szCs w:val="20"/>
                <w:color w:val="auto"/>
              </w:rPr>
            </w:pPr>
            <w:r>
              <w:rPr>
                <w:rFonts w:ascii="Arial" w:cs="Arial" w:eastAsia="Arial" w:hAnsi="Arial"/>
                <w:sz w:val="17"/>
                <w:szCs w:val="17"/>
                <w:color w:val="auto"/>
                <w:w w:val="88"/>
              </w:rPr>
              <w:t>300011</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0</w:t>
            </w: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7"/>
                <w:szCs w:val="17"/>
                <w:color w:val="auto"/>
              </w:rPr>
              <w:t>Black Spur Quarry</w:t>
            </w:r>
          </w:p>
        </w:tc>
        <w:tc>
          <w:tcPr>
            <w:tcW w:w="840" w:type="dxa"/>
            <w:vAlign w:val="bottom"/>
          </w:tcPr>
          <w:p>
            <w:pPr>
              <w:jc w:val="center"/>
              <w:spacing w:after="0"/>
              <w:rPr>
                <w:sz w:val="20"/>
                <w:szCs w:val="20"/>
                <w:color w:val="auto"/>
              </w:rPr>
            </w:pPr>
            <w:r>
              <w:rPr>
                <w:rFonts w:ascii="Arial" w:cs="Arial" w:eastAsia="Arial" w:hAnsi="Arial"/>
                <w:sz w:val="17"/>
                <w:szCs w:val="17"/>
                <w:color w:val="auto"/>
                <w:w w:val="90"/>
              </w:rPr>
              <w:t>4104159</w:t>
            </w:r>
          </w:p>
        </w:tc>
        <w:tc>
          <w:tcPr>
            <w:tcW w:w="720" w:type="dxa"/>
            <w:vAlign w:val="bottom"/>
          </w:tcPr>
          <w:p>
            <w:pPr>
              <w:jc w:val="right"/>
              <w:ind w:right="16"/>
              <w:spacing w:after="0"/>
              <w:rPr>
                <w:sz w:val="20"/>
                <w:szCs w:val="20"/>
                <w:color w:val="auto"/>
              </w:rPr>
            </w:pPr>
            <w:r>
              <w:rPr>
                <w:rFonts w:ascii="Arial" w:cs="Arial" w:eastAsia="Arial" w:hAnsi="Arial"/>
                <w:sz w:val="17"/>
                <w:szCs w:val="17"/>
                <w:color w:val="auto"/>
              </w:rPr>
              <w:t>5</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tcPr>
          <w:p>
            <w:pPr>
              <w:jc w:val="right"/>
              <w:ind w:right="17"/>
              <w:spacing w:after="0"/>
              <w:rPr>
                <w:sz w:val="20"/>
                <w:szCs w:val="20"/>
                <w:color w:val="auto"/>
              </w:rPr>
            </w:pPr>
            <w:r>
              <w:rPr>
                <w:rFonts w:ascii="Arial" w:cs="Arial" w:eastAsia="Arial" w:hAnsi="Arial"/>
                <w:sz w:val="17"/>
                <w:szCs w:val="17"/>
                <w:b w:val="1"/>
                <w:bCs w:val="1"/>
                <w:color w:val="auto"/>
              </w:rPr>
              <w:t>607</w:t>
            </w:r>
          </w:p>
        </w:tc>
        <w:tc>
          <w:tcPr>
            <w:tcW w:w="760" w:type="dxa"/>
            <w:vAlign w:val="bottom"/>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7"/>
                <w:szCs w:val="17"/>
                <w:color w:val="auto"/>
              </w:rPr>
              <w:t>Blake Quarry</w:t>
            </w:r>
          </w:p>
        </w:tc>
        <w:tc>
          <w:tcPr>
            <w:tcW w:w="8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1401584</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3</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41,335</w:t>
            </w: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7"/>
                <w:szCs w:val="17"/>
                <w:color w:val="auto"/>
              </w:rPr>
              <w:t>Bridgeport Stone TXI</w:t>
            </w:r>
          </w:p>
        </w:tc>
        <w:tc>
          <w:tcPr>
            <w:tcW w:w="840" w:type="dxa"/>
            <w:vAlign w:val="bottom"/>
          </w:tcPr>
          <w:p>
            <w:pPr>
              <w:jc w:val="center"/>
              <w:spacing w:after="0"/>
              <w:rPr>
                <w:sz w:val="20"/>
                <w:szCs w:val="20"/>
                <w:color w:val="auto"/>
              </w:rPr>
            </w:pPr>
            <w:r>
              <w:rPr>
                <w:rFonts w:ascii="Arial" w:cs="Arial" w:eastAsia="Arial" w:hAnsi="Arial"/>
                <w:sz w:val="17"/>
                <w:szCs w:val="17"/>
                <w:color w:val="auto"/>
                <w:w w:val="90"/>
              </w:rPr>
              <w:t>4100007</w:t>
            </w:r>
          </w:p>
        </w:tc>
        <w:tc>
          <w:tcPr>
            <w:tcW w:w="720" w:type="dxa"/>
            <w:vAlign w:val="bottom"/>
          </w:tcPr>
          <w:p>
            <w:pPr>
              <w:jc w:val="right"/>
              <w:ind w:right="16"/>
              <w:spacing w:after="0"/>
              <w:rPr>
                <w:sz w:val="20"/>
                <w:szCs w:val="20"/>
                <w:color w:val="auto"/>
              </w:rPr>
            </w:pPr>
            <w:r>
              <w:rPr>
                <w:rFonts w:ascii="Arial" w:cs="Arial" w:eastAsia="Arial" w:hAnsi="Arial"/>
                <w:sz w:val="17"/>
                <w:szCs w:val="17"/>
                <w:color w:val="auto"/>
              </w:rPr>
              <w:t>1</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tcPr>
          <w:p>
            <w:pPr>
              <w:jc w:val="right"/>
              <w:ind w:right="17"/>
              <w:spacing w:after="0"/>
              <w:rPr>
                <w:sz w:val="20"/>
                <w:szCs w:val="20"/>
                <w:color w:val="auto"/>
              </w:rPr>
            </w:pPr>
            <w:r>
              <w:rPr>
                <w:rFonts w:ascii="Arial" w:cs="Arial" w:eastAsia="Arial" w:hAnsi="Arial"/>
                <w:sz w:val="17"/>
                <w:szCs w:val="17"/>
                <w:b w:val="1"/>
                <w:bCs w:val="1"/>
                <w:color w:val="auto"/>
              </w:rPr>
              <w:t>4,857</w:t>
            </w:r>
          </w:p>
        </w:tc>
        <w:tc>
          <w:tcPr>
            <w:tcW w:w="760" w:type="dxa"/>
            <w:vAlign w:val="bottom"/>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tcPr>
          <w:p>
            <w:pPr>
              <w:jc w:val="right"/>
              <w:ind w:right="17"/>
              <w:spacing w:after="0"/>
              <w:rPr>
                <w:sz w:val="20"/>
                <w:szCs w:val="20"/>
                <w:color w:val="auto"/>
              </w:rPr>
            </w:pPr>
            <w:r>
              <w:rPr>
                <w:rFonts w:ascii="Arial" w:cs="Arial" w:eastAsia="Arial" w:hAnsi="Arial"/>
                <w:sz w:val="17"/>
                <w:szCs w:val="17"/>
                <w:b w:val="1"/>
                <w:bCs w:val="1"/>
                <w:color w:val="auto"/>
              </w:rPr>
              <w:t>2</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7"/>
                <w:szCs w:val="17"/>
                <w:color w:val="auto"/>
              </w:rPr>
              <w:t>Broken Bow SandG</w:t>
            </w:r>
          </w:p>
        </w:tc>
        <w:tc>
          <w:tcPr>
            <w:tcW w:w="8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3400460</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826</w:t>
            </w: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7"/>
                <w:szCs w:val="17"/>
                <w:color w:val="auto"/>
              </w:rPr>
              <w:t>Chico</w:t>
            </w:r>
          </w:p>
        </w:tc>
        <w:tc>
          <w:tcPr>
            <w:tcW w:w="840" w:type="dxa"/>
            <w:vAlign w:val="bottom"/>
          </w:tcPr>
          <w:p>
            <w:pPr>
              <w:jc w:val="center"/>
              <w:spacing w:after="0"/>
              <w:rPr>
                <w:sz w:val="20"/>
                <w:szCs w:val="20"/>
                <w:color w:val="auto"/>
              </w:rPr>
            </w:pPr>
            <w:r>
              <w:rPr>
                <w:rFonts w:ascii="Arial" w:cs="Arial" w:eastAsia="Arial" w:hAnsi="Arial"/>
                <w:sz w:val="17"/>
                <w:szCs w:val="17"/>
                <w:color w:val="auto"/>
                <w:w w:val="90"/>
              </w:rPr>
              <w:t>4103360</w:t>
            </w:r>
          </w:p>
        </w:tc>
        <w:tc>
          <w:tcPr>
            <w:tcW w:w="72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tcPr>
          <w:p>
            <w:pPr>
              <w:jc w:val="right"/>
              <w:ind w:right="17"/>
              <w:spacing w:after="0"/>
              <w:rPr>
                <w:sz w:val="20"/>
                <w:szCs w:val="20"/>
                <w:color w:val="auto"/>
              </w:rPr>
            </w:pPr>
            <w:r>
              <w:rPr>
                <w:rFonts w:ascii="Arial" w:cs="Arial" w:eastAsia="Arial" w:hAnsi="Arial"/>
                <w:sz w:val="17"/>
                <w:szCs w:val="17"/>
                <w:b w:val="1"/>
                <w:bCs w:val="1"/>
                <w:color w:val="auto"/>
              </w:rPr>
              <w:t>232</w:t>
            </w:r>
          </w:p>
        </w:tc>
        <w:tc>
          <w:tcPr>
            <w:tcW w:w="760" w:type="dxa"/>
            <w:vAlign w:val="bottom"/>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tcPr>
          <w:p>
            <w:pPr>
              <w:jc w:val="right"/>
              <w:ind w:right="17"/>
              <w:spacing w:after="0"/>
              <w:rPr>
                <w:sz w:val="20"/>
                <w:szCs w:val="20"/>
                <w:color w:val="auto"/>
              </w:rPr>
            </w:pPr>
            <w:r>
              <w:rPr>
                <w:rFonts w:ascii="Arial" w:cs="Arial" w:eastAsia="Arial" w:hAnsi="Arial"/>
                <w:sz w:val="17"/>
                <w:szCs w:val="17"/>
                <w:b w:val="1"/>
                <w:bCs w:val="1"/>
                <w:color w:val="auto"/>
              </w:rPr>
              <w:t>1</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7"/>
                <w:szCs w:val="17"/>
                <w:color w:val="auto"/>
              </w:rPr>
              <w:t>Davis</w:t>
            </w:r>
          </w:p>
        </w:tc>
        <w:tc>
          <w:tcPr>
            <w:tcW w:w="8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3401299</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750</w:t>
            </w: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7"/>
                <w:szCs w:val="17"/>
                <w:color w:val="auto"/>
              </w:rPr>
              <w:t>Garfield SG TXI</w:t>
            </w:r>
          </w:p>
        </w:tc>
        <w:tc>
          <w:tcPr>
            <w:tcW w:w="840" w:type="dxa"/>
            <w:vAlign w:val="bottom"/>
          </w:tcPr>
          <w:p>
            <w:pPr>
              <w:jc w:val="center"/>
              <w:spacing w:after="0"/>
              <w:rPr>
                <w:sz w:val="20"/>
                <w:szCs w:val="20"/>
                <w:color w:val="auto"/>
              </w:rPr>
            </w:pPr>
            <w:r>
              <w:rPr>
                <w:rFonts w:ascii="Arial" w:cs="Arial" w:eastAsia="Arial" w:hAnsi="Arial"/>
                <w:sz w:val="17"/>
                <w:szCs w:val="17"/>
                <w:color w:val="auto"/>
                <w:w w:val="90"/>
              </w:rPr>
              <w:t>4103909</w:t>
            </w:r>
          </w:p>
        </w:tc>
        <w:tc>
          <w:tcPr>
            <w:tcW w:w="72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tcPr>
          <w:p>
            <w:pPr>
              <w:jc w:val="right"/>
              <w:ind w:right="17"/>
              <w:spacing w:after="0"/>
              <w:rPr>
                <w:sz w:val="20"/>
                <w:szCs w:val="20"/>
                <w:color w:val="auto"/>
              </w:rPr>
            </w:pPr>
            <w:r>
              <w:rPr>
                <w:rFonts w:ascii="Arial" w:cs="Arial" w:eastAsia="Arial" w:hAnsi="Arial"/>
                <w:sz w:val="17"/>
                <w:szCs w:val="17"/>
                <w:b w:val="1"/>
                <w:bCs w:val="1"/>
                <w:color w:val="auto"/>
              </w:rPr>
              <w:t>348</w:t>
            </w:r>
          </w:p>
        </w:tc>
        <w:tc>
          <w:tcPr>
            <w:tcW w:w="760" w:type="dxa"/>
            <w:vAlign w:val="bottom"/>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7"/>
                <w:szCs w:val="17"/>
                <w:color w:val="auto"/>
              </w:rPr>
              <w:t>Garwood</w:t>
            </w:r>
          </w:p>
        </w:tc>
        <w:tc>
          <w:tcPr>
            <w:tcW w:w="8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4102886</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462</w:t>
            </w: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7"/>
                <w:szCs w:val="17"/>
                <w:color w:val="auto"/>
              </w:rPr>
              <w:t>GMS - TXI</w:t>
            </w:r>
          </w:p>
        </w:tc>
        <w:tc>
          <w:tcPr>
            <w:tcW w:w="840" w:type="dxa"/>
            <w:vAlign w:val="bottom"/>
          </w:tcPr>
          <w:p>
            <w:pPr>
              <w:jc w:val="center"/>
              <w:ind w:left="14"/>
              <w:spacing w:after="0"/>
              <w:rPr>
                <w:sz w:val="20"/>
                <w:szCs w:val="20"/>
                <w:color w:val="auto"/>
              </w:rPr>
            </w:pPr>
            <w:r>
              <w:rPr>
                <w:rFonts w:ascii="Arial" w:cs="Arial" w:eastAsia="Arial" w:hAnsi="Arial"/>
                <w:sz w:val="17"/>
                <w:szCs w:val="17"/>
                <w:color w:val="auto"/>
                <w:w w:val="93"/>
              </w:rPr>
              <w:t>C335</w:t>
            </w:r>
          </w:p>
        </w:tc>
        <w:tc>
          <w:tcPr>
            <w:tcW w:w="72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tcPr>
          <w:p>
            <w:pPr>
              <w:jc w:val="right"/>
              <w:ind w:right="17"/>
              <w:spacing w:after="0"/>
              <w:rPr>
                <w:sz w:val="20"/>
                <w:szCs w:val="20"/>
                <w:color w:val="auto"/>
              </w:rPr>
            </w:pPr>
            <w:r>
              <w:rPr>
                <w:rFonts w:ascii="Arial" w:cs="Arial" w:eastAsia="Arial" w:hAnsi="Arial"/>
                <w:sz w:val="17"/>
                <w:szCs w:val="17"/>
                <w:b w:val="1"/>
                <w:bCs w:val="1"/>
                <w:color w:val="auto"/>
              </w:rPr>
              <w:t>0</w:t>
            </w:r>
          </w:p>
        </w:tc>
        <w:tc>
          <w:tcPr>
            <w:tcW w:w="760" w:type="dxa"/>
            <w:vAlign w:val="bottom"/>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7"/>
                <w:szCs w:val="17"/>
                <w:color w:val="auto"/>
              </w:rPr>
              <w:t>Hatton Quarry</w:t>
            </w:r>
          </w:p>
        </w:tc>
        <w:tc>
          <w:tcPr>
            <w:tcW w:w="8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301614</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232</w:t>
            </w: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7"/>
                <w:szCs w:val="17"/>
                <w:color w:val="auto"/>
              </w:rPr>
              <w:t>Helotes</w:t>
            </w:r>
          </w:p>
        </w:tc>
        <w:tc>
          <w:tcPr>
            <w:tcW w:w="840" w:type="dxa"/>
            <w:vAlign w:val="bottom"/>
          </w:tcPr>
          <w:p>
            <w:pPr>
              <w:jc w:val="center"/>
              <w:spacing w:after="0"/>
              <w:rPr>
                <w:sz w:val="20"/>
                <w:szCs w:val="20"/>
                <w:color w:val="auto"/>
              </w:rPr>
            </w:pPr>
            <w:r>
              <w:rPr>
                <w:rFonts w:ascii="Arial" w:cs="Arial" w:eastAsia="Arial" w:hAnsi="Arial"/>
                <w:sz w:val="17"/>
                <w:szCs w:val="17"/>
                <w:color w:val="auto"/>
                <w:w w:val="90"/>
              </w:rPr>
              <w:t>4103137</w:t>
            </w:r>
          </w:p>
        </w:tc>
        <w:tc>
          <w:tcPr>
            <w:tcW w:w="720" w:type="dxa"/>
            <w:vAlign w:val="bottom"/>
          </w:tcPr>
          <w:p>
            <w:pPr>
              <w:jc w:val="right"/>
              <w:ind w:right="16"/>
              <w:spacing w:after="0"/>
              <w:rPr>
                <w:sz w:val="20"/>
                <w:szCs w:val="20"/>
                <w:color w:val="auto"/>
              </w:rPr>
            </w:pPr>
            <w:r>
              <w:rPr>
                <w:rFonts w:ascii="Arial" w:cs="Arial" w:eastAsia="Arial" w:hAnsi="Arial"/>
                <w:sz w:val="17"/>
                <w:szCs w:val="17"/>
                <w:color w:val="auto"/>
              </w:rPr>
              <w:t>1</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tcPr>
          <w:p>
            <w:pPr>
              <w:jc w:val="right"/>
              <w:ind w:right="17"/>
              <w:spacing w:after="0"/>
              <w:rPr>
                <w:sz w:val="20"/>
                <w:szCs w:val="20"/>
                <w:color w:val="auto"/>
              </w:rPr>
            </w:pPr>
            <w:r>
              <w:rPr>
                <w:rFonts w:ascii="Arial" w:cs="Arial" w:eastAsia="Arial" w:hAnsi="Arial"/>
                <w:sz w:val="17"/>
                <w:szCs w:val="17"/>
                <w:b w:val="1"/>
                <w:bCs w:val="1"/>
                <w:color w:val="auto"/>
              </w:rPr>
              <w:t>0</w:t>
            </w:r>
          </w:p>
        </w:tc>
        <w:tc>
          <w:tcPr>
            <w:tcW w:w="760" w:type="dxa"/>
            <w:vAlign w:val="bottom"/>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7"/>
                <w:szCs w:val="17"/>
                <w:color w:val="auto"/>
              </w:rPr>
              <w:t>Hondo</w:t>
            </w:r>
          </w:p>
        </w:tc>
        <w:tc>
          <w:tcPr>
            <w:tcW w:w="8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4104708</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715</w:t>
            </w: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7"/>
                <w:szCs w:val="17"/>
                <w:color w:val="auto"/>
              </w:rPr>
              <w:t>Hondo-1</w:t>
            </w:r>
          </w:p>
        </w:tc>
        <w:tc>
          <w:tcPr>
            <w:tcW w:w="840" w:type="dxa"/>
            <w:vAlign w:val="bottom"/>
          </w:tcPr>
          <w:p>
            <w:pPr>
              <w:jc w:val="center"/>
              <w:spacing w:after="0"/>
              <w:rPr>
                <w:sz w:val="20"/>
                <w:szCs w:val="20"/>
                <w:color w:val="auto"/>
              </w:rPr>
            </w:pPr>
            <w:r>
              <w:rPr>
                <w:rFonts w:ascii="Arial" w:cs="Arial" w:eastAsia="Arial" w:hAnsi="Arial"/>
                <w:sz w:val="17"/>
                <w:szCs w:val="17"/>
                <w:color w:val="auto"/>
                <w:w w:val="90"/>
              </w:rPr>
              <w:t>4104090</w:t>
            </w:r>
          </w:p>
        </w:tc>
        <w:tc>
          <w:tcPr>
            <w:tcW w:w="72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tcPr>
          <w:p>
            <w:pPr>
              <w:jc w:val="right"/>
              <w:ind w:right="17"/>
              <w:spacing w:after="0"/>
              <w:rPr>
                <w:sz w:val="20"/>
                <w:szCs w:val="20"/>
                <w:color w:val="auto"/>
              </w:rPr>
            </w:pPr>
            <w:r>
              <w:rPr>
                <w:rFonts w:ascii="Arial" w:cs="Arial" w:eastAsia="Arial" w:hAnsi="Arial"/>
                <w:sz w:val="17"/>
                <w:szCs w:val="17"/>
                <w:b w:val="1"/>
                <w:bCs w:val="1"/>
                <w:color w:val="auto"/>
              </w:rPr>
              <w:t>0</w:t>
            </w:r>
          </w:p>
        </w:tc>
        <w:tc>
          <w:tcPr>
            <w:tcW w:w="760" w:type="dxa"/>
            <w:vAlign w:val="bottom"/>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tcPr>
          <w:p>
            <w:pPr>
              <w:jc w:val="right"/>
              <w:ind w:right="17"/>
              <w:spacing w:after="0"/>
              <w:rPr>
                <w:sz w:val="20"/>
                <w:szCs w:val="20"/>
                <w:color w:val="auto"/>
              </w:rPr>
            </w:pPr>
            <w:r>
              <w:rPr>
                <w:rFonts w:ascii="Arial" w:cs="Arial" w:eastAsia="Arial" w:hAnsi="Arial"/>
                <w:sz w:val="17"/>
                <w:szCs w:val="17"/>
                <w:b w:val="1"/>
                <w:bCs w:val="1"/>
                <w:color w:val="auto"/>
              </w:rPr>
              <w:t>1</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7"/>
                <w:szCs w:val="17"/>
                <w:color w:val="auto"/>
              </w:rPr>
              <w:t>Hugo</w:t>
            </w:r>
          </w:p>
        </w:tc>
        <w:tc>
          <w:tcPr>
            <w:tcW w:w="8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3400061</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0</w:t>
            </w: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7"/>
                <w:szCs w:val="17"/>
                <w:color w:val="auto"/>
              </w:rPr>
              <w:t>Hunter Stone</w:t>
            </w:r>
          </w:p>
        </w:tc>
        <w:tc>
          <w:tcPr>
            <w:tcW w:w="840" w:type="dxa"/>
            <w:vAlign w:val="bottom"/>
          </w:tcPr>
          <w:p>
            <w:pPr>
              <w:jc w:val="center"/>
              <w:spacing w:after="0"/>
              <w:rPr>
                <w:sz w:val="20"/>
                <w:szCs w:val="20"/>
                <w:color w:val="auto"/>
              </w:rPr>
            </w:pPr>
            <w:r>
              <w:rPr>
                <w:rFonts w:ascii="Arial" w:cs="Arial" w:eastAsia="Arial" w:hAnsi="Arial"/>
                <w:sz w:val="17"/>
                <w:szCs w:val="17"/>
                <w:color w:val="auto"/>
                <w:w w:val="90"/>
              </w:rPr>
              <w:t>4105230</w:t>
            </w:r>
          </w:p>
        </w:tc>
        <w:tc>
          <w:tcPr>
            <w:tcW w:w="72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tcPr>
          <w:p>
            <w:pPr>
              <w:jc w:val="right"/>
              <w:ind w:right="17"/>
              <w:spacing w:after="0"/>
              <w:rPr>
                <w:sz w:val="20"/>
                <w:szCs w:val="20"/>
                <w:color w:val="auto"/>
              </w:rPr>
            </w:pPr>
            <w:r>
              <w:rPr>
                <w:rFonts w:ascii="Arial" w:cs="Arial" w:eastAsia="Arial" w:hAnsi="Arial"/>
                <w:sz w:val="17"/>
                <w:szCs w:val="17"/>
                <w:b w:val="1"/>
                <w:bCs w:val="1"/>
                <w:color w:val="auto"/>
              </w:rPr>
              <w:t>232</w:t>
            </w:r>
          </w:p>
        </w:tc>
        <w:tc>
          <w:tcPr>
            <w:tcW w:w="760" w:type="dxa"/>
            <w:vAlign w:val="bottom"/>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7"/>
                <w:szCs w:val="17"/>
                <w:color w:val="auto"/>
              </w:rPr>
              <w:t>Idabel</w:t>
            </w:r>
          </w:p>
        </w:tc>
        <w:tc>
          <w:tcPr>
            <w:tcW w:w="8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3400507</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126</w:t>
            </w: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bl>
    <w:p>
      <w:pPr>
        <w:sectPr>
          <w:pgSz w:w="11900" w:h="16838" w:orient="portrait"/>
          <w:cols w:equalWidth="0" w:num="1">
            <w:col w:w="11420"/>
          </w:cols>
          <w:pgMar w:left="240" w:top="242" w:right="239" w:bottom="1440" w:gutter="0" w:footer="0" w:header="0"/>
        </w:sectPr>
      </w:pPr>
    </w:p>
    <w:bookmarkStart w:id="164" w:name="page165"/>
    <w:bookmarkEnd w:id="16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3">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4"/>
              </w:rPr>
              <w:t>Received</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4"/>
              </w:rPr>
              <w:t>Received</w:t>
            </w: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Legal</w:t>
            </w: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Total</w:t>
            </w:r>
          </w:p>
        </w:tc>
        <w:tc>
          <w:tcPr>
            <w:tcW w:w="7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6"/>
              </w:rPr>
              <w:t>Notice of</w:t>
            </w:r>
          </w:p>
        </w:tc>
        <w:tc>
          <w:tcPr>
            <w:tcW w:w="6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6"/>
              </w:rPr>
              <w:t>Notice of</w:t>
            </w:r>
          </w:p>
        </w:tc>
        <w:tc>
          <w:tcPr>
            <w:tcW w:w="66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Section</w:t>
            </w: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vMerge w:val="restart"/>
          </w:tcPr>
          <w:p>
            <w:pPr>
              <w:jc w:val="center"/>
              <w:ind w:right="137"/>
              <w:spacing w:after="0"/>
              <w:rPr>
                <w:sz w:val="20"/>
                <w:szCs w:val="20"/>
                <w:color w:val="auto"/>
              </w:rPr>
            </w:pPr>
            <w:r>
              <w:rPr>
                <w:rFonts w:ascii="Arial" w:cs="Arial" w:eastAsia="Arial" w:hAnsi="Arial"/>
                <w:sz w:val="14"/>
                <w:szCs w:val="14"/>
                <w:b w:val="1"/>
                <w:bCs w:val="1"/>
                <w:color w:val="auto"/>
                <w:w w:val="95"/>
              </w:rPr>
              <w:t>Total</w:t>
            </w:r>
          </w:p>
        </w:tc>
        <w:tc>
          <w:tcPr>
            <w:tcW w:w="760" w:type="dxa"/>
            <w:vAlign w:val="bottom"/>
            <w:vMerge w:val="continue"/>
          </w:tcPr>
          <w:p>
            <w:pPr>
              <w:spacing w:after="0"/>
              <w:rPr>
                <w:sz w:val="12"/>
                <w:szCs w:val="12"/>
                <w:color w:val="auto"/>
              </w:rPr>
            </w:pPr>
          </w:p>
        </w:tc>
        <w:tc>
          <w:tcPr>
            <w:tcW w:w="7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1"/>
              </w:rPr>
              <w:t>Pattern</w:t>
            </w:r>
          </w:p>
        </w:tc>
        <w:tc>
          <w:tcPr>
            <w:tcW w:w="6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1"/>
              </w:rPr>
              <w:t>Potential</w:t>
            </w:r>
          </w:p>
        </w:tc>
        <w:tc>
          <w:tcPr>
            <w:tcW w:w="6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5"/>
              </w:rPr>
              <w:t>Actions</w:t>
            </w: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Legal</w:t>
            </w: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Legal</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7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0"/>
              </w:rPr>
              <w:t>Number</w:t>
            </w:r>
          </w:p>
        </w:tc>
        <w:tc>
          <w:tcPr>
            <w:tcW w:w="7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0"/>
              </w:rPr>
              <w:t>of</w:t>
            </w:r>
          </w:p>
        </w:tc>
        <w:tc>
          <w:tcPr>
            <w:tcW w:w="6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5"/>
              </w:rPr>
              <w:t>to have</w:t>
            </w:r>
          </w:p>
        </w:tc>
        <w:tc>
          <w:tcPr>
            <w:tcW w:w="660" w:type="dxa"/>
            <w:vAlign w:val="bottom"/>
          </w:tcPr>
          <w:p>
            <w:pPr>
              <w:jc w:val="right"/>
              <w:ind w:right="18"/>
              <w:spacing w:after="0" w:line="143" w:lineRule="exact"/>
              <w:rPr>
                <w:sz w:val="20"/>
                <w:szCs w:val="20"/>
                <w:color w:val="auto"/>
              </w:rPr>
            </w:pPr>
            <w:r>
              <w:rPr>
                <w:rFonts w:ascii="Arial" w:cs="Arial" w:eastAsia="Arial" w:hAnsi="Arial"/>
                <w:sz w:val="14"/>
                <w:szCs w:val="14"/>
                <w:b w:val="1"/>
                <w:bCs w:val="1"/>
                <w:color w:val="auto"/>
                <w:w w:val="97"/>
              </w:rPr>
              <w:t>Pending</w:t>
            </w:r>
          </w:p>
        </w:tc>
        <w:tc>
          <w:tcPr>
            <w:tcW w:w="78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2"/>
              </w:rPr>
              <w:t>Section</w:t>
            </w:r>
          </w:p>
        </w:tc>
        <w:tc>
          <w:tcPr>
            <w:tcW w:w="64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w w:val="98"/>
              </w:rPr>
              <w:t>Section</w:t>
            </w:r>
          </w:p>
        </w:tc>
        <w:tc>
          <w:tcPr>
            <w:tcW w:w="7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2"/>
              </w:rPr>
              <w:t>104(d)</w:t>
            </w:r>
          </w:p>
        </w:tc>
        <w:tc>
          <w:tcPr>
            <w:tcW w:w="78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Section</w:t>
            </w:r>
          </w:p>
        </w:tc>
        <w:tc>
          <w:tcPr>
            <w:tcW w:w="64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rPr>
              <w:t>Section</w:t>
            </w:r>
          </w:p>
        </w:tc>
        <w:tc>
          <w:tcPr>
            <w:tcW w:w="220" w:type="dxa"/>
            <w:vAlign w:val="bottom"/>
          </w:tcPr>
          <w:p>
            <w:pPr>
              <w:spacing w:after="0"/>
              <w:rPr>
                <w:sz w:val="12"/>
                <w:szCs w:val="12"/>
                <w:color w:val="auto"/>
              </w:rPr>
            </w:pPr>
          </w:p>
        </w:tc>
        <w:tc>
          <w:tcPr>
            <w:tcW w:w="700" w:type="dxa"/>
            <w:vAlign w:val="bottom"/>
          </w:tcPr>
          <w:p>
            <w:pPr>
              <w:jc w:val="center"/>
              <w:ind w:right="137"/>
              <w:spacing w:after="0" w:line="143" w:lineRule="exact"/>
              <w:rPr>
                <w:sz w:val="20"/>
                <w:szCs w:val="20"/>
                <w:color w:val="auto"/>
              </w:rPr>
            </w:pPr>
            <w:r>
              <w:rPr>
                <w:rFonts w:ascii="Arial" w:cs="Arial" w:eastAsia="Arial" w:hAnsi="Arial"/>
                <w:sz w:val="14"/>
                <w:szCs w:val="14"/>
                <w:b w:val="1"/>
                <w:bCs w:val="1"/>
                <w:color w:val="auto"/>
                <w:w w:val="90"/>
              </w:rPr>
              <w:t>Dollar</w:t>
            </w:r>
          </w:p>
        </w:tc>
        <w:tc>
          <w:tcPr>
            <w:tcW w:w="7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0"/>
              </w:rPr>
              <w:t>of</w:t>
            </w:r>
          </w:p>
        </w:tc>
        <w:tc>
          <w:tcPr>
            <w:tcW w:w="7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1"/>
              </w:rPr>
              <w:t>Violation</w:t>
            </w:r>
          </w:p>
        </w:tc>
        <w:tc>
          <w:tcPr>
            <w:tcW w:w="6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1"/>
              </w:rPr>
              <w:t>Pattern</w:t>
            </w:r>
          </w:p>
        </w:tc>
        <w:tc>
          <w:tcPr>
            <w:tcW w:w="6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5"/>
              </w:rPr>
              <w:t>as of</w:t>
            </w:r>
          </w:p>
        </w:tc>
        <w:tc>
          <w:tcPr>
            <w:tcW w:w="7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5"/>
              </w:rPr>
              <w:t>Actions</w:t>
            </w:r>
          </w:p>
        </w:tc>
        <w:tc>
          <w:tcPr>
            <w:tcW w:w="6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5"/>
              </w:rPr>
              <w:t>Actions</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740" w:type="dxa"/>
            <w:vAlign w:val="bottom"/>
          </w:tcPr>
          <w:p>
            <w:pPr>
              <w:jc w:val="right"/>
              <w:ind w:right="17"/>
              <w:spacing w:after="0" w:line="143" w:lineRule="exact"/>
              <w:rPr>
                <w:sz w:val="20"/>
                <w:szCs w:val="20"/>
                <w:color w:val="auto"/>
              </w:rPr>
            </w:pPr>
            <w:r>
              <w:rPr>
                <w:rFonts w:ascii="Arial" w:cs="Arial" w:eastAsia="Arial" w:hAnsi="Arial"/>
                <w:sz w:val="14"/>
                <w:szCs w:val="14"/>
                <w:b w:val="1"/>
                <w:bCs w:val="1"/>
                <w:color w:val="auto"/>
              </w:rPr>
              <w:t>Citations</w:t>
            </w:r>
          </w:p>
        </w:tc>
        <w:tc>
          <w:tcPr>
            <w:tcW w:w="78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center"/>
              <w:ind w:right="137"/>
              <w:spacing w:after="0" w:line="143" w:lineRule="exact"/>
              <w:rPr>
                <w:sz w:val="20"/>
                <w:szCs w:val="20"/>
                <w:color w:val="auto"/>
              </w:rPr>
            </w:pPr>
            <w:r>
              <w:rPr>
                <w:rFonts w:ascii="Arial" w:cs="Arial" w:eastAsia="Arial" w:hAnsi="Arial"/>
                <w:sz w:val="14"/>
                <w:szCs w:val="14"/>
                <w:b w:val="1"/>
                <w:bCs w:val="1"/>
                <w:color w:val="auto"/>
                <w:w w:val="88"/>
              </w:rPr>
              <w:t>Value of</w:t>
            </w:r>
          </w:p>
        </w:tc>
        <w:tc>
          <w:tcPr>
            <w:tcW w:w="7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7"/>
              </w:rPr>
              <w:t>Mining</w:t>
            </w:r>
          </w:p>
        </w:tc>
        <w:tc>
          <w:tcPr>
            <w:tcW w:w="7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3"/>
              </w:rPr>
              <w:t>Under</w:t>
            </w:r>
          </w:p>
        </w:tc>
        <w:tc>
          <w:tcPr>
            <w:tcW w:w="6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2"/>
              </w:rPr>
              <w:t>under</w:t>
            </w:r>
          </w:p>
        </w:tc>
        <w:tc>
          <w:tcPr>
            <w:tcW w:w="6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7"/>
              </w:rPr>
              <w:t>Last</w:t>
            </w:r>
          </w:p>
        </w:tc>
        <w:tc>
          <w:tcPr>
            <w:tcW w:w="780" w:type="dxa"/>
            <w:vAlign w:val="bottom"/>
          </w:tcPr>
          <w:p>
            <w:pPr>
              <w:jc w:val="right"/>
              <w:ind w:right="17"/>
              <w:spacing w:after="0" w:line="143" w:lineRule="exact"/>
              <w:rPr>
                <w:sz w:val="20"/>
                <w:szCs w:val="20"/>
                <w:color w:val="auto"/>
              </w:rPr>
            </w:pPr>
            <w:r>
              <w:rPr>
                <w:rFonts w:ascii="Arial" w:cs="Arial" w:eastAsia="Arial" w:hAnsi="Arial"/>
                <w:sz w:val="14"/>
                <w:szCs w:val="14"/>
                <w:b w:val="1"/>
                <w:bCs w:val="1"/>
                <w:color w:val="auto"/>
              </w:rPr>
              <w:t>Instituted</w:t>
            </w:r>
          </w:p>
        </w:tc>
        <w:tc>
          <w:tcPr>
            <w:tcW w:w="680" w:type="dxa"/>
            <w:vAlign w:val="bottom"/>
          </w:tcPr>
          <w:p>
            <w:pPr>
              <w:jc w:val="right"/>
              <w:spacing w:after="0" w:line="143" w:lineRule="exact"/>
              <w:rPr>
                <w:sz w:val="20"/>
                <w:szCs w:val="20"/>
                <w:color w:val="auto"/>
              </w:rPr>
            </w:pPr>
            <w:r>
              <w:rPr>
                <w:rFonts w:ascii="Arial" w:cs="Arial" w:eastAsia="Arial" w:hAnsi="Arial"/>
                <w:sz w:val="14"/>
                <w:szCs w:val="14"/>
                <w:b w:val="1"/>
                <w:bCs w:val="1"/>
                <w:color w:val="auto"/>
                <w:w w:val="99"/>
              </w:rPr>
              <w:t>Resolved</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9"/>
              </w:rPr>
              <w:t>104 S&amp;S</w:t>
            </w:r>
          </w:p>
        </w:tc>
        <w:tc>
          <w:tcPr>
            <w:tcW w:w="6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2"/>
              </w:rPr>
              <w:t>104(b)</w:t>
            </w:r>
          </w:p>
        </w:tc>
        <w:tc>
          <w:tcPr>
            <w:tcW w:w="7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8"/>
              </w:rPr>
              <w:t>and</w:t>
            </w:r>
          </w:p>
        </w:tc>
        <w:tc>
          <w:tcPr>
            <w:tcW w:w="7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2"/>
              </w:rPr>
              <w:t>110(b)(2)</w:t>
            </w:r>
          </w:p>
        </w:tc>
        <w:tc>
          <w:tcPr>
            <w:tcW w:w="6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8"/>
              </w:rPr>
              <w:t>107(a)</w:t>
            </w:r>
          </w:p>
        </w:tc>
        <w:tc>
          <w:tcPr>
            <w:tcW w:w="220" w:type="dxa"/>
            <w:vAlign w:val="bottom"/>
          </w:tcPr>
          <w:p>
            <w:pPr>
              <w:spacing w:after="0"/>
              <w:rPr>
                <w:sz w:val="12"/>
                <w:szCs w:val="12"/>
                <w:color w:val="auto"/>
              </w:rPr>
            </w:pPr>
          </w:p>
        </w:tc>
        <w:tc>
          <w:tcPr>
            <w:tcW w:w="700" w:type="dxa"/>
            <w:vAlign w:val="bottom"/>
          </w:tcPr>
          <w:p>
            <w:pPr>
              <w:jc w:val="center"/>
              <w:ind w:right="137"/>
              <w:spacing w:after="0" w:line="143" w:lineRule="exact"/>
              <w:rPr>
                <w:sz w:val="20"/>
                <w:szCs w:val="20"/>
                <w:color w:val="auto"/>
              </w:rPr>
            </w:pPr>
            <w:r>
              <w:rPr>
                <w:rFonts w:ascii="Arial" w:cs="Arial" w:eastAsia="Arial" w:hAnsi="Arial"/>
                <w:sz w:val="14"/>
                <w:szCs w:val="14"/>
                <w:b w:val="1"/>
                <w:bCs w:val="1"/>
                <w:color w:val="auto"/>
                <w:w w:val="96"/>
              </w:rPr>
              <w:t>MSHA</w:t>
            </w:r>
          </w:p>
        </w:tc>
        <w:tc>
          <w:tcPr>
            <w:tcW w:w="7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6"/>
              </w:rPr>
              <w:t>Related</w:t>
            </w:r>
          </w:p>
        </w:tc>
        <w:tc>
          <w:tcPr>
            <w:tcW w:w="7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6"/>
              </w:rPr>
              <w:t>Section</w:t>
            </w:r>
          </w:p>
        </w:tc>
        <w:tc>
          <w:tcPr>
            <w:tcW w:w="6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6"/>
              </w:rPr>
              <w:t>Section</w:t>
            </w:r>
          </w:p>
        </w:tc>
        <w:tc>
          <w:tcPr>
            <w:tcW w:w="6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3"/>
              </w:rPr>
              <w:t>Day of</w:t>
            </w:r>
          </w:p>
        </w:tc>
        <w:tc>
          <w:tcPr>
            <w:tcW w:w="7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3"/>
              </w:rPr>
              <w:t>During</w:t>
            </w:r>
          </w:p>
        </w:tc>
        <w:tc>
          <w:tcPr>
            <w:tcW w:w="6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3"/>
              </w:rPr>
              <w:t>During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jc w:val="right"/>
              <w:ind w:right="16"/>
              <w:spacing w:after="0" w:line="143" w:lineRule="exact"/>
              <w:rPr>
                <w:sz w:val="20"/>
                <w:szCs w:val="20"/>
                <w:color w:val="auto"/>
              </w:rPr>
            </w:pPr>
            <w:r>
              <w:rPr>
                <w:rFonts w:ascii="Arial" w:cs="Arial" w:eastAsia="Arial" w:hAnsi="Arial"/>
                <w:sz w:val="14"/>
                <w:szCs w:val="14"/>
                <w:b w:val="1"/>
                <w:bCs w:val="1"/>
                <w:color w:val="auto"/>
              </w:rPr>
              <w:t>Citations</w:t>
            </w:r>
          </w:p>
        </w:tc>
        <w:tc>
          <w:tcPr>
            <w:tcW w:w="640" w:type="dxa"/>
            <w:vAlign w:val="bottom"/>
          </w:tcPr>
          <w:p>
            <w:pPr>
              <w:jc w:val="right"/>
              <w:ind w:right="36"/>
              <w:spacing w:after="0" w:line="143" w:lineRule="exact"/>
              <w:rPr>
                <w:sz w:val="20"/>
                <w:szCs w:val="20"/>
                <w:color w:val="auto"/>
              </w:rPr>
            </w:pPr>
            <w:r>
              <w:rPr>
                <w:rFonts w:ascii="Arial" w:cs="Arial" w:eastAsia="Arial" w:hAnsi="Arial"/>
                <w:sz w:val="14"/>
                <w:szCs w:val="14"/>
                <w:b w:val="1"/>
                <w:bCs w:val="1"/>
                <w:color w:val="auto"/>
              </w:rPr>
              <w:t>Orders</w:t>
            </w:r>
          </w:p>
        </w:tc>
        <w:tc>
          <w:tcPr>
            <w:tcW w:w="7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1"/>
              </w:rPr>
              <w:t>Orders</w:t>
            </w:r>
          </w:p>
        </w:tc>
        <w:tc>
          <w:tcPr>
            <w:tcW w:w="780" w:type="dxa"/>
            <w:vAlign w:val="bottom"/>
          </w:tcPr>
          <w:p>
            <w:pPr>
              <w:jc w:val="right"/>
              <w:ind w:right="16"/>
              <w:spacing w:after="0" w:line="143" w:lineRule="exact"/>
              <w:rPr>
                <w:sz w:val="20"/>
                <w:szCs w:val="20"/>
                <w:color w:val="auto"/>
              </w:rPr>
            </w:pPr>
            <w:r>
              <w:rPr>
                <w:rFonts w:ascii="Arial" w:cs="Arial" w:eastAsia="Arial" w:hAnsi="Arial"/>
                <w:sz w:val="14"/>
                <w:szCs w:val="14"/>
                <w:b w:val="1"/>
                <w:bCs w:val="1"/>
                <w:color w:val="auto"/>
                <w:w w:val="98"/>
              </w:rPr>
              <w:t>Violations</w:t>
            </w:r>
          </w:p>
        </w:tc>
        <w:tc>
          <w:tcPr>
            <w:tcW w:w="640" w:type="dxa"/>
            <w:vAlign w:val="bottom"/>
          </w:tcPr>
          <w:p>
            <w:pPr>
              <w:jc w:val="right"/>
              <w:ind w:right="16"/>
              <w:spacing w:after="0" w:line="143" w:lineRule="exact"/>
              <w:rPr>
                <w:sz w:val="20"/>
                <w:szCs w:val="20"/>
                <w:color w:val="auto"/>
              </w:rPr>
            </w:pPr>
            <w:r>
              <w:rPr>
                <w:rFonts w:ascii="Arial" w:cs="Arial" w:eastAsia="Arial" w:hAnsi="Arial"/>
                <w:sz w:val="14"/>
                <w:szCs w:val="14"/>
                <w:b w:val="1"/>
                <w:bCs w:val="1"/>
                <w:color w:val="auto"/>
              </w:rPr>
              <w:t>Orders</w:t>
            </w:r>
          </w:p>
        </w:tc>
        <w:tc>
          <w:tcPr>
            <w:tcW w:w="920" w:type="dxa"/>
            <w:vAlign w:val="bottom"/>
            <w:gridSpan w:val="2"/>
          </w:tcPr>
          <w:p>
            <w:pPr>
              <w:ind w:left="100"/>
              <w:spacing w:after="0" w:line="143" w:lineRule="exact"/>
              <w:rPr>
                <w:sz w:val="20"/>
                <w:szCs w:val="20"/>
                <w:color w:val="auto"/>
              </w:rPr>
            </w:pPr>
            <w:r>
              <w:rPr>
                <w:rFonts w:ascii="Arial" w:cs="Arial" w:eastAsia="Arial" w:hAnsi="Arial"/>
                <w:sz w:val="14"/>
                <w:szCs w:val="14"/>
                <w:b w:val="1"/>
                <w:bCs w:val="1"/>
                <w:color w:val="auto"/>
                <w:w w:val="92"/>
              </w:rPr>
              <w:t>Assessment/</w:t>
            </w:r>
          </w:p>
        </w:tc>
        <w:tc>
          <w:tcPr>
            <w:tcW w:w="760" w:type="dxa"/>
            <w:vAlign w:val="bottom"/>
          </w:tcPr>
          <w:p>
            <w:pPr>
              <w:jc w:val="right"/>
              <w:ind w:right="18"/>
              <w:spacing w:after="0" w:line="143" w:lineRule="exact"/>
              <w:rPr>
                <w:sz w:val="20"/>
                <w:szCs w:val="20"/>
                <w:color w:val="auto"/>
              </w:rPr>
            </w:pPr>
            <w:r>
              <w:rPr>
                <w:rFonts w:ascii="Arial" w:cs="Arial" w:eastAsia="Arial" w:hAnsi="Arial"/>
                <w:sz w:val="14"/>
                <w:szCs w:val="14"/>
                <w:b w:val="1"/>
                <w:bCs w:val="1"/>
                <w:color w:val="auto"/>
              </w:rPr>
              <w:t>Fatalities</w:t>
            </w:r>
          </w:p>
        </w:tc>
        <w:tc>
          <w:tcPr>
            <w:tcW w:w="7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8"/>
              </w:rPr>
              <w:t>104(e)</w:t>
            </w:r>
          </w:p>
        </w:tc>
        <w:tc>
          <w:tcPr>
            <w:tcW w:w="6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8"/>
              </w:rPr>
              <w:t>104(e)</w:t>
            </w:r>
          </w:p>
        </w:tc>
        <w:tc>
          <w:tcPr>
            <w:tcW w:w="6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1"/>
              </w:rPr>
              <w:t>Period</w:t>
            </w:r>
          </w:p>
        </w:tc>
        <w:tc>
          <w:tcPr>
            <w:tcW w:w="7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7"/>
              </w:rPr>
              <w:t>Period</w:t>
            </w:r>
          </w:p>
        </w:tc>
        <w:tc>
          <w:tcPr>
            <w:tcW w:w="6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7"/>
              </w:rPr>
              <w:t>Period</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920" w:type="dxa"/>
            <w:vAlign w:val="bottom"/>
          </w:tcPr>
          <w:p>
            <w:pPr>
              <w:ind w:left="680"/>
              <w:spacing w:after="0"/>
              <w:rPr>
                <w:sz w:val="20"/>
                <w:szCs w:val="20"/>
                <w:color w:val="auto"/>
              </w:rPr>
            </w:pPr>
            <w:r>
              <w:rPr>
                <w:rFonts w:ascii="Arial" w:cs="Arial" w:eastAsia="Arial" w:hAnsi="Arial"/>
                <w:sz w:val="14"/>
                <w:szCs w:val="14"/>
                <w:b w:val="1"/>
                <w:bCs w:val="1"/>
                <w:color w:val="auto"/>
              </w:rPr>
              <w:t>Location</w:t>
            </w:r>
          </w:p>
        </w:tc>
        <w:tc>
          <w:tcPr>
            <w:tcW w:w="780" w:type="dxa"/>
            <w:vAlign w:val="bottom"/>
          </w:tcPr>
          <w:p>
            <w:pPr>
              <w:ind w:left="100"/>
              <w:spacing w:after="0"/>
              <w:rPr>
                <w:sz w:val="20"/>
                <w:szCs w:val="20"/>
                <w:color w:val="auto"/>
              </w:rPr>
            </w:pPr>
            <w:r>
              <w:rPr>
                <w:rFonts w:ascii="Arial" w:cs="Arial" w:eastAsia="Arial" w:hAnsi="Arial"/>
                <w:sz w:val="14"/>
                <w:szCs w:val="14"/>
                <w:b w:val="1"/>
                <w:bCs w:val="1"/>
                <w:color w:val="auto"/>
              </w:rPr>
              <w:t>MSHA ID</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640" w:type="dxa"/>
            <w:vAlign w:val="bottom"/>
          </w:tcPr>
          <w:p>
            <w:pPr>
              <w:jc w:val="right"/>
              <w:ind w:right="156"/>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ind w:right="217"/>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236"/>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ind w:right="156"/>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ind w:left="140"/>
              <w:spacing w:after="0"/>
              <w:rPr>
                <w:sz w:val="20"/>
                <w:szCs w:val="20"/>
                <w:color w:val="auto"/>
              </w:rPr>
            </w:pPr>
            <w:r>
              <w:rPr>
                <w:rFonts w:ascii="Arial" w:cs="Arial" w:eastAsia="Arial" w:hAnsi="Arial"/>
                <w:sz w:val="14"/>
                <w:szCs w:val="14"/>
                <w:b w:val="1"/>
                <w:bCs w:val="1"/>
                <w:color w:val="auto"/>
                <w:w w:val="76"/>
              </w:rPr>
              <w:t>$</w:t>
            </w:r>
          </w:p>
        </w:tc>
        <w:tc>
          <w:tcPr>
            <w:tcW w:w="700" w:type="dxa"/>
            <w:vAlign w:val="bottom"/>
          </w:tcPr>
          <w:p>
            <w:pPr>
              <w:jc w:val="right"/>
              <w:ind w:right="57"/>
              <w:spacing w:after="0"/>
              <w:rPr>
                <w:sz w:val="20"/>
                <w:szCs w:val="20"/>
                <w:color w:val="auto"/>
              </w:rPr>
            </w:pPr>
            <w:r>
              <w:rPr>
                <w:rFonts w:ascii="Arial" w:cs="Arial" w:eastAsia="Arial" w:hAnsi="Arial"/>
                <w:sz w:val="14"/>
                <w:szCs w:val="14"/>
                <w:b w:val="1"/>
                <w:bCs w:val="1"/>
                <w:color w:val="auto"/>
                <w:w w:val="83"/>
              </w:rPr>
              <w:t>Proposed</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5"/>
              </w:rPr>
              <w:t>(yes/no)</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5"/>
              </w:rPr>
              <w:t>(yes/no)</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1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7"/>
                <w:szCs w:val="17"/>
                <w:color w:val="auto"/>
              </w:rPr>
              <w:t>Jena Aggregates TXI</w:t>
            </w: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1601298</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1,250</w:t>
            </w: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7"/>
                <w:szCs w:val="17"/>
                <w:color w:val="auto"/>
              </w:rPr>
              <w:t>Jones Mill Quarry</w:t>
            </w:r>
          </w:p>
        </w:tc>
        <w:tc>
          <w:tcPr>
            <w:tcW w:w="780" w:type="dxa"/>
            <w:vAlign w:val="bottom"/>
          </w:tcPr>
          <w:p>
            <w:pPr>
              <w:jc w:val="center"/>
              <w:spacing w:after="0"/>
              <w:rPr>
                <w:sz w:val="20"/>
                <w:szCs w:val="20"/>
                <w:color w:val="auto"/>
              </w:rPr>
            </w:pPr>
            <w:r>
              <w:rPr>
                <w:rFonts w:ascii="Arial" w:cs="Arial" w:eastAsia="Arial" w:hAnsi="Arial"/>
                <w:sz w:val="17"/>
                <w:szCs w:val="17"/>
                <w:color w:val="auto"/>
                <w:w w:val="91"/>
              </w:rPr>
              <w:t>301586</w:t>
            </w:r>
          </w:p>
        </w:tc>
        <w:tc>
          <w:tcPr>
            <w:tcW w:w="72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tcPr>
          <w:p>
            <w:pPr>
              <w:jc w:val="right"/>
              <w:ind w:right="17"/>
              <w:spacing w:after="0"/>
              <w:rPr>
                <w:sz w:val="20"/>
                <w:szCs w:val="20"/>
                <w:color w:val="auto"/>
              </w:rPr>
            </w:pPr>
            <w:r>
              <w:rPr>
                <w:rFonts w:ascii="Arial" w:cs="Arial" w:eastAsia="Arial" w:hAnsi="Arial"/>
                <w:sz w:val="17"/>
                <w:szCs w:val="17"/>
                <w:b w:val="1"/>
                <w:bCs w:val="1"/>
                <w:color w:val="auto"/>
              </w:rPr>
              <w:t>0</w:t>
            </w:r>
          </w:p>
        </w:tc>
        <w:tc>
          <w:tcPr>
            <w:tcW w:w="760" w:type="dxa"/>
            <w:vAlign w:val="bottom"/>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7"/>
                <w:szCs w:val="17"/>
                <w:color w:val="auto"/>
              </w:rPr>
              <w:t>Medina Rock and Rail</w:t>
            </w: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4105170</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3,633</w:t>
            </w: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7"/>
                <w:szCs w:val="17"/>
                <w:color w:val="auto"/>
              </w:rPr>
              <w:t>Mill Creek</w:t>
            </w:r>
          </w:p>
        </w:tc>
        <w:tc>
          <w:tcPr>
            <w:tcW w:w="780" w:type="dxa"/>
            <w:vAlign w:val="bottom"/>
          </w:tcPr>
          <w:p>
            <w:pPr>
              <w:jc w:val="center"/>
              <w:spacing w:after="0"/>
              <w:rPr>
                <w:sz w:val="20"/>
                <w:szCs w:val="20"/>
                <w:color w:val="auto"/>
              </w:rPr>
            </w:pPr>
            <w:r>
              <w:rPr>
                <w:rFonts w:ascii="Arial" w:cs="Arial" w:eastAsia="Arial" w:hAnsi="Arial"/>
                <w:sz w:val="17"/>
                <w:szCs w:val="17"/>
                <w:color w:val="auto"/>
                <w:w w:val="90"/>
              </w:rPr>
              <w:t>3401285</w:t>
            </w:r>
          </w:p>
        </w:tc>
        <w:tc>
          <w:tcPr>
            <w:tcW w:w="720" w:type="dxa"/>
            <w:vAlign w:val="bottom"/>
          </w:tcPr>
          <w:p>
            <w:pPr>
              <w:jc w:val="right"/>
              <w:ind w:right="16"/>
              <w:spacing w:after="0"/>
              <w:rPr>
                <w:sz w:val="20"/>
                <w:szCs w:val="20"/>
                <w:color w:val="auto"/>
              </w:rPr>
            </w:pPr>
            <w:r>
              <w:rPr>
                <w:rFonts w:ascii="Arial" w:cs="Arial" w:eastAsia="Arial" w:hAnsi="Arial"/>
                <w:sz w:val="17"/>
                <w:szCs w:val="17"/>
                <w:color w:val="auto"/>
              </w:rPr>
              <w:t>2</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1</w:t>
            </w: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tcPr>
          <w:p>
            <w:pPr>
              <w:jc w:val="right"/>
              <w:ind w:right="17"/>
              <w:spacing w:after="0"/>
              <w:rPr>
                <w:sz w:val="20"/>
                <w:szCs w:val="20"/>
                <w:color w:val="auto"/>
              </w:rPr>
            </w:pPr>
            <w:r>
              <w:rPr>
                <w:rFonts w:ascii="Arial" w:cs="Arial" w:eastAsia="Arial" w:hAnsi="Arial"/>
                <w:sz w:val="17"/>
                <w:szCs w:val="17"/>
                <w:b w:val="1"/>
                <w:bCs w:val="1"/>
                <w:color w:val="auto"/>
              </w:rPr>
              <w:t>13,000</w:t>
            </w:r>
          </w:p>
        </w:tc>
        <w:tc>
          <w:tcPr>
            <w:tcW w:w="760" w:type="dxa"/>
            <w:vAlign w:val="bottom"/>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7"/>
                <w:szCs w:val="17"/>
                <w:color w:val="auto"/>
              </w:rPr>
              <w:t>Mill Creek TXI</w:t>
            </w: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3401859</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148</w:t>
            </w: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7"/>
                <w:szCs w:val="17"/>
                <w:color w:val="auto"/>
                <w:w w:val="98"/>
              </w:rPr>
              <w:t>Perryville Aggregates TXI</w:t>
            </w:r>
          </w:p>
        </w:tc>
        <w:tc>
          <w:tcPr>
            <w:tcW w:w="780" w:type="dxa"/>
            <w:vAlign w:val="bottom"/>
          </w:tcPr>
          <w:p>
            <w:pPr>
              <w:jc w:val="center"/>
              <w:spacing w:after="0"/>
              <w:rPr>
                <w:sz w:val="20"/>
                <w:szCs w:val="20"/>
                <w:color w:val="auto"/>
              </w:rPr>
            </w:pPr>
            <w:r>
              <w:rPr>
                <w:rFonts w:ascii="Arial" w:cs="Arial" w:eastAsia="Arial" w:hAnsi="Arial"/>
                <w:sz w:val="17"/>
                <w:szCs w:val="17"/>
                <w:color w:val="auto"/>
                <w:w w:val="90"/>
              </w:rPr>
              <w:t>1601417</w:t>
            </w:r>
          </w:p>
        </w:tc>
        <w:tc>
          <w:tcPr>
            <w:tcW w:w="72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tcPr>
          <w:p>
            <w:pPr>
              <w:jc w:val="right"/>
              <w:ind w:right="17"/>
              <w:spacing w:after="0"/>
              <w:rPr>
                <w:sz w:val="20"/>
                <w:szCs w:val="20"/>
                <w:color w:val="auto"/>
              </w:rPr>
            </w:pPr>
            <w:r>
              <w:rPr>
                <w:rFonts w:ascii="Arial" w:cs="Arial" w:eastAsia="Arial" w:hAnsi="Arial"/>
                <w:sz w:val="17"/>
                <w:szCs w:val="17"/>
                <w:b w:val="1"/>
                <w:bCs w:val="1"/>
                <w:color w:val="auto"/>
              </w:rPr>
              <w:t>0</w:t>
            </w:r>
          </w:p>
        </w:tc>
        <w:tc>
          <w:tcPr>
            <w:tcW w:w="760" w:type="dxa"/>
            <w:vAlign w:val="bottom"/>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7"/>
                <w:szCs w:val="17"/>
                <w:color w:val="auto"/>
              </w:rPr>
              <w:t>Poteet (Sand Plant)</w:t>
            </w: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4101342</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646</w:t>
            </w: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7"/>
                <w:szCs w:val="17"/>
                <w:color w:val="auto"/>
              </w:rPr>
              <w:t>Rio Medina</w:t>
            </w:r>
          </w:p>
        </w:tc>
        <w:tc>
          <w:tcPr>
            <w:tcW w:w="780" w:type="dxa"/>
            <w:vAlign w:val="bottom"/>
          </w:tcPr>
          <w:p>
            <w:pPr>
              <w:jc w:val="center"/>
              <w:spacing w:after="0"/>
              <w:rPr>
                <w:sz w:val="20"/>
                <w:szCs w:val="20"/>
                <w:color w:val="auto"/>
              </w:rPr>
            </w:pPr>
            <w:r>
              <w:rPr>
                <w:rFonts w:ascii="Arial" w:cs="Arial" w:eastAsia="Arial" w:hAnsi="Arial"/>
                <w:sz w:val="17"/>
                <w:szCs w:val="17"/>
                <w:color w:val="auto"/>
                <w:w w:val="90"/>
              </w:rPr>
              <w:t>4103594</w:t>
            </w:r>
          </w:p>
        </w:tc>
        <w:tc>
          <w:tcPr>
            <w:tcW w:w="72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tcPr>
          <w:p>
            <w:pPr>
              <w:jc w:val="right"/>
              <w:ind w:right="17"/>
              <w:spacing w:after="0"/>
              <w:rPr>
                <w:sz w:val="20"/>
                <w:szCs w:val="20"/>
                <w:color w:val="auto"/>
              </w:rPr>
            </w:pPr>
            <w:r>
              <w:rPr>
                <w:rFonts w:ascii="Arial" w:cs="Arial" w:eastAsia="Arial" w:hAnsi="Arial"/>
                <w:sz w:val="17"/>
                <w:szCs w:val="17"/>
                <w:b w:val="1"/>
                <w:bCs w:val="1"/>
                <w:color w:val="auto"/>
              </w:rPr>
              <w:t>464</w:t>
            </w:r>
          </w:p>
        </w:tc>
        <w:tc>
          <w:tcPr>
            <w:tcW w:w="760" w:type="dxa"/>
            <w:vAlign w:val="bottom"/>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7"/>
                <w:szCs w:val="17"/>
                <w:color w:val="auto"/>
              </w:rPr>
              <w:t>San Pedro Quarry</w:t>
            </w: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4101337</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0</w:t>
            </w: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7"/>
                <w:szCs w:val="17"/>
                <w:color w:val="auto"/>
              </w:rPr>
              <w:t>Sawyer</w:t>
            </w:r>
          </w:p>
        </w:tc>
        <w:tc>
          <w:tcPr>
            <w:tcW w:w="780" w:type="dxa"/>
            <w:vAlign w:val="bottom"/>
          </w:tcPr>
          <w:p>
            <w:pPr>
              <w:jc w:val="center"/>
              <w:spacing w:after="0"/>
              <w:rPr>
                <w:sz w:val="20"/>
                <w:szCs w:val="20"/>
                <w:color w:val="auto"/>
              </w:rPr>
            </w:pPr>
            <w:r>
              <w:rPr>
                <w:rFonts w:ascii="Arial" w:cs="Arial" w:eastAsia="Arial" w:hAnsi="Arial"/>
                <w:sz w:val="17"/>
                <w:szCs w:val="17"/>
                <w:color w:val="auto"/>
                <w:w w:val="90"/>
              </w:rPr>
              <w:t>3401634</w:t>
            </w:r>
          </w:p>
        </w:tc>
        <w:tc>
          <w:tcPr>
            <w:tcW w:w="72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tcPr>
          <w:p>
            <w:pPr>
              <w:jc w:val="right"/>
              <w:ind w:right="17"/>
              <w:spacing w:after="0"/>
              <w:rPr>
                <w:sz w:val="20"/>
                <w:szCs w:val="20"/>
                <w:color w:val="auto"/>
              </w:rPr>
            </w:pPr>
            <w:r>
              <w:rPr>
                <w:rFonts w:ascii="Arial" w:cs="Arial" w:eastAsia="Arial" w:hAnsi="Arial"/>
                <w:sz w:val="17"/>
                <w:szCs w:val="17"/>
                <w:b w:val="1"/>
                <w:bCs w:val="1"/>
                <w:color w:val="auto"/>
              </w:rPr>
              <w:t>289</w:t>
            </w:r>
          </w:p>
        </w:tc>
        <w:tc>
          <w:tcPr>
            <w:tcW w:w="760" w:type="dxa"/>
            <w:vAlign w:val="bottom"/>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7"/>
                <w:szCs w:val="17"/>
                <w:color w:val="auto"/>
              </w:rPr>
              <w:t>Snyder</w:t>
            </w: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3401651</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792</w:t>
            </w: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1</w:t>
            </w: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2</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7"/>
                <w:szCs w:val="17"/>
                <w:color w:val="auto"/>
              </w:rPr>
              <w:t>South Texas Port No.2</w:t>
            </w:r>
          </w:p>
        </w:tc>
        <w:tc>
          <w:tcPr>
            <w:tcW w:w="780" w:type="dxa"/>
            <w:vAlign w:val="bottom"/>
          </w:tcPr>
          <w:p>
            <w:pPr>
              <w:jc w:val="center"/>
              <w:spacing w:after="0"/>
              <w:rPr>
                <w:sz w:val="20"/>
                <w:szCs w:val="20"/>
                <w:color w:val="auto"/>
              </w:rPr>
            </w:pPr>
            <w:r>
              <w:rPr>
                <w:rFonts w:ascii="Arial" w:cs="Arial" w:eastAsia="Arial" w:hAnsi="Arial"/>
                <w:sz w:val="17"/>
                <w:szCs w:val="17"/>
                <w:color w:val="auto"/>
                <w:w w:val="90"/>
              </w:rPr>
              <w:t>4104204</w:t>
            </w:r>
          </w:p>
        </w:tc>
        <w:tc>
          <w:tcPr>
            <w:tcW w:w="720" w:type="dxa"/>
            <w:vAlign w:val="bottom"/>
          </w:tcPr>
          <w:p>
            <w:pPr>
              <w:jc w:val="right"/>
              <w:ind w:right="16"/>
              <w:spacing w:after="0"/>
              <w:rPr>
                <w:sz w:val="20"/>
                <w:szCs w:val="20"/>
                <w:color w:val="auto"/>
              </w:rPr>
            </w:pPr>
            <w:r>
              <w:rPr>
                <w:rFonts w:ascii="Arial" w:cs="Arial" w:eastAsia="Arial" w:hAnsi="Arial"/>
                <w:sz w:val="17"/>
                <w:szCs w:val="17"/>
                <w:color w:val="auto"/>
              </w:rPr>
              <w:t>1</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tcPr>
          <w:p>
            <w:pPr>
              <w:jc w:val="right"/>
              <w:ind w:right="17"/>
              <w:spacing w:after="0"/>
              <w:rPr>
                <w:sz w:val="20"/>
                <w:szCs w:val="20"/>
                <w:color w:val="auto"/>
              </w:rPr>
            </w:pPr>
            <w:r>
              <w:rPr>
                <w:rFonts w:ascii="Arial" w:cs="Arial" w:eastAsia="Arial" w:hAnsi="Arial"/>
                <w:sz w:val="17"/>
                <w:szCs w:val="17"/>
                <w:b w:val="1"/>
                <w:bCs w:val="1"/>
                <w:color w:val="auto"/>
              </w:rPr>
              <w:t>204</w:t>
            </w:r>
          </w:p>
        </w:tc>
        <w:tc>
          <w:tcPr>
            <w:tcW w:w="760" w:type="dxa"/>
            <w:vAlign w:val="bottom"/>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7"/>
                <w:szCs w:val="17"/>
                <w:color w:val="auto"/>
              </w:rPr>
              <w:t>Tin Top SG TXI</w:t>
            </w: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4102852</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0</w:t>
            </w: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7"/>
                <w:szCs w:val="17"/>
                <w:color w:val="auto"/>
              </w:rPr>
              <w:t>Washita Quarry</w:t>
            </w:r>
          </w:p>
        </w:tc>
        <w:tc>
          <w:tcPr>
            <w:tcW w:w="780" w:type="dxa"/>
            <w:vAlign w:val="bottom"/>
          </w:tcPr>
          <w:p>
            <w:pPr>
              <w:jc w:val="center"/>
              <w:spacing w:after="0"/>
              <w:rPr>
                <w:sz w:val="20"/>
                <w:szCs w:val="20"/>
                <w:color w:val="auto"/>
              </w:rPr>
            </w:pPr>
            <w:r>
              <w:rPr>
                <w:rFonts w:ascii="Arial" w:cs="Arial" w:eastAsia="Arial" w:hAnsi="Arial"/>
                <w:sz w:val="17"/>
                <w:szCs w:val="17"/>
                <w:color w:val="auto"/>
                <w:w w:val="90"/>
              </w:rPr>
              <w:t>3402049</w:t>
            </w:r>
          </w:p>
        </w:tc>
        <w:tc>
          <w:tcPr>
            <w:tcW w:w="72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tcPr>
          <w:p>
            <w:pPr>
              <w:jc w:val="right"/>
              <w:ind w:right="17"/>
              <w:spacing w:after="0"/>
              <w:rPr>
                <w:sz w:val="20"/>
                <w:szCs w:val="20"/>
                <w:color w:val="auto"/>
              </w:rPr>
            </w:pPr>
            <w:r>
              <w:rPr>
                <w:rFonts w:ascii="Arial" w:cs="Arial" w:eastAsia="Arial" w:hAnsi="Arial"/>
                <w:sz w:val="17"/>
                <w:szCs w:val="17"/>
                <w:b w:val="1"/>
                <w:bCs w:val="1"/>
                <w:color w:val="auto"/>
              </w:rPr>
              <w:t>232</w:t>
            </w:r>
          </w:p>
        </w:tc>
        <w:tc>
          <w:tcPr>
            <w:tcW w:w="760" w:type="dxa"/>
            <w:vAlign w:val="bottom"/>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7"/>
                <w:szCs w:val="17"/>
                <w:color w:val="auto"/>
              </w:rPr>
              <w:t>Webberville TXI</w:t>
            </w: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4104363</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3</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1,535</w:t>
            </w: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920" w:type="dxa"/>
            <w:vAlign w:val="bottom"/>
          </w:tcPr>
          <w:p>
            <w:pPr>
              <w:spacing w:after="0"/>
              <w:rPr>
                <w:sz w:val="20"/>
                <w:szCs w:val="20"/>
                <w:color w:val="auto"/>
              </w:rPr>
            </w:pPr>
            <w:r>
              <w:rPr>
                <w:rFonts w:ascii="Arial" w:cs="Arial" w:eastAsia="Arial" w:hAnsi="Arial"/>
                <w:sz w:val="17"/>
                <w:szCs w:val="17"/>
                <w:color w:val="auto"/>
              </w:rPr>
              <w:t>Woodworth Aggregates</w:t>
            </w: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vMerge w:val="restart"/>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vMerge w:val="restart"/>
          </w:tcPr>
          <w:p>
            <w:pPr>
              <w:jc w:val="right"/>
              <w:ind w:right="17"/>
              <w:spacing w:after="0"/>
              <w:rPr>
                <w:sz w:val="20"/>
                <w:szCs w:val="20"/>
                <w:color w:val="auto"/>
              </w:rPr>
            </w:pPr>
            <w:r>
              <w:rPr>
                <w:rFonts w:ascii="Arial" w:cs="Arial" w:eastAsia="Arial" w:hAnsi="Arial"/>
                <w:sz w:val="17"/>
                <w:szCs w:val="17"/>
                <w:b w:val="1"/>
                <w:bCs w:val="1"/>
                <w:color w:val="auto"/>
              </w:rPr>
              <w:t>831</w:t>
            </w: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vMerge w:val="restart"/>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vMerge w:val="restart"/>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920" w:type="dxa"/>
            <w:vAlign w:val="bottom"/>
          </w:tcPr>
          <w:p>
            <w:pPr>
              <w:ind w:left="160"/>
              <w:spacing w:after="0"/>
              <w:rPr>
                <w:sz w:val="20"/>
                <w:szCs w:val="20"/>
                <w:color w:val="auto"/>
              </w:rPr>
            </w:pPr>
            <w:r>
              <w:rPr>
                <w:rFonts w:ascii="Arial" w:cs="Arial" w:eastAsia="Arial" w:hAnsi="Arial"/>
                <w:sz w:val="17"/>
                <w:szCs w:val="17"/>
                <w:color w:val="auto"/>
              </w:rPr>
              <w:t>TXI</w:t>
            </w:r>
          </w:p>
        </w:tc>
        <w:tc>
          <w:tcPr>
            <w:tcW w:w="780" w:type="dxa"/>
            <w:vAlign w:val="bottom"/>
          </w:tcPr>
          <w:p>
            <w:pPr>
              <w:jc w:val="center"/>
              <w:spacing w:after="0"/>
              <w:rPr>
                <w:sz w:val="20"/>
                <w:szCs w:val="20"/>
                <w:color w:val="auto"/>
              </w:rPr>
            </w:pPr>
            <w:r>
              <w:rPr>
                <w:rFonts w:ascii="Arial" w:cs="Arial" w:eastAsia="Arial" w:hAnsi="Arial"/>
                <w:sz w:val="17"/>
                <w:szCs w:val="17"/>
                <w:color w:val="auto"/>
                <w:w w:val="90"/>
              </w:rPr>
              <w:t>1601070</w:t>
            </w:r>
          </w:p>
        </w:tc>
        <w:tc>
          <w:tcPr>
            <w:tcW w:w="72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760" w:type="dxa"/>
            <w:vAlign w:val="bottom"/>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7"/>
                <w:szCs w:val="17"/>
                <w:color w:val="auto"/>
              </w:rPr>
              <w:t>Cottonwood Sand and</w:t>
            </w:r>
          </w:p>
        </w:tc>
        <w:tc>
          <w:tcPr>
            <w:tcW w:w="7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vMerge w:val="restart"/>
            <w:shd w:val="clear" w:color="auto" w:fill="CCEEFF"/>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vMerge w:val="restart"/>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116</w:t>
            </w:r>
          </w:p>
        </w:tc>
        <w:tc>
          <w:tcPr>
            <w:tcW w:w="7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vMerge w:val="restart"/>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9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Gravel</w:t>
            </w: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504418</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vMerge w:val="continue"/>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7"/>
                <w:szCs w:val="17"/>
                <w:color w:val="auto"/>
                <w:w w:val="95"/>
              </w:rPr>
              <w:t>Fountain Sand and Gravel</w:t>
            </w:r>
          </w:p>
        </w:tc>
        <w:tc>
          <w:tcPr>
            <w:tcW w:w="780" w:type="dxa"/>
            <w:vAlign w:val="bottom"/>
          </w:tcPr>
          <w:p>
            <w:pPr>
              <w:jc w:val="center"/>
              <w:spacing w:after="0"/>
              <w:rPr>
                <w:sz w:val="20"/>
                <w:szCs w:val="20"/>
                <w:color w:val="auto"/>
              </w:rPr>
            </w:pPr>
            <w:r>
              <w:rPr>
                <w:rFonts w:ascii="Arial" w:cs="Arial" w:eastAsia="Arial" w:hAnsi="Arial"/>
                <w:sz w:val="17"/>
                <w:szCs w:val="17"/>
                <w:color w:val="auto"/>
                <w:w w:val="91"/>
              </w:rPr>
              <w:t>503821</w:t>
            </w:r>
          </w:p>
        </w:tc>
        <w:tc>
          <w:tcPr>
            <w:tcW w:w="720" w:type="dxa"/>
            <w:vAlign w:val="bottom"/>
          </w:tcPr>
          <w:p>
            <w:pPr>
              <w:jc w:val="right"/>
              <w:ind w:right="16"/>
              <w:spacing w:after="0"/>
              <w:rPr>
                <w:sz w:val="20"/>
                <w:szCs w:val="20"/>
                <w:color w:val="auto"/>
              </w:rPr>
            </w:pPr>
            <w:r>
              <w:rPr>
                <w:rFonts w:ascii="Arial" w:cs="Arial" w:eastAsia="Arial" w:hAnsi="Arial"/>
                <w:sz w:val="17"/>
                <w:szCs w:val="17"/>
                <w:color w:val="auto"/>
              </w:rPr>
              <w:t>1</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tcPr>
          <w:p>
            <w:pPr>
              <w:jc w:val="right"/>
              <w:ind w:right="17"/>
              <w:spacing w:after="0"/>
              <w:rPr>
                <w:sz w:val="20"/>
                <w:szCs w:val="20"/>
                <w:color w:val="auto"/>
              </w:rPr>
            </w:pPr>
            <w:r>
              <w:rPr>
                <w:rFonts w:ascii="Arial" w:cs="Arial" w:eastAsia="Arial" w:hAnsi="Arial"/>
                <w:sz w:val="17"/>
                <w:szCs w:val="17"/>
                <w:b w:val="1"/>
                <w:bCs w:val="1"/>
                <w:color w:val="auto"/>
              </w:rPr>
              <w:t>13,437</w:t>
            </w:r>
          </w:p>
        </w:tc>
        <w:tc>
          <w:tcPr>
            <w:tcW w:w="760" w:type="dxa"/>
            <w:vAlign w:val="bottom"/>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7"/>
                <w:szCs w:val="17"/>
                <w:color w:val="auto"/>
              </w:rPr>
              <w:t>Granite Canyon Quarry</w:t>
            </w: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4800018</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346</w:t>
            </w: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7"/>
                <w:szCs w:val="17"/>
                <w:color w:val="auto"/>
              </w:rPr>
              <w:t>Greeley 35th Ready Mix</w:t>
            </w:r>
          </w:p>
        </w:tc>
        <w:tc>
          <w:tcPr>
            <w:tcW w:w="780" w:type="dxa"/>
            <w:vAlign w:val="bottom"/>
          </w:tcPr>
          <w:p>
            <w:pPr>
              <w:jc w:val="center"/>
              <w:spacing w:after="0"/>
              <w:rPr>
                <w:sz w:val="20"/>
                <w:szCs w:val="20"/>
                <w:color w:val="auto"/>
              </w:rPr>
            </w:pPr>
            <w:r>
              <w:rPr>
                <w:rFonts w:ascii="Arial" w:cs="Arial" w:eastAsia="Arial" w:hAnsi="Arial"/>
                <w:sz w:val="17"/>
                <w:szCs w:val="17"/>
                <w:color w:val="auto"/>
                <w:w w:val="91"/>
              </w:rPr>
              <w:t>503215</w:t>
            </w:r>
          </w:p>
        </w:tc>
        <w:tc>
          <w:tcPr>
            <w:tcW w:w="72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tcPr>
          <w:p>
            <w:pPr>
              <w:jc w:val="right"/>
              <w:ind w:right="17"/>
              <w:spacing w:after="0"/>
              <w:rPr>
                <w:sz w:val="20"/>
                <w:szCs w:val="20"/>
                <w:color w:val="auto"/>
              </w:rPr>
            </w:pPr>
            <w:r>
              <w:rPr>
                <w:rFonts w:ascii="Arial" w:cs="Arial" w:eastAsia="Arial" w:hAnsi="Arial"/>
                <w:sz w:val="17"/>
                <w:szCs w:val="17"/>
                <w:b w:val="1"/>
                <w:bCs w:val="1"/>
                <w:color w:val="auto"/>
              </w:rPr>
              <w:t>232</w:t>
            </w:r>
          </w:p>
        </w:tc>
        <w:tc>
          <w:tcPr>
            <w:tcW w:w="760" w:type="dxa"/>
            <w:vAlign w:val="bottom"/>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7"/>
                <w:szCs w:val="17"/>
                <w:color w:val="auto"/>
              </w:rPr>
              <w:t>Greeley 35th Sand and</w:t>
            </w:r>
          </w:p>
        </w:tc>
        <w:tc>
          <w:tcPr>
            <w:tcW w:w="7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vMerge w:val="restart"/>
            <w:shd w:val="clear" w:color="auto" w:fill="CCEEFF"/>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vMerge w:val="restart"/>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625</w:t>
            </w:r>
          </w:p>
        </w:tc>
        <w:tc>
          <w:tcPr>
            <w:tcW w:w="7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vMerge w:val="restart"/>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9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Gravel</w:t>
            </w: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504613</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vMerge w:val="continue"/>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7"/>
                <w:szCs w:val="17"/>
                <w:color w:val="auto"/>
              </w:rPr>
              <w:t>Guernsey</w:t>
            </w:r>
          </w:p>
        </w:tc>
        <w:tc>
          <w:tcPr>
            <w:tcW w:w="780" w:type="dxa"/>
            <w:vAlign w:val="bottom"/>
          </w:tcPr>
          <w:p>
            <w:pPr>
              <w:jc w:val="center"/>
              <w:spacing w:after="0"/>
              <w:rPr>
                <w:sz w:val="20"/>
                <w:szCs w:val="20"/>
                <w:color w:val="auto"/>
              </w:rPr>
            </w:pPr>
            <w:r>
              <w:rPr>
                <w:rFonts w:ascii="Arial" w:cs="Arial" w:eastAsia="Arial" w:hAnsi="Arial"/>
                <w:sz w:val="17"/>
                <w:szCs w:val="17"/>
                <w:color w:val="auto"/>
                <w:w w:val="90"/>
              </w:rPr>
              <w:t>4800004</w:t>
            </w:r>
          </w:p>
        </w:tc>
        <w:tc>
          <w:tcPr>
            <w:tcW w:w="720" w:type="dxa"/>
            <w:vAlign w:val="bottom"/>
          </w:tcPr>
          <w:p>
            <w:pPr>
              <w:jc w:val="right"/>
              <w:ind w:right="16"/>
              <w:spacing w:after="0"/>
              <w:rPr>
                <w:sz w:val="20"/>
                <w:szCs w:val="20"/>
                <w:color w:val="auto"/>
              </w:rPr>
            </w:pPr>
            <w:r>
              <w:rPr>
                <w:rFonts w:ascii="Arial" w:cs="Arial" w:eastAsia="Arial" w:hAnsi="Arial"/>
                <w:sz w:val="17"/>
                <w:szCs w:val="17"/>
                <w:color w:val="auto"/>
              </w:rPr>
              <w:t>1</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tcPr>
          <w:p>
            <w:pPr>
              <w:jc w:val="right"/>
              <w:ind w:right="17"/>
              <w:spacing w:after="0"/>
              <w:rPr>
                <w:sz w:val="20"/>
                <w:szCs w:val="20"/>
                <w:color w:val="auto"/>
              </w:rPr>
            </w:pPr>
            <w:r>
              <w:rPr>
                <w:rFonts w:ascii="Arial" w:cs="Arial" w:eastAsia="Arial" w:hAnsi="Arial"/>
                <w:sz w:val="17"/>
                <w:szCs w:val="17"/>
                <w:b w:val="1"/>
                <w:bCs w:val="1"/>
                <w:color w:val="auto"/>
              </w:rPr>
              <w:t>5,135</w:t>
            </w:r>
          </w:p>
        </w:tc>
        <w:tc>
          <w:tcPr>
            <w:tcW w:w="760" w:type="dxa"/>
            <w:vAlign w:val="bottom"/>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7"/>
                <w:szCs w:val="17"/>
                <w:color w:val="auto"/>
              </w:rPr>
              <w:t>Milford</w:t>
            </w: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4202177</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0</w:t>
            </w:r>
          </w:p>
        </w:tc>
        <w:tc>
          <w:tcPr>
            <w:tcW w:w="22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rPr>
              <w:t>$</w:t>
            </w: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251</w:t>
            </w: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0</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no</w:t>
            </w:r>
          </w:p>
        </w:tc>
        <w:tc>
          <w:tcPr>
            <w:tcW w:w="660" w:type="dxa"/>
            <w:vAlign w:val="bottom"/>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0</w:t>
            </w: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0</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bl>
    <w:p>
      <w:pPr>
        <w:sectPr>
          <w:pgSz w:w="11900" w:h="16838" w:orient="portrait"/>
          <w:cols w:equalWidth="0" w:num="1">
            <w:col w:w="11420"/>
          </w:cols>
          <w:pgMar w:left="240" w:top="242" w:right="239" w:bottom="1440" w:gutter="0" w:footer="0" w:header="0"/>
        </w:sectPr>
      </w:pPr>
    </w:p>
    <w:bookmarkStart w:id="165" w:name="page166"/>
    <w:bookmarkEnd w:id="16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4">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4"/>
              </w:rPr>
              <w:t>Received</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7"/>
              </w:rPr>
              <w:t>Received</w:t>
            </w: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Legal</w:t>
            </w: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Total</w:t>
            </w:r>
          </w:p>
        </w:tc>
        <w:tc>
          <w:tcPr>
            <w:tcW w:w="7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6"/>
              </w:rPr>
              <w:t>Notice of</w:t>
            </w:r>
          </w:p>
        </w:tc>
        <w:tc>
          <w:tcPr>
            <w:tcW w:w="7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6"/>
              </w:rPr>
              <w:t>Notice of</w:t>
            </w:r>
          </w:p>
        </w:tc>
        <w:tc>
          <w:tcPr>
            <w:tcW w:w="68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Section</w:t>
            </w:r>
          </w:p>
        </w:tc>
        <w:tc>
          <w:tcPr>
            <w:tcW w:w="8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jc w:val="center"/>
              <w:ind w:right="138"/>
              <w:spacing w:after="0"/>
              <w:rPr>
                <w:sz w:val="20"/>
                <w:szCs w:val="20"/>
                <w:color w:val="auto"/>
              </w:rPr>
            </w:pPr>
            <w:r>
              <w:rPr>
                <w:rFonts w:ascii="Arial" w:cs="Arial" w:eastAsia="Arial" w:hAnsi="Arial"/>
                <w:sz w:val="14"/>
                <w:szCs w:val="14"/>
                <w:b w:val="1"/>
                <w:bCs w:val="1"/>
                <w:color w:val="auto"/>
                <w:w w:val="89"/>
              </w:rPr>
              <w:t>Total</w:t>
            </w:r>
          </w:p>
        </w:tc>
        <w:tc>
          <w:tcPr>
            <w:tcW w:w="760" w:type="dxa"/>
            <w:vAlign w:val="bottom"/>
            <w:vMerge w:val="continue"/>
          </w:tcPr>
          <w:p>
            <w:pPr>
              <w:spacing w:after="0"/>
              <w:rPr>
                <w:sz w:val="12"/>
                <w:szCs w:val="12"/>
                <w:color w:val="auto"/>
              </w:rPr>
            </w:pPr>
          </w:p>
        </w:tc>
        <w:tc>
          <w:tcPr>
            <w:tcW w:w="7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1"/>
              </w:rPr>
              <w:t>Pattern</w:t>
            </w:r>
          </w:p>
        </w:tc>
        <w:tc>
          <w:tcPr>
            <w:tcW w:w="7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1"/>
              </w:rPr>
              <w:t>Potential</w:t>
            </w:r>
          </w:p>
        </w:tc>
        <w:tc>
          <w:tcPr>
            <w:tcW w:w="6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5"/>
              </w:rPr>
              <w:t>Actions</w:t>
            </w: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Legal</w:t>
            </w: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Legal</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8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7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4"/>
              </w:rPr>
              <w:t>Number</w:t>
            </w:r>
          </w:p>
        </w:tc>
        <w:tc>
          <w:tcPr>
            <w:tcW w:w="7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0"/>
              </w:rPr>
              <w:t>of</w:t>
            </w:r>
          </w:p>
        </w:tc>
        <w:tc>
          <w:tcPr>
            <w:tcW w:w="7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5"/>
              </w:rPr>
              <w:t>to have</w:t>
            </w:r>
          </w:p>
        </w:tc>
        <w:tc>
          <w:tcPr>
            <w:tcW w:w="6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6"/>
              </w:rPr>
              <w:t>Pending</w:t>
            </w:r>
          </w:p>
        </w:tc>
        <w:tc>
          <w:tcPr>
            <w:tcW w:w="78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Section</w:t>
            </w:r>
          </w:p>
        </w:tc>
        <w:tc>
          <w:tcPr>
            <w:tcW w:w="640" w:type="dxa"/>
            <w:vAlign w:val="bottom"/>
            <w:vMerge w:val="restart"/>
          </w:tcPr>
          <w:p>
            <w:pPr>
              <w:jc w:val="right"/>
              <w:ind w:right="37"/>
              <w:spacing w:after="0"/>
              <w:rPr>
                <w:sz w:val="20"/>
                <w:szCs w:val="20"/>
                <w:color w:val="auto"/>
              </w:rPr>
            </w:pPr>
            <w:r>
              <w:rPr>
                <w:rFonts w:ascii="Arial" w:cs="Arial" w:eastAsia="Arial" w:hAnsi="Arial"/>
                <w:sz w:val="14"/>
                <w:szCs w:val="14"/>
                <w:b w:val="1"/>
                <w:bCs w:val="1"/>
                <w:color w:val="auto"/>
                <w:w w:val="98"/>
              </w:rPr>
              <w:t>Section</w:t>
            </w:r>
          </w:p>
        </w:tc>
        <w:tc>
          <w:tcPr>
            <w:tcW w:w="7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7"/>
              </w:rPr>
              <w:t>104(d)</w:t>
            </w:r>
          </w:p>
        </w:tc>
        <w:tc>
          <w:tcPr>
            <w:tcW w:w="800" w:type="dxa"/>
            <w:vAlign w:val="bottom"/>
            <w:vMerge w:val="restart"/>
          </w:tcPr>
          <w:p>
            <w:pPr>
              <w:jc w:val="right"/>
              <w:ind w:right="97"/>
              <w:spacing w:after="0"/>
              <w:rPr>
                <w:sz w:val="20"/>
                <w:szCs w:val="20"/>
                <w:color w:val="auto"/>
              </w:rPr>
            </w:pPr>
            <w:r>
              <w:rPr>
                <w:rFonts w:ascii="Arial" w:cs="Arial" w:eastAsia="Arial" w:hAnsi="Arial"/>
                <w:sz w:val="14"/>
                <w:szCs w:val="14"/>
                <w:b w:val="1"/>
                <w:bCs w:val="1"/>
                <w:color w:val="auto"/>
              </w:rPr>
              <w:t>Section</w:t>
            </w:r>
          </w:p>
        </w:tc>
        <w:tc>
          <w:tcPr>
            <w:tcW w:w="640" w:type="dxa"/>
            <w:vAlign w:val="bottom"/>
            <w:vMerge w:val="restart"/>
          </w:tcPr>
          <w:p>
            <w:pPr>
              <w:jc w:val="right"/>
              <w:ind w:right="17"/>
              <w:spacing w:after="0"/>
              <w:rPr>
                <w:sz w:val="20"/>
                <w:szCs w:val="20"/>
                <w:color w:val="auto"/>
              </w:rPr>
            </w:pPr>
            <w:r>
              <w:rPr>
                <w:rFonts w:ascii="Arial" w:cs="Arial" w:eastAsia="Arial" w:hAnsi="Arial"/>
                <w:sz w:val="14"/>
                <w:szCs w:val="14"/>
                <w:b w:val="1"/>
                <w:bCs w:val="1"/>
                <w:color w:val="auto"/>
              </w:rPr>
              <w:t>Section</w:t>
            </w:r>
          </w:p>
        </w:tc>
        <w:tc>
          <w:tcPr>
            <w:tcW w:w="200" w:type="dxa"/>
            <w:vAlign w:val="bottom"/>
          </w:tcPr>
          <w:p>
            <w:pPr>
              <w:spacing w:after="0"/>
              <w:rPr>
                <w:sz w:val="12"/>
                <w:szCs w:val="12"/>
                <w:color w:val="auto"/>
              </w:rPr>
            </w:pPr>
          </w:p>
        </w:tc>
        <w:tc>
          <w:tcPr>
            <w:tcW w:w="720" w:type="dxa"/>
            <w:vAlign w:val="bottom"/>
          </w:tcPr>
          <w:p>
            <w:pPr>
              <w:jc w:val="center"/>
              <w:ind w:right="138"/>
              <w:spacing w:after="0" w:line="143" w:lineRule="exact"/>
              <w:rPr>
                <w:sz w:val="20"/>
                <w:szCs w:val="20"/>
                <w:color w:val="auto"/>
              </w:rPr>
            </w:pPr>
            <w:r>
              <w:rPr>
                <w:rFonts w:ascii="Arial" w:cs="Arial" w:eastAsia="Arial" w:hAnsi="Arial"/>
                <w:sz w:val="14"/>
                <w:szCs w:val="14"/>
                <w:b w:val="1"/>
                <w:bCs w:val="1"/>
                <w:color w:val="auto"/>
                <w:w w:val="95"/>
              </w:rPr>
              <w:t>Dollar</w:t>
            </w:r>
          </w:p>
        </w:tc>
        <w:tc>
          <w:tcPr>
            <w:tcW w:w="7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0"/>
              </w:rPr>
              <w:t>of</w:t>
            </w:r>
          </w:p>
        </w:tc>
        <w:tc>
          <w:tcPr>
            <w:tcW w:w="7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1"/>
              </w:rPr>
              <w:t>Violation</w:t>
            </w:r>
          </w:p>
        </w:tc>
        <w:tc>
          <w:tcPr>
            <w:tcW w:w="7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1"/>
              </w:rPr>
              <w:t>Pattern</w:t>
            </w:r>
          </w:p>
        </w:tc>
        <w:tc>
          <w:tcPr>
            <w:tcW w:w="6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5"/>
              </w:rPr>
              <w:t>as of</w:t>
            </w:r>
          </w:p>
        </w:tc>
        <w:tc>
          <w:tcPr>
            <w:tcW w:w="7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5"/>
              </w:rPr>
              <w:t>Actions</w:t>
            </w:r>
          </w:p>
        </w:tc>
        <w:tc>
          <w:tcPr>
            <w:tcW w:w="6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5"/>
              </w:rPr>
              <w:t>Actions</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720" w:type="dxa"/>
            <w:vAlign w:val="bottom"/>
          </w:tcPr>
          <w:p>
            <w:pPr>
              <w:jc w:val="right"/>
              <w:ind w:right="18"/>
              <w:spacing w:after="0" w:line="143" w:lineRule="exact"/>
              <w:rPr>
                <w:sz w:val="20"/>
                <w:szCs w:val="20"/>
                <w:color w:val="auto"/>
              </w:rPr>
            </w:pPr>
            <w:r>
              <w:rPr>
                <w:rFonts w:ascii="Arial" w:cs="Arial" w:eastAsia="Arial" w:hAnsi="Arial"/>
                <w:sz w:val="14"/>
                <w:szCs w:val="14"/>
                <w:b w:val="1"/>
                <w:bCs w:val="1"/>
                <w:color w:val="auto"/>
              </w:rPr>
              <w:t>Citations</w:t>
            </w:r>
          </w:p>
        </w:tc>
        <w:tc>
          <w:tcPr>
            <w:tcW w:w="80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center"/>
              <w:ind w:right="118"/>
              <w:spacing w:after="0" w:line="143" w:lineRule="exact"/>
              <w:rPr>
                <w:sz w:val="20"/>
                <w:szCs w:val="20"/>
                <w:color w:val="auto"/>
              </w:rPr>
            </w:pPr>
            <w:r>
              <w:rPr>
                <w:rFonts w:ascii="Arial" w:cs="Arial" w:eastAsia="Arial" w:hAnsi="Arial"/>
                <w:sz w:val="14"/>
                <w:szCs w:val="14"/>
                <w:b w:val="1"/>
                <w:bCs w:val="1"/>
                <w:color w:val="auto"/>
                <w:w w:val="88"/>
              </w:rPr>
              <w:t>Value of</w:t>
            </w:r>
          </w:p>
        </w:tc>
        <w:tc>
          <w:tcPr>
            <w:tcW w:w="7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3"/>
              </w:rPr>
              <w:t>Mining</w:t>
            </w:r>
          </w:p>
        </w:tc>
        <w:tc>
          <w:tcPr>
            <w:tcW w:w="7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8"/>
              </w:rPr>
              <w:t>Under</w:t>
            </w:r>
          </w:p>
        </w:tc>
        <w:tc>
          <w:tcPr>
            <w:tcW w:w="7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7"/>
              </w:rPr>
              <w:t>under</w:t>
            </w:r>
          </w:p>
        </w:tc>
        <w:tc>
          <w:tcPr>
            <w:tcW w:w="6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7"/>
              </w:rPr>
              <w:t>Last</w:t>
            </w:r>
          </w:p>
        </w:tc>
        <w:tc>
          <w:tcPr>
            <w:tcW w:w="7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1"/>
              </w:rPr>
              <w:t>Instituted</w:t>
            </w:r>
          </w:p>
        </w:tc>
        <w:tc>
          <w:tcPr>
            <w:tcW w:w="6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6"/>
              </w:rPr>
              <w:t>Resolved</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2"/>
              </w:rPr>
              <w:t>104 S&amp;S</w:t>
            </w:r>
          </w:p>
        </w:tc>
        <w:tc>
          <w:tcPr>
            <w:tcW w:w="6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2"/>
              </w:rPr>
              <w:t>104(b)</w:t>
            </w:r>
          </w:p>
        </w:tc>
        <w:tc>
          <w:tcPr>
            <w:tcW w:w="7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8"/>
              </w:rPr>
              <w:t>and</w:t>
            </w:r>
          </w:p>
        </w:tc>
        <w:tc>
          <w:tcPr>
            <w:tcW w:w="8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9"/>
              </w:rPr>
              <w:t>110(b)(2)</w:t>
            </w:r>
          </w:p>
        </w:tc>
        <w:tc>
          <w:tcPr>
            <w:tcW w:w="6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8"/>
              </w:rPr>
              <w:t>107(a)</w:t>
            </w:r>
          </w:p>
        </w:tc>
        <w:tc>
          <w:tcPr>
            <w:tcW w:w="200" w:type="dxa"/>
            <w:vAlign w:val="bottom"/>
          </w:tcPr>
          <w:p>
            <w:pPr>
              <w:spacing w:after="0"/>
              <w:rPr>
                <w:sz w:val="12"/>
                <w:szCs w:val="12"/>
                <w:color w:val="auto"/>
              </w:rPr>
            </w:pPr>
          </w:p>
        </w:tc>
        <w:tc>
          <w:tcPr>
            <w:tcW w:w="720" w:type="dxa"/>
            <w:vAlign w:val="bottom"/>
          </w:tcPr>
          <w:p>
            <w:pPr>
              <w:jc w:val="center"/>
              <w:ind w:right="138"/>
              <w:spacing w:after="0" w:line="143" w:lineRule="exact"/>
              <w:rPr>
                <w:sz w:val="20"/>
                <w:szCs w:val="20"/>
                <w:color w:val="auto"/>
              </w:rPr>
            </w:pPr>
            <w:r>
              <w:rPr>
                <w:rFonts w:ascii="Arial" w:cs="Arial" w:eastAsia="Arial" w:hAnsi="Arial"/>
                <w:sz w:val="14"/>
                <w:szCs w:val="14"/>
                <w:b w:val="1"/>
                <w:bCs w:val="1"/>
                <w:color w:val="auto"/>
              </w:rPr>
              <w:t>MSHA</w:t>
            </w:r>
          </w:p>
        </w:tc>
        <w:tc>
          <w:tcPr>
            <w:tcW w:w="7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0"/>
              </w:rPr>
              <w:t>Related</w:t>
            </w:r>
          </w:p>
        </w:tc>
        <w:tc>
          <w:tcPr>
            <w:tcW w:w="7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6"/>
              </w:rPr>
              <w:t>Section</w:t>
            </w:r>
          </w:p>
        </w:tc>
        <w:tc>
          <w:tcPr>
            <w:tcW w:w="7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2"/>
              </w:rPr>
              <w:t>Section</w:t>
            </w:r>
          </w:p>
        </w:tc>
        <w:tc>
          <w:tcPr>
            <w:tcW w:w="6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3"/>
              </w:rPr>
              <w:t>Day of</w:t>
            </w:r>
          </w:p>
        </w:tc>
        <w:tc>
          <w:tcPr>
            <w:tcW w:w="7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3"/>
              </w:rPr>
              <w:t>During</w:t>
            </w:r>
          </w:p>
        </w:tc>
        <w:tc>
          <w:tcPr>
            <w:tcW w:w="6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3"/>
              </w:rPr>
              <w:t>During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0"/>
              </w:rPr>
              <w:t>Citations</w:t>
            </w:r>
          </w:p>
        </w:tc>
        <w:tc>
          <w:tcPr>
            <w:tcW w:w="640" w:type="dxa"/>
            <w:vAlign w:val="bottom"/>
          </w:tcPr>
          <w:p>
            <w:pPr>
              <w:jc w:val="right"/>
              <w:ind w:right="37"/>
              <w:spacing w:after="0" w:line="143" w:lineRule="exact"/>
              <w:rPr>
                <w:sz w:val="20"/>
                <w:szCs w:val="20"/>
                <w:color w:val="auto"/>
              </w:rPr>
            </w:pPr>
            <w:r>
              <w:rPr>
                <w:rFonts w:ascii="Arial" w:cs="Arial" w:eastAsia="Arial" w:hAnsi="Arial"/>
                <w:sz w:val="14"/>
                <w:szCs w:val="14"/>
                <w:b w:val="1"/>
                <w:bCs w:val="1"/>
                <w:color w:val="auto"/>
              </w:rPr>
              <w:t>Orders</w:t>
            </w:r>
          </w:p>
        </w:tc>
        <w:tc>
          <w:tcPr>
            <w:tcW w:w="7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1"/>
              </w:rPr>
              <w:t>Orders</w:t>
            </w:r>
          </w:p>
        </w:tc>
        <w:tc>
          <w:tcPr>
            <w:tcW w:w="800" w:type="dxa"/>
            <w:vAlign w:val="bottom"/>
          </w:tcPr>
          <w:p>
            <w:pPr>
              <w:jc w:val="right"/>
              <w:ind w:right="17"/>
              <w:spacing w:after="0" w:line="143" w:lineRule="exact"/>
              <w:rPr>
                <w:sz w:val="20"/>
                <w:szCs w:val="20"/>
                <w:color w:val="auto"/>
              </w:rPr>
            </w:pPr>
            <w:r>
              <w:rPr>
                <w:rFonts w:ascii="Arial" w:cs="Arial" w:eastAsia="Arial" w:hAnsi="Arial"/>
                <w:sz w:val="14"/>
                <w:szCs w:val="14"/>
                <w:b w:val="1"/>
                <w:bCs w:val="1"/>
                <w:color w:val="auto"/>
              </w:rPr>
              <w:t>Violations</w:t>
            </w:r>
          </w:p>
        </w:tc>
        <w:tc>
          <w:tcPr>
            <w:tcW w:w="640" w:type="dxa"/>
            <w:vAlign w:val="bottom"/>
          </w:tcPr>
          <w:p>
            <w:pPr>
              <w:jc w:val="right"/>
              <w:ind w:right="37"/>
              <w:spacing w:after="0" w:line="143" w:lineRule="exact"/>
              <w:rPr>
                <w:sz w:val="20"/>
                <w:szCs w:val="20"/>
                <w:color w:val="auto"/>
              </w:rPr>
            </w:pPr>
            <w:r>
              <w:rPr>
                <w:rFonts w:ascii="Arial" w:cs="Arial" w:eastAsia="Arial" w:hAnsi="Arial"/>
                <w:sz w:val="14"/>
                <w:szCs w:val="14"/>
                <w:b w:val="1"/>
                <w:bCs w:val="1"/>
                <w:color w:val="auto"/>
              </w:rPr>
              <w:t>Orders</w:t>
            </w:r>
          </w:p>
        </w:tc>
        <w:tc>
          <w:tcPr>
            <w:tcW w:w="920" w:type="dxa"/>
            <w:vAlign w:val="bottom"/>
            <w:gridSpan w:val="2"/>
          </w:tcPr>
          <w:p>
            <w:pPr>
              <w:ind w:left="100"/>
              <w:spacing w:after="0" w:line="143" w:lineRule="exact"/>
              <w:rPr>
                <w:sz w:val="20"/>
                <w:szCs w:val="20"/>
                <w:color w:val="auto"/>
              </w:rPr>
            </w:pPr>
            <w:r>
              <w:rPr>
                <w:rFonts w:ascii="Arial" w:cs="Arial" w:eastAsia="Arial" w:hAnsi="Arial"/>
                <w:sz w:val="14"/>
                <w:szCs w:val="14"/>
                <w:b w:val="1"/>
                <w:bCs w:val="1"/>
                <w:color w:val="auto"/>
                <w:w w:val="92"/>
              </w:rPr>
              <w:t>Assessment/</w:t>
            </w:r>
          </w:p>
        </w:tc>
        <w:tc>
          <w:tcPr>
            <w:tcW w:w="760" w:type="dxa"/>
            <w:vAlign w:val="bottom"/>
          </w:tcPr>
          <w:p>
            <w:pPr>
              <w:jc w:val="right"/>
              <w:ind w:right="39"/>
              <w:spacing w:after="0" w:line="143" w:lineRule="exact"/>
              <w:rPr>
                <w:sz w:val="20"/>
                <w:szCs w:val="20"/>
                <w:color w:val="auto"/>
              </w:rPr>
            </w:pPr>
            <w:r>
              <w:rPr>
                <w:rFonts w:ascii="Arial" w:cs="Arial" w:eastAsia="Arial" w:hAnsi="Arial"/>
                <w:sz w:val="14"/>
                <w:szCs w:val="14"/>
                <w:b w:val="1"/>
                <w:bCs w:val="1"/>
                <w:color w:val="auto"/>
              </w:rPr>
              <w:t>Fatalities</w:t>
            </w:r>
          </w:p>
        </w:tc>
        <w:tc>
          <w:tcPr>
            <w:tcW w:w="7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8"/>
              </w:rPr>
              <w:t>104(e)</w:t>
            </w:r>
          </w:p>
        </w:tc>
        <w:tc>
          <w:tcPr>
            <w:tcW w:w="7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8"/>
              </w:rPr>
              <w:t>104(e)</w:t>
            </w:r>
          </w:p>
        </w:tc>
        <w:tc>
          <w:tcPr>
            <w:tcW w:w="6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1"/>
              </w:rPr>
              <w:t>Period</w:t>
            </w:r>
          </w:p>
        </w:tc>
        <w:tc>
          <w:tcPr>
            <w:tcW w:w="7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7"/>
              </w:rPr>
              <w:t>Period</w:t>
            </w:r>
          </w:p>
        </w:tc>
        <w:tc>
          <w:tcPr>
            <w:tcW w:w="6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7"/>
              </w:rPr>
              <w:t>Period</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800" w:type="dxa"/>
            <w:vAlign w:val="bottom"/>
          </w:tcPr>
          <w:p>
            <w:pPr>
              <w:ind w:left="640"/>
              <w:spacing w:after="0"/>
              <w:rPr>
                <w:sz w:val="20"/>
                <w:szCs w:val="20"/>
                <w:color w:val="auto"/>
              </w:rPr>
            </w:pPr>
            <w:r>
              <w:rPr>
                <w:rFonts w:ascii="Arial" w:cs="Arial" w:eastAsia="Arial" w:hAnsi="Arial"/>
                <w:sz w:val="14"/>
                <w:szCs w:val="14"/>
                <w:b w:val="1"/>
                <w:bCs w:val="1"/>
                <w:color w:val="auto"/>
              </w:rPr>
              <w:t>Location</w:t>
            </w:r>
          </w:p>
        </w:tc>
        <w:tc>
          <w:tcPr>
            <w:tcW w:w="800" w:type="dxa"/>
            <w:vAlign w:val="bottom"/>
          </w:tcPr>
          <w:p>
            <w:pPr>
              <w:ind w:left="140"/>
              <w:spacing w:after="0"/>
              <w:rPr>
                <w:sz w:val="20"/>
                <w:szCs w:val="20"/>
                <w:color w:val="auto"/>
              </w:rPr>
            </w:pPr>
            <w:r>
              <w:rPr>
                <w:rFonts w:ascii="Arial" w:cs="Arial" w:eastAsia="Arial" w:hAnsi="Arial"/>
                <w:sz w:val="14"/>
                <w:szCs w:val="14"/>
                <w:b w:val="1"/>
                <w:bCs w:val="1"/>
                <w:color w:val="auto"/>
              </w:rPr>
              <w:t>MSHA ID</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640" w:type="dxa"/>
            <w:vAlign w:val="bottom"/>
          </w:tcPr>
          <w:p>
            <w:pPr>
              <w:jc w:val="right"/>
              <w:ind w:right="157"/>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ind w:right="198"/>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237"/>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ind w:right="157"/>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ind w:left="120"/>
              <w:spacing w:after="0"/>
              <w:rPr>
                <w:sz w:val="20"/>
                <w:szCs w:val="20"/>
                <w:color w:val="auto"/>
              </w:rPr>
            </w:pPr>
            <w:r>
              <w:rPr>
                <w:rFonts w:ascii="Arial" w:cs="Arial" w:eastAsia="Arial" w:hAnsi="Arial"/>
                <w:sz w:val="14"/>
                <w:szCs w:val="14"/>
                <w:b w:val="1"/>
                <w:bCs w:val="1"/>
                <w:color w:val="auto"/>
                <w:w w:val="76"/>
              </w:rPr>
              <w:t>$</w:t>
            </w:r>
          </w:p>
        </w:tc>
        <w:tc>
          <w:tcPr>
            <w:tcW w:w="720" w:type="dxa"/>
            <w:vAlign w:val="bottom"/>
          </w:tcPr>
          <w:p>
            <w:pPr>
              <w:jc w:val="right"/>
              <w:ind w:right="58"/>
              <w:spacing w:after="0"/>
              <w:rPr>
                <w:sz w:val="20"/>
                <w:szCs w:val="20"/>
                <w:color w:val="auto"/>
              </w:rPr>
            </w:pPr>
            <w:r>
              <w:rPr>
                <w:rFonts w:ascii="Arial" w:cs="Arial" w:eastAsia="Arial" w:hAnsi="Arial"/>
                <w:sz w:val="14"/>
                <w:szCs w:val="14"/>
                <w:b w:val="1"/>
                <w:bCs w:val="1"/>
                <w:color w:val="auto"/>
                <w:w w:val="86"/>
              </w:rPr>
              <w:t>Proposed</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(yes/no)</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5"/>
              </w:rPr>
              <w:t>(yes/no)</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1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7"/>
                <w:szCs w:val="17"/>
                <w:color w:val="auto"/>
              </w:rPr>
              <w:t>Northern Portable Plant</w:t>
            </w:r>
          </w:p>
        </w:tc>
        <w:tc>
          <w:tcPr>
            <w:tcW w:w="8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vMerge w:val="restart"/>
            <w:shd w:val="clear" w:color="auto" w:fill="CCEEFF"/>
          </w:tcPr>
          <w:p>
            <w:pPr>
              <w:ind w:left="100"/>
              <w:spacing w:after="0"/>
              <w:rPr>
                <w:sz w:val="20"/>
                <w:szCs w:val="20"/>
                <w:color w:val="auto"/>
              </w:rPr>
            </w:pPr>
            <w:r>
              <w:rPr>
                <w:rFonts w:ascii="Arial" w:cs="Arial" w:eastAsia="Arial" w:hAnsi="Arial"/>
                <w:sz w:val="17"/>
                <w:szCs w:val="17"/>
                <w:b w:val="1"/>
                <w:bCs w:val="1"/>
                <w:color w:val="auto"/>
                <w:w w:val="84"/>
              </w:rPr>
              <w:t>$</w:t>
            </w:r>
          </w:p>
        </w:tc>
        <w:tc>
          <w:tcPr>
            <w:tcW w:w="720" w:type="dxa"/>
            <w:vAlign w:val="bottom"/>
            <w:vMerge w:val="restart"/>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348</w:t>
            </w:r>
          </w:p>
        </w:tc>
        <w:tc>
          <w:tcPr>
            <w:tcW w:w="7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ind w:right="19"/>
              <w:spacing w:after="0"/>
              <w:rPr>
                <w:sz w:val="20"/>
                <w:szCs w:val="20"/>
                <w:color w:val="auto"/>
              </w:rPr>
            </w:pPr>
            <w:r>
              <w:rPr>
                <w:rFonts w:ascii="Arial" w:cs="Arial" w:eastAsia="Arial" w:hAnsi="Arial"/>
                <w:sz w:val="17"/>
                <w:szCs w:val="17"/>
                <w:b w:val="1"/>
                <w:bCs w:val="1"/>
                <w:color w:val="auto"/>
              </w:rPr>
              <w:t>0</w:t>
            </w:r>
          </w:p>
        </w:tc>
        <w:tc>
          <w:tcPr>
            <w:tcW w:w="780" w:type="dxa"/>
            <w:vAlign w:val="bottom"/>
            <w:vMerge w:val="restart"/>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0</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8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#4</w:t>
            </w:r>
          </w:p>
        </w:tc>
        <w:tc>
          <w:tcPr>
            <w:tcW w:w="8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4801565</w:t>
            </w:r>
          </w:p>
        </w:tc>
        <w:tc>
          <w:tcPr>
            <w:tcW w:w="7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200" w:type="dxa"/>
            <w:vAlign w:val="bottom"/>
            <w:vMerge w:val="continue"/>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no</w:t>
            </w:r>
          </w:p>
        </w:tc>
        <w:tc>
          <w:tcPr>
            <w:tcW w:w="7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no</w:t>
            </w:r>
          </w:p>
        </w:tc>
        <w:tc>
          <w:tcPr>
            <w:tcW w:w="68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7"/>
                <w:szCs w:val="17"/>
                <w:color w:val="auto"/>
              </w:rPr>
              <w:t>Parkdale Quarry</w:t>
            </w:r>
          </w:p>
        </w:tc>
        <w:tc>
          <w:tcPr>
            <w:tcW w:w="800" w:type="dxa"/>
            <w:vAlign w:val="bottom"/>
          </w:tcPr>
          <w:p>
            <w:pPr>
              <w:jc w:val="center"/>
              <w:spacing w:after="0"/>
              <w:rPr>
                <w:sz w:val="20"/>
                <w:szCs w:val="20"/>
                <w:color w:val="auto"/>
              </w:rPr>
            </w:pPr>
            <w:r>
              <w:rPr>
                <w:rFonts w:ascii="Arial" w:cs="Arial" w:eastAsia="Arial" w:hAnsi="Arial"/>
                <w:sz w:val="17"/>
                <w:szCs w:val="17"/>
                <w:color w:val="auto"/>
                <w:w w:val="91"/>
              </w:rPr>
              <w:t>504635</w:t>
            </w:r>
          </w:p>
        </w:tc>
        <w:tc>
          <w:tcPr>
            <w:tcW w:w="720" w:type="dxa"/>
            <w:vAlign w:val="bottom"/>
          </w:tcPr>
          <w:p>
            <w:pPr>
              <w:jc w:val="right"/>
              <w:ind w:right="17"/>
              <w:spacing w:after="0"/>
              <w:rPr>
                <w:sz w:val="20"/>
                <w:szCs w:val="20"/>
                <w:color w:val="auto"/>
              </w:rPr>
            </w:pPr>
            <w:r>
              <w:rPr>
                <w:rFonts w:ascii="Arial" w:cs="Arial" w:eastAsia="Arial" w:hAnsi="Arial"/>
                <w:sz w:val="17"/>
                <w:szCs w:val="17"/>
                <w:color w:val="auto"/>
              </w:rPr>
              <w:t>1</w:t>
            </w:r>
          </w:p>
        </w:tc>
        <w:tc>
          <w:tcPr>
            <w:tcW w:w="64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720" w:type="dxa"/>
            <w:vAlign w:val="bottom"/>
          </w:tcPr>
          <w:p>
            <w:pPr>
              <w:jc w:val="right"/>
              <w:spacing w:after="0"/>
              <w:rPr>
                <w:sz w:val="20"/>
                <w:szCs w:val="20"/>
                <w:color w:val="auto"/>
              </w:rPr>
            </w:pPr>
            <w:r>
              <w:rPr>
                <w:rFonts w:ascii="Arial" w:cs="Arial" w:eastAsia="Arial" w:hAnsi="Arial"/>
                <w:sz w:val="17"/>
                <w:szCs w:val="17"/>
                <w:color w:val="auto"/>
              </w:rPr>
              <w:t>0</w:t>
            </w:r>
          </w:p>
        </w:tc>
        <w:tc>
          <w:tcPr>
            <w:tcW w:w="80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200" w:type="dxa"/>
            <w:vAlign w:val="bottom"/>
          </w:tcPr>
          <w:p>
            <w:pPr>
              <w:ind w:left="100"/>
              <w:spacing w:after="0"/>
              <w:rPr>
                <w:sz w:val="20"/>
                <w:szCs w:val="20"/>
                <w:color w:val="auto"/>
              </w:rPr>
            </w:pPr>
            <w:r>
              <w:rPr>
                <w:rFonts w:ascii="Arial" w:cs="Arial" w:eastAsia="Arial" w:hAnsi="Arial"/>
                <w:sz w:val="17"/>
                <w:szCs w:val="17"/>
                <w:b w:val="1"/>
                <w:bCs w:val="1"/>
                <w:color w:val="auto"/>
                <w:w w:val="84"/>
              </w:rPr>
              <w:t>$</w:t>
            </w:r>
          </w:p>
        </w:tc>
        <w:tc>
          <w:tcPr>
            <w:tcW w:w="720" w:type="dxa"/>
            <w:vAlign w:val="bottom"/>
          </w:tcPr>
          <w:p>
            <w:pPr>
              <w:jc w:val="right"/>
              <w:ind w:right="18"/>
              <w:spacing w:after="0"/>
              <w:rPr>
                <w:sz w:val="20"/>
                <w:szCs w:val="20"/>
                <w:color w:val="auto"/>
              </w:rPr>
            </w:pPr>
            <w:r>
              <w:rPr>
                <w:rFonts w:ascii="Arial" w:cs="Arial" w:eastAsia="Arial" w:hAnsi="Arial"/>
                <w:sz w:val="17"/>
                <w:szCs w:val="17"/>
                <w:b w:val="1"/>
                <w:bCs w:val="1"/>
                <w:color w:val="auto"/>
              </w:rPr>
              <w:t>25,434</w:t>
            </w:r>
          </w:p>
        </w:tc>
        <w:tc>
          <w:tcPr>
            <w:tcW w:w="760" w:type="dxa"/>
            <w:vAlign w:val="bottom"/>
          </w:tcPr>
          <w:p>
            <w:pPr>
              <w:jc w:val="right"/>
              <w:ind w:right="19"/>
              <w:spacing w:after="0"/>
              <w:rPr>
                <w:sz w:val="20"/>
                <w:szCs w:val="20"/>
                <w:color w:val="auto"/>
              </w:rPr>
            </w:pPr>
            <w:r>
              <w:rPr>
                <w:rFonts w:ascii="Arial" w:cs="Arial" w:eastAsia="Arial" w:hAnsi="Arial"/>
                <w:sz w:val="17"/>
                <w:szCs w:val="17"/>
                <w:color w:val="auto"/>
              </w:rPr>
              <w:t>0</w:t>
            </w:r>
          </w:p>
        </w:tc>
        <w:tc>
          <w:tcPr>
            <w:tcW w:w="720" w:type="dxa"/>
            <w:vAlign w:val="bottom"/>
          </w:tcPr>
          <w:p>
            <w:pPr>
              <w:ind w:left="340"/>
              <w:spacing w:after="0"/>
              <w:rPr>
                <w:sz w:val="20"/>
                <w:szCs w:val="20"/>
                <w:color w:val="auto"/>
              </w:rPr>
            </w:pPr>
            <w:r>
              <w:rPr>
                <w:rFonts w:ascii="Arial" w:cs="Arial" w:eastAsia="Arial" w:hAnsi="Arial"/>
                <w:sz w:val="17"/>
                <w:szCs w:val="17"/>
                <w:color w:val="auto"/>
              </w:rPr>
              <w:t>no</w:t>
            </w:r>
          </w:p>
        </w:tc>
        <w:tc>
          <w:tcPr>
            <w:tcW w:w="740" w:type="dxa"/>
            <w:vAlign w:val="bottom"/>
          </w:tcPr>
          <w:p>
            <w:pPr>
              <w:ind w:left="340"/>
              <w:spacing w:after="0"/>
              <w:rPr>
                <w:sz w:val="20"/>
                <w:szCs w:val="20"/>
                <w:color w:val="auto"/>
              </w:rPr>
            </w:pPr>
            <w:r>
              <w:rPr>
                <w:rFonts w:ascii="Arial" w:cs="Arial" w:eastAsia="Arial" w:hAnsi="Arial"/>
                <w:sz w:val="17"/>
                <w:szCs w:val="17"/>
                <w:color w:val="auto"/>
              </w:rPr>
              <w:t>no</w:t>
            </w:r>
          </w:p>
        </w:tc>
        <w:tc>
          <w:tcPr>
            <w:tcW w:w="680" w:type="dxa"/>
            <w:vAlign w:val="bottom"/>
          </w:tcPr>
          <w:p>
            <w:pPr>
              <w:jc w:val="right"/>
              <w:ind w:right="19"/>
              <w:spacing w:after="0"/>
              <w:rPr>
                <w:sz w:val="20"/>
                <w:szCs w:val="20"/>
                <w:color w:val="auto"/>
              </w:rPr>
            </w:pPr>
            <w:r>
              <w:rPr>
                <w:rFonts w:ascii="Arial" w:cs="Arial" w:eastAsia="Arial" w:hAnsi="Arial"/>
                <w:sz w:val="17"/>
                <w:szCs w:val="17"/>
                <w:b w:val="1"/>
                <w:bCs w:val="1"/>
                <w:color w:val="auto"/>
              </w:rPr>
              <w:t>0</w:t>
            </w:r>
          </w:p>
        </w:tc>
        <w:tc>
          <w:tcPr>
            <w:tcW w:w="780" w:type="dxa"/>
            <w:vAlign w:val="bottom"/>
          </w:tcPr>
          <w:p>
            <w:pPr>
              <w:jc w:val="right"/>
              <w:ind w:right="18"/>
              <w:spacing w:after="0"/>
              <w:rPr>
                <w:sz w:val="20"/>
                <w:szCs w:val="20"/>
                <w:color w:val="auto"/>
              </w:rPr>
            </w:pPr>
            <w:r>
              <w:rPr>
                <w:rFonts w:ascii="Arial" w:cs="Arial" w:eastAsia="Arial" w:hAnsi="Arial"/>
                <w:sz w:val="17"/>
                <w:szCs w:val="17"/>
                <w:b w:val="1"/>
                <w:bCs w:val="1"/>
                <w:color w:val="auto"/>
              </w:rPr>
              <w:t>0</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7"/>
                <w:szCs w:val="17"/>
                <w:color w:val="auto"/>
              </w:rPr>
              <w:t>Penrose SG</w:t>
            </w:r>
          </w:p>
        </w:tc>
        <w:tc>
          <w:tcPr>
            <w:tcW w:w="8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504509</w:t>
            </w:r>
          </w:p>
        </w:tc>
        <w:tc>
          <w:tcPr>
            <w:tcW w:w="7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20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w w:val="84"/>
              </w:rPr>
              <w:t>$</w:t>
            </w:r>
          </w:p>
        </w:tc>
        <w:tc>
          <w:tcPr>
            <w:tcW w:w="720" w:type="dxa"/>
            <w:vAlign w:val="bottom"/>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677</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no</w:t>
            </w:r>
          </w:p>
        </w:tc>
        <w:tc>
          <w:tcPr>
            <w:tcW w:w="7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no</w:t>
            </w: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7"/>
                <w:szCs w:val="17"/>
                <w:b w:val="1"/>
                <w:bCs w:val="1"/>
                <w:color w:val="auto"/>
              </w:rPr>
              <w:t>0</w:t>
            </w:r>
          </w:p>
        </w:tc>
        <w:tc>
          <w:tcPr>
            <w:tcW w:w="780" w:type="dxa"/>
            <w:vAlign w:val="bottom"/>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0</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7"/>
                <w:szCs w:val="17"/>
                <w:color w:val="auto"/>
              </w:rPr>
              <w:t>Portable Crushing</w:t>
            </w:r>
          </w:p>
        </w:tc>
        <w:tc>
          <w:tcPr>
            <w:tcW w:w="800" w:type="dxa"/>
            <w:vAlign w:val="bottom"/>
          </w:tcPr>
          <w:p>
            <w:pPr>
              <w:jc w:val="center"/>
              <w:spacing w:after="0"/>
              <w:rPr>
                <w:sz w:val="20"/>
                <w:szCs w:val="20"/>
                <w:color w:val="auto"/>
              </w:rPr>
            </w:pPr>
            <w:r>
              <w:rPr>
                <w:rFonts w:ascii="Arial" w:cs="Arial" w:eastAsia="Arial" w:hAnsi="Arial"/>
                <w:sz w:val="17"/>
                <w:szCs w:val="17"/>
                <w:color w:val="auto"/>
                <w:w w:val="91"/>
              </w:rPr>
              <w:t>503984</w:t>
            </w:r>
          </w:p>
        </w:tc>
        <w:tc>
          <w:tcPr>
            <w:tcW w:w="72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720" w:type="dxa"/>
            <w:vAlign w:val="bottom"/>
          </w:tcPr>
          <w:p>
            <w:pPr>
              <w:jc w:val="right"/>
              <w:spacing w:after="0"/>
              <w:rPr>
                <w:sz w:val="20"/>
                <w:szCs w:val="20"/>
                <w:color w:val="auto"/>
              </w:rPr>
            </w:pPr>
            <w:r>
              <w:rPr>
                <w:rFonts w:ascii="Arial" w:cs="Arial" w:eastAsia="Arial" w:hAnsi="Arial"/>
                <w:sz w:val="17"/>
                <w:szCs w:val="17"/>
                <w:color w:val="auto"/>
              </w:rPr>
              <w:t>0</w:t>
            </w:r>
          </w:p>
        </w:tc>
        <w:tc>
          <w:tcPr>
            <w:tcW w:w="80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200" w:type="dxa"/>
            <w:vAlign w:val="bottom"/>
          </w:tcPr>
          <w:p>
            <w:pPr>
              <w:ind w:left="100"/>
              <w:spacing w:after="0"/>
              <w:rPr>
                <w:sz w:val="20"/>
                <w:szCs w:val="20"/>
                <w:color w:val="auto"/>
              </w:rPr>
            </w:pPr>
            <w:r>
              <w:rPr>
                <w:rFonts w:ascii="Arial" w:cs="Arial" w:eastAsia="Arial" w:hAnsi="Arial"/>
                <w:sz w:val="17"/>
                <w:szCs w:val="17"/>
                <w:b w:val="1"/>
                <w:bCs w:val="1"/>
                <w:color w:val="auto"/>
                <w:w w:val="84"/>
              </w:rPr>
              <w:t>$</w:t>
            </w:r>
          </w:p>
        </w:tc>
        <w:tc>
          <w:tcPr>
            <w:tcW w:w="720" w:type="dxa"/>
            <w:vAlign w:val="bottom"/>
          </w:tcPr>
          <w:p>
            <w:pPr>
              <w:jc w:val="right"/>
              <w:ind w:right="18"/>
              <w:spacing w:after="0"/>
              <w:rPr>
                <w:sz w:val="20"/>
                <w:szCs w:val="20"/>
                <w:color w:val="auto"/>
              </w:rPr>
            </w:pPr>
            <w:r>
              <w:rPr>
                <w:rFonts w:ascii="Arial" w:cs="Arial" w:eastAsia="Arial" w:hAnsi="Arial"/>
                <w:sz w:val="17"/>
                <w:szCs w:val="17"/>
                <w:b w:val="1"/>
                <w:bCs w:val="1"/>
                <w:color w:val="auto"/>
              </w:rPr>
              <w:t>0</w:t>
            </w:r>
          </w:p>
        </w:tc>
        <w:tc>
          <w:tcPr>
            <w:tcW w:w="760" w:type="dxa"/>
            <w:vAlign w:val="bottom"/>
          </w:tcPr>
          <w:p>
            <w:pPr>
              <w:jc w:val="right"/>
              <w:ind w:right="19"/>
              <w:spacing w:after="0"/>
              <w:rPr>
                <w:sz w:val="20"/>
                <w:szCs w:val="20"/>
                <w:color w:val="auto"/>
              </w:rPr>
            </w:pPr>
            <w:r>
              <w:rPr>
                <w:rFonts w:ascii="Arial" w:cs="Arial" w:eastAsia="Arial" w:hAnsi="Arial"/>
                <w:sz w:val="17"/>
                <w:szCs w:val="17"/>
                <w:color w:val="auto"/>
              </w:rPr>
              <w:t>0</w:t>
            </w:r>
          </w:p>
        </w:tc>
        <w:tc>
          <w:tcPr>
            <w:tcW w:w="720" w:type="dxa"/>
            <w:vAlign w:val="bottom"/>
          </w:tcPr>
          <w:p>
            <w:pPr>
              <w:ind w:left="340"/>
              <w:spacing w:after="0"/>
              <w:rPr>
                <w:sz w:val="20"/>
                <w:szCs w:val="20"/>
                <w:color w:val="auto"/>
              </w:rPr>
            </w:pPr>
            <w:r>
              <w:rPr>
                <w:rFonts w:ascii="Arial" w:cs="Arial" w:eastAsia="Arial" w:hAnsi="Arial"/>
                <w:sz w:val="17"/>
                <w:szCs w:val="17"/>
                <w:color w:val="auto"/>
              </w:rPr>
              <w:t>no</w:t>
            </w:r>
          </w:p>
        </w:tc>
        <w:tc>
          <w:tcPr>
            <w:tcW w:w="740" w:type="dxa"/>
            <w:vAlign w:val="bottom"/>
          </w:tcPr>
          <w:p>
            <w:pPr>
              <w:ind w:left="340"/>
              <w:spacing w:after="0"/>
              <w:rPr>
                <w:sz w:val="20"/>
                <w:szCs w:val="20"/>
                <w:color w:val="auto"/>
              </w:rPr>
            </w:pPr>
            <w:r>
              <w:rPr>
                <w:rFonts w:ascii="Arial" w:cs="Arial" w:eastAsia="Arial" w:hAnsi="Arial"/>
                <w:sz w:val="17"/>
                <w:szCs w:val="17"/>
                <w:color w:val="auto"/>
              </w:rPr>
              <w:t>no</w:t>
            </w:r>
          </w:p>
        </w:tc>
        <w:tc>
          <w:tcPr>
            <w:tcW w:w="680" w:type="dxa"/>
            <w:vAlign w:val="bottom"/>
          </w:tcPr>
          <w:p>
            <w:pPr>
              <w:jc w:val="right"/>
              <w:ind w:right="19"/>
              <w:spacing w:after="0"/>
              <w:rPr>
                <w:sz w:val="20"/>
                <w:szCs w:val="20"/>
                <w:color w:val="auto"/>
              </w:rPr>
            </w:pPr>
            <w:r>
              <w:rPr>
                <w:rFonts w:ascii="Arial" w:cs="Arial" w:eastAsia="Arial" w:hAnsi="Arial"/>
                <w:sz w:val="17"/>
                <w:szCs w:val="17"/>
                <w:b w:val="1"/>
                <w:bCs w:val="1"/>
                <w:color w:val="auto"/>
              </w:rPr>
              <w:t>0</w:t>
            </w:r>
          </w:p>
        </w:tc>
        <w:tc>
          <w:tcPr>
            <w:tcW w:w="780" w:type="dxa"/>
            <w:vAlign w:val="bottom"/>
          </w:tcPr>
          <w:p>
            <w:pPr>
              <w:jc w:val="right"/>
              <w:ind w:right="18"/>
              <w:spacing w:after="0"/>
              <w:rPr>
                <w:sz w:val="20"/>
                <w:szCs w:val="20"/>
                <w:color w:val="auto"/>
              </w:rPr>
            </w:pPr>
            <w:r>
              <w:rPr>
                <w:rFonts w:ascii="Arial" w:cs="Arial" w:eastAsia="Arial" w:hAnsi="Arial"/>
                <w:sz w:val="17"/>
                <w:szCs w:val="17"/>
                <w:b w:val="1"/>
                <w:bCs w:val="1"/>
                <w:color w:val="auto"/>
              </w:rPr>
              <w:t>0</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7"/>
                <w:szCs w:val="17"/>
                <w:color w:val="auto"/>
              </w:rPr>
              <w:t>Portable Recycle 21</w:t>
            </w:r>
          </w:p>
        </w:tc>
        <w:tc>
          <w:tcPr>
            <w:tcW w:w="8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504520</w:t>
            </w:r>
          </w:p>
        </w:tc>
        <w:tc>
          <w:tcPr>
            <w:tcW w:w="7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20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w w:val="84"/>
              </w:rPr>
              <w:t>$</w:t>
            </w:r>
          </w:p>
        </w:tc>
        <w:tc>
          <w:tcPr>
            <w:tcW w:w="720" w:type="dxa"/>
            <w:vAlign w:val="bottom"/>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0</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no</w:t>
            </w:r>
          </w:p>
        </w:tc>
        <w:tc>
          <w:tcPr>
            <w:tcW w:w="7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no</w:t>
            </w: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7"/>
                <w:szCs w:val="17"/>
                <w:b w:val="1"/>
                <w:bCs w:val="1"/>
                <w:color w:val="auto"/>
              </w:rPr>
              <w:t>0</w:t>
            </w:r>
          </w:p>
        </w:tc>
        <w:tc>
          <w:tcPr>
            <w:tcW w:w="780" w:type="dxa"/>
            <w:vAlign w:val="bottom"/>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0</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7"/>
                <w:szCs w:val="17"/>
                <w:color w:val="auto"/>
              </w:rPr>
              <w:t>Red Canyon Quarry</w:t>
            </w:r>
          </w:p>
        </w:tc>
        <w:tc>
          <w:tcPr>
            <w:tcW w:w="800" w:type="dxa"/>
            <w:vAlign w:val="bottom"/>
          </w:tcPr>
          <w:p>
            <w:pPr>
              <w:jc w:val="center"/>
              <w:spacing w:after="0"/>
              <w:rPr>
                <w:sz w:val="20"/>
                <w:szCs w:val="20"/>
                <w:color w:val="auto"/>
              </w:rPr>
            </w:pPr>
            <w:r>
              <w:rPr>
                <w:rFonts w:ascii="Arial" w:cs="Arial" w:eastAsia="Arial" w:hAnsi="Arial"/>
                <w:sz w:val="17"/>
                <w:szCs w:val="17"/>
                <w:color w:val="auto"/>
                <w:w w:val="91"/>
              </w:rPr>
              <w:t>504136</w:t>
            </w:r>
          </w:p>
        </w:tc>
        <w:tc>
          <w:tcPr>
            <w:tcW w:w="720" w:type="dxa"/>
            <w:vAlign w:val="bottom"/>
          </w:tcPr>
          <w:p>
            <w:pPr>
              <w:jc w:val="right"/>
              <w:ind w:right="17"/>
              <w:spacing w:after="0"/>
              <w:rPr>
                <w:sz w:val="20"/>
                <w:szCs w:val="20"/>
                <w:color w:val="auto"/>
              </w:rPr>
            </w:pPr>
            <w:r>
              <w:rPr>
                <w:rFonts w:ascii="Arial" w:cs="Arial" w:eastAsia="Arial" w:hAnsi="Arial"/>
                <w:sz w:val="17"/>
                <w:szCs w:val="17"/>
                <w:color w:val="auto"/>
              </w:rPr>
              <w:t>3</w:t>
            </w:r>
          </w:p>
        </w:tc>
        <w:tc>
          <w:tcPr>
            <w:tcW w:w="64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720" w:type="dxa"/>
            <w:vAlign w:val="bottom"/>
          </w:tcPr>
          <w:p>
            <w:pPr>
              <w:jc w:val="right"/>
              <w:spacing w:after="0"/>
              <w:rPr>
                <w:sz w:val="20"/>
                <w:szCs w:val="20"/>
                <w:color w:val="auto"/>
              </w:rPr>
            </w:pPr>
            <w:r>
              <w:rPr>
                <w:rFonts w:ascii="Arial" w:cs="Arial" w:eastAsia="Arial" w:hAnsi="Arial"/>
                <w:sz w:val="17"/>
                <w:szCs w:val="17"/>
                <w:color w:val="auto"/>
              </w:rPr>
              <w:t>0</w:t>
            </w:r>
          </w:p>
        </w:tc>
        <w:tc>
          <w:tcPr>
            <w:tcW w:w="80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200" w:type="dxa"/>
            <w:vAlign w:val="bottom"/>
          </w:tcPr>
          <w:p>
            <w:pPr>
              <w:ind w:left="100"/>
              <w:spacing w:after="0"/>
              <w:rPr>
                <w:sz w:val="20"/>
                <w:szCs w:val="20"/>
                <w:color w:val="auto"/>
              </w:rPr>
            </w:pPr>
            <w:r>
              <w:rPr>
                <w:rFonts w:ascii="Arial" w:cs="Arial" w:eastAsia="Arial" w:hAnsi="Arial"/>
                <w:sz w:val="17"/>
                <w:szCs w:val="17"/>
                <w:b w:val="1"/>
                <w:bCs w:val="1"/>
                <w:color w:val="auto"/>
                <w:w w:val="84"/>
              </w:rPr>
              <w:t>$</w:t>
            </w:r>
          </w:p>
        </w:tc>
        <w:tc>
          <w:tcPr>
            <w:tcW w:w="720" w:type="dxa"/>
            <w:vAlign w:val="bottom"/>
          </w:tcPr>
          <w:p>
            <w:pPr>
              <w:jc w:val="right"/>
              <w:ind w:right="18"/>
              <w:spacing w:after="0"/>
              <w:rPr>
                <w:sz w:val="20"/>
                <w:szCs w:val="20"/>
                <w:color w:val="auto"/>
              </w:rPr>
            </w:pPr>
            <w:r>
              <w:rPr>
                <w:rFonts w:ascii="Arial" w:cs="Arial" w:eastAsia="Arial" w:hAnsi="Arial"/>
                <w:sz w:val="17"/>
                <w:szCs w:val="17"/>
                <w:b w:val="1"/>
                <w:bCs w:val="1"/>
                <w:color w:val="auto"/>
              </w:rPr>
              <w:t>1,685</w:t>
            </w:r>
          </w:p>
        </w:tc>
        <w:tc>
          <w:tcPr>
            <w:tcW w:w="760" w:type="dxa"/>
            <w:vAlign w:val="bottom"/>
          </w:tcPr>
          <w:p>
            <w:pPr>
              <w:jc w:val="right"/>
              <w:ind w:right="19"/>
              <w:spacing w:after="0"/>
              <w:rPr>
                <w:sz w:val="20"/>
                <w:szCs w:val="20"/>
                <w:color w:val="auto"/>
              </w:rPr>
            </w:pPr>
            <w:r>
              <w:rPr>
                <w:rFonts w:ascii="Arial" w:cs="Arial" w:eastAsia="Arial" w:hAnsi="Arial"/>
                <w:sz w:val="17"/>
                <w:szCs w:val="17"/>
                <w:color w:val="auto"/>
              </w:rPr>
              <w:t>0</w:t>
            </w:r>
          </w:p>
        </w:tc>
        <w:tc>
          <w:tcPr>
            <w:tcW w:w="720" w:type="dxa"/>
            <w:vAlign w:val="bottom"/>
          </w:tcPr>
          <w:p>
            <w:pPr>
              <w:ind w:left="340"/>
              <w:spacing w:after="0"/>
              <w:rPr>
                <w:sz w:val="20"/>
                <w:szCs w:val="20"/>
                <w:color w:val="auto"/>
              </w:rPr>
            </w:pPr>
            <w:r>
              <w:rPr>
                <w:rFonts w:ascii="Arial" w:cs="Arial" w:eastAsia="Arial" w:hAnsi="Arial"/>
                <w:sz w:val="17"/>
                <w:szCs w:val="17"/>
                <w:color w:val="auto"/>
              </w:rPr>
              <w:t>no</w:t>
            </w:r>
          </w:p>
        </w:tc>
        <w:tc>
          <w:tcPr>
            <w:tcW w:w="740" w:type="dxa"/>
            <w:vAlign w:val="bottom"/>
          </w:tcPr>
          <w:p>
            <w:pPr>
              <w:ind w:left="340"/>
              <w:spacing w:after="0"/>
              <w:rPr>
                <w:sz w:val="20"/>
                <w:szCs w:val="20"/>
                <w:color w:val="auto"/>
              </w:rPr>
            </w:pPr>
            <w:r>
              <w:rPr>
                <w:rFonts w:ascii="Arial" w:cs="Arial" w:eastAsia="Arial" w:hAnsi="Arial"/>
                <w:sz w:val="17"/>
                <w:szCs w:val="17"/>
                <w:color w:val="auto"/>
              </w:rPr>
              <w:t>no</w:t>
            </w:r>
          </w:p>
        </w:tc>
        <w:tc>
          <w:tcPr>
            <w:tcW w:w="680" w:type="dxa"/>
            <w:vAlign w:val="bottom"/>
          </w:tcPr>
          <w:p>
            <w:pPr>
              <w:jc w:val="right"/>
              <w:ind w:right="19"/>
              <w:spacing w:after="0"/>
              <w:rPr>
                <w:sz w:val="20"/>
                <w:szCs w:val="20"/>
                <w:color w:val="auto"/>
              </w:rPr>
            </w:pPr>
            <w:r>
              <w:rPr>
                <w:rFonts w:ascii="Arial" w:cs="Arial" w:eastAsia="Arial" w:hAnsi="Arial"/>
                <w:sz w:val="17"/>
                <w:szCs w:val="17"/>
                <w:b w:val="1"/>
                <w:bCs w:val="1"/>
                <w:color w:val="auto"/>
              </w:rPr>
              <w:t>0</w:t>
            </w:r>
          </w:p>
        </w:tc>
        <w:tc>
          <w:tcPr>
            <w:tcW w:w="780" w:type="dxa"/>
            <w:vAlign w:val="bottom"/>
          </w:tcPr>
          <w:p>
            <w:pPr>
              <w:jc w:val="right"/>
              <w:ind w:right="18"/>
              <w:spacing w:after="0"/>
              <w:rPr>
                <w:sz w:val="20"/>
                <w:szCs w:val="20"/>
                <w:color w:val="auto"/>
              </w:rPr>
            </w:pPr>
            <w:r>
              <w:rPr>
                <w:rFonts w:ascii="Arial" w:cs="Arial" w:eastAsia="Arial" w:hAnsi="Arial"/>
                <w:sz w:val="17"/>
                <w:szCs w:val="17"/>
                <w:b w:val="1"/>
                <w:bCs w:val="1"/>
                <w:color w:val="auto"/>
              </w:rPr>
              <w:t>0</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7"/>
                <w:szCs w:val="17"/>
                <w:color w:val="auto"/>
              </w:rPr>
              <w:t>Riverbend Sand and</w:t>
            </w:r>
          </w:p>
        </w:tc>
        <w:tc>
          <w:tcPr>
            <w:tcW w:w="8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vMerge w:val="restart"/>
            <w:shd w:val="clear" w:color="auto" w:fill="CCEEFF"/>
          </w:tcPr>
          <w:p>
            <w:pPr>
              <w:ind w:left="100"/>
              <w:spacing w:after="0"/>
              <w:rPr>
                <w:sz w:val="20"/>
                <w:szCs w:val="20"/>
                <w:color w:val="auto"/>
              </w:rPr>
            </w:pPr>
            <w:r>
              <w:rPr>
                <w:rFonts w:ascii="Arial" w:cs="Arial" w:eastAsia="Arial" w:hAnsi="Arial"/>
                <w:sz w:val="17"/>
                <w:szCs w:val="17"/>
                <w:b w:val="1"/>
                <w:bCs w:val="1"/>
                <w:color w:val="auto"/>
                <w:w w:val="84"/>
              </w:rPr>
              <w:t>$</w:t>
            </w:r>
          </w:p>
        </w:tc>
        <w:tc>
          <w:tcPr>
            <w:tcW w:w="720" w:type="dxa"/>
            <w:vAlign w:val="bottom"/>
            <w:vMerge w:val="restart"/>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116</w:t>
            </w:r>
          </w:p>
        </w:tc>
        <w:tc>
          <w:tcPr>
            <w:tcW w:w="7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ind w:right="19"/>
              <w:spacing w:after="0"/>
              <w:rPr>
                <w:sz w:val="20"/>
                <w:szCs w:val="20"/>
                <w:color w:val="auto"/>
              </w:rPr>
            </w:pPr>
            <w:r>
              <w:rPr>
                <w:rFonts w:ascii="Arial" w:cs="Arial" w:eastAsia="Arial" w:hAnsi="Arial"/>
                <w:sz w:val="17"/>
                <w:szCs w:val="17"/>
                <w:b w:val="1"/>
                <w:bCs w:val="1"/>
                <w:color w:val="auto"/>
              </w:rPr>
              <w:t>0</w:t>
            </w:r>
          </w:p>
        </w:tc>
        <w:tc>
          <w:tcPr>
            <w:tcW w:w="780" w:type="dxa"/>
            <w:vAlign w:val="bottom"/>
            <w:vMerge w:val="restart"/>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0</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8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Gravel</w:t>
            </w:r>
          </w:p>
        </w:tc>
        <w:tc>
          <w:tcPr>
            <w:tcW w:w="8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504841</w:t>
            </w:r>
          </w:p>
        </w:tc>
        <w:tc>
          <w:tcPr>
            <w:tcW w:w="7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200" w:type="dxa"/>
            <w:vAlign w:val="bottom"/>
            <w:vMerge w:val="continue"/>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no</w:t>
            </w:r>
          </w:p>
        </w:tc>
        <w:tc>
          <w:tcPr>
            <w:tcW w:w="7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no</w:t>
            </w:r>
          </w:p>
        </w:tc>
        <w:tc>
          <w:tcPr>
            <w:tcW w:w="68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7"/>
                <w:szCs w:val="17"/>
                <w:color w:val="auto"/>
              </w:rPr>
              <w:t>Spanish Springs Co 2</w:t>
            </w:r>
          </w:p>
        </w:tc>
        <w:tc>
          <w:tcPr>
            <w:tcW w:w="800" w:type="dxa"/>
            <w:vAlign w:val="bottom"/>
          </w:tcPr>
          <w:p>
            <w:pPr>
              <w:jc w:val="center"/>
              <w:spacing w:after="0"/>
              <w:rPr>
                <w:sz w:val="20"/>
                <w:szCs w:val="20"/>
                <w:color w:val="auto"/>
              </w:rPr>
            </w:pPr>
            <w:r>
              <w:rPr>
                <w:rFonts w:ascii="Arial" w:cs="Arial" w:eastAsia="Arial" w:hAnsi="Arial"/>
                <w:sz w:val="17"/>
                <w:szCs w:val="17"/>
                <w:color w:val="auto"/>
                <w:w w:val="90"/>
              </w:rPr>
              <w:t>2600803</w:t>
            </w:r>
          </w:p>
        </w:tc>
        <w:tc>
          <w:tcPr>
            <w:tcW w:w="72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720" w:type="dxa"/>
            <w:vAlign w:val="bottom"/>
          </w:tcPr>
          <w:p>
            <w:pPr>
              <w:jc w:val="right"/>
              <w:spacing w:after="0"/>
              <w:rPr>
                <w:sz w:val="20"/>
                <w:szCs w:val="20"/>
                <w:color w:val="auto"/>
              </w:rPr>
            </w:pPr>
            <w:r>
              <w:rPr>
                <w:rFonts w:ascii="Arial" w:cs="Arial" w:eastAsia="Arial" w:hAnsi="Arial"/>
                <w:sz w:val="17"/>
                <w:szCs w:val="17"/>
                <w:color w:val="auto"/>
              </w:rPr>
              <w:t>0</w:t>
            </w:r>
          </w:p>
        </w:tc>
        <w:tc>
          <w:tcPr>
            <w:tcW w:w="80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200" w:type="dxa"/>
            <w:vAlign w:val="bottom"/>
          </w:tcPr>
          <w:p>
            <w:pPr>
              <w:ind w:left="100"/>
              <w:spacing w:after="0"/>
              <w:rPr>
                <w:sz w:val="20"/>
                <w:szCs w:val="20"/>
                <w:color w:val="auto"/>
              </w:rPr>
            </w:pPr>
            <w:r>
              <w:rPr>
                <w:rFonts w:ascii="Arial" w:cs="Arial" w:eastAsia="Arial" w:hAnsi="Arial"/>
                <w:sz w:val="17"/>
                <w:szCs w:val="17"/>
                <w:b w:val="1"/>
                <w:bCs w:val="1"/>
                <w:color w:val="auto"/>
                <w:w w:val="84"/>
              </w:rPr>
              <w:t>$</w:t>
            </w:r>
          </w:p>
        </w:tc>
        <w:tc>
          <w:tcPr>
            <w:tcW w:w="720" w:type="dxa"/>
            <w:vAlign w:val="bottom"/>
          </w:tcPr>
          <w:p>
            <w:pPr>
              <w:jc w:val="right"/>
              <w:ind w:right="18"/>
              <w:spacing w:after="0"/>
              <w:rPr>
                <w:sz w:val="20"/>
                <w:szCs w:val="20"/>
                <w:color w:val="auto"/>
              </w:rPr>
            </w:pPr>
            <w:r>
              <w:rPr>
                <w:rFonts w:ascii="Arial" w:cs="Arial" w:eastAsia="Arial" w:hAnsi="Arial"/>
                <w:sz w:val="17"/>
                <w:szCs w:val="17"/>
                <w:b w:val="1"/>
                <w:bCs w:val="1"/>
                <w:color w:val="auto"/>
              </w:rPr>
              <w:t>232</w:t>
            </w:r>
          </w:p>
        </w:tc>
        <w:tc>
          <w:tcPr>
            <w:tcW w:w="760" w:type="dxa"/>
            <w:vAlign w:val="bottom"/>
          </w:tcPr>
          <w:p>
            <w:pPr>
              <w:jc w:val="right"/>
              <w:ind w:right="19"/>
              <w:spacing w:after="0"/>
              <w:rPr>
                <w:sz w:val="20"/>
                <w:szCs w:val="20"/>
                <w:color w:val="auto"/>
              </w:rPr>
            </w:pPr>
            <w:r>
              <w:rPr>
                <w:rFonts w:ascii="Arial" w:cs="Arial" w:eastAsia="Arial" w:hAnsi="Arial"/>
                <w:sz w:val="17"/>
                <w:szCs w:val="17"/>
                <w:color w:val="auto"/>
              </w:rPr>
              <w:t>0</w:t>
            </w:r>
          </w:p>
        </w:tc>
        <w:tc>
          <w:tcPr>
            <w:tcW w:w="720" w:type="dxa"/>
            <w:vAlign w:val="bottom"/>
          </w:tcPr>
          <w:p>
            <w:pPr>
              <w:ind w:left="340"/>
              <w:spacing w:after="0"/>
              <w:rPr>
                <w:sz w:val="20"/>
                <w:szCs w:val="20"/>
                <w:color w:val="auto"/>
              </w:rPr>
            </w:pPr>
            <w:r>
              <w:rPr>
                <w:rFonts w:ascii="Arial" w:cs="Arial" w:eastAsia="Arial" w:hAnsi="Arial"/>
                <w:sz w:val="17"/>
                <w:szCs w:val="17"/>
                <w:color w:val="auto"/>
              </w:rPr>
              <w:t>no</w:t>
            </w:r>
          </w:p>
        </w:tc>
        <w:tc>
          <w:tcPr>
            <w:tcW w:w="740" w:type="dxa"/>
            <w:vAlign w:val="bottom"/>
          </w:tcPr>
          <w:p>
            <w:pPr>
              <w:ind w:left="340"/>
              <w:spacing w:after="0"/>
              <w:rPr>
                <w:sz w:val="20"/>
                <w:szCs w:val="20"/>
                <w:color w:val="auto"/>
              </w:rPr>
            </w:pPr>
            <w:r>
              <w:rPr>
                <w:rFonts w:ascii="Arial" w:cs="Arial" w:eastAsia="Arial" w:hAnsi="Arial"/>
                <w:sz w:val="17"/>
                <w:szCs w:val="17"/>
                <w:color w:val="auto"/>
              </w:rPr>
              <w:t>no</w:t>
            </w:r>
          </w:p>
        </w:tc>
        <w:tc>
          <w:tcPr>
            <w:tcW w:w="680" w:type="dxa"/>
            <w:vAlign w:val="bottom"/>
          </w:tcPr>
          <w:p>
            <w:pPr>
              <w:jc w:val="right"/>
              <w:ind w:right="19"/>
              <w:spacing w:after="0"/>
              <w:rPr>
                <w:sz w:val="20"/>
                <w:szCs w:val="20"/>
                <w:color w:val="auto"/>
              </w:rPr>
            </w:pPr>
            <w:r>
              <w:rPr>
                <w:rFonts w:ascii="Arial" w:cs="Arial" w:eastAsia="Arial" w:hAnsi="Arial"/>
                <w:sz w:val="17"/>
                <w:szCs w:val="17"/>
                <w:b w:val="1"/>
                <w:bCs w:val="1"/>
                <w:color w:val="auto"/>
              </w:rPr>
              <w:t>0</w:t>
            </w:r>
          </w:p>
        </w:tc>
        <w:tc>
          <w:tcPr>
            <w:tcW w:w="780" w:type="dxa"/>
            <w:vAlign w:val="bottom"/>
          </w:tcPr>
          <w:p>
            <w:pPr>
              <w:jc w:val="right"/>
              <w:ind w:right="18"/>
              <w:spacing w:after="0"/>
              <w:rPr>
                <w:sz w:val="20"/>
                <w:szCs w:val="20"/>
                <w:color w:val="auto"/>
              </w:rPr>
            </w:pPr>
            <w:r>
              <w:rPr>
                <w:rFonts w:ascii="Arial" w:cs="Arial" w:eastAsia="Arial" w:hAnsi="Arial"/>
                <w:sz w:val="17"/>
                <w:szCs w:val="17"/>
                <w:b w:val="1"/>
                <w:bCs w:val="1"/>
                <w:color w:val="auto"/>
              </w:rPr>
              <w:t>0</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6</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7"/>
                <w:szCs w:val="17"/>
                <w:color w:val="auto"/>
              </w:rPr>
              <w:t>Spec Agg Sand and</w:t>
            </w:r>
          </w:p>
        </w:tc>
        <w:tc>
          <w:tcPr>
            <w:tcW w:w="8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vMerge w:val="restart"/>
            <w:shd w:val="clear" w:color="auto" w:fill="CCEEFF"/>
          </w:tcPr>
          <w:p>
            <w:pPr>
              <w:ind w:left="100"/>
              <w:spacing w:after="0"/>
              <w:rPr>
                <w:sz w:val="20"/>
                <w:szCs w:val="20"/>
                <w:color w:val="auto"/>
              </w:rPr>
            </w:pPr>
            <w:r>
              <w:rPr>
                <w:rFonts w:ascii="Arial" w:cs="Arial" w:eastAsia="Arial" w:hAnsi="Arial"/>
                <w:sz w:val="17"/>
                <w:szCs w:val="17"/>
                <w:b w:val="1"/>
                <w:bCs w:val="1"/>
                <w:color w:val="auto"/>
                <w:w w:val="84"/>
              </w:rPr>
              <w:t>$</w:t>
            </w:r>
          </w:p>
        </w:tc>
        <w:tc>
          <w:tcPr>
            <w:tcW w:w="720" w:type="dxa"/>
            <w:vAlign w:val="bottom"/>
            <w:vMerge w:val="restart"/>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4</w:t>
            </w:r>
          </w:p>
        </w:tc>
        <w:tc>
          <w:tcPr>
            <w:tcW w:w="7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ind w:right="19"/>
              <w:spacing w:after="0"/>
              <w:rPr>
                <w:sz w:val="20"/>
                <w:szCs w:val="20"/>
                <w:color w:val="auto"/>
              </w:rPr>
            </w:pPr>
            <w:r>
              <w:rPr>
                <w:rFonts w:ascii="Arial" w:cs="Arial" w:eastAsia="Arial" w:hAnsi="Arial"/>
                <w:sz w:val="17"/>
                <w:szCs w:val="17"/>
                <w:b w:val="1"/>
                <w:bCs w:val="1"/>
                <w:color w:val="auto"/>
              </w:rPr>
              <w:t>0</w:t>
            </w:r>
          </w:p>
        </w:tc>
        <w:tc>
          <w:tcPr>
            <w:tcW w:w="780" w:type="dxa"/>
            <w:vAlign w:val="bottom"/>
            <w:vMerge w:val="restart"/>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0</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8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Gravel</w:t>
            </w:r>
          </w:p>
        </w:tc>
        <w:tc>
          <w:tcPr>
            <w:tcW w:w="8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500860</w:t>
            </w:r>
          </w:p>
        </w:tc>
        <w:tc>
          <w:tcPr>
            <w:tcW w:w="7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2</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200" w:type="dxa"/>
            <w:vAlign w:val="bottom"/>
            <w:vMerge w:val="continue"/>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no</w:t>
            </w:r>
          </w:p>
        </w:tc>
        <w:tc>
          <w:tcPr>
            <w:tcW w:w="7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no</w:t>
            </w:r>
          </w:p>
        </w:tc>
        <w:tc>
          <w:tcPr>
            <w:tcW w:w="68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7"/>
                <w:szCs w:val="17"/>
                <w:color w:val="auto"/>
              </w:rPr>
              <w:t>Taft Sand and Gravel</w:t>
            </w:r>
          </w:p>
        </w:tc>
        <w:tc>
          <w:tcPr>
            <w:tcW w:w="800" w:type="dxa"/>
            <w:vAlign w:val="bottom"/>
          </w:tcPr>
          <w:p>
            <w:pPr>
              <w:jc w:val="center"/>
              <w:spacing w:after="0"/>
              <w:rPr>
                <w:sz w:val="20"/>
                <w:szCs w:val="20"/>
                <w:color w:val="auto"/>
              </w:rPr>
            </w:pPr>
            <w:r>
              <w:rPr>
                <w:rFonts w:ascii="Arial" w:cs="Arial" w:eastAsia="Arial" w:hAnsi="Arial"/>
                <w:sz w:val="17"/>
                <w:szCs w:val="17"/>
                <w:color w:val="auto"/>
                <w:w w:val="91"/>
              </w:rPr>
              <w:t>504526</w:t>
            </w:r>
          </w:p>
        </w:tc>
        <w:tc>
          <w:tcPr>
            <w:tcW w:w="72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720" w:type="dxa"/>
            <w:vAlign w:val="bottom"/>
          </w:tcPr>
          <w:p>
            <w:pPr>
              <w:jc w:val="right"/>
              <w:spacing w:after="0"/>
              <w:rPr>
                <w:sz w:val="20"/>
                <w:szCs w:val="20"/>
                <w:color w:val="auto"/>
              </w:rPr>
            </w:pPr>
            <w:r>
              <w:rPr>
                <w:rFonts w:ascii="Arial" w:cs="Arial" w:eastAsia="Arial" w:hAnsi="Arial"/>
                <w:sz w:val="17"/>
                <w:szCs w:val="17"/>
                <w:color w:val="auto"/>
              </w:rPr>
              <w:t>0</w:t>
            </w:r>
          </w:p>
        </w:tc>
        <w:tc>
          <w:tcPr>
            <w:tcW w:w="80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200" w:type="dxa"/>
            <w:vAlign w:val="bottom"/>
          </w:tcPr>
          <w:p>
            <w:pPr>
              <w:ind w:left="100"/>
              <w:spacing w:after="0"/>
              <w:rPr>
                <w:sz w:val="20"/>
                <w:szCs w:val="20"/>
                <w:color w:val="auto"/>
              </w:rPr>
            </w:pPr>
            <w:r>
              <w:rPr>
                <w:rFonts w:ascii="Arial" w:cs="Arial" w:eastAsia="Arial" w:hAnsi="Arial"/>
                <w:sz w:val="17"/>
                <w:szCs w:val="17"/>
                <w:b w:val="1"/>
                <w:bCs w:val="1"/>
                <w:color w:val="auto"/>
                <w:w w:val="84"/>
              </w:rPr>
              <w:t>$</w:t>
            </w:r>
          </w:p>
        </w:tc>
        <w:tc>
          <w:tcPr>
            <w:tcW w:w="720" w:type="dxa"/>
            <w:vAlign w:val="bottom"/>
          </w:tcPr>
          <w:p>
            <w:pPr>
              <w:jc w:val="right"/>
              <w:ind w:right="18"/>
              <w:spacing w:after="0"/>
              <w:rPr>
                <w:sz w:val="20"/>
                <w:szCs w:val="20"/>
                <w:color w:val="auto"/>
              </w:rPr>
            </w:pPr>
            <w:r>
              <w:rPr>
                <w:rFonts w:ascii="Arial" w:cs="Arial" w:eastAsia="Arial" w:hAnsi="Arial"/>
                <w:sz w:val="17"/>
                <w:szCs w:val="17"/>
                <w:b w:val="1"/>
                <w:bCs w:val="1"/>
                <w:color w:val="auto"/>
              </w:rPr>
              <w:t>453</w:t>
            </w:r>
          </w:p>
        </w:tc>
        <w:tc>
          <w:tcPr>
            <w:tcW w:w="760" w:type="dxa"/>
            <w:vAlign w:val="bottom"/>
          </w:tcPr>
          <w:p>
            <w:pPr>
              <w:jc w:val="right"/>
              <w:ind w:right="19"/>
              <w:spacing w:after="0"/>
              <w:rPr>
                <w:sz w:val="20"/>
                <w:szCs w:val="20"/>
                <w:color w:val="auto"/>
              </w:rPr>
            </w:pPr>
            <w:r>
              <w:rPr>
                <w:rFonts w:ascii="Arial" w:cs="Arial" w:eastAsia="Arial" w:hAnsi="Arial"/>
                <w:sz w:val="17"/>
                <w:szCs w:val="17"/>
                <w:color w:val="auto"/>
              </w:rPr>
              <w:t>0</w:t>
            </w:r>
          </w:p>
        </w:tc>
        <w:tc>
          <w:tcPr>
            <w:tcW w:w="720" w:type="dxa"/>
            <w:vAlign w:val="bottom"/>
          </w:tcPr>
          <w:p>
            <w:pPr>
              <w:ind w:left="340"/>
              <w:spacing w:after="0"/>
              <w:rPr>
                <w:sz w:val="20"/>
                <w:szCs w:val="20"/>
                <w:color w:val="auto"/>
              </w:rPr>
            </w:pPr>
            <w:r>
              <w:rPr>
                <w:rFonts w:ascii="Arial" w:cs="Arial" w:eastAsia="Arial" w:hAnsi="Arial"/>
                <w:sz w:val="17"/>
                <w:szCs w:val="17"/>
                <w:color w:val="auto"/>
              </w:rPr>
              <w:t>no</w:t>
            </w:r>
          </w:p>
        </w:tc>
        <w:tc>
          <w:tcPr>
            <w:tcW w:w="740" w:type="dxa"/>
            <w:vAlign w:val="bottom"/>
          </w:tcPr>
          <w:p>
            <w:pPr>
              <w:ind w:left="340"/>
              <w:spacing w:after="0"/>
              <w:rPr>
                <w:sz w:val="20"/>
                <w:szCs w:val="20"/>
                <w:color w:val="auto"/>
              </w:rPr>
            </w:pPr>
            <w:r>
              <w:rPr>
                <w:rFonts w:ascii="Arial" w:cs="Arial" w:eastAsia="Arial" w:hAnsi="Arial"/>
                <w:sz w:val="17"/>
                <w:szCs w:val="17"/>
                <w:color w:val="auto"/>
              </w:rPr>
              <w:t>no</w:t>
            </w:r>
          </w:p>
        </w:tc>
        <w:tc>
          <w:tcPr>
            <w:tcW w:w="680" w:type="dxa"/>
            <w:vAlign w:val="bottom"/>
          </w:tcPr>
          <w:p>
            <w:pPr>
              <w:jc w:val="right"/>
              <w:ind w:right="19"/>
              <w:spacing w:after="0"/>
              <w:rPr>
                <w:sz w:val="20"/>
                <w:szCs w:val="20"/>
                <w:color w:val="auto"/>
              </w:rPr>
            </w:pPr>
            <w:r>
              <w:rPr>
                <w:rFonts w:ascii="Arial" w:cs="Arial" w:eastAsia="Arial" w:hAnsi="Arial"/>
                <w:sz w:val="17"/>
                <w:szCs w:val="17"/>
                <w:b w:val="1"/>
                <w:bCs w:val="1"/>
                <w:color w:val="auto"/>
              </w:rPr>
              <w:t>0</w:t>
            </w:r>
          </w:p>
        </w:tc>
        <w:tc>
          <w:tcPr>
            <w:tcW w:w="780" w:type="dxa"/>
            <w:vAlign w:val="bottom"/>
          </w:tcPr>
          <w:p>
            <w:pPr>
              <w:jc w:val="right"/>
              <w:ind w:right="18"/>
              <w:spacing w:after="0"/>
              <w:rPr>
                <w:sz w:val="20"/>
                <w:szCs w:val="20"/>
                <w:color w:val="auto"/>
              </w:rPr>
            </w:pPr>
            <w:r>
              <w:rPr>
                <w:rFonts w:ascii="Arial" w:cs="Arial" w:eastAsia="Arial" w:hAnsi="Arial"/>
                <w:sz w:val="17"/>
                <w:szCs w:val="17"/>
                <w:b w:val="1"/>
                <w:bCs w:val="1"/>
                <w:color w:val="auto"/>
              </w:rPr>
              <w:t>0</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7"/>
                <w:szCs w:val="17"/>
                <w:color w:val="auto"/>
              </w:rPr>
              <w:t>Taft Shop</w:t>
            </w:r>
          </w:p>
        </w:tc>
        <w:tc>
          <w:tcPr>
            <w:tcW w:w="8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504735</w:t>
            </w:r>
          </w:p>
        </w:tc>
        <w:tc>
          <w:tcPr>
            <w:tcW w:w="7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20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w w:val="84"/>
              </w:rPr>
              <w:t>$</w:t>
            </w:r>
          </w:p>
        </w:tc>
        <w:tc>
          <w:tcPr>
            <w:tcW w:w="720" w:type="dxa"/>
            <w:vAlign w:val="bottom"/>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420</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no</w:t>
            </w:r>
          </w:p>
        </w:tc>
        <w:tc>
          <w:tcPr>
            <w:tcW w:w="7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no</w:t>
            </w: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7"/>
                <w:szCs w:val="17"/>
                <w:b w:val="1"/>
                <w:bCs w:val="1"/>
                <w:color w:val="auto"/>
              </w:rPr>
              <w:t>0</w:t>
            </w:r>
          </w:p>
        </w:tc>
        <w:tc>
          <w:tcPr>
            <w:tcW w:w="780" w:type="dxa"/>
            <w:vAlign w:val="bottom"/>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0</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7"/>
                <w:szCs w:val="17"/>
                <w:color w:val="auto"/>
              </w:rPr>
              <w:t>Hunter Cement TXI</w:t>
            </w:r>
          </w:p>
        </w:tc>
        <w:tc>
          <w:tcPr>
            <w:tcW w:w="800" w:type="dxa"/>
            <w:vAlign w:val="bottom"/>
          </w:tcPr>
          <w:p>
            <w:pPr>
              <w:jc w:val="center"/>
              <w:spacing w:after="0"/>
              <w:rPr>
                <w:sz w:val="20"/>
                <w:szCs w:val="20"/>
                <w:color w:val="auto"/>
              </w:rPr>
            </w:pPr>
            <w:r>
              <w:rPr>
                <w:rFonts w:ascii="Arial" w:cs="Arial" w:eastAsia="Arial" w:hAnsi="Arial"/>
                <w:sz w:val="17"/>
                <w:szCs w:val="17"/>
                <w:color w:val="auto"/>
                <w:w w:val="90"/>
              </w:rPr>
              <w:t>4102820</w:t>
            </w:r>
          </w:p>
        </w:tc>
        <w:tc>
          <w:tcPr>
            <w:tcW w:w="720" w:type="dxa"/>
            <w:vAlign w:val="bottom"/>
          </w:tcPr>
          <w:p>
            <w:pPr>
              <w:jc w:val="right"/>
              <w:ind w:right="17"/>
              <w:spacing w:after="0"/>
              <w:rPr>
                <w:sz w:val="20"/>
                <w:szCs w:val="20"/>
                <w:color w:val="auto"/>
              </w:rPr>
            </w:pPr>
            <w:r>
              <w:rPr>
                <w:rFonts w:ascii="Arial" w:cs="Arial" w:eastAsia="Arial" w:hAnsi="Arial"/>
                <w:sz w:val="17"/>
                <w:szCs w:val="17"/>
                <w:color w:val="auto"/>
              </w:rPr>
              <w:t>3</w:t>
            </w:r>
          </w:p>
        </w:tc>
        <w:tc>
          <w:tcPr>
            <w:tcW w:w="64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720" w:type="dxa"/>
            <w:vAlign w:val="bottom"/>
          </w:tcPr>
          <w:p>
            <w:pPr>
              <w:jc w:val="right"/>
              <w:spacing w:after="0"/>
              <w:rPr>
                <w:sz w:val="20"/>
                <w:szCs w:val="20"/>
                <w:color w:val="auto"/>
              </w:rPr>
            </w:pPr>
            <w:r>
              <w:rPr>
                <w:rFonts w:ascii="Arial" w:cs="Arial" w:eastAsia="Arial" w:hAnsi="Arial"/>
                <w:sz w:val="17"/>
                <w:szCs w:val="17"/>
                <w:color w:val="auto"/>
              </w:rPr>
              <w:t>0</w:t>
            </w:r>
          </w:p>
        </w:tc>
        <w:tc>
          <w:tcPr>
            <w:tcW w:w="80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200" w:type="dxa"/>
            <w:vAlign w:val="bottom"/>
          </w:tcPr>
          <w:p>
            <w:pPr>
              <w:ind w:left="100"/>
              <w:spacing w:after="0"/>
              <w:rPr>
                <w:sz w:val="20"/>
                <w:szCs w:val="20"/>
                <w:color w:val="auto"/>
              </w:rPr>
            </w:pPr>
            <w:r>
              <w:rPr>
                <w:rFonts w:ascii="Arial" w:cs="Arial" w:eastAsia="Arial" w:hAnsi="Arial"/>
                <w:sz w:val="17"/>
                <w:szCs w:val="17"/>
                <w:b w:val="1"/>
                <w:bCs w:val="1"/>
                <w:color w:val="auto"/>
                <w:w w:val="84"/>
              </w:rPr>
              <w:t>$</w:t>
            </w:r>
          </w:p>
        </w:tc>
        <w:tc>
          <w:tcPr>
            <w:tcW w:w="720" w:type="dxa"/>
            <w:vAlign w:val="bottom"/>
          </w:tcPr>
          <w:p>
            <w:pPr>
              <w:jc w:val="right"/>
              <w:ind w:right="18"/>
              <w:spacing w:after="0"/>
              <w:rPr>
                <w:sz w:val="20"/>
                <w:szCs w:val="20"/>
                <w:color w:val="auto"/>
              </w:rPr>
            </w:pPr>
            <w:r>
              <w:rPr>
                <w:rFonts w:ascii="Arial" w:cs="Arial" w:eastAsia="Arial" w:hAnsi="Arial"/>
                <w:sz w:val="17"/>
                <w:szCs w:val="17"/>
                <w:b w:val="1"/>
                <w:bCs w:val="1"/>
                <w:color w:val="auto"/>
              </w:rPr>
              <w:t>10,071</w:t>
            </w:r>
          </w:p>
        </w:tc>
        <w:tc>
          <w:tcPr>
            <w:tcW w:w="760" w:type="dxa"/>
            <w:vAlign w:val="bottom"/>
          </w:tcPr>
          <w:p>
            <w:pPr>
              <w:jc w:val="right"/>
              <w:ind w:right="19"/>
              <w:spacing w:after="0"/>
              <w:rPr>
                <w:sz w:val="20"/>
                <w:szCs w:val="20"/>
                <w:color w:val="auto"/>
              </w:rPr>
            </w:pPr>
            <w:r>
              <w:rPr>
                <w:rFonts w:ascii="Arial" w:cs="Arial" w:eastAsia="Arial" w:hAnsi="Arial"/>
                <w:sz w:val="17"/>
                <w:szCs w:val="17"/>
                <w:color w:val="auto"/>
              </w:rPr>
              <w:t>0</w:t>
            </w:r>
          </w:p>
        </w:tc>
        <w:tc>
          <w:tcPr>
            <w:tcW w:w="720" w:type="dxa"/>
            <w:vAlign w:val="bottom"/>
          </w:tcPr>
          <w:p>
            <w:pPr>
              <w:ind w:left="340"/>
              <w:spacing w:after="0"/>
              <w:rPr>
                <w:sz w:val="20"/>
                <w:szCs w:val="20"/>
                <w:color w:val="auto"/>
              </w:rPr>
            </w:pPr>
            <w:r>
              <w:rPr>
                <w:rFonts w:ascii="Arial" w:cs="Arial" w:eastAsia="Arial" w:hAnsi="Arial"/>
                <w:sz w:val="17"/>
                <w:szCs w:val="17"/>
                <w:color w:val="auto"/>
              </w:rPr>
              <w:t>no</w:t>
            </w:r>
          </w:p>
        </w:tc>
        <w:tc>
          <w:tcPr>
            <w:tcW w:w="740" w:type="dxa"/>
            <w:vAlign w:val="bottom"/>
          </w:tcPr>
          <w:p>
            <w:pPr>
              <w:ind w:left="340"/>
              <w:spacing w:after="0"/>
              <w:rPr>
                <w:sz w:val="20"/>
                <w:szCs w:val="20"/>
                <w:color w:val="auto"/>
              </w:rPr>
            </w:pPr>
            <w:r>
              <w:rPr>
                <w:rFonts w:ascii="Arial" w:cs="Arial" w:eastAsia="Arial" w:hAnsi="Arial"/>
                <w:sz w:val="17"/>
                <w:szCs w:val="17"/>
                <w:color w:val="auto"/>
              </w:rPr>
              <w:t>no</w:t>
            </w:r>
          </w:p>
        </w:tc>
        <w:tc>
          <w:tcPr>
            <w:tcW w:w="680" w:type="dxa"/>
            <w:vAlign w:val="bottom"/>
          </w:tcPr>
          <w:p>
            <w:pPr>
              <w:jc w:val="right"/>
              <w:ind w:right="19"/>
              <w:spacing w:after="0"/>
              <w:rPr>
                <w:sz w:val="20"/>
                <w:szCs w:val="20"/>
                <w:color w:val="auto"/>
              </w:rPr>
            </w:pPr>
            <w:r>
              <w:rPr>
                <w:rFonts w:ascii="Arial" w:cs="Arial" w:eastAsia="Arial" w:hAnsi="Arial"/>
                <w:sz w:val="17"/>
                <w:szCs w:val="17"/>
                <w:b w:val="1"/>
                <w:bCs w:val="1"/>
                <w:color w:val="auto"/>
              </w:rPr>
              <w:t>0</w:t>
            </w:r>
          </w:p>
        </w:tc>
        <w:tc>
          <w:tcPr>
            <w:tcW w:w="780" w:type="dxa"/>
            <w:vAlign w:val="bottom"/>
          </w:tcPr>
          <w:p>
            <w:pPr>
              <w:jc w:val="right"/>
              <w:ind w:right="18"/>
              <w:spacing w:after="0"/>
              <w:rPr>
                <w:sz w:val="20"/>
                <w:szCs w:val="20"/>
                <w:color w:val="auto"/>
              </w:rPr>
            </w:pPr>
            <w:r>
              <w:rPr>
                <w:rFonts w:ascii="Arial" w:cs="Arial" w:eastAsia="Arial" w:hAnsi="Arial"/>
                <w:sz w:val="17"/>
                <w:szCs w:val="17"/>
                <w:b w:val="1"/>
                <w:bCs w:val="1"/>
                <w:color w:val="auto"/>
              </w:rPr>
              <w:t>0</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7"/>
                <w:szCs w:val="17"/>
                <w:color w:val="auto"/>
              </w:rPr>
              <w:t>Midlothian Cement TXI</w:t>
            </w:r>
          </w:p>
        </w:tc>
        <w:tc>
          <w:tcPr>
            <w:tcW w:w="8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4100071</w:t>
            </w:r>
          </w:p>
        </w:tc>
        <w:tc>
          <w:tcPr>
            <w:tcW w:w="7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7</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20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w w:val="84"/>
              </w:rPr>
              <w:t>$</w:t>
            </w:r>
          </w:p>
        </w:tc>
        <w:tc>
          <w:tcPr>
            <w:tcW w:w="720" w:type="dxa"/>
            <w:vAlign w:val="bottom"/>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36,409</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no</w:t>
            </w:r>
          </w:p>
        </w:tc>
        <w:tc>
          <w:tcPr>
            <w:tcW w:w="7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no</w:t>
            </w: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7"/>
                <w:szCs w:val="17"/>
                <w:b w:val="1"/>
                <w:bCs w:val="1"/>
                <w:color w:val="auto"/>
              </w:rPr>
              <w:t>2</w:t>
            </w:r>
          </w:p>
        </w:tc>
        <w:tc>
          <w:tcPr>
            <w:tcW w:w="780" w:type="dxa"/>
            <w:vAlign w:val="bottom"/>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3</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7"/>
                <w:szCs w:val="17"/>
                <w:color w:val="auto"/>
              </w:rPr>
              <w:t>Salisbury Shop</w:t>
            </w:r>
          </w:p>
        </w:tc>
        <w:tc>
          <w:tcPr>
            <w:tcW w:w="800" w:type="dxa"/>
            <w:vAlign w:val="bottom"/>
          </w:tcPr>
          <w:p>
            <w:pPr>
              <w:jc w:val="center"/>
              <w:spacing w:after="0"/>
              <w:rPr>
                <w:sz w:val="20"/>
                <w:szCs w:val="20"/>
                <w:color w:val="auto"/>
              </w:rPr>
            </w:pPr>
            <w:r>
              <w:rPr>
                <w:rFonts w:ascii="Arial" w:cs="Arial" w:eastAsia="Arial" w:hAnsi="Arial"/>
                <w:sz w:val="17"/>
                <w:szCs w:val="17"/>
                <w:color w:val="auto"/>
                <w:w w:val="90"/>
              </w:rPr>
              <w:t>3101235</w:t>
            </w:r>
          </w:p>
        </w:tc>
        <w:tc>
          <w:tcPr>
            <w:tcW w:w="72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720" w:type="dxa"/>
            <w:vAlign w:val="bottom"/>
          </w:tcPr>
          <w:p>
            <w:pPr>
              <w:jc w:val="right"/>
              <w:spacing w:after="0"/>
              <w:rPr>
                <w:sz w:val="20"/>
                <w:szCs w:val="20"/>
                <w:color w:val="auto"/>
              </w:rPr>
            </w:pPr>
            <w:r>
              <w:rPr>
                <w:rFonts w:ascii="Arial" w:cs="Arial" w:eastAsia="Arial" w:hAnsi="Arial"/>
                <w:sz w:val="17"/>
                <w:szCs w:val="17"/>
                <w:color w:val="auto"/>
              </w:rPr>
              <w:t>0</w:t>
            </w:r>
          </w:p>
        </w:tc>
        <w:tc>
          <w:tcPr>
            <w:tcW w:w="80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200" w:type="dxa"/>
            <w:vAlign w:val="bottom"/>
          </w:tcPr>
          <w:p>
            <w:pPr>
              <w:ind w:left="100"/>
              <w:spacing w:after="0"/>
              <w:rPr>
                <w:sz w:val="20"/>
                <w:szCs w:val="20"/>
                <w:color w:val="auto"/>
              </w:rPr>
            </w:pPr>
            <w:r>
              <w:rPr>
                <w:rFonts w:ascii="Arial" w:cs="Arial" w:eastAsia="Arial" w:hAnsi="Arial"/>
                <w:sz w:val="17"/>
                <w:szCs w:val="17"/>
                <w:b w:val="1"/>
                <w:bCs w:val="1"/>
                <w:color w:val="auto"/>
                <w:w w:val="84"/>
              </w:rPr>
              <w:t>$</w:t>
            </w:r>
          </w:p>
        </w:tc>
        <w:tc>
          <w:tcPr>
            <w:tcW w:w="720" w:type="dxa"/>
            <w:vAlign w:val="bottom"/>
          </w:tcPr>
          <w:p>
            <w:pPr>
              <w:jc w:val="right"/>
              <w:ind w:right="18"/>
              <w:spacing w:after="0"/>
              <w:rPr>
                <w:sz w:val="20"/>
                <w:szCs w:val="20"/>
                <w:color w:val="auto"/>
              </w:rPr>
            </w:pPr>
            <w:r>
              <w:rPr>
                <w:rFonts w:ascii="Arial" w:cs="Arial" w:eastAsia="Arial" w:hAnsi="Arial"/>
                <w:sz w:val="17"/>
                <w:szCs w:val="17"/>
                <w:b w:val="1"/>
                <w:bCs w:val="1"/>
                <w:color w:val="auto"/>
              </w:rPr>
              <w:t>0</w:t>
            </w:r>
          </w:p>
        </w:tc>
        <w:tc>
          <w:tcPr>
            <w:tcW w:w="760" w:type="dxa"/>
            <w:vAlign w:val="bottom"/>
          </w:tcPr>
          <w:p>
            <w:pPr>
              <w:jc w:val="right"/>
              <w:ind w:right="19"/>
              <w:spacing w:after="0"/>
              <w:rPr>
                <w:sz w:val="20"/>
                <w:szCs w:val="20"/>
                <w:color w:val="auto"/>
              </w:rPr>
            </w:pPr>
            <w:r>
              <w:rPr>
                <w:rFonts w:ascii="Arial" w:cs="Arial" w:eastAsia="Arial" w:hAnsi="Arial"/>
                <w:sz w:val="17"/>
                <w:szCs w:val="17"/>
                <w:color w:val="auto"/>
              </w:rPr>
              <w:t>0</w:t>
            </w:r>
          </w:p>
        </w:tc>
        <w:tc>
          <w:tcPr>
            <w:tcW w:w="720" w:type="dxa"/>
            <w:vAlign w:val="bottom"/>
          </w:tcPr>
          <w:p>
            <w:pPr>
              <w:ind w:left="340"/>
              <w:spacing w:after="0"/>
              <w:rPr>
                <w:sz w:val="20"/>
                <w:szCs w:val="20"/>
                <w:color w:val="auto"/>
              </w:rPr>
            </w:pPr>
            <w:r>
              <w:rPr>
                <w:rFonts w:ascii="Arial" w:cs="Arial" w:eastAsia="Arial" w:hAnsi="Arial"/>
                <w:sz w:val="17"/>
                <w:szCs w:val="17"/>
                <w:color w:val="auto"/>
              </w:rPr>
              <w:t>no</w:t>
            </w:r>
          </w:p>
        </w:tc>
        <w:tc>
          <w:tcPr>
            <w:tcW w:w="740" w:type="dxa"/>
            <w:vAlign w:val="bottom"/>
          </w:tcPr>
          <w:p>
            <w:pPr>
              <w:ind w:left="340"/>
              <w:spacing w:after="0"/>
              <w:rPr>
                <w:sz w:val="20"/>
                <w:szCs w:val="20"/>
                <w:color w:val="auto"/>
              </w:rPr>
            </w:pPr>
            <w:r>
              <w:rPr>
                <w:rFonts w:ascii="Arial" w:cs="Arial" w:eastAsia="Arial" w:hAnsi="Arial"/>
                <w:sz w:val="17"/>
                <w:szCs w:val="17"/>
                <w:color w:val="auto"/>
              </w:rPr>
              <w:t>no</w:t>
            </w:r>
          </w:p>
        </w:tc>
        <w:tc>
          <w:tcPr>
            <w:tcW w:w="680" w:type="dxa"/>
            <w:vAlign w:val="bottom"/>
          </w:tcPr>
          <w:p>
            <w:pPr>
              <w:jc w:val="right"/>
              <w:ind w:right="19"/>
              <w:spacing w:after="0"/>
              <w:rPr>
                <w:sz w:val="20"/>
                <w:szCs w:val="20"/>
                <w:color w:val="auto"/>
              </w:rPr>
            </w:pPr>
            <w:r>
              <w:rPr>
                <w:rFonts w:ascii="Arial" w:cs="Arial" w:eastAsia="Arial" w:hAnsi="Arial"/>
                <w:sz w:val="17"/>
                <w:szCs w:val="17"/>
                <w:b w:val="1"/>
                <w:bCs w:val="1"/>
                <w:color w:val="auto"/>
              </w:rPr>
              <w:t>0</w:t>
            </w:r>
          </w:p>
        </w:tc>
        <w:tc>
          <w:tcPr>
            <w:tcW w:w="780" w:type="dxa"/>
            <w:vAlign w:val="bottom"/>
          </w:tcPr>
          <w:p>
            <w:pPr>
              <w:jc w:val="right"/>
              <w:ind w:right="18"/>
              <w:spacing w:after="0"/>
              <w:rPr>
                <w:sz w:val="20"/>
                <w:szCs w:val="20"/>
                <w:color w:val="auto"/>
              </w:rPr>
            </w:pPr>
            <w:r>
              <w:rPr>
                <w:rFonts w:ascii="Arial" w:cs="Arial" w:eastAsia="Arial" w:hAnsi="Arial"/>
                <w:sz w:val="17"/>
                <w:szCs w:val="17"/>
                <w:b w:val="1"/>
                <w:bCs w:val="1"/>
                <w:color w:val="auto"/>
              </w:rPr>
              <w:t>0</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7"/>
                <w:szCs w:val="17"/>
                <w:color w:val="auto"/>
              </w:rPr>
              <w:t>Woodville</w:t>
            </w:r>
          </w:p>
        </w:tc>
        <w:tc>
          <w:tcPr>
            <w:tcW w:w="8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3300156</w:t>
            </w:r>
          </w:p>
        </w:tc>
        <w:tc>
          <w:tcPr>
            <w:tcW w:w="7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9</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w:t>
            </w:r>
          </w:p>
        </w:tc>
        <w:tc>
          <w:tcPr>
            <w:tcW w:w="20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w w:val="84"/>
              </w:rPr>
              <w:t>$</w:t>
            </w:r>
          </w:p>
        </w:tc>
        <w:tc>
          <w:tcPr>
            <w:tcW w:w="720" w:type="dxa"/>
            <w:vAlign w:val="bottom"/>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13,919</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0</w:t>
            </w:r>
          </w:p>
        </w:tc>
        <w:tc>
          <w:tcPr>
            <w:tcW w:w="7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no</w:t>
            </w:r>
          </w:p>
        </w:tc>
        <w:tc>
          <w:tcPr>
            <w:tcW w:w="7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no</w:t>
            </w: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7"/>
                <w:szCs w:val="17"/>
                <w:b w:val="1"/>
                <w:bCs w:val="1"/>
                <w:color w:val="auto"/>
              </w:rPr>
              <w:t>4</w:t>
            </w:r>
          </w:p>
        </w:tc>
        <w:tc>
          <w:tcPr>
            <w:tcW w:w="780" w:type="dxa"/>
            <w:vAlign w:val="bottom"/>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4</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800" w:type="dxa"/>
            <w:vAlign w:val="bottom"/>
          </w:tcPr>
          <w:p>
            <w:pPr>
              <w:ind w:left="340"/>
              <w:spacing w:after="0"/>
              <w:rPr>
                <w:sz w:val="20"/>
                <w:szCs w:val="20"/>
                <w:color w:val="auto"/>
              </w:rPr>
            </w:pPr>
            <w:r>
              <w:rPr>
                <w:rFonts w:ascii="Arial" w:cs="Arial" w:eastAsia="Arial" w:hAnsi="Arial"/>
                <w:sz w:val="17"/>
                <w:szCs w:val="17"/>
                <w:b w:val="1"/>
                <w:bCs w:val="1"/>
                <w:color w:val="auto"/>
              </w:rPr>
              <w:t>Totals</w:t>
            </w:r>
          </w:p>
        </w:tc>
        <w:tc>
          <w:tcPr>
            <w:tcW w:w="800" w:type="dxa"/>
            <w:vAlign w:val="bottom"/>
          </w:tcPr>
          <w:p>
            <w:pPr>
              <w:spacing w:after="0"/>
              <w:rPr>
                <w:sz w:val="19"/>
                <w:szCs w:val="19"/>
                <w:color w:val="auto"/>
              </w:rPr>
            </w:pPr>
          </w:p>
        </w:tc>
        <w:tc>
          <w:tcPr>
            <w:tcW w:w="720" w:type="dxa"/>
            <w:vAlign w:val="bottom"/>
          </w:tcPr>
          <w:p>
            <w:pPr>
              <w:jc w:val="right"/>
              <w:ind w:right="17"/>
              <w:spacing w:after="0"/>
              <w:rPr>
                <w:sz w:val="20"/>
                <w:szCs w:val="20"/>
                <w:color w:val="auto"/>
              </w:rPr>
            </w:pPr>
            <w:r>
              <w:rPr>
                <w:rFonts w:ascii="Arial" w:cs="Arial" w:eastAsia="Arial" w:hAnsi="Arial"/>
                <w:sz w:val="17"/>
                <w:szCs w:val="17"/>
                <w:b w:val="1"/>
                <w:bCs w:val="1"/>
                <w:color w:val="auto"/>
              </w:rPr>
              <w:t>140</w:t>
            </w:r>
          </w:p>
        </w:tc>
        <w:tc>
          <w:tcPr>
            <w:tcW w:w="640" w:type="dxa"/>
            <w:vAlign w:val="bottom"/>
          </w:tcPr>
          <w:p>
            <w:pPr>
              <w:jc w:val="right"/>
              <w:ind w:right="17"/>
              <w:spacing w:after="0"/>
              <w:rPr>
                <w:sz w:val="20"/>
                <w:szCs w:val="20"/>
                <w:color w:val="auto"/>
              </w:rPr>
            </w:pPr>
            <w:r>
              <w:rPr>
                <w:rFonts w:ascii="Arial" w:cs="Arial" w:eastAsia="Arial" w:hAnsi="Arial"/>
                <w:sz w:val="17"/>
                <w:szCs w:val="17"/>
                <w:b w:val="1"/>
                <w:bCs w:val="1"/>
                <w:color w:val="auto"/>
              </w:rPr>
              <w:t>2</w:t>
            </w: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3</w:t>
            </w:r>
          </w:p>
        </w:tc>
        <w:tc>
          <w:tcPr>
            <w:tcW w:w="800" w:type="dxa"/>
            <w:vAlign w:val="bottom"/>
          </w:tcPr>
          <w:p>
            <w:pPr>
              <w:jc w:val="right"/>
              <w:ind w:right="17"/>
              <w:spacing w:after="0"/>
              <w:rPr>
                <w:sz w:val="20"/>
                <w:szCs w:val="20"/>
                <w:color w:val="auto"/>
              </w:rPr>
            </w:pPr>
            <w:r>
              <w:rPr>
                <w:rFonts w:ascii="Arial" w:cs="Arial" w:eastAsia="Arial" w:hAnsi="Arial"/>
                <w:sz w:val="17"/>
                <w:szCs w:val="17"/>
                <w:b w:val="1"/>
                <w:bCs w:val="1"/>
                <w:color w:val="auto"/>
              </w:rPr>
              <w:t>0</w:t>
            </w:r>
          </w:p>
        </w:tc>
        <w:tc>
          <w:tcPr>
            <w:tcW w:w="640" w:type="dxa"/>
            <w:vAlign w:val="bottom"/>
          </w:tcPr>
          <w:p>
            <w:pPr>
              <w:jc w:val="right"/>
              <w:ind w:right="17"/>
              <w:spacing w:after="0"/>
              <w:rPr>
                <w:sz w:val="20"/>
                <w:szCs w:val="20"/>
                <w:color w:val="auto"/>
              </w:rPr>
            </w:pPr>
            <w:r>
              <w:rPr>
                <w:rFonts w:ascii="Arial" w:cs="Arial" w:eastAsia="Arial" w:hAnsi="Arial"/>
                <w:sz w:val="17"/>
                <w:szCs w:val="17"/>
                <w:color w:val="auto"/>
              </w:rPr>
              <w:t>0</w:t>
            </w:r>
          </w:p>
        </w:tc>
        <w:tc>
          <w:tcPr>
            <w:tcW w:w="200" w:type="dxa"/>
            <w:vAlign w:val="bottom"/>
          </w:tcPr>
          <w:p>
            <w:pPr>
              <w:ind w:left="100"/>
              <w:spacing w:after="0"/>
              <w:rPr>
                <w:sz w:val="20"/>
                <w:szCs w:val="20"/>
                <w:color w:val="auto"/>
              </w:rPr>
            </w:pPr>
            <w:r>
              <w:rPr>
                <w:rFonts w:ascii="Arial" w:cs="Arial" w:eastAsia="Arial" w:hAnsi="Arial"/>
                <w:sz w:val="17"/>
                <w:szCs w:val="17"/>
                <w:b w:val="1"/>
                <w:bCs w:val="1"/>
                <w:color w:val="auto"/>
                <w:w w:val="84"/>
              </w:rPr>
              <w:t>$</w:t>
            </w:r>
          </w:p>
        </w:tc>
        <w:tc>
          <w:tcPr>
            <w:tcW w:w="720" w:type="dxa"/>
            <w:vAlign w:val="bottom"/>
          </w:tcPr>
          <w:p>
            <w:pPr>
              <w:jc w:val="right"/>
              <w:ind w:right="18"/>
              <w:spacing w:after="0"/>
              <w:rPr>
                <w:sz w:val="20"/>
                <w:szCs w:val="20"/>
                <w:color w:val="auto"/>
              </w:rPr>
            </w:pPr>
            <w:r>
              <w:rPr>
                <w:rFonts w:ascii="Arial" w:cs="Arial" w:eastAsia="Arial" w:hAnsi="Arial"/>
                <w:sz w:val="17"/>
                <w:szCs w:val="17"/>
                <w:b w:val="1"/>
                <w:bCs w:val="1"/>
                <w:color w:val="auto"/>
                <w:w w:val="97"/>
              </w:rPr>
              <w:t>330,110</w:t>
            </w:r>
          </w:p>
        </w:tc>
        <w:tc>
          <w:tcPr>
            <w:tcW w:w="760" w:type="dxa"/>
            <w:vAlign w:val="bottom"/>
          </w:tcPr>
          <w:p>
            <w:pPr>
              <w:jc w:val="right"/>
              <w:ind w:right="19"/>
              <w:spacing w:after="0"/>
              <w:rPr>
                <w:sz w:val="20"/>
                <w:szCs w:val="20"/>
                <w:color w:val="auto"/>
              </w:rPr>
            </w:pPr>
            <w:r>
              <w:rPr>
                <w:rFonts w:ascii="Arial" w:cs="Arial" w:eastAsia="Arial" w:hAnsi="Arial"/>
                <w:sz w:val="17"/>
                <w:szCs w:val="17"/>
                <w:color w:val="auto"/>
              </w:rPr>
              <w:t>0</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jc w:val="right"/>
              <w:ind w:right="19"/>
              <w:spacing w:after="0"/>
              <w:rPr>
                <w:sz w:val="20"/>
                <w:szCs w:val="20"/>
                <w:color w:val="auto"/>
              </w:rPr>
            </w:pPr>
            <w:r>
              <w:rPr>
                <w:rFonts w:ascii="Arial" w:cs="Arial" w:eastAsia="Arial" w:hAnsi="Arial"/>
                <w:sz w:val="17"/>
                <w:szCs w:val="17"/>
                <w:b w:val="1"/>
                <w:bCs w:val="1"/>
                <w:color w:val="auto"/>
              </w:rPr>
              <w:t>22</w:t>
            </w:r>
          </w:p>
        </w:tc>
        <w:tc>
          <w:tcPr>
            <w:tcW w:w="780" w:type="dxa"/>
            <w:vAlign w:val="bottom"/>
          </w:tcPr>
          <w:p>
            <w:pPr>
              <w:jc w:val="right"/>
              <w:ind w:right="18"/>
              <w:spacing w:after="0"/>
              <w:rPr>
                <w:sz w:val="20"/>
                <w:szCs w:val="20"/>
                <w:color w:val="auto"/>
              </w:rPr>
            </w:pPr>
            <w:r>
              <w:rPr>
                <w:rFonts w:ascii="Arial" w:cs="Arial" w:eastAsia="Arial" w:hAnsi="Arial"/>
                <w:sz w:val="17"/>
                <w:szCs w:val="17"/>
                <w:b w:val="1"/>
                <w:bCs w:val="1"/>
                <w:color w:val="auto"/>
              </w:rPr>
              <w:t>45</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51</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460" w:right="20" w:hanging="456"/>
        <w:spacing w:after="0" w:line="265" w:lineRule="auto"/>
        <w:tabs>
          <w:tab w:leader="none" w:pos="4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Of the 22 legal actions pending on December 31, 2017, 15 were contests of citations or orders referenced in Subpart B of CFR Part 2700, which includes contests of citations and orders issued under Section 104 of the Mine Act and contests of imminent danger orders under Section 107 of the Mine Act and 7 were contests of proposed penalties referenced in Subpart C of 29 CFR Part 2700, which are administrative proceedings before the Commission challenging a civil penalty that MSHA has proposed for the violation contained in a citation or order.</w:t>
      </w:r>
    </w:p>
    <w:sectPr>
      <w:pgSz w:w="11900" w:h="16838" w:orient="portrait"/>
      <w:cols w:equalWidth="0" w:num="1">
        <w:col w:w="11420"/>
      </w:cols>
      <w:pgMar w:left="240" w:top="24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
      <w:numFmt w:val="bullet"/>
      <w:start w:val="1"/>
    </w:lvl>
  </w:abstractNum>
  <w:abstractNum w:abstractNumId="2">
    <w:nsid w:val="7724C67E"/>
    <w:multiLevelType w:val="hybridMultilevel"/>
    <w:lvl w:ilvl="0">
      <w:lvlJc w:val="left"/>
      <w:lvlText w:val="•"/>
      <w:numFmt w:val="bullet"/>
      <w:start w:val="1"/>
    </w:lvl>
  </w:abstractNum>
  <w:abstractNum w:abstractNumId="3">
    <w:nsid w:val="5C482A97"/>
    <w:multiLevelType w:val="hybridMultilevel"/>
    <w:lvl w:ilvl="0">
      <w:lvlJc w:val="left"/>
      <w:lvlText w:val="•"/>
      <w:numFmt w:val="bullet"/>
      <w:start w:val="1"/>
    </w:lvl>
  </w:abstractNum>
  <w:abstractNum w:abstractNumId="4">
    <w:nsid w:val="2463B9EA"/>
    <w:multiLevelType w:val="hybridMultilevel"/>
    <w:lvl w:ilvl="0">
      <w:lvlJc w:val="left"/>
      <w:lvlText w:val="•"/>
      <w:numFmt w:val="bullet"/>
      <w:start w:val="1"/>
    </w:lvl>
  </w:abstractNum>
  <w:abstractNum w:abstractNumId="5">
    <w:nsid w:val="5E884ADC"/>
    <w:multiLevelType w:val="hybridMultilevel"/>
    <w:lvl w:ilvl="0">
      <w:lvlJc w:val="left"/>
      <w:lvlText w:val="•"/>
      <w:numFmt w:val="bullet"/>
      <w:start w:val="1"/>
    </w:lvl>
  </w:abstractNum>
  <w:abstractNum w:abstractNumId="6">
    <w:nsid w:val="51EAD36B"/>
    <w:multiLevelType w:val="hybridMultilevel"/>
    <w:lvl w:ilvl="0">
      <w:lvlJc w:val="left"/>
      <w:lvlText w:val="•"/>
      <w:numFmt w:val="bullet"/>
      <w:start w:val="1"/>
    </w:lvl>
  </w:abstractNum>
  <w:abstractNum w:abstractNumId="7">
    <w:nsid w:val="2D517796"/>
    <w:multiLevelType w:val="hybridMultilevel"/>
    <w:lvl w:ilvl="0">
      <w:lvlJc w:val="left"/>
      <w:lvlText w:val="*"/>
      <w:numFmt w:val="bullet"/>
      <w:start w:val="1"/>
    </w:lvl>
  </w:abstractNum>
  <w:abstractNum w:abstractNumId="8">
    <w:nsid w:val="580BD78F"/>
    <w:multiLevelType w:val="hybridMultilevel"/>
    <w:lvl w:ilvl="0">
      <w:lvlJc w:val="left"/>
      <w:lvlText w:val="**"/>
      <w:numFmt w:val="bullet"/>
      <w:start w:val="1"/>
    </w:lvl>
  </w:abstractNum>
  <w:abstractNum w:abstractNumId="9">
    <w:nsid w:val="153EA438"/>
    <w:multiLevelType w:val="hybridMultilevel"/>
    <w:lvl w:ilvl="0">
      <w:lvlJc w:val="left"/>
      <w:lvlText w:val="***"/>
      <w:numFmt w:val="bullet"/>
      <w:start w:val="1"/>
    </w:lvl>
  </w:abstractNum>
  <w:abstractNum w:abstractNumId="10">
    <w:nsid w:val="3855585C"/>
    <w:multiLevelType w:val="hybridMultilevel"/>
    <w:lvl w:ilvl="0">
      <w:lvlJc w:val="left"/>
      <w:lvlText w:val="****"/>
      <w:numFmt w:val="bullet"/>
      <w:start w:val="1"/>
    </w:lvl>
  </w:abstractNum>
  <w:abstractNum w:abstractNumId="11">
    <w:nsid w:val="70A64E2A"/>
    <w:multiLevelType w:val="hybridMultilevel"/>
    <w:lvl w:ilvl="0">
      <w:lvlJc w:val="left"/>
      <w:lvlText w:val="(%1)"/>
      <w:numFmt w:val="decimal"/>
      <w:start w:val="1"/>
    </w:lvl>
  </w:abstractNum>
  <w:abstractNum w:abstractNumId="12">
    <w:nsid w:val="6A2342EC"/>
    <w:multiLevelType w:val="hybridMultilevel"/>
    <w:lvl w:ilvl="0">
      <w:lvlJc w:val="left"/>
      <w:lvlText w:val="(%1)"/>
      <w:numFmt w:val="decimal"/>
      <w:start w:val="2"/>
    </w:lvl>
  </w:abstractNum>
  <w:abstractNum w:abstractNumId="13">
    <w:nsid w:val="2A487CB0"/>
    <w:multiLevelType w:val="hybridMultilevel"/>
    <w:lvl w:ilvl="0">
      <w:lvlJc w:val="left"/>
      <w:lvlText w:val="*"/>
      <w:numFmt w:val="bullet"/>
      <w:start w:val="1"/>
    </w:lvl>
  </w:abstractNum>
  <w:abstractNum w:abstractNumId="14">
    <w:nsid w:val="1D4ED43B"/>
    <w:multiLevelType w:val="hybridMultilevel"/>
    <w:lvl w:ilvl="0">
      <w:lvlJc w:val="left"/>
      <w:lvlText w:val="**"/>
      <w:numFmt w:val="bullet"/>
      <w:start w:val="1"/>
    </w:lvl>
  </w:abstractNum>
  <w:abstractNum w:abstractNumId="15">
    <w:nsid w:val="725A06FB"/>
    <w:multiLevelType w:val="hybridMultilevel"/>
    <w:lvl w:ilvl="0">
      <w:lvlJc w:val="left"/>
      <w:lvlText w:val="(%1)"/>
      <w:numFmt w:val="lowerLetter"/>
      <w:start w:val="3"/>
    </w:lvl>
  </w:abstractNum>
  <w:abstractNum w:abstractNumId="16">
    <w:nsid w:val="2CD89A32"/>
    <w:multiLevelType w:val="hybridMultilevel"/>
    <w:lvl w:ilvl="0">
      <w:lvlJc w:val="left"/>
      <w:lvlText w:val="(%1)"/>
      <w:numFmt w:val="lowerLetter"/>
      <w:start w:val="1"/>
    </w:lvl>
  </w:abstractNum>
  <w:abstractNum w:abstractNumId="17">
    <w:nsid w:val="57E4CCAF"/>
    <w:multiLevelType w:val="hybridMultilevel"/>
    <w:lvl w:ilvl="0">
      <w:lvlJc w:val="left"/>
      <w:lvlText w:val="*"/>
      <w:numFmt w:val="bullet"/>
      <w:start w:val="1"/>
    </w:lvl>
  </w:abstractNum>
  <w:abstractNum w:abstractNumId="18">
    <w:nsid w:val="7A6D8D3C"/>
    <w:multiLevelType w:val="hybridMultilevel"/>
    <w:lvl w:ilvl="0">
      <w:lvlJc w:val="left"/>
      <w:lvlText w:val="●"/>
      <w:numFmt w:val="bullet"/>
      <w:start w:val="1"/>
    </w:lvl>
  </w:abstractNum>
  <w:abstractNum w:abstractNumId="19">
    <w:nsid w:val="4B588F54"/>
    <w:multiLevelType w:val="hybridMultilevel"/>
    <w:lvl w:ilvl="0">
      <w:lvlJc w:val="left"/>
      <w:lvlText w:val="●"/>
      <w:numFmt w:val="bullet"/>
      <w:start w:val="1"/>
    </w:lvl>
    <w:lvl w:ilvl="1">
      <w:lvlJc w:val="left"/>
      <w:lvlText w:val="-"/>
      <w:numFmt w:val="bullet"/>
      <w:start w:val="1"/>
    </w:lvl>
  </w:abstractNum>
  <w:abstractNum w:abstractNumId="20">
    <w:nsid w:val="542289EC"/>
    <w:multiLevelType w:val="hybridMultilevel"/>
    <w:lvl w:ilvl="0">
      <w:lvlJc w:val="left"/>
      <w:lvlText w:val="●"/>
      <w:numFmt w:val="bullet"/>
      <w:start w:val="1"/>
    </w:lvl>
  </w:abstractNum>
  <w:abstractNum w:abstractNumId="21">
    <w:nsid w:val="6DE91B18"/>
    <w:multiLevelType w:val="hybridMultilevel"/>
    <w:lvl w:ilvl="0">
      <w:lvlJc w:val="left"/>
      <w:lvlText w:val="●"/>
      <w:numFmt w:val="bullet"/>
      <w:start w:val="1"/>
    </w:lvl>
    <w:lvl w:ilvl="1">
      <w:lvlJc w:val="left"/>
      <w:lvlText w:val="-"/>
      <w:numFmt w:val="bullet"/>
      <w:start w:val="1"/>
    </w:lvl>
  </w:abstractNum>
  <w:abstractNum w:abstractNumId="22">
    <w:nsid w:val="38437FDB"/>
    <w:multiLevelType w:val="hybridMultilevel"/>
    <w:lvl w:ilvl="0">
      <w:lvlJc w:val="left"/>
      <w:lvlText w:val="●"/>
      <w:numFmt w:val="bullet"/>
      <w:start w:val="1"/>
    </w:lvl>
  </w:abstractNum>
  <w:abstractNum w:abstractNumId="23">
    <w:nsid w:val="7644A45C"/>
    <w:multiLevelType w:val="hybridMultilevel"/>
    <w:lvl w:ilvl="0">
      <w:lvlJc w:val="left"/>
      <w:lvlText w:val="●"/>
      <w:numFmt w:val="bullet"/>
      <w:start w:val="1"/>
    </w:lvl>
    <w:lvl w:ilvl="1">
      <w:lvlJc w:val="left"/>
      <w:lvlText w:val="-"/>
      <w:numFmt w:val="bullet"/>
      <w:start w:val="1"/>
    </w:lvl>
  </w:abstractNum>
  <w:abstractNum w:abstractNumId="24">
    <w:nsid w:val="32FFF902"/>
    <w:multiLevelType w:val="hybridMultilevel"/>
    <w:lvl w:ilvl="0">
      <w:lvlJc w:val="left"/>
      <w:lvlText w:val="●"/>
      <w:numFmt w:val="bullet"/>
      <w:start w:val="1"/>
    </w:lvl>
  </w:abstractNum>
  <w:abstractNum w:abstractNumId="25">
    <w:nsid w:val="684A481A"/>
    <w:multiLevelType w:val="hybridMultilevel"/>
    <w:lvl w:ilvl="0">
      <w:lvlJc w:val="left"/>
      <w:lvlText w:val="(%1)"/>
      <w:numFmt w:val="decimal"/>
      <w:start w:val="3"/>
    </w:lvl>
  </w:abstractNum>
  <w:abstractNum w:abstractNumId="26">
    <w:nsid w:val="579478FE"/>
    <w:multiLevelType w:val="hybridMultilevel"/>
    <w:lvl w:ilvl="0">
      <w:lvlJc w:val="left"/>
      <w:lvlText w:val="●"/>
      <w:numFmt w:val="bullet"/>
      <w:start w:val="1"/>
    </w:lvl>
    <w:lvl w:ilvl="1">
      <w:lvlJc w:val="left"/>
      <w:lvlText w:val="-"/>
      <w:numFmt w:val="bullet"/>
      <w:start w:val="1"/>
    </w:lvl>
  </w:abstractNum>
  <w:abstractNum w:abstractNumId="27">
    <w:nsid w:val="749ABB43"/>
    <w:multiLevelType w:val="hybridMultilevel"/>
    <w:lvl w:ilvl="0">
      <w:lvlJc w:val="left"/>
      <w:lvlText w:val="•"/>
      <w:numFmt w:val="bullet"/>
      <w:start w:val="1"/>
    </w:lvl>
  </w:abstractNum>
  <w:abstractNum w:abstractNumId="28">
    <w:nsid w:val="3DC240FB"/>
    <w:multiLevelType w:val="hybridMultilevel"/>
    <w:lvl w:ilvl="0">
      <w:lvlJc w:val="left"/>
      <w:lvlText w:val="•"/>
      <w:numFmt w:val="bullet"/>
      <w:start w:val="1"/>
    </w:lvl>
  </w:abstractNum>
  <w:abstractNum w:abstractNumId="29">
    <w:nsid w:val="1BA026FA"/>
    <w:multiLevelType w:val="hybridMultilevel"/>
    <w:lvl w:ilvl="0">
      <w:lvlJc w:val="left"/>
      <w:lvlText w:val="•"/>
      <w:numFmt w:val="bullet"/>
      <w:start w:val="1"/>
    </w:lvl>
  </w:abstractNum>
  <w:abstractNum w:abstractNumId="30">
    <w:nsid w:val="79A1DEAA"/>
    <w:multiLevelType w:val="hybridMultilevel"/>
    <w:lvl w:ilvl="0">
      <w:lvlJc w:val="left"/>
      <w:lvlText w:val="•"/>
      <w:numFmt w:val="bullet"/>
      <w:start w:val="1"/>
    </w:lvl>
  </w:abstractNum>
  <w:abstractNum w:abstractNumId="31">
    <w:nsid w:val="75C6C33A"/>
    <w:multiLevelType w:val="hybridMultilevel"/>
    <w:lvl w:ilvl="0">
      <w:lvlJc w:val="left"/>
      <w:lvlText w:val="•"/>
      <w:numFmt w:val="bullet"/>
      <w:start w:val="1"/>
    </w:lvl>
  </w:abstractNum>
  <w:abstractNum w:abstractNumId="32">
    <w:nsid w:val="12E685FB"/>
    <w:multiLevelType w:val="hybridMultilevel"/>
    <w:lvl w:ilvl="0">
      <w:lvlJc w:val="left"/>
      <w:lvlText w:val="•"/>
      <w:numFmt w:val="bullet"/>
      <w:start w:val="1"/>
    </w:lvl>
  </w:abstractNum>
  <w:abstractNum w:abstractNumId="33">
    <w:nsid w:val="70C6A529"/>
    <w:multiLevelType w:val="hybridMultilevel"/>
    <w:lvl w:ilvl="0">
      <w:lvlJc w:val="left"/>
      <w:lvlText w:val="•"/>
      <w:numFmt w:val="bullet"/>
      <w:start w:val="1"/>
    </w:lvl>
  </w:abstractNum>
  <w:abstractNum w:abstractNumId="34">
    <w:nsid w:val="520EEDD1"/>
    <w:multiLevelType w:val="hybridMultilevel"/>
    <w:lvl w:ilvl="0">
      <w:lvlJc w:val="left"/>
      <w:lvlText w:val="●"/>
      <w:numFmt w:val="bullet"/>
      <w:start w:val="1"/>
    </w:lvl>
  </w:abstractNum>
  <w:abstractNum w:abstractNumId="35">
    <w:nsid w:val="374A3FE6"/>
    <w:multiLevelType w:val="hybridMultilevel"/>
    <w:lvl w:ilvl="0">
      <w:lvlJc w:val="left"/>
      <w:lvlText w:val="●"/>
      <w:numFmt w:val="bullet"/>
      <w:start w:val="1"/>
    </w:lvl>
  </w:abstractNum>
  <w:abstractNum w:abstractNumId="36">
    <w:nsid w:val="4F4EF005"/>
    <w:multiLevelType w:val="hybridMultilevel"/>
    <w:lvl w:ilvl="0">
      <w:lvlJc w:val="left"/>
      <w:lvlText w:val="●"/>
      <w:numFmt w:val="bullet"/>
      <w:start w:val="1"/>
    </w:lvl>
    <w:lvl w:ilvl="1">
      <w:lvlJc w:val="left"/>
      <w:lvlText w:val="-"/>
      <w:numFmt w:val="bullet"/>
      <w:start w:val="1"/>
    </w:lvl>
  </w:abstractNum>
  <w:abstractNum w:abstractNumId="37">
    <w:nsid w:val="23F9C13C"/>
    <w:multiLevelType w:val="hybridMultilevel"/>
    <w:lvl w:ilvl="0">
      <w:lvlJc w:val="left"/>
      <w:lvlText w:val="1"/>
      <w:numFmt w:val="bullet"/>
      <w:start w:val="1"/>
    </w:lvl>
  </w:abstractNum>
  <w:abstractNum w:abstractNumId="38">
    <w:nsid w:val="649BB77C"/>
    <w:multiLevelType w:val="hybridMultilevel"/>
    <w:lvl w:ilvl="0">
      <w:lvlJc w:val="left"/>
      <w:lvlText w:val="2"/>
      <w:numFmt w:val="bullet"/>
      <w:start w:val="1"/>
    </w:lvl>
  </w:abstractNum>
  <w:abstractNum w:abstractNumId="39">
    <w:nsid w:val="275AC794"/>
    <w:multiLevelType w:val="hybridMultilevel"/>
    <w:lvl w:ilvl="0">
      <w:lvlJc w:val="left"/>
      <w:lvlText w:val="3"/>
      <w:numFmt w:val="bullet"/>
      <w:start w:val="1"/>
    </w:lvl>
  </w:abstractNum>
  <w:abstractNum w:abstractNumId="40">
    <w:nsid w:val="39386575"/>
    <w:multiLevelType w:val="hybridMultilevel"/>
    <w:lvl w:ilvl="0">
      <w:lvlJc w:val="left"/>
      <w:lvlText w:val="4"/>
      <w:numFmt w:val="bullet"/>
      <w:start w:val="1"/>
    </w:lvl>
  </w:abstractNum>
  <w:abstractNum w:abstractNumId="41">
    <w:nsid w:val="1CF10FD8"/>
    <w:multiLevelType w:val="hybridMultilevel"/>
    <w:lvl w:ilvl="0">
      <w:lvlJc w:val="left"/>
      <w:lvlText w:val="5"/>
      <w:numFmt w:val="bullet"/>
      <w:start w:val="1"/>
    </w:lvl>
  </w:abstractNum>
  <w:abstractNum w:abstractNumId="42">
    <w:nsid w:val="180115BE"/>
    <w:multiLevelType w:val="hybridMultilevel"/>
    <w:lvl w:ilvl="0">
      <w:lvlJc w:val="left"/>
      <w:lvlText w:val="6"/>
      <w:numFmt w:val="bullet"/>
      <w:start w:val="1"/>
    </w:lvl>
  </w:abstractNum>
  <w:abstractNum w:abstractNumId="43">
    <w:nsid w:val="235BA861"/>
    <w:multiLevelType w:val="hybridMultilevel"/>
    <w:lvl w:ilvl="0">
      <w:lvlJc w:val="left"/>
      <w:lvlText w:val="1"/>
      <w:numFmt w:val="bullet"/>
      <w:start w:val="1"/>
    </w:lvl>
  </w:abstractNum>
  <w:abstractNum w:abstractNumId="44">
    <w:nsid w:val="47398C89"/>
    <w:multiLevelType w:val="hybridMultilevel"/>
    <w:lvl w:ilvl="0">
      <w:lvlJc w:val="left"/>
      <w:lvlText w:val="2"/>
      <w:numFmt w:val="bullet"/>
      <w:start w:val="1"/>
    </w:lvl>
  </w:abstractNum>
  <w:abstractNum w:abstractNumId="45">
    <w:nsid w:val="354FE9F9"/>
    <w:multiLevelType w:val="hybridMultilevel"/>
    <w:lvl w:ilvl="0">
      <w:lvlJc w:val="left"/>
      <w:lvlText w:val="1"/>
      <w:numFmt w:val="bullet"/>
      <w:start w:val="1"/>
    </w:lvl>
  </w:abstractNum>
  <w:abstractNum w:abstractNumId="46">
    <w:nsid w:val="15B5AF5C"/>
    <w:multiLevelType w:val="hybridMultilevel"/>
    <w:lvl w:ilvl="0">
      <w:lvlJc w:val="left"/>
      <w:lvlText w:val="1"/>
      <w:numFmt w:val="bullet"/>
      <w:start w:val="1"/>
    </w:lvl>
  </w:abstractNum>
  <w:abstractNum w:abstractNumId="47">
    <w:nsid w:val="741226BB"/>
    <w:multiLevelType w:val="hybridMultilevel"/>
    <w:lvl w:ilvl="0">
      <w:lvlJc w:val="left"/>
      <w:lvlText w:val="2"/>
      <w:numFmt w:val="bullet"/>
      <w:start w:val="1"/>
    </w:lvl>
  </w:abstractNum>
  <w:abstractNum w:abstractNumId="48">
    <w:nsid w:val="D34B6A8"/>
    <w:multiLevelType w:val="hybridMultilevel"/>
    <w:lvl w:ilvl="0">
      <w:lvlJc w:val="left"/>
      <w:lvlText w:val="3"/>
      <w:numFmt w:val="bullet"/>
      <w:start w:val="1"/>
    </w:lvl>
  </w:abstractNum>
  <w:abstractNum w:abstractNumId="49">
    <w:nsid w:val="10233C99"/>
    <w:multiLevelType w:val="hybridMultilevel"/>
    <w:lvl w:ilvl="0">
      <w:lvlJc w:val="left"/>
      <w:lvlText w:val="4"/>
      <w:numFmt w:val="bullet"/>
      <w:start w:val="1"/>
    </w:lvl>
  </w:abstractNum>
  <w:abstractNum w:abstractNumId="50">
    <w:nsid w:val="3F6AB60F"/>
    <w:multiLevelType w:val="hybridMultilevel"/>
    <w:lvl w:ilvl="0">
      <w:lvlJc w:val="left"/>
      <w:lvlText w:val="5"/>
      <w:numFmt w:val="bullet"/>
      <w:start w:val="1"/>
    </w:lvl>
  </w:abstractNum>
  <w:abstractNum w:abstractNumId="51">
    <w:nsid w:val="61574095"/>
    <w:multiLevelType w:val="hybridMultilevel"/>
    <w:lvl w:ilvl="0">
      <w:lvlJc w:val="left"/>
      <w:lvlText w:val="6"/>
      <w:numFmt w:val="bullet"/>
      <w:start w:val="1"/>
    </w:lvl>
  </w:abstractNum>
  <w:abstractNum w:abstractNumId="52">
    <w:nsid w:val="7E0C57B1"/>
    <w:multiLevelType w:val="hybridMultilevel"/>
    <w:lvl w:ilvl="0">
      <w:lvlJc w:val="left"/>
      <w:lvlText w:val="7"/>
      <w:numFmt w:val="bullet"/>
      <w:start w:val="1"/>
    </w:lvl>
  </w:abstractNum>
  <w:abstractNum w:abstractNumId="53">
    <w:nsid w:val="77AE35EB"/>
    <w:multiLevelType w:val="hybridMultilevel"/>
    <w:lvl w:ilvl="0">
      <w:lvlJc w:val="left"/>
      <w:lvlText w:val="8"/>
      <w:numFmt w:val="bullet"/>
      <w:start w:val="1"/>
    </w:lvl>
  </w:abstractNum>
  <w:abstractNum w:abstractNumId="54">
    <w:nsid w:val="579BE4F1"/>
    <w:multiLevelType w:val="hybridMultilevel"/>
    <w:lvl w:ilvl="0">
      <w:lvlJc w:val="left"/>
      <w:lvlText w:val="9"/>
      <w:numFmt w:val="bullet"/>
      <w:start w:val="1"/>
    </w:lvl>
  </w:abstractNum>
  <w:abstractNum w:abstractNumId="55">
    <w:nsid w:val="310C50B3"/>
    <w:multiLevelType w:val="hybridMultilevel"/>
    <w:lvl w:ilvl="0">
      <w:lvlJc w:val="left"/>
      <w:lvlText w:val="%1"/>
      <w:numFmt w:val="decimal"/>
      <w:start w:val="10"/>
    </w:lvl>
  </w:abstractNum>
  <w:abstractNum w:abstractNumId="56">
    <w:nsid w:val="5FF87E05"/>
    <w:multiLevelType w:val="hybridMultilevel"/>
    <w:lvl w:ilvl="0">
      <w:lvlJc w:val="left"/>
      <w:lvlText w:val="%1"/>
      <w:numFmt w:val="decimal"/>
      <w:start w:val="11"/>
    </w:lvl>
  </w:abstractNum>
  <w:abstractNum w:abstractNumId="57">
    <w:nsid w:val="2F305DEF"/>
    <w:multiLevelType w:val="hybridMultilevel"/>
    <w:lvl w:ilvl="0">
      <w:lvlJc w:val="left"/>
      <w:lvlText w:val="%1"/>
      <w:numFmt w:val="decimal"/>
      <w:start w:val="18"/>
    </w:lvl>
  </w:abstractNum>
  <w:abstractNum w:abstractNumId="58">
    <w:nsid w:val="25A70BF7"/>
    <w:multiLevelType w:val="hybridMultilevel"/>
    <w:lvl w:ilvl="0">
      <w:lvlJc w:val="left"/>
      <w:lvlText w:val="%1"/>
      <w:numFmt w:val="decimal"/>
      <w:start w:val="31"/>
    </w:lvl>
  </w:abstractNum>
  <w:abstractNum w:abstractNumId="59">
    <w:nsid w:val="1DBABF00"/>
    <w:multiLevelType w:val="hybridMultilevel"/>
    <w:lvl w:ilvl="0">
      <w:lvlJc w:val="left"/>
      <w:lvlText w:val="%1"/>
      <w:numFmt w:val="decimal"/>
      <w:start w:val="43"/>
    </w:lvl>
  </w:abstractNum>
  <w:abstractNum w:abstractNumId="60">
    <w:nsid w:val="4AD084E9"/>
    <w:multiLevelType w:val="hybridMultilevel"/>
    <w:lvl w:ilvl="0">
      <w:lvlJc w:val="left"/>
      <w:lvlText w:val="%1)"/>
      <w:numFmt w:val="decimal"/>
      <w:start w:val="1"/>
    </w:lvl>
  </w:abstractNum>
  <w:abstractNum w:abstractNumId="61">
    <w:nsid w:val="1F48EAA1"/>
    <w:multiLevelType w:val="hybridMultilevel"/>
    <w:lvl w:ilvl="0">
      <w:lvlJc w:val="left"/>
      <w:lvlText w:val="%1."/>
      <w:numFmt w:val="decimal"/>
      <w:start w:val="1"/>
    </w:lvl>
    <w:lvl w:ilvl="1">
      <w:lvlJc w:val="left"/>
      <w:lvlText w:val="(%2)"/>
      <w:numFmt w:val="lowerLetter"/>
      <w:start w:val="1"/>
    </w:lvl>
  </w:abstractNum>
  <w:abstractNum w:abstractNumId="62">
    <w:nsid w:val="1381823A"/>
    <w:multiLevelType w:val="hybridMultilevel"/>
    <w:lvl w:ilvl="0">
      <w:lvlJc w:val="left"/>
      <w:lvlText w:val="%1"/>
      <w:numFmt w:val="decimal"/>
      <w:start w:val="1"/>
    </w:lvl>
    <w:lvl w:ilvl="1">
      <w:lvlJc w:val="left"/>
      <w:lvlText w:val="(%2)"/>
      <w:numFmt w:val="lowerLetter"/>
      <w:start w:val="4"/>
    </w:lvl>
  </w:abstractNum>
  <w:abstractNum w:abstractNumId="63">
    <w:nsid w:val="5DB70AE5"/>
    <w:multiLevelType w:val="hybridMultilevel"/>
    <w:lvl w:ilvl="0">
      <w:lvlJc w:val="left"/>
      <w:lvlText w:val="%1."/>
      <w:numFmt w:val="decimal"/>
      <w:start w:val="5"/>
    </w:lvl>
    <w:lvl w:ilvl="1">
      <w:lvlJc w:val="left"/>
      <w:lvlText w:val="(%2)"/>
      <w:numFmt w:val="lowerLetter"/>
      <w:start w:val="1"/>
    </w:lvl>
  </w:abstractNum>
  <w:abstractNum w:abstractNumId="64">
    <w:nsid w:val="100F8FCA"/>
    <w:multiLevelType w:val="hybridMultilevel"/>
    <w:lvl w:ilvl="0">
      <w:lvlJc w:val="left"/>
      <w:lvlText w:val="%1."/>
      <w:numFmt w:val="decimal"/>
      <w:start w:val="1"/>
    </w:lvl>
    <w:lvl w:ilvl="1">
      <w:lvlJc w:val="left"/>
      <w:lvlText w:val="(%2)"/>
      <w:numFmt w:val="lowerLetter"/>
      <w:start w:val="1"/>
    </w:lvl>
  </w:abstractNum>
  <w:abstractNum w:abstractNumId="65">
    <w:nsid w:val="6590700B"/>
    <w:multiLevelType w:val="hybridMultilevel"/>
    <w:lvl w:ilvl="0">
      <w:lvlJc w:val="left"/>
      <w:lvlText w:val="%1"/>
      <w:numFmt w:val="decimal"/>
      <w:start w:val="1"/>
    </w:lvl>
    <w:lvl w:ilvl="1">
      <w:lvlJc w:val="left"/>
      <w:lvlText w:val="(%2)"/>
      <w:numFmt w:val="lowerLetter"/>
      <w:start w:val="4"/>
    </w:lvl>
  </w:abstractNum>
  <w:abstractNum w:abstractNumId="66">
    <w:nsid w:val="15014ACB"/>
    <w:multiLevelType w:val="hybridMultilevel"/>
    <w:lvl w:ilvl="0">
      <w:lvlJc w:val="left"/>
      <w:lvlText w:val="%1."/>
      <w:numFmt w:val="decimal"/>
      <w:start w:val="5"/>
    </w:lvl>
    <w:lvl w:ilvl="1">
      <w:lvlJc w:val="left"/>
      <w:lvlText w:val="(%2)"/>
      <w:numFmt w:val="lowerLetter"/>
      <w:start w:val="1"/>
    </w:lvl>
  </w:abstractNum>
  <w:abstractNum w:abstractNumId="67">
    <w:nsid w:val="5F5E7FD0"/>
    <w:multiLevelType w:val="hybridMultilevel"/>
    <w:lvl w:ilvl="0">
      <w:lvlJc w:val="left"/>
      <w:lvlText w:val="(%1)"/>
      <w:numFmt w:val="decimal"/>
      <w:start w:val="1"/>
    </w:lvl>
  </w:abstractNum>
  <w:abstractNum w:abstractNumId="68">
    <w:nsid w:val="98A3148"/>
    <w:multiLevelType w:val="hybridMultilevel"/>
    <w:lvl w:ilvl="0">
      <w:lvlJc w:val="left"/>
      <w:lvlText w:val="(%1)"/>
      <w:numFmt w:val="decimal"/>
      <w:start w:val="1"/>
    </w:lvl>
  </w:abstractNum>
  <w:abstractNum w:abstractNumId="69">
    <w:nsid w:val="799D0247"/>
    <w:multiLevelType w:val="hybridMultilevel"/>
    <w:lvl w:ilvl="0">
      <w:lvlJc w:val="left"/>
      <w:lvlText w:val="•"/>
      <w:numFmt w:val="bullet"/>
      <w:start w:val="1"/>
    </w:lvl>
  </w:abstractNum>
  <w:abstractNum w:abstractNumId="70">
    <w:nsid w:val="6B94764"/>
    <w:multiLevelType w:val="hybridMultilevel"/>
    <w:lvl w:ilvl="0">
      <w:lvlJc w:val="left"/>
      <w:lvlText w:val="•"/>
      <w:numFmt w:val="bullet"/>
      <w:start w:val="1"/>
    </w:lvl>
  </w:abstractNum>
  <w:abstractNum w:abstractNumId="71">
    <w:nsid w:val="42C296B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8" Type="http://schemas.openxmlformats.org/officeDocument/2006/relationships/image" Target="media/image55.png"/><Relationship Id="rId71" Type="http://schemas.openxmlformats.org/officeDocument/2006/relationships/image" Target="media/image56.png"/><Relationship Id="rId80" Type="http://schemas.openxmlformats.org/officeDocument/2006/relationships/image" Target="media/image57.png"/><Relationship Id="rId91" Type="http://schemas.openxmlformats.org/officeDocument/2006/relationships/image" Target="media/image58.png"/><Relationship Id="rId101" Type="http://schemas.openxmlformats.org/officeDocument/2006/relationships/image" Target="media/image59.png"/><Relationship Id="rId102" Type="http://schemas.openxmlformats.org/officeDocument/2006/relationships/image" Target="media/image60.png"/><Relationship Id="rId103" Type="http://schemas.openxmlformats.org/officeDocument/2006/relationships/image" Target="media/image61.png"/><Relationship Id="rId104" Type="http://schemas.openxmlformats.org/officeDocument/2006/relationships/image" Target="media/image62.png"/><Relationship Id="rId105" Type="http://schemas.openxmlformats.org/officeDocument/2006/relationships/image" Target="media/image63.png"/><Relationship Id="rId106" Type="http://schemas.openxmlformats.org/officeDocument/2006/relationships/image" Target="media/image64.png"/><Relationship Id="rId107" Type="http://schemas.openxmlformats.org/officeDocument/2006/relationships/image" Target="media/image65.png"/><Relationship Id="rId108" Type="http://schemas.openxmlformats.org/officeDocument/2006/relationships/image" Target="media/image66.jpeg"/><Relationship Id="rId109" Type="http://schemas.openxmlformats.org/officeDocument/2006/relationships/image" Target="media/image67.jpeg"/><Relationship Id="rId110" Type="http://schemas.openxmlformats.org/officeDocument/2006/relationships/image" Target="media/image68.png"/><Relationship Id="rId111" Type="http://schemas.openxmlformats.org/officeDocument/2006/relationships/image" Target="media/image69.png"/><Relationship Id="rId112" Type="http://schemas.openxmlformats.org/officeDocument/2006/relationships/image" Target="media/image70.jpeg"/><Relationship Id="rId113" Type="http://schemas.openxmlformats.org/officeDocument/2006/relationships/image" Target="media/image71.png"/><Relationship Id="rId114" Type="http://schemas.openxmlformats.org/officeDocument/2006/relationships/image" Target="media/image72.png"/><Relationship Id="rId115" Type="http://schemas.openxmlformats.org/officeDocument/2006/relationships/image" Target="media/image73.png"/><Relationship Id="rId116" Type="http://schemas.openxmlformats.org/officeDocument/2006/relationships/image" Target="media/image74.png"/><Relationship Id="rId117" Type="http://schemas.openxmlformats.org/officeDocument/2006/relationships/image" Target="media/image75.png"/><Relationship Id="rId118" Type="http://schemas.openxmlformats.org/officeDocument/2006/relationships/image" Target="media/image76.png"/><Relationship Id="rId119" Type="http://schemas.openxmlformats.org/officeDocument/2006/relationships/image" Target="media/image77.png"/><Relationship Id="rId120" Type="http://schemas.openxmlformats.org/officeDocument/2006/relationships/image" Target="media/image78.png"/><Relationship Id="rId121" Type="http://schemas.openxmlformats.org/officeDocument/2006/relationships/image" Target="media/image79.png"/><Relationship Id="rId122" Type="http://schemas.openxmlformats.org/officeDocument/2006/relationships/image" Target="media/image80.png"/><Relationship Id="rId123" Type="http://schemas.openxmlformats.org/officeDocument/2006/relationships/image" Target="media/image81.png"/><Relationship Id="rId124" Type="http://schemas.openxmlformats.org/officeDocument/2006/relationships/image" Target="media/image82.png"/><Relationship Id="rId125" Type="http://schemas.openxmlformats.org/officeDocument/2006/relationships/image" Target="media/image83.png"/><Relationship Id="rId126" Type="http://schemas.openxmlformats.org/officeDocument/2006/relationships/image" Target="media/image84.png"/><Relationship Id="rId127" Type="http://schemas.openxmlformats.org/officeDocument/2006/relationships/image" Target="media/image85.png"/><Relationship Id="rId128" Type="http://schemas.openxmlformats.org/officeDocument/2006/relationships/image" Target="media/image86.png"/><Relationship Id="rId129" Type="http://schemas.openxmlformats.org/officeDocument/2006/relationships/image" Target="media/image87.png"/><Relationship Id="rId130" Type="http://schemas.openxmlformats.org/officeDocument/2006/relationships/image" Target="media/image88.png"/><Relationship Id="rId131" Type="http://schemas.openxmlformats.org/officeDocument/2006/relationships/image" Target="media/image89.png"/><Relationship Id="rId132" Type="http://schemas.openxmlformats.org/officeDocument/2006/relationships/image" Target="media/image90.png"/><Relationship Id="rId133" Type="http://schemas.openxmlformats.org/officeDocument/2006/relationships/image" Target="media/image91.png"/><Relationship Id="rId134" Type="http://schemas.openxmlformats.org/officeDocument/2006/relationships/image" Target="media/image92.png"/><Relationship Id="rId135" Type="http://schemas.openxmlformats.org/officeDocument/2006/relationships/image" Target="media/image93.png"/><Relationship Id="rId136" Type="http://schemas.openxmlformats.org/officeDocument/2006/relationships/image" Target="media/image94.png"/><Relationship Id="rId137" Type="http://schemas.openxmlformats.org/officeDocument/2006/relationships/image" Target="media/image95.png"/><Relationship Id="rId138" Type="http://schemas.openxmlformats.org/officeDocument/2006/relationships/image" Target="media/image96.png"/><Relationship Id="rId139" Type="http://schemas.openxmlformats.org/officeDocument/2006/relationships/image" Target="media/image97.png"/><Relationship Id="rId140" Type="http://schemas.openxmlformats.org/officeDocument/2006/relationships/image" Target="media/image98.png"/><Relationship Id="rId141" Type="http://schemas.openxmlformats.org/officeDocument/2006/relationships/image" Target="media/image99.png"/><Relationship Id="rId142" Type="http://schemas.openxmlformats.org/officeDocument/2006/relationships/image" Target="media/image100.png"/><Relationship Id="rId143" Type="http://schemas.openxmlformats.org/officeDocument/2006/relationships/image" Target="media/image101.png"/><Relationship Id="rId144" Type="http://schemas.openxmlformats.org/officeDocument/2006/relationships/image" Target="media/image102.png"/><Relationship Id="rId145" Type="http://schemas.openxmlformats.org/officeDocument/2006/relationships/image" Target="media/image103.png"/><Relationship Id="rId146" Type="http://schemas.openxmlformats.org/officeDocument/2006/relationships/image" Target="media/image104.png"/><Relationship Id="rId147" Type="http://schemas.openxmlformats.org/officeDocument/2006/relationships/image" Target="media/image105.png"/><Relationship Id="rId148" Type="http://schemas.openxmlformats.org/officeDocument/2006/relationships/image" Target="media/image106.png"/><Relationship Id="rId149" Type="http://schemas.openxmlformats.org/officeDocument/2006/relationships/image" Target="media/image107.png"/><Relationship Id="rId150" Type="http://schemas.openxmlformats.org/officeDocument/2006/relationships/image" Target="media/image108.png"/><Relationship Id="rId151" Type="http://schemas.openxmlformats.org/officeDocument/2006/relationships/image" Target="media/image109.png"/><Relationship Id="rId152" Type="http://schemas.openxmlformats.org/officeDocument/2006/relationships/image" Target="media/image110.png"/><Relationship Id="rId153" Type="http://schemas.openxmlformats.org/officeDocument/2006/relationships/image" Target="media/image111.jpeg"/><Relationship Id="rId154" Type="http://schemas.openxmlformats.org/officeDocument/2006/relationships/image" Target="media/image112.jpeg"/><Relationship Id="rId155" Type="http://schemas.openxmlformats.org/officeDocument/2006/relationships/image" Target="media/image113.png"/><Relationship Id="rId156" Type="http://schemas.openxmlformats.org/officeDocument/2006/relationships/image" Target="media/image114.jpeg"/><Relationship Id="rId157" Type="http://schemas.openxmlformats.org/officeDocument/2006/relationships/image" Target="media/image115.png"/><Relationship Id="rId158" Type="http://schemas.openxmlformats.org/officeDocument/2006/relationships/image" Target="media/image116.png"/><Relationship Id="rId159" Type="http://schemas.openxmlformats.org/officeDocument/2006/relationships/image" Target="media/image117.png"/><Relationship Id="rId160" Type="http://schemas.openxmlformats.org/officeDocument/2006/relationships/image" Target="media/image118.jpeg"/><Relationship Id="rId161" Type="http://schemas.openxmlformats.org/officeDocument/2006/relationships/image" Target="media/image119.png"/><Relationship Id="rId162" Type="http://schemas.openxmlformats.org/officeDocument/2006/relationships/image" Target="media/image120.png"/><Relationship Id="rId163" Type="http://schemas.openxmlformats.org/officeDocument/2006/relationships/image" Target="media/image121.jpeg"/><Relationship Id="rId164" Type="http://schemas.openxmlformats.org/officeDocument/2006/relationships/image" Target="media/image122.png"/><Relationship Id="rId165" Type="http://schemas.openxmlformats.org/officeDocument/2006/relationships/image" Target="media/image123.png"/><Relationship Id="rId166" Type="http://schemas.openxmlformats.org/officeDocument/2006/relationships/image" Target="media/image124.jpeg"/><Relationship Id="rId167" Type="http://schemas.openxmlformats.org/officeDocument/2006/relationships/image" Target="media/image125.png"/><Relationship Id="rId168" Type="http://schemas.openxmlformats.org/officeDocument/2006/relationships/image" Target="media/image126.png"/><Relationship Id="rId169" Type="http://schemas.openxmlformats.org/officeDocument/2006/relationships/image" Target="media/image127.jpeg"/><Relationship Id="rId170" Type="http://schemas.openxmlformats.org/officeDocument/2006/relationships/image" Target="media/image128.png"/><Relationship Id="rId171" Type="http://schemas.openxmlformats.org/officeDocument/2006/relationships/image" Target="media/image129.png"/><Relationship Id="rId172" Type="http://schemas.openxmlformats.org/officeDocument/2006/relationships/image" Target="media/image130.jpeg"/><Relationship Id="rId173" Type="http://schemas.openxmlformats.org/officeDocument/2006/relationships/image" Target="media/image131.png"/><Relationship Id="rId174" Type="http://schemas.openxmlformats.org/officeDocument/2006/relationships/image" Target="media/image132.png"/><Relationship Id="rId175" Type="http://schemas.openxmlformats.org/officeDocument/2006/relationships/image" Target="media/image133.png"/><Relationship Id="rId176" Type="http://schemas.openxmlformats.org/officeDocument/2006/relationships/image" Target="media/image134.jpeg"/><Relationship Id="rId177" Type="http://schemas.openxmlformats.org/officeDocument/2006/relationships/image" Target="media/image135.png"/><Relationship Id="rId178" Type="http://schemas.openxmlformats.org/officeDocument/2006/relationships/image" Target="media/image136.jpeg"/><Relationship Id="rId179" Type="http://schemas.openxmlformats.org/officeDocument/2006/relationships/image" Target="media/image137.png"/><Relationship Id="rId180" Type="http://schemas.openxmlformats.org/officeDocument/2006/relationships/image" Target="media/image138.png"/><Relationship Id="rId181" Type="http://schemas.openxmlformats.org/officeDocument/2006/relationships/image" Target="media/image139.jpeg"/><Relationship Id="rId182" Type="http://schemas.openxmlformats.org/officeDocument/2006/relationships/image" Target="media/image140.png"/><Relationship Id="rId183" Type="http://schemas.openxmlformats.org/officeDocument/2006/relationships/image" Target="media/image141.jpeg"/><Relationship Id="rId184" Type="http://schemas.openxmlformats.org/officeDocument/2006/relationships/image" Target="media/image142.jpeg"/><Relationship Id="rId185" Type="http://schemas.openxmlformats.org/officeDocument/2006/relationships/image" Target="media/image143.png"/><Relationship Id="rId186" Type="http://schemas.openxmlformats.org/officeDocument/2006/relationships/image" Target="media/image144.png"/><Relationship Id="rId187" Type="http://schemas.openxmlformats.org/officeDocument/2006/relationships/image" Target="media/image145.png"/><Relationship Id="rId188" Type="http://schemas.openxmlformats.org/officeDocument/2006/relationships/image" Target="media/image146.png"/><Relationship Id="rId189" Type="http://schemas.openxmlformats.org/officeDocument/2006/relationships/image" Target="media/image147.png"/><Relationship Id="rId190" Type="http://schemas.openxmlformats.org/officeDocument/2006/relationships/image" Target="media/image148.png"/><Relationship Id="rId191" Type="http://schemas.openxmlformats.org/officeDocument/2006/relationships/image" Target="media/image149.png"/><Relationship Id="rId192" Type="http://schemas.openxmlformats.org/officeDocument/2006/relationships/image" Target="media/image150.png"/><Relationship Id="rId193" Type="http://schemas.openxmlformats.org/officeDocument/2006/relationships/image" Target="media/image151.png"/><Relationship Id="rId194" Type="http://schemas.openxmlformats.org/officeDocument/2006/relationships/image" Target="media/image152.png"/><Relationship Id="rId195" Type="http://schemas.openxmlformats.org/officeDocument/2006/relationships/image" Target="media/image153.png"/><Relationship Id="rId196" Type="http://schemas.openxmlformats.org/officeDocument/2006/relationships/image" Target="media/image154.png"/><Relationship Id="rId197" Type="http://schemas.openxmlformats.org/officeDocument/2006/relationships/image" Target="media/image155.png"/><Relationship Id="rId198" Type="http://schemas.openxmlformats.org/officeDocument/2006/relationships/image" Target="media/image156.png"/><Relationship Id="rId199" Type="http://schemas.openxmlformats.org/officeDocument/2006/relationships/image" Target="media/image157.jpeg"/><Relationship Id="rId200" Type="http://schemas.openxmlformats.org/officeDocument/2006/relationships/image" Target="media/image158.png"/><Relationship Id="rId201" Type="http://schemas.openxmlformats.org/officeDocument/2006/relationships/image" Target="media/image159.png"/><Relationship Id="rId202" Type="http://schemas.openxmlformats.org/officeDocument/2006/relationships/image" Target="media/image160.png"/><Relationship Id="rId203" Type="http://schemas.openxmlformats.org/officeDocument/2006/relationships/image" Target="media/image161.png"/><Relationship Id="rId204" Type="http://schemas.openxmlformats.org/officeDocument/2006/relationships/image" Target="media/image162.png"/><Relationship Id="rId205" Type="http://schemas.openxmlformats.org/officeDocument/2006/relationships/image" Target="media/image163.png"/><Relationship Id="rId206" Type="http://schemas.openxmlformats.org/officeDocument/2006/relationships/image" Target="media/image164.png"/><Relationship Id="rId207" Type="http://schemas.openxmlformats.org/officeDocument/2006/relationships/image" Target="media/image165.png"/><Relationship Id="rId208" Type="http://schemas.openxmlformats.org/officeDocument/2006/relationships/image" Target="media/image166.png"/><Relationship Id="rId209" Type="http://schemas.openxmlformats.org/officeDocument/2006/relationships/image" Target="media/image167.png"/><Relationship Id="rId210" Type="http://schemas.openxmlformats.org/officeDocument/2006/relationships/image" Target="media/image168.png"/><Relationship Id="rId211" Type="http://schemas.openxmlformats.org/officeDocument/2006/relationships/image" Target="media/image169.png"/><Relationship Id="rId212" Type="http://schemas.openxmlformats.org/officeDocument/2006/relationships/image" Target="media/image170.png"/><Relationship Id="rId213" Type="http://schemas.openxmlformats.org/officeDocument/2006/relationships/image" Target="media/image171.jpeg"/><Relationship Id="rId214" Type="http://schemas.openxmlformats.org/officeDocument/2006/relationships/image" Target="media/image172.png"/><Relationship Id="rId215" Type="http://schemas.openxmlformats.org/officeDocument/2006/relationships/image" Target="media/image173.png"/><Relationship Id="rId216" Type="http://schemas.openxmlformats.org/officeDocument/2006/relationships/image" Target="media/image174.png"/><Relationship Id="rId217" Type="http://schemas.openxmlformats.org/officeDocument/2006/relationships/image" Target="media/image175.png"/><Relationship Id="rId218" Type="http://schemas.openxmlformats.org/officeDocument/2006/relationships/image" Target="media/image176.png"/><Relationship Id="rId219" Type="http://schemas.openxmlformats.org/officeDocument/2006/relationships/image" Target="media/image177.png"/><Relationship Id="rId220" Type="http://schemas.openxmlformats.org/officeDocument/2006/relationships/image" Target="media/image178.png"/><Relationship Id="rId221" Type="http://schemas.openxmlformats.org/officeDocument/2006/relationships/image" Target="media/image179.png"/><Relationship Id="rId222" Type="http://schemas.openxmlformats.org/officeDocument/2006/relationships/image" Target="media/image180.png"/><Relationship Id="rId223" Type="http://schemas.openxmlformats.org/officeDocument/2006/relationships/image" Target="media/image181.png"/><Relationship Id="rId224" Type="http://schemas.openxmlformats.org/officeDocument/2006/relationships/image" Target="media/image182.png"/><Relationship Id="rId225" Type="http://schemas.openxmlformats.org/officeDocument/2006/relationships/image" Target="media/image183.png"/><Relationship Id="rId226" Type="http://schemas.openxmlformats.org/officeDocument/2006/relationships/image" Target="media/image184.png"/><Relationship Id="rId227" Type="http://schemas.openxmlformats.org/officeDocument/2006/relationships/image" Target="media/image185.png"/><Relationship Id="rId228" Type="http://schemas.openxmlformats.org/officeDocument/2006/relationships/image" Target="media/image186.jpeg"/><Relationship Id="rId229" Type="http://schemas.openxmlformats.org/officeDocument/2006/relationships/image" Target="media/image187.png"/><Relationship Id="rId230" Type="http://schemas.openxmlformats.org/officeDocument/2006/relationships/image" Target="media/image188.png"/><Relationship Id="rId231" Type="http://schemas.openxmlformats.org/officeDocument/2006/relationships/image" Target="media/image189.png"/><Relationship Id="rId232" Type="http://schemas.openxmlformats.org/officeDocument/2006/relationships/image" Target="media/image190.png"/><Relationship Id="rId233" Type="http://schemas.openxmlformats.org/officeDocument/2006/relationships/image" Target="media/image191.png"/><Relationship Id="rId234" Type="http://schemas.openxmlformats.org/officeDocument/2006/relationships/image" Target="media/image192.png"/><Relationship Id="rId235" Type="http://schemas.openxmlformats.org/officeDocument/2006/relationships/image" Target="media/image193.png"/><Relationship Id="rId236" Type="http://schemas.openxmlformats.org/officeDocument/2006/relationships/image" Target="media/image194.png"/><Relationship Id="rId237" Type="http://schemas.openxmlformats.org/officeDocument/2006/relationships/image" Target="media/image195.png"/><Relationship Id="rId238" Type="http://schemas.openxmlformats.org/officeDocument/2006/relationships/image" Target="media/image196.png"/><Relationship Id="rId239" Type="http://schemas.openxmlformats.org/officeDocument/2006/relationships/image" Target="media/image197.png"/><Relationship Id="rId240" Type="http://schemas.openxmlformats.org/officeDocument/2006/relationships/image" Target="media/image198.png"/><Relationship Id="rId241" Type="http://schemas.openxmlformats.org/officeDocument/2006/relationships/image" Target="media/image199.png"/><Relationship Id="rId242" Type="http://schemas.openxmlformats.org/officeDocument/2006/relationships/image" Target="media/image200.png"/><Relationship Id="rId243" Type="http://schemas.openxmlformats.org/officeDocument/2006/relationships/image" Target="media/image201.png"/><Relationship Id="rId244" Type="http://schemas.openxmlformats.org/officeDocument/2006/relationships/image" Target="media/image202.png"/><Relationship Id="rId245" Type="http://schemas.openxmlformats.org/officeDocument/2006/relationships/image" Target="media/image203.png"/><Relationship Id="rId246" Type="http://schemas.openxmlformats.org/officeDocument/2006/relationships/image" Target="media/image204.png"/><Relationship Id="rId247" Type="http://schemas.openxmlformats.org/officeDocument/2006/relationships/image" Target="media/image205.png"/><Relationship Id="rId248" Type="http://schemas.openxmlformats.org/officeDocument/2006/relationships/image" Target="media/image206.png"/><Relationship Id="rId249" Type="http://schemas.openxmlformats.org/officeDocument/2006/relationships/image" Target="media/image207.png"/><Relationship Id="rId250" Type="http://schemas.openxmlformats.org/officeDocument/2006/relationships/image" Target="media/image208.png"/><Relationship Id="rId251" Type="http://schemas.openxmlformats.org/officeDocument/2006/relationships/image" Target="media/image209.png"/><Relationship Id="rId252" Type="http://schemas.openxmlformats.org/officeDocument/2006/relationships/image" Target="media/image210.png"/><Relationship Id="rId253" Type="http://schemas.openxmlformats.org/officeDocument/2006/relationships/image" Target="media/image211.png"/><Relationship Id="rId254" Type="http://schemas.openxmlformats.org/officeDocument/2006/relationships/image" Target="media/image212.png"/><Relationship Id="rId62" Type="http://schemas.openxmlformats.org/officeDocument/2006/relationships/hyperlink" Target="http://www.sec.gov/Archives/edgar/data/916076/000119312517056282/d344578dex301.htm" TargetMode="External"/><Relationship Id="rId63" Type="http://schemas.openxmlformats.org/officeDocument/2006/relationships/hyperlink" Target="http://www.sec.gov/Archives/edgar/data/916076/000156459015004575/mlm-ex301_2015052114.htm" TargetMode="External"/><Relationship Id="rId64" Type="http://schemas.openxmlformats.org/officeDocument/2006/relationships/hyperlink" Target="http://www.sec.gov/Archives/edgar/data/916076/000119312511307065/d254440dex301.htm" TargetMode="External"/><Relationship Id="rId65" Type="http://schemas.openxmlformats.org/officeDocument/2006/relationships/hyperlink" Target="http://www.sec.gov/Archives/edgar/data/916076/0000950144-97-009281.txt" TargetMode="External"/><Relationship Id="rId66" Type="http://schemas.openxmlformats.org/officeDocument/2006/relationships/hyperlink" Target="http://www.sec.gov/Archives/edgar/data/916076/000095014407003966/g07010exv4w1.htm" TargetMode="External"/><Relationship Id="rId67" Type="http://schemas.openxmlformats.org/officeDocument/2006/relationships/hyperlink" Target="http://www.sec.gov/Archives/edgar/data/916076/000095014407003966/g07010exv4w3.htm" TargetMode="External"/><Relationship Id="rId69" Type="http://schemas.openxmlformats.org/officeDocument/2006/relationships/hyperlink" Target="http://www.sec.gov/Archives/edgar/data/916076/000095014408002962/g12890exv4w1.htm" TargetMode="External"/><Relationship Id="rId70" Type="http://schemas.openxmlformats.org/officeDocument/2006/relationships/hyperlink" Target="http://www.sec.gov/Archives/edgar/data/916076/000095015714000679/ex10-1.htm" TargetMode="External"/><Relationship Id="rId72" Type="http://schemas.openxmlformats.org/officeDocument/2006/relationships/hyperlink" Target="http://www.sec.gov/Archives/edgar/data/916076/000095015714000736/ex4-1.htm" TargetMode="External"/><Relationship Id="rId73" Type="http://schemas.openxmlformats.org/officeDocument/2006/relationships/hyperlink" Target="http://www.sec.gov/Archives/edgar/data/916076/000119312517178064/d401743dex41.htm" TargetMode="External"/><Relationship Id="rId74" Type="http://schemas.openxmlformats.org/officeDocument/2006/relationships/hyperlink" Target="http://www.sec.gov/Archives/edgar/data/916076/000119312517178064/d401743dex42.htm" TargetMode="External"/><Relationship Id="rId75" Type="http://schemas.openxmlformats.org/officeDocument/2006/relationships/hyperlink" Target="http://www.sec.gov/Archives/edgar/data/916076/000119312517374738/d499713dex42.htm" TargetMode="External"/><Relationship Id="rId76" Type="http://schemas.openxmlformats.org/officeDocument/2006/relationships/hyperlink" Target="http://www.sec.gov/Archives/edgar/data/916076/000156459016029917/mlm-ex1001_6.htm" TargetMode="External"/><Relationship Id="rId77" Type="http://schemas.openxmlformats.org/officeDocument/2006/relationships/hyperlink" Target="http://www.sec.gov/Archives/edgar/data/916076/000119312513169367/d524115dex1001.htm" TargetMode="External"/><Relationship Id="rId78" Type="http://schemas.openxmlformats.org/officeDocument/2006/relationships/hyperlink" Target="http://www.sec.gov/Archives/edgar/data/916076/000095015714000705/ex10-1.htm" TargetMode="External"/><Relationship Id="rId79" Type="http://schemas.openxmlformats.org/officeDocument/2006/relationships/hyperlink" Target="http://www.sec.gov/Archives/edgar/data/916076/000119312514156286/d714228dex1001.htm" TargetMode="External"/><Relationship Id="rId81" Type="http://schemas.openxmlformats.org/officeDocument/2006/relationships/hyperlink" Target="http://www.sec.gov/Archives/edgar/data/916076/000119312514363178/d799882dex1001.htm" TargetMode="External"/><Relationship Id="rId82" Type="http://schemas.openxmlformats.org/officeDocument/2006/relationships/hyperlink" Target="http://www.sec.gov/Archives/edgar/data/916076/000156459016025538/mlm-ex1001_6.htm" TargetMode="External"/><Relationship Id="rId83" Type="http://schemas.openxmlformats.org/officeDocument/2006/relationships/hyperlink" Target="http://www.sec.gov/Archives/edgar/data/916076/000119312513169367/d524115dex1002.htm" TargetMode="External"/><Relationship Id="rId84" Type="http://schemas.openxmlformats.org/officeDocument/2006/relationships/hyperlink" Target="http://www.sec.gov/Archives/edgar/data/916076/000095014408006590/g14828k1exv10w1.htm" TargetMode="External"/><Relationship Id="rId85" Type="http://schemas.openxmlformats.org/officeDocument/2006/relationships/hyperlink" Target="http://www.sec.gov/Archives/edgar/data/916076/000119312514064999/d654417dex1005.htm" TargetMode="External"/><Relationship Id="rId86" Type="http://schemas.openxmlformats.org/officeDocument/2006/relationships/hyperlink" Target="http://www.sec.gov/Archives/edgar/data/916076/000095014409001377/g17638exv10w05.htm" TargetMode="External"/><Relationship Id="rId87" Type="http://schemas.openxmlformats.org/officeDocument/2006/relationships/hyperlink" Target="http://www.sec.gov/Archives/edgar/data/916076/000095014409001377/g17638exv10w06.htm" TargetMode="External"/><Relationship Id="rId88" Type="http://schemas.openxmlformats.org/officeDocument/2006/relationships/hyperlink" Target="http://www.sec.gov/Archives/edgar/data/916076/000156459016022616/mlm-ex1001_10.htm" TargetMode="External"/><Relationship Id="rId89" Type="http://schemas.openxmlformats.org/officeDocument/2006/relationships/hyperlink" Target="http://www.sec.gov/Archives/edgar/data/916076/000156459016022616/mlm-ex1002_8.htm" TargetMode="External"/><Relationship Id="rId90" Type="http://schemas.openxmlformats.org/officeDocument/2006/relationships/hyperlink" Target="http://www.sec.gov/Archives/edgar/data/916076/000095014401003808/g67160ex10-16.txt" TargetMode="External"/><Relationship Id="rId92" Type="http://schemas.openxmlformats.org/officeDocument/2006/relationships/hyperlink" Target="http://www.sec.gov/Archives/edgar/data/916076/000119312512337410/d367571dex10.htm" TargetMode="External"/><Relationship Id="rId93" Type="http://schemas.openxmlformats.org/officeDocument/2006/relationships/hyperlink" Target="http://www.sec.gov/Archives/edgar/data/916076/000095014409001377/g17638exv10w11.htm" TargetMode="External"/><Relationship Id="rId94" Type="http://schemas.openxmlformats.org/officeDocument/2006/relationships/hyperlink" Target="http://www.sec.gov/Archives/edgar/data/916076/000156459016017942/mlm-ex1001_367.htm" TargetMode="External"/><Relationship Id="rId95" Type="http://schemas.openxmlformats.org/officeDocument/2006/relationships/hyperlink" Target="http://www.sec.gov/Archives/edgar/data/916076/000095014409001377/g17638exv10w13.htm" TargetMode="External"/><Relationship Id="rId96" Type="http://schemas.openxmlformats.org/officeDocument/2006/relationships/hyperlink" Target="http://www.sec.gov/Archives/edgar/data/916076/000119312514064999/d654417dex1014.htm" TargetMode="External"/><Relationship Id="rId97" Type="http://schemas.openxmlformats.org/officeDocument/2006/relationships/hyperlink" Target="http://www.sec.gov/Archives/edgar/data/916076/000119312515060008/d877241dex1019.htm" TargetMode="External"/><Relationship Id="rId98" Type="http://schemas.openxmlformats.org/officeDocument/2006/relationships/hyperlink" Target="http://www.sec.gov/Archives/edgar/data/916076/000156459017010260/mlm-ex1001_100.htm" TargetMode="External"/><Relationship Id="rId99" Type="http://schemas.openxmlformats.org/officeDocument/2006/relationships/hyperlink" Target="http://www.sec.gov/Archives/edgar/data/916076/000156459017010260/mlm-ex1002_99.htm" TargetMode="External"/><Relationship Id="rId100" Type="http://schemas.openxmlformats.org/officeDocument/2006/relationships/hyperlink" Target="http://www.sec.gov/Archives/edgar/data/916076/000156459017014636/mlm-ex1001_24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2019-12-29T00:41:19Z</dcterms:created>
  <dcterms:modified xsi:type="dcterms:W3CDTF">2019-12-29T00:41:19Z</dcterms:modified>
</cp:coreProperties>
</file>